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D005A2" w:rsidP="00D005A2">
      <w:pPr>
        <w:pStyle w:val="Heading1"/>
      </w:pPr>
      <w:r w:rsidRPr="00087A72">
        <w:t>UTNIF Settlerism GRIPE 2018</w:t>
      </w:r>
    </w:p>
    <w:p w:rsidR="002D715A" w:rsidRPr="002D715A" w:rsidRDefault="002D715A" w:rsidP="002D715A">
      <w:pPr>
        <w:pStyle w:val="Heading4"/>
      </w:pPr>
      <w:r>
        <w:t>Happily presented to you by Nicolas Juarez, George Lee, Khalid Sharif, and Pia Sen.</w:t>
      </w:r>
      <w:bookmarkStart w:id="0" w:name="_GoBack"/>
      <w:bookmarkEnd w:id="0"/>
    </w:p>
    <w:p w:rsidR="00787327" w:rsidRPr="00087A72" w:rsidRDefault="00787327" w:rsidP="00787327">
      <w:r w:rsidRPr="00087A72">
        <w:t xml:space="preserve"> </w:t>
      </w:r>
    </w:p>
    <w:p w:rsidR="009B57E5" w:rsidRPr="00087A72" w:rsidRDefault="009B57E5" w:rsidP="009B57E5">
      <w:pPr>
        <w:pStyle w:val="Heading1"/>
      </w:pPr>
      <w:r w:rsidRPr="00087A72">
        <w:t>Ban All White People CP</w:t>
      </w:r>
    </w:p>
    <w:p w:rsidR="009B57E5" w:rsidRPr="00087A72" w:rsidRDefault="009B57E5" w:rsidP="009B57E5">
      <w:pPr>
        <w:rPr>
          <w:rFonts w:ascii="Times New Roman" w:eastAsia="Times New Roman" w:hAnsi="Times New Roman" w:cs="Times New Roman"/>
        </w:rPr>
      </w:pPr>
      <w:r w:rsidRPr="00AA04AC">
        <w:t>Ban All White People from the political process until we figure it out because White peoples participation in the political process ensures the affirmatives impacts inevitable. At the heart of immigration is settler colonialism and</w:t>
      </w:r>
      <w:r w:rsidRPr="00AA04AC">
        <w:rPr>
          <w:rStyle w:val="StyleUnderline"/>
          <w:sz w:val="24"/>
          <w:u w:val="none"/>
        </w:rPr>
        <w:t xml:space="preserve"> in settler colonial contexts, for colonization is a process of forcible inclusion that must be realized for there to be anyone or anything to exclude. Banning All White People comes first. </w:t>
      </w:r>
      <w:r w:rsidRPr="00AA04AC">
        <w:t>Misrepresenting the process of European colonization of North America, making everyone an immigrant, serves to preserve the "official story" of a mostly benign and benevolent USA, and to mask the fact that the pre-US independence settlers, were, well, settlers, colonial setters, just as they were in Africa or the Spanish in Central and South America. When settlers came to the United States, they did so with the intent of building a new home in land they framed as empty, or “terra nullius”, from which they aimed to extinguish Native</w:t>
      </w:r>
      <w:r w:rsidRPr="00087A72">
        <w:t xml:space="preserve"> life that was in the way of creating a new home in the Americas. </w:t>
      </w:r>
      <w:r w:rsidRPr="00087A72">
        <w:rPr>
          <w:rFonts w:ascii="Times New Roman" w:eastAsia="Times New Roman" w:hAnsi="Times New Roman" w:cs="Times New Roman"/>
        </w:rPr>
        <w:t xml:space="preserve">The guiding constitutional structure of American settlerism and its constitutive relationship to immigration exploring how current practices increasingly reject the inclusive and liberating elements of settler immigration policies while retaining their exclusive and hierarchical edge. Ban All White people from the political process solves for retaining this racial hierarchical and ensuring the impacts of the aff. </w:t>
      </w:r>
    </w:p>
    <w:p w:rsidR="009B57E5" w:rsidRPr="00087A72" w:rsidRDefault="009B57E5" w:rsidP="009B57E5">
      <w:pPr>
        <w:pStyle w:val="Heading4"/>
        <w:rPr>
          <w:b w:val="0"/>
        </w:rPr>
      </w:pPr>
      <w:r w:rsidRPr="00087A72">
        <w:rPr>
          <w:b w:val="0"/>
        </w:rPr>
        <w:t>Competition</w:t>
      </w:r>
    </w:p>
    <w:p w:rsidR="009B57E5" w:rsidRPr="00087A72" w:rsidRDefault="009B57E5" w:rsidP="009B57E5">
      <w:r w:rsidRPr="00087A72">
        <w:t>Counterplan is competitive with the affirmative. The 1ACs political imagination naturalizes the participation of white people in the political process while the CP denies their participation.</w:t>
      </w:r>
    </w:p>
    <w:p w:rsidR="009B57E5" w:rsidRPr="00087A72" w:rsidRDefault="009B57E5" w:rsidP="009B57E5">
      <w:pPr>
        <w:pStyle w:val="ListParagraph"/>
        <w:numPr>
          <w:ilvl w:val="0"/>
          <w:numId w:val="12"/>
        </w:numPr>
      </w:pPr>
      <w:r w:rsidRPr="00087A72">
        <w:t xml:space="preserve">Any permutation severs the 1ACs inclusion of white people and destroys clash. </w:t>
      </w:r>
    </w:p>
    <w:p w:rsidR="009B57E5" w:rsidRPr="00087A72" w:rsidRDefault="009B57E5" w:rsidP="009B57E5">
      <w:pPr>
        <w:pStyle w:val="ListParagraph"/>
        <w:numPr>
          <w:ilvl w:val="0"/>
          <w:numId w:val="12"/>
        </w:numPr>
      </w:pPr>
      <w:r w:rsidRPr="00087A72">
        <w:t xml:space="preserve">Whether white people can participate in anti-racist struggle is a valuable debate—the permutation kills this necessary discussion. </w:t>
      </w:r>
    </w:p>
    <w:p w:rsidR="009B57E5" w:rsidRPr="00087A72" w:rsidRDefault="009B57E5" w:rsidP="009B57E5">
      <w:pPr>
        <w:pStyle w:val="ListParagraph"/>
        <w:numPr>
          <w:ilvl w:val="0"/>
          <w:numId w:val="12"/>
        </w:numPr>
      </w:pPr>
      <w:r w:rsidRPr="00087A72">
        <w:t xml:space="preserve">1AC reclarification is bad—moots 1NC strategy based on 1AC concessions  </w:t>
      </w:r>
    </w:p>
    <w:p w:rsidR="009B57E5" w:rsidRPr="00087A72" w:rsidRDefault="009B57E5" w:rsidP="009B57E5"/>
    <w:p w:rsidR="009B57E5" w:rsidRPr="00087A72" w:rsidRDefault="009B57E5" w:rsidP="009B57E5">
      <w:r w:rsidRPr="00087A72">
        <w:t xml:space="preserve">LINK LEVEL: there are 2 levels of link analysis in this file… the generic and specific. General Links are links to immigration, state action, reform and policy making. The specific links are links to asylum seeking, American Heg, the visa system. </w:t>
      </w:r>
    </w:p>
    <w:p w:rsidR="009B57E5" w:rsidRPr="00087A72" w:rsidRDefault="009B57E5" w:rsidP="009B57E5"/>
    <w:p w:rsidR="009B57E5" w:rsidRPr="00087A72" w:rsidRDefault="009B57E5" w:rsidP="009B57E5">
      <w:pPr>
        <w:pStyle w:val="Heading4"/>
        <w:rPr>
          <w:b w:val="0"/>
        </w:rPr>
      </w:pPr>
      <w:r w:rsidRPr="00087A72">
        <w:rPr>
          <w:b w:val="0"/>
        </w:rPr>
        <w:t xml:space="preserve">Immigration is integration and integration is assimilation. </w:t>
      </w:r>
      <w:r w:rsidRPr="00087A72">
        <w:rPr>
          <w:rStyle w:val="Style13ptBold"/>
        </w:rPr>
        <w:t>Immigration is constituted upon the carceral state which maintain settler hierarchies—The American settler colony seeks to expand it territorial reach while containing and controlling populations through violence weaponized through inclusion and exclusion.</w:t>
      </w:r>
      <w:r w:rsidRPr="00087A72">
        <w:rPr>
          <w:rStyle w:val="Style13ptBold"/>
          <w:b/>
        </w:rPr>
        <w:t xml:space="preserve"> </w:t>
      </w:r>
      <w:r w:rsidRPr="00087A72">
        <w:rPr>
          <w:rFonts w:ascii="Times New Roman" w:eastAsia="Times New Roman" w:hAnsi="Times New Roman" w:cs="Times New Roman"/>
          <w:b w:val="0"/>
        </w:rPr>
        <w:t xml:space="preserve">For an ethnically defined settler society, not all immigrants were uniformly welcome, only those seen as culturally assimilable and thus prospective co-participants in activities of settlement are deemed worthy of immigration. </w:t>
      </w:r>
      <w:r w:rsidRPr="00087A72">
        <w:rPr>
          <w:b w:val="0"/>
        </w:rPr>
        <w:t xml:space="preserve">Reject the affirmative because </w:t>
      </w:r>
      <w:r w:rsidRPr="00087A72">
        <w:rPr>
          <w:rStyle w:val="StyleUnderline"/>
          <w:sz w:val="24"/>
          <w:szCs w:val="24"/>
        </w:rPr>
        <w:t xml:space="preserve">the inclusion of peoples perpetually rendered ‘different’ has been integral to US colonization and imperial expansion. The disposable labor force on which the White Settlers still depend has been constructed and controlled by mass internments and an immigration system that has long relied upon indefinite detention. </w:t>
      </w:r>
      <w:r w:rsidRPr="00087A72">
        <w:rPr>
          <w:rStyle w:val="Style13ptBold"/>
        </w:rPr>
        <w:t>Historically,</w:t>
      </w:r>
      <w:r w:rsidRPr="00087A72">
        <w:rPr>
          <w:rStyle w:val="Style13ptBold"/>
          <w:b/>
        </w:rPr>
        <w:t xml:space="preserve"> j</w:t>
      </w:r>
      <w:r w:rsidRPr="00087A72">
        <w:rPr>
          <w:rStyle w:val="StyleUnderline"/>
          <w:sz w:val="24"/>
          <w:szCs w:val="24"/>
        </w:rPr>
        <w:t xml:space="preserve">ust as American Indians could not leave their assigned reservations without the permission of federal agents, enslaved Africans and their descendants could not travel from their assigned plantations (or other locations) without the written permission of those who purported to own them. Immigration is about White people controlling movement within the settler colonial state. The Affirmatives immigration project enables </w:t>
      </w:r>
      <w:r w:rsidRPr="00087A72">
        <w:rPr>
          <w:rStyle w:val="Style13ptBold"/>
        </w:rPr>
        <w:t xml:space="preserve">Settler Prerogative in the US. </w:t>
      </w:r>
      <w:r w:rsidRPr="00087A72">
        <w:rPr>
          <w:rFonts w:ascii="Times New Roman" w:eastAsia="Times New Roman" w:hAnsi="Times New Roman" w:cs="Times New Roman"/>
          <w:b w:val="0"/>
        </w:rPr>
        <w:t xml:space="preserve">Crucially, settlers recognized that in order to sustain such a project of republican freedom and territorial conquest, they would need new migrants beyond the flow of English colonists. This promoted strong commitments to open immigration – but only from ethnically appropriate communities – as a central engine of settler development and expansion. </w:t>
      </w:r>
    </w:p>
    <w:p w:rsidR="009B57E5" w:rsidRPr="00087A72" w:rsidRDefault="009B57E5" w:rsidP="009B57E5"/>
    <w:p w:rsidR="009B57E5" w:rsidRPr="00087A72" w:rsidRDefault="009B57E5" w:rsidP="009B57E5"/>
    <w:p w:rsidR="00AA04AC" w:rsidRDefault="009B57E5" w:rsidP="009B57E5">
      <w:r w:rsidRPr="00087A72">
        <w:t>Any attempt of the Aff being topical or reducing immigration restrictions means they automatically link because their endorsement of immigration in integrally linked to settler colonialism.</w:t>
      </w:r>
    </w:p>
    <w:p w:rsidR="009B57E5" w:rsidRPr="00087A72" w:rsidRDefault="009B57E5" w:rsidP="009B57E5">
      <w:pPr>
        <w:rPr>
          <w:rStyle w:val="StyleUnderline"/>
          <w:sz w:val="24"/>
        </w:rPr>
      </w:pPr>
      <w:r w:rsidRPr="00087A72">
        <w:t xml:space="preserve"> </w:t>
      </w:r>
      <w:r w:rsidRPr="00087A72">
        <w:rPr>
          <w:rStyle w:val="StyleUnderline"/>
          <w:sz w:val="24"/>
        </w:rPr>
        <w:t xml:space="preserve">Despite the popular narrative’s rhetorical insistence that this is a ‘nation of immigrants’ (White House, Office of Communications, 2013) – a framing that serves primarily to erase Indigenous sovereignty and the violent nature of the initial moment of contact between the settler and the native – it has always been more accurately described, as it was by the so-called Native Sons of the Golden West, as ‘the White Man’s Paradise’ (CWRIC, 1982: 364, n. 41). In attempting to create and maintain this ‘paradise’, immigration policies have played a critical role. </w:t>
      </w:r>
      <w:r w:rsidRPr="00087A72">
        <w:t xml:space="preserve">Mae Ngai has documented in detail how </w:t>
      </w:r>
      <w:r w:rsidRPr="00087A72">
        <w:rPr>
          <w:rStyle w:val="StyleUnderline"/>
          <w:sz w:val="24"/>
        </w:rPr>
        <w:t xml:space="preserve">global migration is not simply ‘a unidirectional phenomenon, in which the hapless poor of the world clamor at the gates of . . . wealthier nations’ and, more particularly, how American immigration history is ‘the product of specific economic, colonial, political, military, and/or ideological ties between the United States and other countries’. </w:t>
      </w:r>
    </w:p>
    <w:p w:rsidR="009B57E5" w:rsidRPr="00087A72" w:rsidRDefault="009B57E5" w:rsidP="009B57E5">
      <w:pPr>
        <w:rPr>
          <w:rStyle w:val="StyleUnderline"/>
          <w:sz w:val="24"/>
        </w:rPr>
      </w:pPr>
    </w:p>
    <w:p w:rsidR="009B57E5" w:rsidRPr="00087A72" w:rsidRDefault="009B57E5" w:rsidP="009B57E5">
      <w:pPr>
        <w:pStyle w:val="Heading4"/>
        <w:rPr>
          <w:rStyle w:val="Style13ptBold"/>
        </w:rPr>
      </w:pPr>
      <w:r w:rsidRPr="00AA04AC">
        <w:rPr>
          <w:rStyle w:val="StyleUnderline"/>
          <w:b w:val="0"/>
          <w:sz w:val="24"/>
          <w:szCs w:val="24"/>
          <w:u w:val="none"/>
        </w:rPr>
        <w:t>The Affirmative represents a status quo in which racial hierarchy is deeply, structurally embedded. White American settlers, like their European colonial counterparts, have consistently invoked their ‘civilizing mission’ to justify the colonization of peoples of color; a ‘grand project’ that has justified colonialism as a means of redeeming the backward, aberrant, violent, oppressed, undeveloped people of the non-European world by incorporating them into the universal civilization of America.</w:t>
      </w:r>
      <w:r w:rsidRPr="00087A72">
        <w:rPr>
          <w:rStyle w:val="StyleUnderline"/>
          <w:sz w:val="24"/>
          <w:szCs w:val="24"/>
        </w:rPr>
        <w:t xml:space="preserve"> </w:t>
      </w:r>
      <w:r w:rsidRPr="00087A72">
        <w:rPr>
          <w:rStyle w:val="Style13ptBold"/>
        </w:rPr>
        <w:t>The historical patterns of indefinite detention are better explained by recognizing the United States as a settler colonial state whose claimed prerogative to expand its territorial reach and contain/control populations over which it exercises jurisdiction has inevitably resulted in the involuntary inclusion and concomitant exclusion of peoples of color.</w:t>
      </w:r>
    </w:p>
    <w:p w:rsidR="009B57E5" w:rsidRPr="00087A72" w:rsidRDefault="009B57E5" w:rsidP="009B57E5">
      <w:pPr>
        <w:rPr>
          <w:rStyle w:val="StyleUnderline"/>
          <w:sz w:val="24"/>
        </w:rPr>
      </w:pPr>
    </w:p>
    <w:p w:rsidR="009B57E5" w:rsidRPr="00087A72" w:rsidRDefault="009B57E5" w:rsidP="009B57E5">
      <w:pPr>
        <w:rPr>
          <w:rFonts w:ascii="Times New Roman" w:eastAsia="Times New Roman" w:hAnsi="Times New Roman" w:cs="Times New Roman"/>
        </w:rPr>
      </w:pPr>
      <w:r w:rsidRPr="00087A72">
        <w:rPr>
          <w:rFonts w:eastAsia="Times New Roman" w:cs="Times New Roman"/>
          <w:color w:val="333333"/>
          <w:sz w:val="20"/>
          <w:szCs w:val="20"/>
          <w:shd w:val="clear" w:color="auto" w:fill="FFFFFF"/>
        </w:rPr>
        <w:t>For instance, </w:t>
      </w:r>
      <w:hyperlink r:id="rId8" w:history="1">
        <w:r w:rsidRPr="00087A72">
          <w:rPr>
            <w:rFonts w:eastAsia="Times New Roman" w:cs="Times New Roman"/>
            <w:b/>
            <w:bCs/>
            <w:color w:val="B51C06"/>
            <w:sz w:val="20"/>
            <w:szCs w:val="20"/>
            <w:u w:val="single"/>
            <w:shd w:val="clear" w:color="auto" w:fill="FFFFFF"/>
          </w:rPr>
          <w:t>Frank Wilderson</w:t>
        </w:r>
      </w:hyperlink>
      <w:r w:rsidRPr="00087A72">
        <w:rPr>
          <w:rFonts w:eastAsia="Times New Roman" w:cs="Times New Roman"/>
          <w:color w:val="333333"/>
          <w:sz w:val="20"/>
          <w:szCs w:val="20"/>
          <w:shd w:val="clear" w:color="auto" w:fill="FFFFFF"/>
        </w:rPr>
        <w:t> argues that white supremacy in the Americas creates the “Settler/Master” as a foundation of law and humanity on these lands, through the connected dehumanizations of black and Indigenous peoples. In their works Shona N. Jackson and Tiffany Lethabo King trace how white settler capitalism and law offer false humanizations to black and Indigenous people. </w:t>
      </w:r>
    </w:p>
    <w:p w:rsidR="009B57E5" w:rsidRPr="00087A72" w:rsidRDefault="009B57E5" w:rsidP="009B57E5">
      <w:pPr>
        <w:rPr>
          <w:rStyle w:val="StyleUnderline"/>
          <w:sz w:val="24"/>
        </w:rPr>
      </w:pPr>
    </w:p>
    <w:p w:rsidR="009B57E5" w:rsidRPr="00087A72" w:rsidRDefault="009B57E5" w:rsidP="009B57E5">
      <w:pPr>
        <w:rPr>
          <w:rStyle w:val="StyleUnderline"/>
          <w:sz w:val="24"/>
        </w:rPr>
      </w:pPr>
    </w:p>
    <w:p w:rsidR="009B57E5" w:rsidRPr="00AA04AC" w:rsidRDefault="009B57E5" w:rsidP="009B57E5">
      <w:pPr>
        <w:pStyle w:val="Heading4"/>
        <w:rPr>
          <w:b w:val="0"/>
          <w:szCs w:val="24"/>
        </w:rPr>
      </w:pPr>
      <w:r w:rsidRPr="00087A72">
        <w:rPr>
          <w:b w:val="0"/>
          <w:szCs w:val="24"/>
        </w:rPr>
        <w:t xml:space="preserve">White people are settlers that brought with them a presumption of sovereign prerogative, an unshakeable belief in their right to establish a state over which they exercised absolute control and makes all the impacts of aff inevitable. The Affirmative Immigration politics of who should </w:t>
      </w:r>
      <w:r w:rsidRPr="00AA04AC">
        <w:rPr>
          <w:b w:val="0"/>
          <w:szCs w:val="24"/>
        </w:rPr>
        <w:t xml:space="preserve">be </w:t>
      </w:r>
      <w:r w:rsidRPr="00AA04AC">
        <w:rPr>
          <w:rStyle w:val="StyleUnderline"/>
          <w:b w:val="0"/>
          <w:sz w:val="24"/>
          <w:szCs w:val="24"/>
          <w:u w:val="none"/>
        </w:rPr>
        <w:t>appropriately be deemed exceptional or the exclusion of peoples from otherwise applicable rights regimes through large-scale incarceration is integrally related to the establishment and maintenance of the American settler state.</w:t>
      </w:r>
    </w:p>
    <w:p w:rsidR="009B57E5" w:rsidRPr="00AA04AC" w:rsidRDefault="009B57E5" w:rsidP="009B57E5">
      <w:pPr>
        <w:rPr>
          <w:rStyle w:val="StyleUnderline"/>
          <w:sz w:val="24"/>
          <w:u w:val="none"/>
        </w:rPr>
      </w:pPr>
    </w:p>
    <w:p w:rsidR="009B57E5" w:rsidRPr="00087A72" w:rsidRDefault="009B57E5" w:rsidP="009B57E5">
      <w:pPr>
        <w:pStyle w:val="Heading4"/>
        <w:rPr>
          <w:b w:val="0"/>
          <w:szCs w:val="24"/>
        </w:rPr>
      </w:pPr>
      <w:r w:rsidRPr="00087A72">
        <w:rPr>
          <w:b w:val="0"/>
          <w:szCs w:val="24"/>
        </w:rPr>
        <w:t xml:space="preserve">Can’t trust White people. Empirics are on our side, the United States entered into numerous treaties with Indigenous nations, thereby acknowledging American Indian sovereignty in the process of legitimating colonial land claims. The explicit purpose of the state and policymaking was to ‘clear’ the land for White Settlers under the guise of multiculturalism. </w:t>
      </w:r>
    </w:p>
    <w:p w:rsidR="009B57E5" w:rsidRPr="00087A72" w:rsidRDefault="009B57E5" w:rsidP="009B57E5"/>
    <w:p w:rsidR="009B57E5" w:rsidRPr="00087A72" w:rsidRDefault="009B57E5" w:rsidP="009B57E5">
      <w:pPr>
        <w:pStyle w:val="Heading4"/>
        <w:rPr>
          <w:rStyle w:val="Style13ptBold"/>
        </w:rPr>
      </w:pPr>
      <w:r w:rsidRPr="00087A72">
        <w:rPr>
          <w:rStyle w:val="Style13ptBold"/>
        </w:rPr>
        <w:t>Historically</w:t>
      </w:r>
      <w:r w:rsidRPr="00AA04AC">
        <w:rPr>
          <w:rStyle w:val="Style13ptBold"/>
          <w:b/>
        </w:rPr>
        <w:t>, j</w:t>
      </w:r>
      <w:r w:rsidRPr="00AA04AC">
        <w:rPr>
          <w:rStyle w:val="StyleUnderline"/>
          <w:b w:val="0"/>
          <w:sz w:val="24"/>
          <w:szCs w:val="24"/>
          <w:u w:val="none"/>
        </w:rPr>
        <w:t>ust as American Indians could not leave their assigned reservations without the permission of federal agents, enslaved Africans and their descendants could not travel from their assigned plantations (or other locations) without the written permission of those who purported to own them. Immigration and migration is about White people controlling movement within the settler colonial state. The Affirmatives immigration project enables</w:t>
      </w:r>
      <w:r w:rsidRPr="00087A72">
        <w:rPr>
          <w:rStyle w:val="StyleUnderline"/>
          <w:sz w:val="24"/>
          <w:szCs w:val="24"/>
        </w:rPr>
        <w:t xml:space="preserve"> </w:t>
      </w:r>
      <w:r w:rsidRPr="00087A72">
        <w:rPr>
          <w:rStyle w:val="Style13ptBold"/>
        </w:rPr>
        <w:t>Settler Prerogative in the US.</w:t>
      </w:r>
    </w:p>
    <w:p w:rsidR="009B57E5" w:rsidRPr="00087A72" w:rsidRDefault="009B57E5" w:rsidP="009B57E5"/>
    <w:p w:rsidR="009B57E5" w:rsidRPr="00087A72" w:rsidRDefault="009B57E5" w:rsidP="009B57E5">
      <w:pPr>
        <w:rPr>
          <w:rFonts w:ascii="Times New Roman" w:eastAsia="Times New Roman" w:hAnsi="Times New Roman" w:cs="Times New Roman"/>
        </w:rPr>
      </w:pPr>
      <w:r w:rsidRPr="00087A72">
        <w:rPr>
          <w:rFonts w:ascii="Playfair Display" w:eastAsia="Times New Roman" w:hAnsi="Playfair Display" w:cs="Times New Roman"/>
          <w:color w:val="000000"/>
          <w:shd w:val="clear" w:color="auto" w:fill="FFFFFF"/>
        </w:rPr>
        <w:t>American history is marred by white violence, extremism, and terrorism, as harrowing as it is extensive. In America, the archetype of a terrorist is, allegedly, a disaffected Black or brown person with radical ideologies, willing to act on them. This point of view is one that overlooks the fact that whites in America have routinely rioted, murdered, raped, and looted Black communities in this country with impunity.</w:t>
      </w:r>
    </w:p>
    <w:p w:rsidR="009B57E5" w:rsidRPr="00087A72" w:rsidRDefault="009B57E5" w:rsidP="009B57E5">
      <w:pPr>
        <w:pStyle w:val="NormalWeb"/>
        <w:shd w:val="clear" w:color="auto" w:fill="FFFFFF"/>
        <w:spacing w:before="0" w:beforeAutospacing="0" w:after="0" w:afterAutospacing="0"/>
        <w:textAlignment w:val="baseline"/>
        <w:rPr>
          <w:rFonts w:ascii="Playfair Display" w:hAnsi="Playfair Display"/>
          <w:color w:val="000000"/>
          <w:sz w:val="22"/>
          <w:szCs w:val="22"/>
        </w:rPr>
      </w:pPr>
    </w:p>
    <w:p w:rsidR="009B57E5" w:rsidRPr="00087A72" w:rsidRDefault="009B57E5" w:rsidP="009B57E5">
      <w:pPr>
        <w:pStyle w:val="NormalWeb"/>
        <w:shd w:val="clear" w:color="auto" w:fill="FFFFFF"/>
        <w:spacing w:before="0" w:beforeAutospacing="0" w:after="0" w:afterAutospacing="0"/>
        <w:textAlignment w:val="baseline"/>
        <w:rPr>
          <w:rFonts w:ascii="Playfair Display" w:hAnsi="Playfair Display"/>
          <w:color w:val="000000"/>
          <w:sz w:val="22"/>
          <w:szCs w:val="22"/>
        </w:rPr>
      </w:pPr>
      <w:r w:rsidRPr="00087A72">
        <w:rPr>
          <w:rFonts w:ascii="Playfair Display" w:hAnsi="Playfair Display"/>
          <w:color w:val="000000"/>
          <w:sz w:val="22"/>
          <w:szCs w:val="22"/>
        </w:rPr>
        <w:t>The inability for whites to accept this legacy is what maintains the systems impunity, although it is the justice system that enables this. This cognitive dissonance and paranoia has real consequences that extend even to the highest levels of our government.</w:t>
      </w:r>
    </w:p>
    <w:p w:rsidR="009B57E5" w:rsidRPr="00087A72" w:rsidRDefault="009B57E5" w:rsidP="009B57E5">
      <w:pPr>
        <w:pStyle w:val="NormalWeb"/>
        <w:shd w:val="clear" w:color="auto" w:fill="FFFFFF"/>
        <w:spacing w:before="0" w:beforeAutospacing="0" w:after="0" w:afterAutospacing="0"/>
        <w:textAlignment w:val="baseline"/>
        <w:rPr>
          <w:rFonts w:ascii="Playfair Display" w:hAnsi="Playfair Display"/>
          <w:color w:val="000000"/>
          <w:sz w:val="22"/>
          <w:szCs w:val="22"/>
        </w:rPr>
      </w:pPr>
      <w:r w:rsidRPr="00087A72">
        <w:rPr>
          <w:rFonts w:ascii="Playfair Display" w:hAnsi="Playfair Display"/>
          <w:color w:val="000000"/>
          <w:sz w:val="22"/>
          <w:szCs w:val="22"/>
        </w:rPr>
        <w:t>White Americans continuously associate the label of terrorist with stereotypical depictions of evil Black and brown people threatening to destroy the “freedoms” they hold dear. They refuse to acknowledge that, often times, the perpetrators of the violence they fear look like them, rather than the racist caricatures they so adamantly believe in.</w:t>
      </w:r>
    </w:p>
    <w:p w:rsidR="009B57E5" w:rsidRPr="00087A72" w:rsidRDefault="009B57E5" w:rsidP="009B57E5"/>
    <w:p w:rsidR="009B57E5" w:rsidRPr="00087A72" w:rsidRDefault="009B57E5" w:rsidP="009B57E5"/>
    <w:p w:rsidR="009B57E5" w:rsidRPr="00087A72" w:rsidRDefault="009B57E5" w:rsidP="009B57E5">
      <w:pPr>
        <w:pStyle w:val="NormalWeb"/>
        <w:shd w:val="clear" w:color="auto" w:fill="FFFFFF"/>
        <w:spacing w:before="0" w:beforeAutospacing="0" w:after="0" w:afterAutospacing="0" w:line="336" w:lineRule="atLeast"/>
        <w:jc w:val="both"/>
        <w:rPr>
          <w:rFonts w:ascii="Arial" w:hAnsi="Arial" w:cs="Arial"/>
          <w:color w:val="000000"/>
          <w:sz w:val="26"/>
          <w:szCs w:val="26"/>
        </w:rPr>
      </w:pPr>
      <w:r w:rsidRPr="00087A72">
        <w:rPr>
          <w:rStyle w:val="Strong"/>
          <w:rFonts w:ascii="Arial" w:hAnsi="Arial" w:cs="Arial"/>
          <w:color w:val="000000"/>
          <w:szCs w:val="26"/>
        </w:rPr>
        <w:t>“3. Do you think all whites are racist?</w:t>
      </w:r>
    </w:p>
    <w:p w:rsidR="009B57E5" w:rsidRPr="00087A72" w:rsidRDefault="009B57E5" w:rsidP="009B57E5">
      <w:pPr>
        <w:pStyle w:val="NormalWeb"/>
        <w:shd w:val="clear" w:color="auto" w:fill="FFFFFF"/>
        <w:spacing w:before="0" w:beforeAutospacing="0" w:after="0" w:afterAutospacing="0" w:line="336" w:lineRule="atLeast"/>
        <w:jc w:val="both"/>
        <w:rPr>
          <w:rFonts w:ascii="Arial" w:hAnsi="Arial" w:cs="Arial"/>
          <w:color w:val="000000"/>
          <w:sz w:val="26"/>
          <w:szCs w:val="26"/>
        </w:rPr>
      </w:pPr>
      <w:r w:rsidRPr="00087A72">
        <w:rPr>
          <w:rFonts w:ascii="Arial" w:hAnsi="Arial" w:cs="Arial"/>
          <w:color w:val="000000"/>
          <w:sz w:val="26"/>
          <w:szCs w:val="26"/>
        </w:rPr>
        <w:t>It’s a simplistic question, with a complicated answer. I believe that all people (white </w:t>
      </w:r>
      <w:r w:rsidRPr="00087A72">
        <w:rPr>
          <w:rStyle w:val="Emphasis"/>
          <w:rFonts w:ascii="Arial" w:hAnsi="Arial" w:cs="Arial"/>
          <w:color w:val="000000"/>
          <w:sz w:val="26"/>
          <w:szCs w:val="26"/>
        </w:rPr>
        <w:t>or</w:t>
      </w:r>
      <w:r w:rsidRPr="00087A72">
        <w:rPr>
          <w:rFonts w:ascii="Arial" w:hAnsi="Arial" w:cs="Arial"/>
          <w:color w:val="000000"/>
          <w:sz w:val="26"/>
          <w:szCs w:val="26"/>
        </w:rPr>
        <w:t> of color) raised in a society where racism has been (and still is) so prevalent, will have internalized elements of racist thinking: certain beliefs, stereotypes, assumptions, and judgments about others and themselves. So in countries where beliefs in European/white superiority and domination have been historically embedded, it is likely that everyone in such places will have ingested some of that conditioning. I think all whites — as the dominant group in the U.S. — have been conditioned to accept white predominance (or what some call hegemony) in the social, political and economic system, and to believe that white predominance is a preferable arrangement for the society in which they live, the neighborhoods in which they live, the places where they work, etc.</w:t>
      </w:r>
    </w:p>
    <w:p w:rsidR="009B57E5" w:rsidRPr="00087A72" w:rsidRDefault="009B57E5" w:rsidP="009B57E5">
      <w:pPr>
        <w:pStyle w:val="NormalWeb"/>
        <w:shd w:val="clear" w:color="auto" w:fill="FFFFFF"/>
        <w:spacing w:before="0" w:beforeAutospacing="0" w:after="0" w:afterAutospacing="0" w:line="336" w:lineRule="atLeast"/>
        <w:jc w:val="both"/>
        <w:rPr>
          <w:rFonts w:ascii="Arial" w:hAnsi="Arial" w:cs="Arial"/>
          <w:color w:val="000000"/>
          <w:sz w:val="26"/>
          <w:szCs w:val="26"/>
        </w:rPr>
      </w:pPr>
      <w:r w:rsidRPr="00087A72">
        <w:rPr>
          <w:rStyle w:val="Emphasis"/>
          <w:rFonts w:ascii="Arial" w:hAnsi="Arial" w:cs="Arial"/>
          <w:color w:val="000000"/>
          <w:sz w:val="26"/>
          <w:szCs w:val="26"/>
        </w:rPr>
        <w:t>However</w:t>
      </w:r>
      <w:r w:rsidRPr="00087A72">
        <w:rPr>
          <w:rFonts w:ascii="Arial" w:hAnsi="Arial" w:cs="Arial"/>
          <w:color w:val="000000"/>
          <w:sz w:val="26"/>
          <w:szCs w:val="26"/>
        </w:rPr>
        <w:t>, this doesn’t mean that all whites, having been conditioned in that way, are committed to the maintenance of white supremacy. One can challenge one’s conditioning. One can be counter-conditioned and taught to believe in equality, and to commit oneself to its achievement. These things take work — and they can never completely eradicate all of the conditioning to which one has been subjected — but they are possible.</w:t>
      </w:r>
    </w:p>
    <w:p w:rsidR="009B57E5" w:rsidRPr="00087A72" w:rsidRDefault="009B57E5" w:rsidP="009B57E5">
      <w:pPr>
        <w:pStyle w:val="NormalWeb"/>
        <w:shd w:val="clear" w:color="auto" w:fill="FFFFFF"/>
        <w:spacing w:before="0" w:beforeAutospacing="0" w:after="0" w:afterAutospacing="0" w:line="336" w:lineRule="atLeast"/>
        <w:jc w:val="both"/>
        <w:rPr>
          <w:rFonts w:ascii="Arial" w:hAnsi="Arial" w:cs="Arial"/>
          <w:color w:val="000000"/>
          <w:sz w:val="26"/>
          <w:szCs w:val="26"/>
        </w:rPr>
      </w:pPr>
      <w:r w:rsidRPr="00087A72">
        <w:rPr>
          <w:rFonts w:ascii="Arial" w:hAnsi="Arial" w:cs="Arial"/>
          <w:color w:val="000000"/>
          <w:sz w:val="26"/>
          <w:szCs w:val="26"/>
        </w:rPr>
        <w:t>In other words, we can be racist by conditioning, antiracist by choice. That racism is </w:t>
      </w:r>
      <w:r w:rsidRPr="00087A72">
        <w:rPr>
          <w:rStyle w:val="Emphasis"/>
          <w:rFonts w:ascii="Arial" w:hAnsi="Arial" w:cs="Arial"/>
          <w:color w:val="000000"/>
          <w:sz w:val="26"/>
          <w:szCs w:val="26"/>
        </w:rPr>
        <w:t>part</w:t>
      </w:r>
      <w:r w:rsidRPr="00087A72">
        <w:rPr>
          <w:rFonts w:ascii="Arial" w:hAnsi="Arial" w:cs="Arial"/>
          <w:color w:val="000000"/>
          <w:sz w:val="26"/>
          <w:szCs w:val="26"/>
        </w:rPr>
        <w:t> of who we are does not mean that it’s </w:t>
      </w:r>
      <w:r w:rsidRPr="00087A72">
        <w:rPr>
          <w:rStyle w:val="Emphasis"/>
          <w:rFonts w:ascii="Arial" w:hAnsi="Arial" w:cs="Arial"/>
          <w:color w:val="000000"/>
          <w:sz w:val="26"/>
          <w:szCs w:val="26"/>
        </w:rPr>
        <w:t>all</w:t>
      </w:r>
      <w:r w:rsidRPr="00087A72">
        <w:rPr>
          <w:rFonts w:ascii="Arial" w:hAnsi="Arial" w:cs="Arial"/>
          <w:color w:val="000000"/>
          <w:sz w:val="26"/>
          <w:szCs w:val="26"/>
        </w:rPr>
        <w:t> of who we are, or that it must be the controlling or dominant part of who we are. By the same token, just because we choose to be antiracist, does not mean that we no longer carry around some of the racism with which we were raised, or to which we were and are exposed.”</w:t>
      </w:r>
    </w:p>
    <w:p w:rsidR="009B57E5" w:rsidRPr="00087A72" w:rsidRDefault="009B57E5" w:rsidP="009B57E5"/>
    <w:p w:rsidR="009B57E5" w:rsidRPr="00087A72" w:rsidRDefault="009B57E5" w:rsidP="009B57E5"/>
    <w:p w:rsidR="009B57E5" w:rsidRPr="00087A72" w:rsidRDefault="009B57E5" w:rsidP="009B57E5">
      <w:pPr>
        <w:pStyle w:val="NormalWeb"/>
        <w:shd w:val="clear" w:color="auto" w:fill="FFFFFF"/>
        <w:spacing w:before="0" w:beforeAutospacing="0" w:after="0" w:afterAutospacing="0" w:line="336" w:lineRule="atLeast"/>
        <w:jc w:val="both"/>
        <w:rPr>
          <w:rFonts w:ascii="Arial" w:hAnsi="Arial" w:cs="Arial"/>
          <w:color w:val="000000"/>
          <w:sz w:val="26"/>
          <w:szCs w:val="26"/>
        </w:rPr>
      </w:pPr>
      <w:r w:rsidRPr="00087A72">
        <w:rPr>
          <w:rStyle w:val="Strong"/>
          <w:rFonts w:ascii="Arial" w:hAnsi="Arial" w:cs="Arial"/>
          <w:color w:val="000000"/>
          <w:szCs w:val="26"/>
        </w:rPr>
        <w:t>“4. Do you think people of color can be racist against whites?</w:t>
      </w:r>
    </w:p>
    <w:p w:rsidR="009B57E5" w:rsidRPr="00087A72" w:rsidRDefault="009B57E5" w:rsidP="009B57E5">
      <w:pPr>
        <w:pStyle w:val="NormalWeb"/>
        <w:shd w:val="clear" w:color="auto" w:fill="FFFFFF"/>
        <w:spacing w:before="0" w:beforeAutospacing="0" w:after="0" w:afterAutospacing="0" w:line="336" w:lineRule="atLeast"/>
        <w:jc w:val="both"/>
        <w:rPr>
          <w:rFonts w:ascii="Arial" w:hAnsi="Arial" w:cs="Arial"/>
          <w:color w:val="000000"/>
          <w:sz w:val="26"/>
          <w:szCs w:val="26"/>
        </w:rPr>
      </w:pPr>
      <w:r w:rsidRPr="00087A72">
        <w:rPr>
          <w:rFonts w:ascii="Arial" w:hAnsi="Arial" w:cs="Arial"/>
          <w:color w:val="000000"/>
          <w:sz w:val="26"/>
          <w:szCs w:val="26"/>
        </w:rPr>
        <w:t>At the ideological level, anyone can be racist because anyone can endorse the kinds of thinking that qualifies as racism, as defined above. At the systemic level, people of color can be racist in theory, but typically not in practice, and certainly not very effectively. Although a person of color in an authority position can</w:t>
      </w:r>
      <w:r w:rsidRPr="00087A72">
        <w:rPr>
          <w:rStyle w:val="Emphasis"/>
          <w:rFonts w:ascii="Arial" w:hAnsi="Arial" w:cs="Arial"/>
          <w:color w:val="000000"/>
          <w:sz w:val="26"/>
          <w:szCs w:val="26"/>
        </w:rPr>
        <w:t> </w:t>
      </w:r>
      <w:r w:rsidRPr="00087A72">
        <w:rPr>
          <w:rFonts w:ascii="Arial" w:hAnsi="Arial" w:cs="Arial"/>
          <w:color w:val="000000"/>
          <w:sz w:val="26"/>
          <w:szCs w:val="26"/>
        </w:rPr>
        <w:t>discriminate against a white person, this kind of thing rarely happens because, a) such persons are still statistically rare relative to whites in authority, b) in virtually all cases, there are authorities above those people of color who are white, and who would not stand for such actions, and c) even in cases where a person of color sits atop a power structure (as with President Obama), he is not truly free to do anything to oppress or marginalize white people (even were he so inclined), given his own need to attract white support in order to win election or pass any of his policy agenda. Ultimately, there are no institutional structures in the U.S. in which people of color exercise final and controlling authority: not in the school systems, labor market, justice system, housing markets, financial markets, or media. As such, the ability of black and brown folks to oppress white people simply does not exist.</w:t>
      </w:r>
    </w:p>
    <w:p w:rsidR="009B57E5" w:rsidRPr="00087A72" w:rsidRDefault="009B57E5" w:rsidP="009B57E5">
      <w:pPr>
        <w:pStyle w:val="NormalWeb"/>
        <w:shd w:val="clear" w:color="auto" w:fill="FFFFFF"/>
        <w:spacing w:before="0" w:beforeAutospacing="0" w:after="0" w:afterAutospacing="0" w:line="336" w:lineRule="atLeast"/>
        <w:jc w:val="both"/>
        <w:rPr>
          <w:rFonts w:ascii="Arial" w:hAnsi="Arial" w:cs="Arial"/>
          <w:color w:val="000000"/>
          <w:sz w:val="26"/>
          <w:szCs w:val="26"/>
        </w:rPr>
      </w:pPr>
      <w:r w:rsidRPr="00087A72">
        <w:rPr>
          <w:rFonts w:ascii="Arial" w:hAnsi="Arial" w:cs="Arial"/>
          <w:color w:val="000000"/>
          <w:sz w:val="26"/>
          <w:szCs w:val="26"/>
        </w:rPr>
        <w:t>Having said that, it is certainly true that in other countries, people of color could have power sufficient to discriminate against others, including whites. Although even anti-white bias in those places is somewhat limited by the reality of global economics and the desire for good relations with the West, it is possible for persons of color in those places to mistreat whites individually and, occasionally, collectively (for instance, the treatment of white farmers in Zimbabwe by the Mugabe government). But it is absurd to believe that anti-white racism, practiced by people of color, remotely equates as a social problem to white racism against people of color. While all racism is equally objectionable morally and ethically, they are not practically equivalent by a long shot.”</w:t>
      </w:r>
    </w:p>
    <w:p w:rsidR="009B57E5" w:rsidRPr="00087A72" w:rsidRDefault="009B57E5" w:rsidP="009B57E5">
      <w:pPr>
        <w:pStyle w:val="NormalWeb"/>
        <w:shd w:val="clear" w:color="auto" w:fill="FFFFFF"/>
        <w:spacing w:before="0" w:beforeAutospacing="0" w:after="0" w:afterAutospacing="0" w:line="336" w:lineRule="atLeast"/>
        <w:jc w:val="both"/>
        <w:rPr>
          <w:rFonts w:ascii="Arial" w:hAnsi="Arial" w:cs="Arial"/>
          <w:color w:val="000000"/>
          <w:sz w:val="26"/>
          <w:szCs w:val="26"/>
        </w:rPr>
      </w:pPr>
      <w:r w:rsidRPr="00087A72">
        <w:rPr>
          <w:rFonts w:ascii="Arial" w:hAnsi="Arial" w:cs="Arial"/>
          <w:color w:val="000000"/>
          <w:sz w:val="26"/>
          <w:szCs w:val="26"/>
        </w:rPr>
        <w:t>-Tim Wise</w:t>
      </w:r>
    </w:p>
    <w:p w:rsidR="009B57E5" w:rsidRPr="00087A72" w:rsidRDefault="009B57E5" w:rsidP="009B57E5"/>
    <w:p w:rsidR="009B57E5" w:rsidRPr="00F15BBE" w:rsidRDefault="009B57E5" w:rsidP="009B57E5">
      <w:pPr>
        <w:rPr>
          <w:rFonts w:ascii="Times New Roman" w:eastAsia="Times New Roman" w:hAnsi="Times New Roman" w:cs="Times New Roman"/>
        </w:rPr>
      </w:pPr>
      <w:r w:rsidRPr="00F15BBE">
        <w:rPr>
          <w:rFonts w:ascii="Times New Roman" w:eastAsia="Times New Roman" w:hAnsi="Times New Roman" w:cs="Times New Roman"/>
          <w:color w:val="282F2F"/>
          <w:spacing w:val="8"/>
          <w:sz w:val="27"/>
          <w:szCs w:val="27"/>
          <w:shd w:val="clear" w:color="auto" w:fill="FFFFFF"/>
        </w:rPr>
        <w:t>According to a new poll done by NPR, the Robert Wood Johnson Foundation, and the Harvard T.H. Chan School of Public Health, most white Americans feel that they are discriminated against because of their race. Which is a little terrifying, since </w:t>
      </w:r>
      <w:hyperlink r:id="rId9" w:tgtFrame="_blank" w:history="1">
        <w:r w:rsidRPr="00F15BBE">
          <w:rPr>
            <w:rFonts w:ascii="Times New Roman" w:eastAsia="Times New Roman" w:hAnsi="Times New Roman" w:cs="Times New Roman"/>
            <w:color w:val="282F2F"/>
            <w:spacing w:val="8"/>
            <w:sz w:val="27"/>
            <w:szCs w:val="27"/>
            <w:shd w:val="clear" w:color="auto" w:fill="FFFFFF"/>
          </w:rPr>
          <w:t>racism against white people doesn’t exist</w:t>
        </w:r>
      </w:hyperlink>
      <w:r w:rsidRPr="00F15BBE">
        <w:rPr>
          <w:rFonts w:ascii="Times New Roman" w:eastAsia="Times New Roman" w:hAnsi="Times New Roman" w:cs="Times New Roman"/>
          <w:color w:val="282F2F"/>
          <w:spacing w:val="8"/>
          <w:sz w:val="27"/>
          <w:szCs w:val="27"/>
          <w:shd w:val="clear" w:color="auto" w:fill="FFFFFF"/>
        </w:rPr>
        <w:t>. It’s not a far leap for a privileged group of people to jump from believing that they face discrimination to calling out “reverse racism,” making a real, productive conversation about race in America even more difficult.</w:t>
      </w:r>
    </w:p>
    <w:p w:rsidR="009B57E5" w:rsidRPr="00F15BBE" w:rsidRDefault="009B57E5" w:rsidP="009B57E5">
      <w:pPr>
        <w:rPr>
          <w:rFonts w:ascii="Times New Roman" w:eastAsia="Times New Roman" w:hAnsi="Times New Roman" w:cs="Times New Roman"/>
        </w:rPr>
      </w:pPr>
    </w:p>
    <w:p w:rsidR="009B57E5" w:rsidRPr="00F15BBE" w:rsidRDefault="009B57E5" w:rsidP="009B57E5">
      <w:pPr>
        <w:rPr>
          <w:rFonts w:ascii="Times New Roman" w:eastAsia="Times New Roman" w:hAnsi="Times New Roman" w:cs="Times New Roman"/>
        </w:rPr>
      </w:pPr>
      <w:hyperlink r:id="rId10" w:tgtFrame="_blank" w:history="1">
        <w:r w:rsidRPr="00F15BBE">
          <w:rPr>
            <w:rFonts w:ascii="Times New Roman" w:eastAsia="Times New Roman" w:hAnsi="Times New Roman" w:cs="Times New Roman"/>
            <w:color w:val="282F2F"/>
            <w:spacing w:val="8"/>
            <w:sz w:val="27"/>
            <w:szCs w:val="27"/>
            <w:shd w:val="clear" w:color="auto" w:fill="FFFFFF"/>
          </w:rPr>
          <w:t>Racism against white people cannot exist</w:t>
        </w:r>
      </w:hyperlink>
      <w:r w:rsidRPr="00F15BBE">
        <w:rPr>
          <w:rFonts w:ascii="Times New Roman" w:eastAsia="Times New Roman" w:hAnsi="Times New Roman" w:cs="Times New Roman"/>
          <w:color w:val="282F2F"/>
          <w:spacing w:val="8"/>
          <w:sz w:val="27"/>
          <w:szCs w:val="27"/>
          <w:shd w:val="clear" w:color="auto" w:fill="FFFFFF"/>
        </w:rPr>
        <w:t>in America (unless we go back in time and flip the switch on the European colonization of natives and trans-continental slave trade and make it so that those things and the subsequent years of systemic oppression of people of color never happened). The fact is — and this bears repeating — it’s just not possible for </w:t>
      </w:r>
      <w:hyperlink r:id="rId11" w:tgtFrame="_blank" w:history="1">
        <w:r w:rsidRPr="00F15BBE">
          <w:rPr>
            <w:rFonts w:ascii="Times New Roman" w:eastAsia="Times New Roman" w:hAnsi="Times New Roman" w:cs="Times New Roman"/>
            <w:color w:val="282F2F"/>
            <w:spacing w:val="8"/>
            <w:sz w:val="27"/>
            <w:szCs w:val="27"/>
            <w:shd w:val="clear" w:color="auto" w:fill="FFFFFF"/>
          </w:rPr>
          <w:t>white people to be victims of racism</w:t>
        </w:r>
      </w:hyperlink>
      <w:r w:rsidRPr="00F15BBE">
        <w:rPr>
          <w:rFonts w:ascii="Times New Roman" w:eastAsia="Times New Roman" w:hAnsi="Times New Roman" w:cs="Times New Roman"/>
          <w:color w:val="282F2F"/>
          <w:spacing w:val="8"/>
          <w:sz w:val="27"/>
          <w:szCs w:val="27"/>
          <w:shd w:val="clear" w:color="auto" w:fill="FFFFFF"/>
        </w:rPr>
        <w:t>, since white people have all of the power and privilege in systems that they’ve set up over centuries to benefit them. Access to jobs, education, healthcare, and </w:t>
      </w:r>
      <w:hyperlink r:id="rId12" w:tgtFrame="_blank" w:history="1">
        <w:r w:rsidRPr="00F15BBE">
          <w:rPr>
            <w:rFonts w:ascii="Times New Roman" w:eastAsia="Times New Roman" w:hAnsi="Times New Roman" w:cs="Times New Roman"/>
            <w:color w:val="282F2F"/>
            <w:spacing w:val="8"/>
            <w:sz w:val="27"/>
            <w:szCs w:val="27"/>
            <w:shd w:val="clear" w:color="auto" w:fill="FFFFFF"/>
          </w:rPr>
          <w:t>even beauty standards</w:t>
        </w:r>
      </w:hyperlink>
      <w:r w:rsidRPr="00F15BBE">
        <w:rPr>
          <w:rFonts w:ascii="Times New Roman" w:eastAsia="Times New Roman" w:hAnsi="Times New Roman" w:cs="Times New Roman"/>
          <w:color w:val="282F2F"/>
          <w:spacing w:val="8"/>
          <w:sz w:val="27"/>
          <w:szCs w:val="27"/>
          <w:shd w:val="clear" w:color="auto" w:fill="FFFFFF"/>
        </w:rPr>
        <w:t> all privilege the white experience, so there’s no real way for white people to face oppression for their race from people of color.</w:t>
      </w:r>
    </w:p>
    <w:p w:rsidR="009B57E5" w:rsidRPr="00087A72" w:rsidRDefault="009B57E5" w:rsidP="009B57E5">
      <w:pPr>
        <w:pStyle w:val="Heading1"/>
      </w:pPr>
      <w:r w:rsidRPr="00087A72">
        <w:t>1NC</w:t>
      </w:r>
    </w:p>
    <w:p w:rsidR="009B57E5" w:rsidRPr="00087A72" w:rsidRDefault="009B57E5" w:rsidP="009B57E5">
      <w:pPr>
        <w:pStyle w:val="Heading4"/>
      </w:pPr>
      <w:r w:rsidRPr="00087A72">
        <w:t>Text: Ban all White people from the policy process until we figure this out.</w:t>
      </w:r>
    </w:p>
    <w:p w:rsidR="009B57E5" w:rsidRPr="00087A72" w:rsidRDefault="009B57E5" w:rsidP="009B57E5">
      <w:pPr>
        <w:pStyle w:val="Heading4"/>
        <w:rPr>
          <w:rStyle w:val="Style13ptBold"/>
          <w:b/>
          <w:sz w:val="28"/>
          <w:szCs w:val="28"/>
        </w:rPr>
      </w:pPr>
      <w:r w:rsidRPr="00087A72">
        <w:rPr>
          <w:rStyle w:val="StyleUnderline"/>
          <w:sz w:val="28"/>
          <w:szCs w:val="28"/>
          <w:u w:val="none"/>
        </w:rPr>
        <w:t xml:space="preserve">The Affirmative represents a status quo in which racial hierarchy is deeply, structurally embedded. White American settlers, like their European colonial counterparts, have consistently invoked their ‘civilizing mission’ to justify the colonization of peoples of color; a ‘grand project’ that has justified colonialism as a means of redeeming the backward, aberrant, violent, oppressed, undeveloped people of the non-European world by incorporating them into the universal civilization of America. </w:t>
      </w:r>
      <w:r w:rsidRPr="00087A72">
        <w:rPr>
          <w:rStyle w:val="Style13ptBold"/>
          <w:b/>
          <w:sz w:val="28"/>
          <w:szCs w:val="28"/>
        </w:rPr>
        <w:t>The historical patterns of indefinite detention are better explained by recognizing the United States as a settler colonial state whose claimed prerogative to expand its territorial reach and contain/control populations over which it exercises jurisdiction has inevitably resulted in the involuntary inclusion and concomitant exclusion of peoples of color.</w:t>
      </w:r>
    </w:p>
    <w:p w:rsidR="009B57E5" w:rsidRPr="00087A72" w:rsidRDefault="009B57E5" w:rsidP="009B57E5">
      <w:pPr>
        <w:rPr>
          <w:rStyle w:val="Style13ptBold"/>
        </w:rPr>
      </w:pPr>
    </w:p>
    <w:p w:rsidR="009B57E5" w:rsidRPr="00087A72" w:rsidRDefault="009B57E5" w:rsidP="009B57E5">
      <w:r w:rsidRPr="00087A72">
        <w:rPr>
          <w:rStyle w:val="Style13ptBold"/>
        </w:rPr>
        <w:t>Saito 18</w:t>
      </w:r>
      <w:r w:rsidRPr="00087A72">
        <w:t xml:space="preserve"> ( Natsu Taylor. "Indefinite Detention, Colonialism, and Settler Prerogative in the United States." Social &amp; Legal Studies (2018): 0964663918769362. Indefinite Detention, Colonialism, and Settler Prerogative in the United States Natsu Taylor Saito Abstract Social &amp; Legal Studies 1–34 a The Author(s) 2018 Reprints and permission: sagepub.co.uk/journalsPermissions.nav DOI: 10.1177/0964663918769362 journals.sagepub.com/home/sls</w:t>
      </w:r>
    </w:p>
    <w:p w:rsidR="009B57E5" w:rsidRPr="00087A72" w:rsidRDefault="009B57E5" w:rsidP="009B57E5">
      <w:r w:rsidRPr="00087A72">
        <w:t xml:space="preserve">    The primacy accorded individual civil and political rights is often touted as one of the United States’ greatest achievements. However, mass incarcerations of indefinite duration have occurred consistently throughout US history and have primarily targeted people of color. The dominant narrative insists that the United States is a political democracy and portrays each instance of indefinite detention in exceptionalist terms. This essay argues that </w:t>
      </w:r>
      <w:r w:rsidRPr="00087A72">
        <w:rPr>
          <w:rStyle w:val="StyleUnderline"/>
        </w:rPr>
        <w:t xml:space="preserve">the historical patterns of indefinite detention are better explained by recognizing the United States as a settler colonial state whose claimed prerogative to expand its territorial reach and contain/control populations over which it exercises jurisdiction has inevitably resulted in the involuntary inclusion and concomitant exclusion of peoples of color. </w:t>
      </w:r>
      <w:r w:rsidRPr="00087A72">
        <w:t xml:space="preserve">Keywords Colonialism, carceral state, immigration detention, inclusive exclusion, indefinite detention, internment, mass incarceration, plenary power, settler colonialism, slavery. </w:t>
      </w:r>
      <w:r w:rsidRPr="00087A72">
        <w:rPr>
          <w:rStyle w:val="StyleUnderline"/>
        </w:rPr>
        <w:t>Indefinite detention is a national trope, sourced in the violence of colonialism</w:t>
      </w:r>
      <w:r w:rsidRPr="00087A72">
        <w:t xml:space="preserve">. —Penny Pether (2012: 2550) </w:t>
      </w:r>
      <w:r w:rsidRPr="00087A72">
        <w:rPr>
          <w:rStyle w:val="StyleUnderline"/>
        </w:rPr>
        <w:t xml:space="preserve">The United States has long engaged in officially sanctioned incarceration outside the rule of law, leaving people(s) indefinitely imprisoned without the benefit of due process or other protections articulated in its Constitution and in international human rights law. Such indefinite detentions are generally characterized as ‘exceptional’ measures </w:t>
      </w:r>
      <w:r w:rsidRPr="00087A72">
        <w:t xml:space="preserve">Corresponding author: Natsu Taylor Saito, Georgia State University, P.O. Box 4037, Atlanta, Georgia 30303-4037, USA. Email: nsaito@gsu.edu 2 Social &amp; Legal Studies XX(X) </w:t>
      </w:r>
      <w:r w:rsidRPr="00087A72">
        <w:rPr>
          <w:rStyle w:val="StyleUnderline"/>
        </w:rPr>
        <w:t>necessary to protect the public from imminent threats to the national security</w:t>
      </w:r>
      <w:r w:rsidRPr="00087A72">
        <w:t xml:space="preserve"> (Van Bergen and Valentine, 2006: 452),1 and oft-discussed examples include the internment of almost 120,000 Japanese Americans during World War II, and the detention of some 800 people at the US naval base at Guantanamo Bay beginning in 2002.2 </w:t>
      </w:r>
      <w:r w:rsidRPr="00087A72">
        <w:rPr>
          <w:rStyle w:val="StyleUnderline"/>
        </w:rPr>
        <w:t>Such incarcerations conform to Giorgio Agamben’s characterization of the concentration camp as a place in which sovereign power operates directly upon ‘bare life’, unmediated by law, and through which the ‘state of exception begins to become the rule’</w:t>
      </w:r>
      <w:r w:rsidRPr="00087A72">
        <w:t xml:space="preserve"> (Agamben, 1998: 168–169). </w:t>
      </w:r>
      <w:r w:rsidRPr="00087A72">
        <w:rPr>
          <w:rStyle w:val="StyleUnderline"/>
        </w:rPr>
        <w:t>Portraying these indefinite detentions as exceptional implies the existence of a norm in which the rule of law prevails. This, in turn, encourages those contesting particular instances of indefinite detention to frame their efforts in terms of bringing the exception into the realm of the ‘normal’. Thus, for example, in the wake of the attacks of Septem- ber 11, 2001, many civil libertarians in the United States urged that those suspected of terrorist activity be processed through the criminal justice system rather than detained at Guanta ́namo. If, however, large-scale indefinite detentions are routinely utilized by the state to maintain the status quo, they can only be understood and, therefore, effectively challenged, as structurally embedded rather than exceptional practices. In the United States, indefinite detentions may be exceptional in the sense that the formalities of legal process have been abandoned, but they are not aberrational.</w:t>
      </w:r>
      <w:r w:rsidRPr="00087A72">
        <w:t xml:space="preserve"> Adam Klein and Benjamin Wittes observe: </w:t>
      </w:r>
      <w:r w:rsidRPr="00087A72">
        <w:rPr>
          <w:rStyle w:val="StyleUnderline"/>
        </w:rPr>
        <w:t>Preventive detention is not prohibited by U.S. law or especially frowned upon in tradition or practice. The circumstances in which it arises are not isolated exceptions to a strong rule against it; rather, they are relatively frequent. The federal government and all 50 states together possess a wise range of statutory preventive detention regimes that are frequently used, many of which provoke little social or legal</w:t>
      </w:r>
      <w:r w:rsidRPr="00087A72">
        <w:t xml:space="preserve"> controversy. (Klein and Wittes, 2011: 86–87) </w:t>
      </w:r>
      <w:r w:rsidRPr="00087A72">
        <w:rPr>
          <w:rStyle w:val="StyleUnderline"/>
        </w:rPr>
        <w:t>We cannot identify a point in United States history where ‘the state of exception begins to become the rule’; it has always been the rule. Mass internments were integral to the establishment of the state and have been consistently utilized to maintain its hegemony, domestically and globally. They constitute a condition of colonialism, as Penny Pether observed, regularly and predictably used to facilitate settler appropriation of land and natural resources, to ensure a readily available and easily disposable labor force and to exercise a claimed sovereign prerogative to maintain social ‘order’</w:t>
      </w:r>
      <w:r w:rsidRPr="00087A72">
        <w:t xml:space="preserve">.3 </w:t>
      </w:r>
      <w:r w:rsidRPr="00087A72">
        <w:rPr>
          <w:rStyle w:val="StyleUnderline"/>
        </w:rPr>
        <w:t>This order, in turn, represents a status quo in which racial hierarchy is deeply, structurally embedded. Anglo-American settlers, like their European colonial counterparts, have consistently invoked their ‘civilizing mission’ to justify the colonization of peoples of color; a ‘grand project’, to quote Antony Anghie, ‘that has justified colonialism as a means of redeeming the backward, aberrant, violent, oppressed, undeveloped people of the non-European world by incorporating them into the universal civilization of Europe’</w:t>
      </w:r>
      <w:r w:rsidRPr="00087A72">
        <w:t xml:space="preserve"> (Anghie, 2005: 3; Osterhammel, 2005: 17). </w:t>
      </w:r>
      <w:r w:rsidRPr="00087A72">
        <w:rPr>
          <w:rStyle w:val="StyleUnderline"/>
        </w:rPr>
        <w:t>Ongoing colonial subjugation, however, requires the colonized to be perpetually constructed as Other (</w:t>
      </w:r>
      <w:r w:rsidRPr="00087A72">
        <w:t xml:space="preserve">Veracini, 2010: 22; Osterhammel, 2005: 108). </w:t>
      </w:r>
      <w:r w:rsidRPr="00087A72">
        <w:rPr>
          <w:rStyle w:val="StyleUnderline"/>
        </w:rPr>
        <w:t xml:space="preserve">The result is a ‘dynamic of difference’ that perpetually ‘creat[es] a gap between two cultures . . . and seek[s] to bridge the gap by developing techniques to normalize the aberrant society’ </w:t>
      </w:r>
      <w:r w:rsidRPr="00087A72">
        <w:t>(Anghie, 2005: 4</w:t>
      </w:r>
      <w:r w:rsidRPr="00087A72">
        <w:rPr>
          <w:rStyle w:val="StyleUnderline"/>
        </w:rPr>
        <w:t>). While ‘normalize’ Saito 3 generally connotes assimilation, in a colonial context, it encompasses whatever is required to render life ‘normal’ for the colonizers. Incarceration unconstrained by otherwise applicable law is one such technique that has been utilized regularly toward that end in the United States as well as in other colonial contexts</w:t>
      </w:r>
      <w:r w:rsidRPr="00087A72">
        <w:t>.4</w:t>
      </w:r>
    </w:p>
    <w:p w:rsidR="009B57E5" w:rsidRPr="00087A72" w:rsidRDefault="009B57E5" w:rsidP="009B57E5">
      <w:pPr>
        <w:pStyle w:val="Heading4"/>
      </w:pPr>
      <w:r w:rsidRPr="00087A72">
        <w:t xml:space="preserve">Immigration is integration and integration is assimilation. </w:t>
      </w:r>
      <w:r w:rsidRPr="00087A72">
        <w:rPr>
          <w:rStyle w:val="Style13ptBold"/>
          <w:b/>
          <w:szCs w:val="24"/>
        </w:rPr>
        <w:t>Immigration is constituted upon the carceral state which maintain settler hierarchies—The American settler colony seeks to expand it territorial reach while containing and controlling populations through violence weaponized through inclusion and exclusion</w:t>
      </w:r>
      <w:r w:rsidRPr="00087A72">
        <w:rPr>
          <w:rStyle w:val="Style13ptBold"/>
          <w:szCs w:val="24"/>
        </w:rPr>
        <w:t xml:space="preserve">. </w:t>
      </w:r>
      <w:r w:rsidRPr="00087A72">
        <w:t xml:space="preserve"> Reject the affirmative because </w:t>
      </w:r>
      <w:r w:rsidRPr="00087A72">
        <w:rPr>
          <w:rStyle w:val="StyleUnderline"/>
          <w:szCs w:val="24"/>
          <w:u w:val="none"/>
        </w:rPr>
        <w:t xml:space="preserve">the inclusion of peoples perpetually rendered ‘different’ has been integral to US colonization and imperial expansion. The disposable labor force on which the White Settlers still depend has been constructed and controlled by mass internments and an immigration system that has long relied upon indefinite detention. </w:t>
      </w:r>
      <w:r w:rsidRPr="00087A72">
        <w:rPr>
          <w:b w:val="0"/>
          <w:szCs w:val="24"/>
        </w:rPr>
        <w:t xml:space="preserve"> </w:t>
      </w:r>
    </w:p>
    <w:p w:rsidR="009B57E5" w:rsidRPr="00087A72" w:rsidRDefault="009B57E5" w:rsidP="009B57E5">
      <w:r w:rsidRPr="00087A72">
        <w:rPr>
          <w:rStyle w:val="Style13ptBold"/>
        </w:rPr>
        <w:t>Saito 18</w:t>
      </w:r>
      <w:r w:rsidRPr="00087A72">
        <w:t xml:space="preserve"> ( Natsu Taylor. "Indefinite Detention, Colonialism, and Settler Prerogative in the United States." Social &amp; Legal Studies (2018): 0964663918769362. Indefinite Detention, Colonialism, and Settler Prerogative in the United States Natsu Taylor Saito Abstract Social &amp; Legal Studies 1–34 a The Author(s) 2018 Reprints and permission: sagepub.co.uk/journalsPermissions.nav DOI: 10.1177/0964663918769362 journals.sagepub.com/home/sls</w:t>
      </w:r>
    </w:p>
    <w:p w:rsidR="009B57E5" w:rsidRPr="00087A72" w:rsidRDefault="009B57E5" w:rsidP="009B57E5">
      <w:r w:rsidRPr="00087A72">
        <w:t xml:space="preserve">22 Social &amp; Legal Studies XX(X) Concluding Thoughts </w:t>
      </w:r>
      <w:r w:rsidRPr="00087A72">
        <w:rPr>
          <w:rStyle w:val="StyleUnderline"/>
        </w:rPr>
        <w:t>Indefinite detention is often described – and contested – as a form of exclusion from society having spatial, biological, conceptual, and legal dimensions. Denied the protections penal law purports to provide, detainees are forcibly confined, subjected to physical and mental torture, and rendered socially invisible. Exclusion, however, implies a border between inside and outside; it can exist only in relation to inclusion. Similarly, exceptions arise only in relation to rules.</w:t>
      </w:r>
      <w:r w:rsidRPr="00087A72">
        <w:t xml:space="preserve"> </w:t>
      </w:r>
      <w:r w:rsidRPr="00087A72">
        <w:rPr>
          <w:rStyle w:val="StyleUnderline"/>
        </w:rPr>
        <w:t>Thus contextualized, Agamben defines the ‘relation of exception’ as ‘the extreme form of relation by which something is included solely through its exclusion’ (Agamben, 1998: 18). His characterization of ‘the exception [as] an inclusive exclusion’ (Agamben, 1998: 21) provides a useful starting point for understanding indefinite detentions in settler colonial contexts, for colonization is a process of forcible inclusion that must be realized for there to be anyone or anything to exclude.</w:t>
      </w:r>
      <w:r w:rsidRPr="00087A72">
        <w:t xml:space="preserve">17 To the extent </w:t>
      </w:r>
      <w:r w:rsidRPr="00087A72">
        <w:rPr>
          <w:rStyle w:val="StyleUnderline"/>
        </w:rPr>
        <w:t xml:space="preserve">the inclusion of peoples perpetually rendered ‘different’ has been integral to US colonization and imperial expansion, the concomitant exclusions, or internments, must be seen as normative rather than exceptional. The United States would not have the land base that allows for its physical existence and its wealth without the forced removal of American Indians from their traditional lands and their militarily enforced confinement to reservations or boarding schools. The involuntary labor relied upon by the settlers to render these lands profitable cannot be divorced from the con- centration camps of chattel slavery or their subsequent evolution into the world’s largest prison system. The disposable labor force on which the settlers still depend has been constructed and controlled by mass internments and an immigration system that has long relied upon indefinite detention. Most recently, it appears that the arbitrary and dehumanizing incarceration of people who are, or are perceived to be, Arab, Muslim and/or of Middle Eastern origin is integral to the United States’ maintenance of global hegemony (Saito, 2001). Most of the peoples of color interned by the United States have been in a position to be excluded by virtue of having first been involuntarily included in the American settler colonial project. As a result, the exclusion represented by the indefinite detentions to which they have been subjected cannot adequately be understood – much less redressed – without simultaneously addressing the underlying inclusions, that is, the appropriation of lands, resources, and human bodies in the interest of colonial expansion. More recent migrants and refugees may be perceived as voluntarily requesting inclusion, but in many instances their migrations can be seen as proximately caused by the United States’ exercise of its military and economic power on a global scale. These and many other racialized detentions – each a conscious project of the settler state – are characterized by the twinned dimensions of inclusion and exclusion that reflect the internal logic of colonialism as well as its more practical aims. To the extent the dynamic of exclusion cannot be separated, in theory or practice, from that of involuntary (i.e., colonial or imperial) inclusion, the resulting injustices are not exceptional but organic to the state’s assertion of its sovereign prerogative </w:t>
      </w:r>
      <w:r w:rsidRPr="00087A72">
        <w:t xml:space="preserve">(Wolfe, 1999: 204–210). </w:t>
      </w:r>
      <w:r w:rsidRPr="00087A72">
        <w:rPr>
          <w:rStyle w:val="StyleUnderline"/>
        </w:rPr>
        <w:t>This helps explain the consistency with which the United States has utilized indefinite detentions throughout its history, while also suggesting that such practices cannot be effectively prevented or redressed within a paradigm of law, constitutional or otherwise, that rests upon colonial foundations. Throughout American his- tory, the settler state has exercised its claimed prerogative to indefinitely detain individuals or entire peoples in what it claims to be the national interest</w:t>
      </w:r>
      <w:r w:rsidRPr="00087A72">
        <w:t xml:space="preserve">. </w:t>
      </w:r>
      <w:r w:rsidRPr="00087A72">
        <w:rPr>
          <w:rStyle w:val="StyleUnderline"/>
        </w:rPr>
        <w:t>With equal</w:t>
      </w:r>
      <w:r w:rsidRPr="00087A72">
        <w:t xml:space="preserve"> Saito 23 </w:t>
      </w:r>
      <w:r w:rsidRPr="00087A72">
        <w:rPr>
          <w:rStyle w:val="StyleUnderline"/>
        </w:rPr>
        <w:t>consistency, this power has been ratified by the Supreme Court, often in the name of judicial deference to the plenary authority of the political branches of government</w:t>
      </w:r>
      <w:r w:rsidRPr="00087A72">
        <w:t>. In the seminal Downes v. Bidwell decision referenced above, Justice Henry Billings Brown acknowledged that such ‘an unrestrained possession of power’ could lead to concerns about despotism. He assured, us, however, that we need not worry, for ‘[t]here are certain principles of natural justice inherent in the Anglo-Saxon character, which need no expression in constitutions or statutes to give them effect’ (Downes v. Bidwell, 182 U.S. 244, 1901: 280</w:t>
      </w:r>
      <w:r w:rsidRPr="00087A72">
        <w:rPr>
          <w:rStyle w:val="StyleUnderline"/>
        </w:rPr>
        <w:t>). In support of this explicitly racialized proposition, he quoted the following statement from Chief Justice John Marshall’s opinion in Johnson v. McIntosh, the 1823 case that deemed American Indians incapable of owning their own lands: The title by conquest is acquired and maintained by force. The conqueror prescribes its limits. Humanity, however, acting on public opinion, has established, as a general rule, that the conquered shall not be wantonly oppressed, and that their condition shall remain as eligible as is compatible with the objects of the conquest</w:t>
      </w:r>
      <w:r w:rsidRPr="00087A72">
        <w:t xml:space="preserve">. (Downes v. Bidwell, 182 U.S. 244, 1901: 281; quoting Johnson v. McIntosh, 21 U.S. 543, 1823: 589) </w:t>
      </w:r>
      <w:r w:rsidRPr="00087A72">
        <w:rPr>
          <w:rStyle w:val="StyleUnderline"/>
        </w:rPr>
        <w:t>As of 2018, the US government’s power to indefinitely detain whomever it wishes, under whatever conditions it deems appropriate, still rests on this legal foundation. The ability to detain is constrained not by the rule of law but by ‘the objects of the [colonial] conquest’ and conditions of detention are limited, in essence, only by the ‘principles of natural justice inherent in the Anglo-Saxon character’. If we wish to effectively contest the conditions of exclusion embodied, quite literally, in indefinite detentions, we will also have to address and contest the underlying colonization that dictates the terms upon which those deemed Other have been and continue to be incorporated into, or subsumed by, the claimed jurisdiction of the United States.</w:t>
      </w:r>
    </w:p>
    <w:p w:rsidR="009B57E5" w:rsidRPr="00087A72" w:rsidRDefault="009B57E5" w:rsidP="009B57E5">
      <w:pPr>
        <w:pStyle w:val="Heading1"/>
      </w:pPr>
      <w:r w:rsidRPr="00087A72">
        <w:t>Counterplan Mechanics</w:t>
      </w:r>
    </w:p>
    <w:p w:rsidR="009B57E5" w:rsidRPr="00087A72" w:rsidRDefault="009B57E5" w:rsidP="009B57E5">
      <w:pPr>
        <w:pStyle w:val="Heading2"/>
      </w:pPr>
      <w:r w:rsidRPr="00087A72">
        <w:t>Solvency</w:t>
      </w:r>
    </w:p>
    <w:p w:rsidR="009B57E5" w:rsidRPr="00087A72" w:rsidRDefault="009B57E5" w:rsidP="009B57E5">
      <w:pPr>
        <w:pStyle w:val="Heading3"/>
      </w:pPr>
      <w:r w:rsidRPr="00087A72">
        <w:t>Solvency – Don’t Trust White People</w:t>
      </w:r>
    </w:p>
    <w:p w:rsidR="009B57E5" w:rsidRPr="00087A72" w:rsidRDefault="009B57E5" w:rsidP="009B57E5">
      <w:pPr>
        <w:pStyle w:val="Heading4"/>
        <w:rPr>
          <w:sz w:val="28"/>
          <w:szCs w:val="28"/>
        </w:rPr>
      </w:pPr>
      <w:r w:rsidRPr="00087A72">
        <w:rPr>
          <w:szCs w:val="24"/>
        </w:rPr>
        <w:t xml:space="preserve">White people are settlers that brought with them a presumption of sovereign prerogative, an unshakeable belief in their right to establish a state over which they exercised absolute control and makes all the impacts of aff inevitable. The Affirmative Immigration politics of who should be </w:t>
      </w:r>
      <w:r w:rsidRPr="00087A72">
        <w:rPr>
          <w:rStyle w:val="StyleUnderline"/>
          <w:szCs w:val="24"/>
          <w:u w:val="none"/>
        </w:rPr>
        <w:t>appropriately be deemed exceptional or the exclusion of peoples from otherwise applicable rights regimes through large-scale incarceration is integrally related to the establishment and maintenance of the American settler state</w:t>
      </w:r>
      <w:r w:rsidRPr="00087A72">
        <w:rPr>
          <w:rStyle w:val="StyleUnderline"/>
          <w:sz w:val="28"/>
          <w:szCs w:val="28"/>
          <w:u w:val="none"/>
        </w:rPr>
        <w:t>.</w:t>
      </w:r>
    </w:p>
    <w:p w:rsidR="009B57E5" w:rsidRPr="00087A72" w:rsidRDefault="009B57E5" w:rsidP="009B57E5">
      <w:r w:rsidRPr="00087A72">
        <w:rPr>
          <w:rStyle w:val="Style13ptBold"/>
        </w:rPr>
        <w:t>Saito 18</w:t>
      </w:r>
      <w:r w:rsidRPr="00087A72">
        <w:t xml:space="preserve"> ( Natsu Taylor. "Indefinite Detention, Colonialism, and Settler Prerogative in the United States." Social &amp; Legal Studies (2018): 0964663918769362. Indefinite Detention, Colonialism, and Settler Prerogative in the United States Natsu Taylor Saito Abstract Social &amp; Legal Studies 1–34 a The Author(s) 2018 Reprints and permission: sagepub.co.uk/journalsPermissions.nav DOI: 10.1177/0964663918769362 journals.sagepub.com/home/sls</w:t>
      </w:r>
    </w:p>
    <w:p w:rsidR="009B57E5" w:rsidRPr="00087A72" w:rsidRDefault="009B57E5" w:rsidP="009B57E5">
      <w:pPr>
        <w:rPr>
          <w:rStyle w:val="StyleUnderline"/>
        </w:rPr>
      </w:pPr>
      <w:r w:rsidRPr="00087A72">
        <w:t xml:space="preserve">In considering </w:t>
      </w:r>
      <w:r w:rsidRPr="00087A72">
        <w:rPr>
          <w:rStyle w:val="StyleUnderline"/>
        </w:rPr>
        <w:t>the genealogy of indefinite detentions in the United States</w:t>
      </w:r>
      <w:r w:rsidRPr="00087A72">
        <w:t>, this essay begins with a few examples of the internments</w:t>
      </w:r>
      <w:r w:rsidRPr="00087A72">
        <w:rPr>
          <w:rStyle w:val="StyleUnderline"/>
        </w:rPr>
        <w:t>, generally undertaken during times of war, that are commonly considered paradigmatic examples of the exceptional use of what are, in effect, concentration camps.</w:t>
      </w:r>
      <w:r w:rsidRPr="00087A72">
        <w:t xml:space="preserve"> To support my thesis that such incarcerations are not, in fact, aberrational, I then provide illustrations </w:t>
      </w:r>
      <w:r w:rsidRPr="00087A72">
        <w:rPr>
          <w:rStyle w:val="StyleUnderline"/>
        </w:rPr>
        <w:t>from three broad dimensions of US history. The first is the mass internment of Indigenous peoples who survived the initial colonial invasion. The second considers slavery as a form of collective and racialized indefinite detention, one that has evolved into a carceral state that, in significant respects, is indistinguishable from Agamben’s ‘camp’ (Agamben, 1998: 20; Foucault, 1995). The third dimension is the indefinite detention of immigrants. Each of these broad dimensions of indefinite detention are utilized by the settler class as part of its perceived prerogative to appropriate Indigenous lands and resources, render those lands profitable, control who may or may not enter or remain within the borders of ‘their’ state</w:t>
      </w:r>
      <w:r w:rsidRPr="00087A72">
        <w:t xml:space="preserve">. In analyzing the Australian High Court’s decision in Mabo v. Queensland (No. 2) (1992), Penny Pether noted that while her discussion of the related case law might appear ‘to herald a linear history rather than genealogy in the Foucauldian sense’, she was, in fact, seeking ‘the singularity of certain recurrent constituting stories’ in the ‘accumulated evidence of the “invasions, struggles, plundering, disguises, ploys”’ pervading the legal discourse (Pether, 1998: 139–140, n. 3; Foucault, 1986). Similarly, the examples below are not proffered as a linear history of American internments, but rather as illustrative of ‘certain recurrent constituting stories’ about indefinite detentions. They demonstrate </w:t>
      </w:r>
      <w:r w:rsidRPr="00087A72">
        <w:rPr>
          <w:rStyle w:val="StyleUnderline"/>
        </w:rPr>
        <w:t xml:space="preserve">that the United States has consistently utilized its power to imprison large sectors of the population under its jurisdiction without regard for the rule of law. While some instances may appropriately be deemed exceptional, the exclusion of peoples from otherwise applicable rights regimes through large-scale incarceration is integrally related to the establishment and maintenance of the American settler state. This, in turn, means that if such detentions are to be effectively challenged, they must be understood as a form of exclusion originating in and inseparable from the forced inclusions of colonial appropriation and exploitation. </w:t>
      </w:r>
      <w:r w:rsidRPr="00087A72">
        <w:t xml:space="preserve">‘National Security’ Internments The term ‘indefinite detention’ generally brings to mind the extrajudicial internments of people deemed threats to the national security under conditions that replicate those Agamben describe as characteristic of the ‘camp’. The extent of these detentions and the conditions under which people are held vary depending upon the people(s) interned, the national political climate, and the United States’ need to maintain its image as the paragon of liberty and democracy (Klein and Wittes, 2011: 88). The sites are not, however, subject to the rule of law and, as most recently illustrated by the United States’ ongoing detention of men and boys at its Guantanamo Bay Naval Base, the detainees may not only be reduced to bare life but also tortured, physically and psychologically, to the point that they prefer death (Pugliese, 2015). 4 Social &amp; Legal Studies XX(X) </w:t>
      </w:r>
      <w:r w:rsidRPr="00087A72">
        <w:rPr>
          <w:rStyle w:val="StyleUnderline"/>
        </w:rPr>
        <w:t>The United States’ government has consistently asserted a prerogative to detain persons considered politically subversive, without charge or trial, particularly during times of war. Even before US independence, Thomas Jefferson helped draft Virginia laws that allowed the government to remove citizens beyond ‘military zones’ and ‘to restrain all persons who refused to take the oath of loyalty to the American cause or who were merely suspected of disaffection’</w:t>
      </w:r>
      <w:r w:rsidRPr="00087A72">
        <w:t xml:space="preserve"> (Levy, 1989: 31–32). </w:t>
      </w:r>
      <w:r w:rsidRPr="00087A72">
        <w:rPr>
          <w:rStyle w:val="StyleUnderline"/>
        </w:rPr>
        <w:t>The Alien Enemies Act, first passed in 1798, still allows the president to arrest, detain, and remove civilians who are subjects or citizens of countries that the United States is at war with, or that pose a threat of invasion or attack, without any individualized determination that they pose a danger to the United States (Alien Enemies Act, 2012: section 21). This authority was used by the executive to detain British citizens during the War of 1812; Germans during World War I; and German, Italian, and Japanese ‘enemy aliens’ during World War II (Klein and Wittes, 2011: 102–106). President Thomas Jefferson attempted unsuccessfully to suspend the writ of habeas corpus in 1807 (Klein and Wittes, 2011: 116–117), and President Abraham Lincoln did so during the Civil War, ordering the arrest and indefinite detention of those – including dissident newspaper editors and state legislators – he considered threats to public safety</w:t>
      </w:r>
      <w:r w:rsidRPr="00087A72">
        <w:t xml:space="preserve"> (Sandburg, 1954: 246–247; Speer, 1997: 37). While many, including Supreme Court Chief Justice Roger Taney, believed Lincoln’s actions to be unconstitutional, Congress retroactively approved them in 1863 (Klein and Wittes, 2011: 118–120; Ex parte Merryman [1861]). Tens of thousands of civilians in northern and border states were interned and many more banished without any specific showing of disloyalty. In one Missouri county, for example, by late 1863 only 600 people remained out of a population of 10,000 (Brownlie, 1958: 126, 163). Congress subsequently authorized suspension of the writ in 1871 to help suppress the Ku Klux Klan in the Reconstruction South, in 1902 to facilitate the colonial conquest of the Philippines, and in 1900 to preclude threats to the annexation of Hawai‘i (Klein and Wittes, 2011: 120–122). During World War I, Congress passed the Espionage and Sedition Acts, which pro- hibited virtually all criticism of the government (Chang, 2002: 23; Espionage Act, 1917; Sedition Act, 1918; Unger, 1976: 41–42). More than a thousand people were convicted under these laws, and despite the fact that no one was convicted of espionage, more than 100 individuals were sentenced to prison terms of 10 years or more (Goldstein, 2001: 113; Linfield, 1990: 33–67). In 1919, Attorney General A. Mitchell Palmer conducted raids in 33 cities, arresting and holding 10,000 people, both citizens and noncitizens, as ‘criminal anarchists’ (Churchill and Vander Wall, 2002: 20–23; Unger, 1976: 43–44). During World War II, the US government engaged in the wholesale incarceration of approximately 120,000 persons of Japanese descent, on the grounds it was impossible to distinguish the ‘loyal’ from the ‘disloyal’ (Korematsu v. United States, 323 U.S. 214, 1944: 219; Daniels, 1972; Weglyn, 1976). Because two-thirds of those interned were US citizens, the program was authorized not by the Alien Enemies Act but by executive order (Executive Order No. 9066, 1942). Forced to abandon their homes, farms, and businesses, and to store or sell their possessions on a few days’ notice, men and women, children and the elderly, were shipped off to 10 concentration camps – euphemistically designated ‘relocation centers’ – in remote interior locations, where most were held for the duration of the war (Drinnon, 1987: 62; Weglyn, 1976).5 Saito 5 In 1947, as the United States moved into the Cold War, President Harry S. Truman authorized the Justice Department to investigate the ‘infiltration of disloyal persons’ within the government and to create a list of ‘subversive’ organizations (Executive Order No. 9835, 1947; Weglyn, 1976: 32). The Internal Security Act of 1950 required all members of ‘Communist-front’ organizations to register with the government and autho- rized a proposal, not rescinded until 1971, to establish ‘emergency detention centers’ for incarcerating those so registered, without trial, any time the president chose to declare an ‘internal security emergency’ (Churchill and Vander Wall, 2002: 33; Matsuda, 1998: 9; Zinn, 1980: 423–424; Cole and Dempsey, 2002).</w:t>
      </w:r>
      <w:r w:rsidRPr="00087A72">
        <w:rPr>
          <w:rStyle w:val="StyleUnderline"/>
        </w:rPr>
        <w:t xml:space="preserve"> Following the attacks of September 11, 2001, Congress passed the Authorization for Use of Military Force (AUMF), giving the executive broad authority to detain persons suspected of engaging in or supporting terrorism. In the following months, the Department of Justice detained several thousand Muslim or Arab immigrants, as well as those perceived to be of Middle Eastern origin, holding them indefinitely without charge, refusing to release information about who was being held, and often preventing the detainees from contacting their families, friends, or lawyers (Chang, 2002: 67–86). Since then almost 800 men and boys have been captured overseas and imprisoned at the Guantanamo Bay Naval base, where many still remain, and an unknown number of persons have been detained and tortured at an undisclosed number of ‘black sites’ around the world </w:t>
      </w:r>
      <w:r w:rsidRPr="00087A72">
        <w:t xml:space="preserve">(Pether, 2012: 2562). </w:t>
      </w:r>
      <w:r w:rsidRPr="00087A72">
        <w:rPr>
          <w:rStyle w:val="StyleUnderline"/>
        </w:rPr>
        <w:t xml:space="preserve">Nearly two decades after the ‘war on terror’ was declared, the US government’s power to detain people without legal or judicial safeguards continues unabated. The National Defense Authorization Act for 2012, signed into law by President Barack Obama, allows the indefinite military detention of those suspected of involvement in terrorist activity, without temporal or geographic limitations, and in terms that appear to apply to all persons, regardless of citizenship (National Defense Authorization Act for 2012, 2011: section 1021). The US government thus maintains large-scale, indefinite incarceration as an extrajudicial option for responding to threats to the national security – internal or external, real or imagined. Despite the consistent and predictable use of such internments, they continue to be characterized as exceptional in the master narrative. It appears that most Americans prefer to believe that such measures are legitimate and extraordinary responses to actual or anticipated military threats, that peacetime is the norm to which the country will shortly return, and that, when it does, the rule of law will again prevail. Underlying these beliefs is a presumption that arbitrary detention can be readily distinguished from the state’s ‘normal’ practices. For the reasons discussed in the following sections, I believe that the indefinite detention of large sectors of the population under US jurisdiction has been and continues to be essential to the maintenance of American settler colonial rule. Territorial Control: American Indian Internments As theorists of settler colonialism emphasize, the ‘founding fathers’ of the United States were colonizers who came to stay, not simply to profit and return home (Wolfe, 1999: 2). These Anglo-American settlers brought with them a presumption of sovereign prerogative, an unshakeable belief in their right to establish a state over which they exercised </w:t>
      </w:r>
      <w:r w:rsidRPr="00087A72">
        <w:t xml:space="preserve">6 Social &amp; Legal Studies XX(X) </w:t>
      </w:r>
      <w:r w:rsidRPr="00087A72">
        <w:rPr>
          <w:rStyle w:val="StyleUnderline"/>
        </w:rPr>
        <w:t>absolute control</w:t>
      </w:r>
      <w:r w:rsidRPr="00087A72">
        <w:t xml:space="preserve"> (Veracini, 2010: 3, 53–54). </w:t>
      </w:r>
      <w:r w:rsidRPr="00087A72">
        <w:rPr>
          <w:rStyle w:val="StyleUnderline"/>
        </w:rPr>
        <w:t>This required a territorial foundation and that, in turn, meant ensuring the ‘disappearance’ of the Indigenous peoples of the land for,</w:t>
      </w:r>
      <w:r w:rsidRPr="00087A72">
        <w:t xml:space="preserve"> as </w:t>
      </w:r>
      <w:r w:rsidRPr="00087A72">
        <w:rPr>
          <w:rStyle w:val="StyleUnderline"/>
        </w:rPr>
        <w:t>Deborah Bird Rose aptly puts it, they ‘got in the way just by staying home’</w:t>
      </w:r>
      <w:r w:rsidRPr="00087A72">
        <w:t xml:space="preserve"> (Rose, 1991: 46</w:t>
      </w:r>
      <w:r w:rsidRPr="00087A72">
        <w:rPr>
          <w:rStyle w:val="StyleUnderline"/>
        </w:rPr>
        <w:t>). It is well documented that the ‘settlement’ of North America involved the decimation of Indigenous nations through military massacres, privatized violence incen- tivized by scalp bounties and sensationalized disinformation, and the often-deliberate spreading of lethal diseases (Churchill, 1997; Stannard, 1992). But the significance of the systemic imprisonment of American Indians to the appropriation of the continent is often overlooked, as is the fact that the precedents established in the ‘Indian Wars’ continue to be relied upon by the US government in its so-called War on Terror (Fletcher and Vicaire, 2011; Yoo, 2003: 7).6</w:t>
      </w:r>
    </w:p>
    <w:p w:rsidR="009B57E5" w:rsidRPr="00087A72" w:rsidRDefault="009B57E5" w:rsidP="009B57E5">
      <w:pPr>
        <w:rPr>
          <w:u w:val="single"/>
        </w:rPr>
      </w:pPr>
    </w:p>
    <w:p w:rsidR="009B57E5" w:rsidRPr="00087A72" w:rsidRDefault="009B57E5" w:rsidP="009B57E5">
      <w:pPr>
        <w:pStyle w:val="Heading4"/>
      </w:pPr>
      <w:r w:rsidRPr="00087A72">
        <w:t>Can’t trust White people. Empirics are on our side, the United States entered into numerous treaties with Indigenous nations, thereby acknowledging American Indian sovereignty in the process of legitimating colonial land claims. The explicit purpose of the state and policymaking was to ‘clear’ the land for White Settlers.</w:t>
      </w:r>
    </w:p>
    <w:p w:rsidR="009B57E5" w:rsidRPr="00087A72" w:rsidRDefault="009B57E5" w:rsidP="009B57E5"/>
    <w:p w:rsidR="009B57E5" w:rsidRPr="00087A72" w:rsidRDefault="009B57E5" w:rsidP="009B57E5">
      <w:r w:rsidRPr="00087A72">
        <w:rPr>
          <w:rStyle w:val="Style13ptBold"/>
        </w:rPr>
        <w:t>Saito 18</w:t>
      </w:r>
      <w:r w:rsidRPr="00087A72">
        <w:t xml:space="preserve"> ( Natsu Taylor. "Indefinite Detention, Colonialism, and Settler Prerogative in the United States." Social &amp; Legal Studies (2018): 0964663918769362. Indefinite Detention, Colonialism, and Settler Prerogative in the United States Natsu Taylor Saito Abstract Social &amp; Legal Studies 1–34 a The Author(s) 2018 Reprints and permission: sagepub.co.uk/journalsPermissions.nav DOI: 10.1177/0964663918769362 journals.sagepub.com/home/sls</w:t>
      </w:r>
    </w:p>
    <w:p w:rsidR="009B57E5" w:rsidRPr="00087A72" w:rsidRDefault="009B57E5" w:rsidP="009B57E5">
      <w:r w:rsidRPr="00087A72">
        <w:rPr>
          <w:rStyle w:val="StyleUnderline"/>
        </w:rPr>
        <w:t>Although the British and, subsequently, the United States had entered into numerous treaties with Indigenous nations, thereby acknowledging American Indian sovereignty in the process of legitimating colonial land claims, by the 1830s the US Supreme Court was proclaiming that American Indian nations would no longer be recognized as either independent or fully sovereign.</w:t>
      </w:r>
      <w:r w:rsidRPr="00087A72">
        <w:t xml:space="preserve"> As Chief Justice John Marshall announced in Cherokee Nation v. Georgia, ‘[t]hey may, more correctly, perhaps, be denominated domestic dependent nations’, nations that ‘occupy a territory to which we assert a title independent of their will’ (Cherokee Nation v. Georgia, 30 U.S., 1831: 17</w:t>
      </w:r>
      <w:r w:rsidRPr="00087A72">
        <w:rPr>
          <w:rStyle w:val="StyleUnderline"/>
        </w:rPr>
        <w:t>). This characterization of Indigenous peoples as internal colonies laid the groundwork for the federal government’s subsequent assertion of absolute – ‘plenary’ – power over Indian affairs (Church- ill, 2002: 673–679; Newton, 1984). In other words, the unilateral extension of US jurisdiction to encompass – that is, forcibly include – Native peoples simultaneously resulted in their exclusion from all otherwise applicable legal protections. It also laid the groundwork for the forced removal of the so-called Five Civilized Tribes (the Cherokee, Choctaw, Chickasaw, Creek, and Seminole nations) and some 30 smaller peoples from their homelands and their relocation to reservations west of the Mississippi River</w:t>
      </w:r>
      <w:r w:rsidRPr="00087A72">
        <w:t xml:space="preserve"> (Foreman, 1953; Jahoda, 1975). </w:t>
      </w:r>
      <w:r w:rsidRPr="00087A72">
        <w:rPr>
          <w:rStyle w:val="StyleUnderline"/>
        </w:rPr>
        <w:t>The nature of the process has been masked by the pervasive use of innocuous terms such as ‘relocation’, ‘removal’, and ‘reservations’, but the reality was that Indigenous peoples across the continent were reduced to the conditions of bare life Agamben describes as characterizing the concentration camp, a setting in ‘which human beings could be so completely deprived of their rights and prerogatives that no act committed against them could appear any longer as a crime’</w:t>
      </w:r>
      <w:r w:rsidRPr="00087A72">
        <w:t xml:space="preserve"> (Agamben, 1998: 171). For the Indian nations of the Southeast, ‘removal’ meant families taken at gunpoint from their homes (which were often then ransacked and burned), imprisoned in stock- ades, and then force-marched some 1200 miles across the country in mid-winter, with a resulting death rate of up to 50% (Thornton, 1984: 293).7 These conditions were inflicted on civilians, by the US military, during a period in which no hostilities were occurring. </w:t>
      </w:r>
      <w:r w:rsidRPr="00087A72">
        <w:rPr>
          <w:rStyle w:val="StyleUnderline"/>
        </w:rPr>
        <w:t>The survivors who made it to ‘Indian country’ in Oklahoma were then assigned to ‘agencies’, that is, reservations. ‘Reserved lands’ sounds relatively benign but, as the following examples illustrate, the reservations to which some 400 American Indian nations were eventually consigned were, in fact, prison camps</w:t>
      </w:r>
      <w:r w:rsidRPr="00087A72">
        <w:t xml:space="preserve"> (Harring, 1994: 204–206). Saito 7 In 1862, in the aftermath of what is known as Little Crow’s War in Minnesota, almost all of the Santee Sioux were interned at Fort Snelling, where conditions were so miser- able that one-quarter of the population died within several months. In addition to the threat of military pursuit, escape was deterred by a US$200 scalp bounty proclaimed on all Santees found outside the fort (Brown, 1970: 60, 63–64; Schultz, 1992: 279–283). In 1863, following the army’s Kit Carson ‘campaign’, the Navajos were first imprisoned at Fort Defiance, Arizona, and then force-marched some 300 miles to the Bosque Redondo near Fort Sumner, New Mexico, where they were held for 4 years. Lodged in crude shelters (sometimes literally holes in the ground), provided grossly inadequate rations and wracked by disease, half of the detainees perished before they were moved to another reservation in 1868 (Bailey, 1988, 1998; Thompson, 1982). Thus trapped on inhospitable lands with inadequate food or shelter, survival seemed unlikely, prompting many interned peoples to try to escape. But they were prisoners, allowed to leave their assigned agencies only with the permission of the military or a federal Indian agent (Frederickson, 1981: 242–243). The military was frequently deployed to track down and capture or kill those attempting to escape. In 1877, the Northern Cheyennes were relocated from their traditional Montana territory and imprisoned on the Cheyenne–Arapaho reservation in Oklahoma. As malaria, dysentery, and other illnesses spread rapidly among them, in the fall of 1878, some 300 Cheyennes fled in a desperate attempt to go home (Berthrong, 1976: 27–47; Sandoz, 1964: 27–31). Some 15,000 troops pursued the small group of escapees and incarcerated them at Camp Robinson, Nebraska, where they were denied food and fire- wood in the dead of winter in an attempt to coerce them to return to Oklahoma. In January 1879, the Cheyennes tried once more to escape but were quickly tracked down and about half of them, children included, were killed (Andrist, 1964: 321–329; Sandoz, 1964: 245–290). Similarly, the infamous Wounded Knee massacre of 1890 was perpetrated by troops pursuing Minneconjou Lakotas whose sole ‘offense’ was to have fled their assigned agency during a period of starvation and severe repression, to seek refuge among their Oglala relatives at the Pine Ridge Agency, about 150 miles away (Andrist, 1964: 350–352; Brown, 1970: 401–402; Sutton, 1985: 122–123; McGregor, 1940</w:t>
      </w:r>
      <w:r w:rsidRPr="00087A72">
        <w:rPr>
          <w:rStyle w:val="StyleUnderline"/>
        </w:rPr>
        <w:t>). The message was clear: American Indians had no alternative but to stay in their assigned locations, under whatever conditions the government cared to impose. The explicit purpose of the policy was to ‘clear’ the land for White settlers and, by 1890, when the federal government declared the ‘frontier’ to be closed, those Indigenous peoples who had survived what David Stannard terms the ‘American holocaust’ were confined to less than 3% of their original land base</w:t>
      </w:r>
      <w:r w:rsidRPr="00087A72">
        <w:t xml:space="preserve"> (Churchill, 2003: 12; Stannard, 1992). </w:t>
      </w:r>
      <w:r w:rsidRPr="00087A72">
        <w:rPr>
          <w:rStyle w:val="StyleUnderline"/>
        </w:rPr>
        <w:t>As in all colonial ventures, the dynamic of difference had been employed to render them less than human – to construct them quite literally as bare life – as reflected in the fact that it was 1879 before the Ponca leader Standing Bear became the first American Indian legally recognized as a ‘person’ capable of suing for habeas corpus (Standing Bear v Crook, 1879; Dando-Collins, 2004). Another 30 years passed before an American court ruled in 1909 that Indigenous people could not be classified – or treated – as ‘prisoners of war’ merely because they were Indians, a practice that persisted even after that time and has never been renounced by the government</w:t>
      </w:r>
      <w:r w:rsidRPr="00087A72">
        <w:t xml:space="preserve"> (United States v. By-a-lil-le [1909]; Harring, 1994: 198–203). The 8 Social &amp; Legal Studies XX(X) most egregious example is that of the Chiricahua Apaches. Harsh conditions at the San Carlos reservation had precipitated the escape and protracted military resistance mounted by Geronimo’s band during the 1870s and 1880s. In retaliation, after Geroni- mo’s surrender in 1886, the government shipped the entire Chiricahua population – children, elders, women, and even those men who had fought for the United States against their ‘renegade’ relatives – to military prisons in Florida and then Alabama. During their first 8 years of incarceration, some 40% of the imprisoned Chiricahuas died, and it was not until the winter of 1913–1914 that the survivors were finally transferred to the Kiowa–Comanche reservation in Oklahoma (Lieder and Page, 1997: 28–38; Roberts, 1984</w:t>
      </w:r>
      <w:r w:rsidRPr="00087A72">
        <w:rPr>
          <w:rStyle w:val="StyleUnderline"/>
        </w:rPr>
        <w:t>). The purpose of incarcerating</w:t>
      </w:r>
      <w:r w:rsidRPr="00087A72">
        <w:t xml:space="preserve"> the Chiricahua Apaches for </w:t>
      </w:r>
      <w:r w:rsidRPr="00087A72">
        <w:rPr>
          <w:rStyle w:val="StyleUnderline"/>
        </w:rPr>
        <w:t>an entire generation was to ensure that their spirit was broken, to assimilate them to the ‘American’ way of life, with all that implies. Oversight of this project was entrusted to an army captain, Richard Henry Pratt, the Chiricahuas’ warden at the military prison in Florida. This, in turn, qualified Pratt to inaugurate the American Indian ‘boarding school’ system whose aim, as he stated in 1895, was to ‘kill the Indian, save the man’ in each student (Churchill, 2004: 13–14). These schools represent a massive program of indefinite detention.</w:t>
      </w:r>
      <w:r w:rsidRPr="00087A72">
        <w:t xml:space="preserve"> They operated for the better part of a century and, for generations children were forcibly removed from their families, often by the military. Parents who resisted were imprisoned. The children were very literally held captive, often for 10 years or longer, sexually abused, and tortured (Churchill, 2004). But sadism was not the purpose of their incarceration, as sadistic as their captors may have been. </w:t>
      </w:r>
      <w:r w:rsidRPr="00087A72">
        <w:rPr>
          <w:rStyle w:val="StyleUnderline"/>
        </w:rPr>
        <w:t>The purpose of the schools was to eliminate all vestiges of Indigenous culture in these children, to strip them of their identity and replace it with the settlers’ vision of what compliant people of color should look and act like.</w:t>
      </w:r>
      <w:r w:rsidRPr="00087A72">
        <w:t xml:space="preserve"> In 1946, the US government established an Indian Claims Commission (ICC) in attempt to distinguish its record of territorial acquisition from that of the Germans it was then prosecuting at Nuremberg (Churchill, 2003: 125–152; Rosenthal, 1990). The following year, the Chiricahuas filed a claim for damages accruing from the expropria- tion of their lands and from their lengthy imprisonment in Florida and Alabama. In 1971, the ICC finally awarded them token payment for their lost lands but not for their imprisonment (Fort Sill Apache Tribe v. United States, 26 Ind. Cl. Comm. 281, 1971). On appeal, the Court of Claims held that while ‘the Apache Tribe did not prosper from the injuries suffered by its constituent members’ during their 27 years of imprisonment, these were claims over which the Commission had no jurisdiction (Fort Sill Apache Tribe of Oklahoma v United States, 477 F.2d 1360, 1365 (Ct. Cl. 1973), cert. denied, 416 U.S. 993 (1974); Lieder and Page, 1997: 222). B</w:t>
      </w:r>
      <w:r w:rsidRPr="00087A72">
        <w:rPr>
          <w:rStyle w:val="StyleUnderline"/>
        </w:rPr>
        <w:t>y refusing to review this decision, the Supreme Court effectively legitimated the settler state’s prerogative to intern entire peoples in order to consolidate control over its claimed land base. This prerogative has been exercised on numerous occasions, both within the claimed boundaries of the United States and in its colonial and imperial ventures across the globe. The Japanese American internment provides one internal example. While it was justified on the grounds of ‘military necessity’ (Korematsu v. United States, 323 U.S. 214, 1944: 233), upon closer examination it becomes evident that the removal of persons of Japa- nese descent from the West Coast, and their indefinite incarceration, was largely Saito 9 motivated by White settler resistance to their very presence</w:t>
      </w:r>
      <w:r w:rsidRPr="00087A72">
        <w:t xml:space="preserve">. Despite reports from all relevant intelligence agencies that Japanese Americans posed no security threat, President Franklin D. Roosevelt ceded to pressure brought by organizations of prominent landowners and busi- nessmen including, notably, the future Supreme Court Chief Justice Earl Warren (US Con- gress, Commission on Wartime Relocation and Internment of Civilians (CWRIC), 1982: 54– 55).8 One such group was the Native Sons of the Golden West, explicitly dedicated to preserving California ‘as it has always been and as God himself intended it shall always be – the White Man’s Paradise’ (CWRIC, 1982: 364n41; tenBroek et al., 1970: 32–57; Daniels, 1968: 85–87). As the California Joint Immigration Committee (formerly known as the Asiatic Exclusion League) stated bluntly in early February 1942, ‘This is our time to get things done that we have been trying to get done for a quarter of a century’ (tenBroek et al., 1970: 79). California, of course, had not ‘always been...the White Man’s Paradise’. </w:t>
      </w:r>
      <w:r w:rsidRPr="00087A72">
        <w:rPr>
          <w:rStyle w:val="StyleUnderline"/>
        </w:rPr>
        <w:t>White settler claims had been realized only by the mass extermination of Indian nations (Churchill, 1997; Stannard, 1992) and the utilization and subsequent removal of Asian, particularly Chinese, and Mexican labor (Johnson, 2004: 661–667; Saito, 2003: 14–16). The Japanese American ‘evacuation’ and ‘relocation’ was entirely consistent with this history.</w:t>
      </w:r>
      <w:r w:rsidRPr="00087A72">
        <w:t xml:space="preserve"> Indian reservations served as ‘prototypes’ for the camps in which Japanese Americans were interned (Drinnon, 1987: xxiv, 265) and Poston, one of the ten major Japanese American concentration camps, was actually located on the Colorado River Indian reservation in Arizona and administered by John Collier, the Commissioner of Indian Affairs (Byrd, 2011: 185). Poston’s history illustrated the integral – and distinctly colonial – relationship between the American Indian and Japanese American internments. In 1940, Collier had proposed to ‘colonize 10,000 American Indians to the [Colorado River] reservation’ (Byrd, 2011: 185), and Japanese American prisoners were utilized to develop the irrigation system Collier believed would allow the reservation to be self-sustaining</w:t>
      </w:r>
      <w:r w:rsidRPr="00087A72">
        <w:rPr>
          <w:rStyle w:val="StyleUnderline"/>
        </w:rPr>
        <w:t>. As Jodi Byrd observes: By naming the relocation centers and internment camps ‘colonies’ within their internal documents, the United States revealed the deeper logics of removals and reservations, and Collier, who saw in Poston an opportunity to develop a social experiment that might innovate future management strategies within the Office of Indian Affairs, had already laid the ground- work so that Hopi and Navajo families might join those relocation colonies after the war ended to continue the work started by the Japanese American internees.</w:t>
      </w:r>
      <w:r w:rsidRPr="00087A72">
        <w:t xml:space="preserve"> (Byrd, 2011: 187) American Indian internments would continue until the mid-1950s, when the govern- ment decided that its interests were better served by ‘terminating’ its relationship with Native nations, abruptly pushing them off the reservations and dispersing them in cities (Fixico, 1986; Orfield, 1966). This attempt to once again remove Indigenous peoples from their land base became the responsibility of Dillon S. Myer, the new Commissioner of the Bureau of Indian Affairs (BIA). Myer, instructively, had been the Director of the War Relocation Authority (WRA), the agency responsible for managing the Japanese American internment. According to Richard Drinnon: An accident of chronology has masked the underlying meaning of Myer’s termination policy. Had he been commissioner of the BIA before he became director of the WRA, then 10 Social &amp; Legal Studies XX(X) the continuities stretching from the reservations to the camps could hardly have been missed and the fundamental sameness of his treatment of Native Americans and Japanese Americans would have elicited close analysis long ago. (Drinnon, 1987: 265)</w:t>
      </w:r>
    </w:p>
    <w:p w:rsidR="009B57E5" w:rsidRPr="00087A72" w:rsidRDefault="009B57E5" w:rsidP="009B57E5">
      <w:pPr>
        <w:pStyle w:val="Heading4"/>
        <w:rPr>
          <w:rStyle w:val="Style13ptBold"/>
          <w:b/>
        </w:rPr>
      </w:pPr>
      <w:r w:rsidRPr="00087A72">
        <w:rPr>
          <w:rStyle w:val="Style13ptBold"/>
          <w:b/>
          <w:szCs w:val="24"/>
        </w:rPr>
        <w:t>Historically, j</w:t>
      </w:r>
      <w:r w:rsidRPr="00087A72">
        <w:rPr>
          <w:rStyle w:val="StyleUnderline"/>
          <w:szCs w:val="24"/>
          <w:u w:val="none"/>
        </w:rPr>
        <w:t xml:space="preserve">ust as American Indians could not leave their assigned reservations without the permission of federal agents, enslaved Africans and their descendants could not travel from their assigned plantations (or other locations) without the written permission of those who purported to own them. Immigration is about White people controlling movement within the settler colonial state. The Affirmatives immigration project enables </w:t>
      </w:r>
      <w:r w:rsidRPr="00087A72">
        <w:rPr>
          <w:rStyle w:val="Style13ptBold"/>
          <w:b/>
          <w:szCs w:val="24"/>
        </w:rPr>
        <w:t>Settler Prerogative in the US.</w:t>
      </w:r>
    </w:p>
    <w:p w:rsidR="009B57E5" w:rsidRPr="00087A72" w:rsidRDefault="009B57E5" w:rsidP="009B57E5">
      <w:r w:rsidRPr="00087A72">
        <w:rPr>
          <w:rStyle w:val="Style13ptBold"/>
        </w:rPr>
        <w:t>Saito 18</w:t>
      </w:r>
      <w:r w:rsidRPr="00087A72">
        <w:t xml:space="preserve"> ( Natsu Taylor. "Indefinite Detention, Colonialism, and Settler Prerogative in the United States." Social &amp; Legal Studies (2018): 0964663918769362. Indefinite Detention, Colonialism, and Settler Prerogative in the United States Natsu Taylor Saito Abstract Social &amp; Legal Studies 1–34 a The Author(s) 2018 Reprints and permission: sagepub.co.uk/journalsPermissions.nav DOI: 10.1177/0964663918769362 journals.sagepub.com/home/sls</w:t>
      </w:r>
    </w:p>
    <w:p w:rsidR="009B57E5" w:rsidRPr="00087A72" w:rsidRDefault="009B57E5" w:rsidP="009B57E5">
      <w:r w:rsidRPr="00087A72">
        <w:t xml:space="preserve">Saito 11 Enslaved and Incarcerated Labor </w:t>
      </w:r>
      <w:r w:rsidRPr="00087A72">
        <w:rPr>
          <w:rStyle w:val="StyleUnderline"/>
        </w:rPr>
        <w:t xml:space="preserve">As Euro-American colonizers successfully employed strategies of elimination and containment to occupy Indigenous lands, they recognized that they would need a large and subordinated labor force to render the appropriated – and depopulated – territory profitable (Wolfe, 1999: 1–2). Initially, much of this labor came from enslaved persons, primarily of African descent. After ‘emancipation’, criminalization supplanted chattel slavery as a means of maintaining an imprisoned labor force. In turn, as labor needs shifted and Afro-descendant peoples came to be seen as a ‘surplus’ population, mass incarceration has served as a means of controlling and conceptually disappearing large sectors of the population. </w:t>
      </w:r>
      <w:r w:rsidRPr="00087A72">
        <w:t xml:space="preserve">Slave Labor Camps By the early 1700s, some 30,000–50,000 American Indians had been enslaved by the British in North America (Ablavsky, 2011: 1466; Mann, 2006: 41), but the colonizers soon turned to the African slave trade already well established in the Caribbean (David- son, 1980: 67–76). By 1808, when American settlers declared the slave trade to be illegal, an estimated 388,000 persons had been brought directly to the United States, with another 60,000–70,000 coming through the Caribbean (Gates, 2014; Berlin, 1998). By 1860, there were some 4 million enslaved persons of African descent in the United States, accounting for almost 40% of the population of the slaveholding states, and nearly 13% of the total population (Sublette and Sublette, 2016: 13). </w:t>
      </w:r>
      <w:r w:rsidRPr="00087A72">
        <w:rPr>
          <w:rStyle w:val="StyleUnderline"/>
        </w:rPr>
        <w:t>The transformation of this (now internally) colonized and entirely involuntary work- force into a source of immense wealth required that persons of African descent be forcibly included within settler-claimed space, transformed into sufficiently compliant workers, and simultaneously excluded, physically and conceptually, from settler society. To accomplish these purposes the settler class, with the full backing of the state’s legal system and police powers, utilized all-encompassing strategies of subjugation (Baptist, 2014; Finkelman, 1986: 21; Higginbotham, 1996: 68–73). These strategies relied upon the foundational construction of Africans and Afro-descendants as a colonially derived ‘resource’ to be appropriated and exploited; in other words, as property rather than human beings (Harris, 1993: 1720).</w:t>
      </w:r>
      <w:r w:rsidRPr="00087A72">
        <w:t xml:space="preserve"> This meant that they could be bought or sold; raped, tortured, or abused at will; bred like animals; pledged as collateral; and deeded and inherited (Bridgewater, 2005: 115–121; Crusto, 2005: 68–69). This involuntary labor force could only be maintained by physical containment and control. </w:t>
      </w:r>
      <w:r w:rsidRPr="00087A72">
        <w:rPr>
          <w:rStyle w:val="StyleUnderline"/>
        </w:rPr>
        <w:t>While individual slave ‘owners’ are often portrayed as personally responsible for capturing escaped slaves, the containment of the enslaved population was widely recognized as a broader imperative of settler colonial society. The US Constitution itself required ‘person[s] held to service or labour in one state, under the laws thereof, escaping into another’ – that is, fugitive slaves – to ‘be delivered up on claim of the party to whom such service of labour may be due’</w:t>
      </w:r>
      <w:r w:rsidRPr="00087A72">
        <w:t xml:space="preserve"> (US Constitution, article 4, section 2, clause 3).9 </w:t>
      </w:r>
      <w:r w:rsidRPr="00087A72">
        <w:rPr>
          <w:rStyle w:val="StyleUnderline"/>
        </w:rPr>
        <w:t>Congress passed legislation implementing this requirement in 1793 and strengthened it with the Fugitive Slave Act of 1850 that, among other things, penalized those who interfered with the capture of escaped slaves and provided special federal commissioners 12 Social &amp; Legal Studies XX(X) to adjudicate rendition proceedings (Act of February 12, 1793; Act of September 18, 1850). State laws imposed similar obligations on all</w:t>
      </w:r>
      <w:r w:rsidRPr="00087A72">
        <w:t xml:space="preserve"> individuals to apprehend and return escaped slaves, and state militias and local law enforcement authorities were utilized to perform this function (Websdale, 2001</w:t>
      </w:r>
      <w:r w:rsidRPr="00087A72">
        <w:rPr>
          <w:rStyle w:val="StyleUnderline"/>
        </w:rPr>
        <w:t>). Just as American Indians could not leave their assigned reservations without the permission of federal agents, enslaved Africans and their descendants could not travel from their assigned plantations (or other locations) without the written permission of those who purported to own them. As with Indians, those who escaped were hunted down and tortured or killed (Conroy, 2006: 151–157). For example, a 1705 Virginia statute provided that slaves not possessing the required passes could be apprehended by ‘any person’, meaning any White person, and lashed by the local constable. For those deemed runaways, it was ‘lawful for any [White] person or persons . . . to kill and destroy such slaves by such ways and means as he, she, or they shall think fit’, and the owners of slaves so killed were to be reimbursed from the public treasury (Higginbotham, 1980: 56–57).</w:t>
      </w:r>
      <w:r w:rsidRPr="00087A72">
        <w:t xml:space="preserve"> The most intense utilization of enslaved labor occurred on southern plantations, sites of indefinite – indeed, indefinitely hereditary – detention. Terror and violence were routinely utilized to extract ever-increasing productivity with no constraints beyond the desire of an ‘owner’ to protect his ‘investment’ (Baptist 2014: 113, 127; Pether, 2012: 2554–2555).10 These were classic examples of Agamben’s camps, in which ‘no act committed against [an enslaved person] could appear any longer as a crime’ (Agamben, 1998: 171). As explained by the Georgia Supreme Court, if the common law were interpreted to ‘protect[] the life of the slave, why not his liberty? [A]nd if it protects his liberty, then it breaks down, at once, the status of the slave’ (Neal v. Farmer, 9 Ga 555, 1851: 579</w:t>
      </w:r>
      <w:r w:rsidRPr="00087A72">
        <w:rPr>
          <w:rStyle w:val="StyleUnderline"/>
        </w:rPr>
        <w:t>). ‘To assure docility and compliance’, A. Leon Higginbotham summarized, ‘the slave had to understand . . . that resistance was futile, and that any attempt to regain control over his life would be met with severe punishment and possibly death’ (Higgin- botham, 1996: 50). Resistance, of course, was not futile and played a significant role in the outcome of the Civil War and the formal abolishing of slavery, as WEB Du Bois explained in his Black Reconstruction (Du Bois, 1983: 55–83). Nonetheless, the mass and indefinite detention of Black Americans continued apace</w:t>
      </w:r>
      <w:r w:rsidRPr="00087A72">
        <w:t xml:space="preserve">. </w:t>
      </w:r>
      <w:r w:rsidRPr="00087A72">
        <w:rPr>
          <w:rStyle w:val="StyleUnderline"/>
        </w:rPr>
        <w:t>The constitutional amendments of the Reconstruction era conferred – or imposed, depending on one’s perspective – US citizen- ship on people of African descent and purported to guarantee them due process and equal protection under law (</w:t>
      </w:r>
      <w:r w:rsidRPr="00087A72">
        <w:t xml:space="preserve">Toure ́, 2006: 446).11 </w:t>
      </w:r>
      <w:r w:rsidRPr="00087A72">
        <w:rPr>
          <w:rStyle w:val="StyleUnderline"/>
        </w:rPr>
        <w:t>This did not change the underlying opinion of much of the White population and its most powerful leaders, that, as Supreme Court Justice Roger Taney had stated in his infamous 1856 Dred Scott opinion, all those of the ‘African race’, whether enslaved or not, were ‘beings of an inferior order...so far inferior, that they had no rights which the white man was bound to respect’</w:t>
      </w:r>
      <w:r w:rsidRPr="00087A72">
        <w:t xml:space="preserve"> (Scott v. Sandford, 60 U.S. 393, 1856: 407). </w:t>
      </w:r>
      <w:r w:rsidRPr="00087A72">
        <w:rPr>
          <w:rStyle w:val="StyleUnderline"/>
        </w:rPr>
        <w:t>Convict Labor The Thirteenth Amendment to the US Constitution, ratified in 1866, prohibited slavery and involuntary servitude ‘except as a punishment for crime’[emphasis added] (US Const. amend XIII, 1866 [emphasis added]). Thus, following ‘emancipation’, Saito 13 criminalization provided the settler class with a ready supply of involuntary labor. Laws governing the enslaved were quickly replaced with ‘Black codes’, which often limited African Americans to agricultural and domestic employment and criminalized idleness, vagrancy, and ‘disrespect’ of White people</w:t>
      </w:r>
      <w:r w:rsidRPr="00087A72">
        <w:t xml:space="preserve"> (Litwak, 1980: 367–370; Slaugh- ter-House Cases [1872]: 70; Higginbotham, 1996: 84–87).12 The penalty was almost invariably some form of unpaid labor and, as stated bluntly by the Virginia Supreme Court in 1871, convicted persons became ‘the slaves of the State’ (Ruffin v. Common- wealth, 62 Va. 790, 1871: 796). </w:t>
      </w:r>
      <w:r w:rsidRPr="00087A72">
        <w:rPr>
          <w:rStyle w:val="StyleUnderline"/>
        </w:rPr>
        <w:t xml:space="preserve">Rather than building prisons, southern states inaugurated convict lease systems that resulted in predominantly Black prisoners being ‘leased’ to private individuals including, in some cases, their former slave masters </w:t>
      </w:r>
      <w:r w:rsidRPr="00087A72">
        <w:t xml:space="preserve">(Bennett, 1987: 273). </w:t>
      </w:r>
      <w:r w:rsidRPr="00087A72">
        <w:rPr>
          <w:rStyle w:val="StyleUnderline"/>
        </w:rPr>
        <w:t>The selling of rights to the labor of prisoners enriched both the public coffers and politically powerful individuals, and for some eight decades after the Civil War convict labor undergirded the South’s agricultural economy as well as its industrialization. The costs of leasing were low enough that there was little incentive to provide adequate food, clothing, or medical care, for more convicts could easily be obtained</w:t>
      </w:r>
      <w:r w:rsidRPr="00087A72">
        <w:t xml:space="preserve"> (Lichtenstein, 1996; Mancini, 1996; Oshinsky, 1996). Those who leased convicts were permitted to chain, whip, and torture the prisoners, and to kill those who attempted to flee (Blackmon, 2008: 54–57).13 The convict labor system – which also affected, among others, Mexican and Chinese workers in the West (Takaki, 1989: 82)14 – thus replicated the conditions of slavery and, while the prisoners may have been sentenced to a fixed term of years, the arbitrariness with which they were convicted and the fact that most would not survive their sentences rendered their detentions arbitrary and effectively indefinite (Colvin, 1997: 247–248). Convict leasing continued into the late 1920s and 1930s, and prison labor continues to be a source of significant profit (Pether, 2012: 2555–2556). Federal prisoners make a wide range of products for the military as well as the ‘free’ market, and at least 37 states contract prison labor to mega-corporations such as IBM, Microsoft and Honeywell as well as smaller enterprises such as JC Penney and Victoria’s Secret. While some states pay minimum wage, the federal government pays much less; overall, prisoners are reportedly paid about US$0.40 per hour (Cummings, 2012: 421–422; Federal Prison Industries Program, 2015). With the rise of private prisons, prisoners themselves are increasingly regarded as commodities rather than persons, just as they were under the convict lease system (Hallett, 2006: 18; Levin, 2014). </w:t>
      </w:r>
      <w:r w:rsidRPr="00087A72">
        <w:rPr>
          <w:rStyle w:val="StyleUnderline"/>
        </w:rPr>
        <w:t>Nonetheless, in assessing impronment as a form of indefinite detention, it appears that the perceived need for social control eclipses profitability as a motivating force. This, in turn, means that people residing in marginalized communities of color are tethered to the carceral state by the pervasive and perpetual threat of imminent incarceration</w:t>
      </w:r>
      <w:r w:rsidRPr="00087A72">
        <w:t>.</w:t>
      </w:r>
    </w:p>
    <w:p w:rsidR="009B57E5" w:rsidRPr="00087A72" w:rsidRDefault="009B57E5" w:rsidP="009B57E5">
      <w:pPr>
        <w:pStyle w:val="Heading3"/>
      </w:pPr>
      <w:r w:rsidRPr="00087A72">
        <w:t>Solvency – Narratives</w:t>
      </w:r>
    </w:p>
    <w:p w:rsidR="009B57E5" w:rsidRPr="00087A72" w:rsidRDefault="009B57E5" w:rsidP="009B57E5">
      <w:pPr>
        <w:pStyle w:val="Heading4"/>
        <w:rPr>
          <w:rStyle w:val="Style13ptBold"/>
          <w:b/>
        </w:rPr>
      </w:pPr>
      <w:r w:rsidRPr="00087A72">
        <w:rPr>
          <w:rStyle w:val="Style13ptBold"/>
          <w:b/>
        </w:rPr>
        <w:t xml:space="preserve">Alt solves- Ban all white people because the only narrative that is seen is the one not created for or by Mexican indigenous populations. A recalibration of the ways we view and understand settler colonialism is essential. </w:t>
      </w:r>
    </w:p>
    <w:p w:rsidR="009B57E5" w:rsidRPr="00087A72" w:rsidRDefault="009B57E5" w:rsidP="009B57E5">
      <w:pPr>
        <w:rPr>
          <w:rStyle w:val="Style13ptBold"/>
        </w:rPr>
      </w:pPr>
      <w:r w:rsidRPr="00087A72">
        <w:rPr>
          <w:rStyle w:val="Style13ptBold"/>
        </w:rPr>
        <w:t xml:space="preserve">Najera &amp; Maldonado 2017 </w:t>
      </w:r>
      <w:r w:rsidRPr="00087A72">
        <w:t xml:space="preserve">(Lourdes Gutierrez &amp; Korinta, cultural anthropologist vested in continued exploration of indigeneity, immigration, ethnicity, citizenship &amp; belonging, and youth &amp; ndigenous Studies, Legal and Political Anthropology, Race and racisms in the Americas “Transnational Settler Colonial Formations and Global Capital: A Consideration of Indigenous Mexican Migrants” </w:t>
      </w:r>
      <w:r w:rsidRPr="00087A72">
        <w:rPr>
          <w:i/>
        </w:rPr>
        <w:t>American Quarterly</w:t>
      </w:r>
      <w:r w:rsidRPr="00087A72">
        <w:t>, Volume 69, No.4 pp.810-812)</w:t>
      </w:r>
    </w:p>
    <w:p w:rsidR="009B57E5" w:rsidRPr="00087A72" w:rsidRDefault="009B57E5" w:rsidP="009B57E5">
      <w:pPr>
        <w:rPr>
          <w:sz w:val="12"/>
        </w:rPr>
      </w:pPr>
      <w:r w:rsidRPr="00087A72">
        <w:rPr>
          <w:sz w:val="12"/>
        </w:rPr>
        <w:t xml:space="preserve">The Los Angeles Central Library’s exhibition “Visualizing Language: A Zapotec Worldview,” which opened this past September, features a series of murals produced by the Oaxacan artists collective Tlacolulokos. The murals are envisioned as providing a “counter-narrative” to existing ones painted by Dean Cornwell, in 1933, depicting a history of California in four stages: Era of Discovery, Missions, Americanization, and Founding of the City of Los Angeles.1 In these paintings Native people are depicted as marginal and subservient figures within grander visions of colonization. The new murals are thus intended to provide a new voice by putting “a different protagonist in the center of the story.”2 What is of interest for the present essay is who gets to tell this story. It is not Native artists on whose land the library is built, but Oaxacan Indigenous people. In this way, this project continues a legacy of erasure embedded in current discourses of multiculturalism that reinforce settler colonial dispossession and hegemony.3 Taking Indigenous Mexican migration as a point of departure, this essay joins critical scholarship on settler colonialism exploring the role of the migrant in settler processes. Following Patrick Wolfe’s theorization of settler colonialism as a structuring force rather than as a historical passage,4 we ask: How might a comparative framework on settler colonialisms help us articulate theoretical discussion beyond the dominant settler–Native racial binary? And in which ways does the settler colonial theoretical framework render visible the ways in which distinct bodies are racialized within and beyond national boundaries? We understand settler colonialism as the complex reverberations originating from Indigenous dispossession and white possession.5 As a global and transnational phenomenon,6 settler colonialism is a structuring force that in coproduction with the transatlantic slave trade, indentured labor, and other forms of racial ordering enables particular racial logics and forms of exclusions integral to global capital and empire.7 We also examine settler colonialism within a relational framework promoted by Indigenous and Indigenous studies scholars. A comparative perspective provides synergistic opportunities to compare histories of dispossession and racialization between US and Mexican native populations while recognizing differing colonial experiences. A relational framework examines specific contingencies and conditions of settler colonial contexts to avoid a flattening of distinct historical trajectories that are contained within differences. Thus we place settler colonialism in relation to other imperial formations that allow us to better understand how Indigenous migrants move among distinct race, class, gender, and other colonial formations, as Manu Vimalassery, Juliana Hu Pegues, and Alyosha Goldstein have argued.8 Our consideration of settler colonialism expands beyond Latinx or Chicanx contexts by destabilizing hegemonic categories that draw on national or racial distinctions and erase Indigenous peoples’ experiences.9 Despite constitutional reforms recognizing Mexico’s plural composition, Indigenous peoples in Mexico are subjected to racism, oppression, and dispossession, much like Native Americans in the United States. The multicultural shift in Mexico has served as a governance strategy10 that aims to control and disable radical politics by creating legal frameworks of “conditional inclusion”11 while erasing Indigenous peoples’ demands for autonomy and self-determination. Ultimately these policies further promote Indigenous migration. Through a comparative analysis of settler colonialism in the context of Mexican Indigenous migration to California and Washington, we demonstrate distinct ways in which Indigenous migrants mobilize and articulate their indigeneity. We argue that Indigenous migrant forms of engagement are framed by the particular settler logics and imperial formations in which they find themselves. We show that settler colonialism is contingent and historical. Further, we examine how Los Angeles becomes a site where logics of erasure stand out, while in Yakima connections and relationality that move us beyond settler–colonial binaries prevail. By looking at the case of Zapotecs in a dense urban environment inhabited by many Indigenous bodies, we propose that Natives become invisible at different places and historical moments, whereas in the Yakima valley a rural context renders Indigenous recognition more visible. Transnational Settler Colonial Formations and Global Capital  Indigenous Mexicans in the United States Until recently, we have tended to think of migrants in terms of their countries of origin. Given this level of monochromatic distinction, scholars question dominant national categories (e.g., Guatemalan, Mexican, Peruvian) for understanding Latinx experiences.12 Indeed, these national narratives continually promote the erasure of Indigenous people in migration narratives. Research on </w:t>
      </w:r>
      <w:r w:rsidRPr="00087A72">
        <w:rPr>
          <w:rStyle w:val="StyleUnderline"/>
        </w:rPr>
        <w:t>Indigenous migration provides fertile ground for reconsidering national and hemispheric comparative narratives of indigeneity and migration</w:t>
      </w:r>
      <w:r w:rsidRPr="00087A72">
        <w:rPr>
          <w:sz w:val="12"/>
        </w:rPr>
        <w:t xml:space="preserve">.13 According to the 2010 population census, some </w:t>
      </w:r>
      <w:r w:rsidRPr="00087A72">
        <w:rPr>
          <w:rStyle w:val="StyleUnderline"/>
        </w:rPr>
        <w:t>1.2 million Hispanics in the United States identified as American Indian and Alaska Native</w:t>
      </w:r>
      <w:r w:rsidRPr="00087A72">
        <w:rPr>
          <w:sz w:val="12"/>
        </w:rPr>
        <w:t xml:space="preserve">.14 </w:t>
      </w:r>
      <w:r w:rsidRPr="00087A72">
        <w:rPr>
          <w:rStyle w:val="StyleUnderline"/>
        </w:rPr>
        <w:t xml:space="preserve">Indigenous Mexicans are the largest group. Indigenous Mexicans express multiple racial and ethnic identities, speak many different languages, and express a diversity of cultural traditions. </w:t>
      </w:r>
      <w:r w:rsidRPr="00087A72">
        <w:rPr>
          <w:sz w:val="12"/>
        </w:rPr>
        <w:t xml:space="preserve">Zapotecs and Triqui described in this essay have migrated between the United States and Mexico since the 1960s.15 Unlike other dominant migrant groups, </w:t>
      </w:r>
      <w:r w:rsidRPr="00087A72">
        <w:rPr>
          <w:rStyle w:val="StyleUnderline"/>
        </w:rPr>
        <w:t>Indigenous migrant experiences are shaped by racial and ethnic structures. They face not only racial prejudice and discrimination in both their home countries and the United States because of their Indigenous origin but also a rapacious anti-immigrant sentiment.</w:t>
      </w:r>
      <w:r w:rsidRPr="00087A72">
        <w:rPr>
          <w:sz w:val="12"/>
        </w:rPr>
        <w:t xml:space="preserve"> </w:t>
      </w:r>
      <w:r w:rsidRPr="00087A72">
        <w:rPr>
          <w:rStyle w:val="StyleUnderline"/>
        </w:rPr>
        <w:t>Cultural and linguistic differences as well as legal status also shape their reception and adaptation.</w:t>
      </w:r>
      <w:r w:rsidRPr="00087A72">
        <w:rPr>
          <w:sz w:val="12"/>
        </w:rPr>
        <w:t xml:space="preserve"> Today, Indigenous migrants are living in spaces shaped by settler colonialism. In Los Angeles, they have settled on Tongva territory; in Washington State, they have settled on Yakama land.16 </w:t>
      </w:r>
      <w:r w:rsidRPr="00087A72">
        <w:rPr>
          <w:rStyle w:val="StyleUnderline"/>
        </w:rPr>
        <w:t>An examination of Indigenous Mexicans highlights how their presence and incorporation into</w:t>
      </w:r>
      <w:r w:rsidRPr="00087A72">
        <w:rPr>
          <w:sz w:val="12"/>
        </w:rPr>
        <w:t xml:space="preserve"> California’s </w:t>
      </w:r>
      <w:r w:rsidRPr="00087A72">
        <w:rPr>
          <w:rStyle w:val="StyleUnderline"/>
        </w:rPr>
        <w:t>multicultural landscape</w:t>
      </w:r>
      <w:r w:rsidRPr="00087A72">
        <w:rPr>
          <w:sz w:val="12"/>
        </w:rPr>
        <w:t xml:space="preserve">, like that expressed through the Los Angeles Public Library’s public recognition of a strong Zapotec presence in Los Angeles, </w:t>
      </w:r>
      <w:r w:rsidRPr="00087A72">
        <w:rPr>
          <w:rStyle w:val="StyleUnderline"/>
        </w:rPr>
        <w:t>accentuates aspects of their cultures that render them acceptable within a framework of cultural assimilation while obscuring Native people on whose land these same immigrants have settled</w:t>
      </w:r>
      <w:r w:rsidRPr="00087A72">
        <w:rPr>
          <w:sz w:val="12"/>
        </w:rPr>
        <w:t xml:space="preserve">.17 By comparison, an examination of Indigenous Oaxacans in Washington’s Yakima Valley provides alternative contact narratives within a context of Oaxacan–Yakama relations. Specifically, the occupation of Indigenous and non-Indigenous migrants of the Yakama reservation allows us to pay attention and analyze the tensions, contradictions, and the possibilities emerging from such encounters. Such comparison asks us to consider: How do recent flows of Indigenous Mexicans to the United States align with or disrupt settler colonial logics? How does the presence of Indigenous migrants challenge the notion of settlers and to what extent  Indigenous Settler Transcolonial Relations Our </w:t>
      </w:r>
      <w:r w:rsidRPr="00087A72">
        <w:rPr>
          <w:rStyle w:val="StyleUnderline"/>
        </w:rPr>
        <w:t>engagement with Indigenous Mexicans living in the United States attempts to understand ways in which indigeneities are constructed</w:t>
      </w:r>
      <w:r w:rsidRPr="00087A72">
        <w:rPr>
          <w:sz w:val="12"/>
        </w:rPr>
        <w:t xml:space="preserve"> in relation to both their natal homes and Native landscapes on which they reside. Scholars have </w:t>
      </w:r>
      <w:r w:rsidRPr="00087A72">
        <w:rPr>
          <w:rStyle w:val="StyleUnderline"/>
        </w:rPr>
        <w:t>only begun to place Indigenous migrants within a larger set of relations that include Native peoples in the United States</w:t>
      </w:r>
      <w:r w:rsidRPr="00087A72">
        <w:rPr>
          <w:sz w:val="12"/>
        </w:rPr>
        <w:t>.18 Yet as Hokulani Aikau’s poignant study of Native Hawaiians at Iosepa, Utah, suggests, we stand to gain tremendously from such interrogations. Aikau’s examination of diasporic Native Hawaiians’ relationship to the land seeks to understand the commingling of settler colonialism with indigeneity. As she aptly states, “</w:t>
      </w:r>
      <w:r w:rsidRPr="00087A72">
        <w:rPr>
          <w:rStyle w:val="StyleUnderline"/>
        </w:rPr>
        <w:t>When we shift our analytical gaze from homeland to alternative contact narratives, we must recalibrate the way we understand the articulation of settler-colonialism with indigeneity.</w:t>
      </w:r>
      <w:r w:rsidRPr="00087A72">
        <w:rPr>
          <w:sz w:val="12"/>
        </w:rPr>
        <w:t>”19 In other words, as Native Hawaiians settle and reproduce colonial relations by occupying Native American lands, they draw on intimate knowledge to reproduce Indigenous forms of social organization and relations to the land. Thus a</w:t>
      </w:r>
      <w:r w:rsidRPr="00087A72">
        <w:rPr>
          <w:rStyle w:val="StyleUnderline"/>
        </w:rPr>
        <w:t>lternative contact narratives allow us to move beyond European and Native American points of contact to examine alternative encounters, including inter-Native encounters</w:t>
      </w:r>
      <w:r w:rsidRPr="00087A72">
        <w:rPr>
          <w:sz w:val="12"/>
        </w:rPr>
        <w:t xml:space="preserve">.20 We </w:t>
      </w:r>
      <w:r w:rsidRPr="00087A72">
        <w:rPr>
          <w:rStyle w:val="StyleUnderline"/>
        </w:rPr>
        <w:t>recognize that Indigenous Mexicans and Native peoples in the United States share experiences as targets of discrimination and exclusionary practices</w:t>
      </w:r>
      <w:r w:rsidRPr="00087A72">
        <w:rPr>
          <w:sz w:val="12"/>
        </w:rPr>
        <w:t xml:space="preserve">. But this does not mean that they are exempt from perpetuating contemporary settler logics. Despite some overlapping circumstances and histories, including their limited sovereign capacities and the fact that they are both defined by conquest,21 </w:t>
      </w:r>
      <w:r w:rsidRPr="00087A72">
        <w:rPr>
          <w:rStyle w:val="StyleUnderline"/>
        </w:rPr>
        <w:t>Indigenous Mexicans may nevertheless participate in contemporary neoliberal structures of settler states.</w:t>
      </w:r>
      <w:r w:rsidRPr="00087A72">
        <w:rPr>
          <w:sz w:val="12"/>
        </w:rPr>
        <w:t xml:space="preserve">22 Even as Indigenous peoples who migrated by force, they are settlers in the United States. In this capacity, </w:t>
      </w:r>
      <w:r w:rsidRPr="00087A72">
        <w:rPr>
          <w:rStyle w:val="StyleUnderline"/>
        </w:rPr>
        <w:t>we must recognize their complicity in perpetuating erasure and other forms of violence (even if unintended) toward Natives</w:t>
      </w:r>
      <w:r w:rsidRPr="00087A72">
        <w:rPr>
          <w:sz w:val="12"/>
        </w:rPr>
        <w:t xml:space="preserve">. In the remainder of this essay we examine Oaxacan Indigenous migrants to Los Angeles and Yakama to demonstrate the complex relations between migration, indigeneity, and setter colonialism. </w:t>
      </w:r>
      <w:r w:rsidRPr="00087A72">
        <w:rPr>
          <w:rStyle w:val="StyleUnderline"/>
        </w:rPr>
        <w:t>The example of Mexican Indigenous migrants</w:t>
      </w:r>
      <w:r w:rsidRPr="00087A72">
        <w:rPr>
          <w:sz w:val="12"/>
        </w:rPr>
        <w:t xml:space="preserve"> in Los Angeles </w:t>
      </w:r>
      <w:r w:rsidRPr="00087A72">
        <w:rPr>
          <w:rStyle w:val="StyleUnderline"/>
        </w:rPr>
        <w:t>provides a context to better understand the dispossession and erasure of Native people beginning with colonialism and extending into present-day multiculturalism</w:t>
      </w:r>
      <w:r w:rsidRPr="00087A72">
        <w:rPr>
          <w:sz w:val="12"/>
        </w:rPr>
        <w:t xml:space="preserve">. The case of the Indigenous farmworkers Transnational Settler Colonial Formations and Global Capital </w:t>
      </w:r>
    </w:p>
    <w:p w:rsidR="009B57E5" w:rsidRPr="00087A72" w:rsidRDefault="009B57E5" w:rsidP="009B57E5">
      <w:pPr>
        <w:pStyle w:val="Heading3"/>
      </w:pPr>
      <w:r w:rsidRPr="00087A72">
        <w:t>Solvency – Reclaim, Not Deport</w:t>
      </w:r>
    </w:p>
    <w:p w:rsidR="009B57E5" w:rsidRPr="00087A72" w:rsidRDefault="009B57E5" w:rsidP="009B57E5">
      <w:pPr>
        <w:pStyle w:val="Heading4"/>
      </w:pPr>
      <w:r w:rsidRPr="00087A72">
        <w:t xml:space="preserve">The alt isn’t to get rid of all white people for good, but to ban them until we figure this out. The focus isn’t about just giving land back, but the identity of who a person is and trying to reclaim that. Non-natives that aren’t necessarily settlers themselves must also take part and perpetuate colonialism in separate ways. We do not seek to get rid of everyone who isn’t native, but ban them until identity and personhood is reclaimed. </w:t>
      </w:r>
    </w:p>
    <w:p w:rsidR="009B57E5" w:rsidRPr="00087A72" w:rsidRDefault="009B57E5" w:rsidP="009B57E5">
      <w:pPr>
        <w:rPr>
          <w:b/>
          <w:bCs/>
          <w:sz w:val="24"/>
        </w:rPr>
      </w:pPr>
      <w:r w:rsidRPr="00087A72">
        <w:rPr>
          <w:rStyle w:val="Style13ptBold"/>
        </w:rPr>
        <w:t xml:space="preserve">Barker, 2012 </w:t>
      </w:r>
      <w:r w:rsidRPr="00087A72">
        <w:t>(Adam J., Department of Geography, University of Leicester, Leicester, UK “Already Occupied: Indigenous Peoples, Settler Colonialism and the Occupy Movements in North America” Journal of Social, Cultural and Political Protest No.1 pp.5-7)</w:t>
      </w:r>
    </w:p>
    <w:p w:rsidR="009B57E5" w:rsidRPr="00087A72" w:rsidRDefault="009B57E5" w:rsidP="009B57E5">
      <w:pPr>
        <w:rPr>
          <w:sz w:val="8"/>
        </w:rPr>
      </w:pPr>
      <w:r w:rsidRPr="00087A72">
        <w:rPr>
          <w:sz w:val="8"/>
        </w:rPr>
        <w:t xml:space="preserve"> However, these occupations have also been based on a subtext that is slowly, powerfully moving into the foreground: </w:t>
      </w:r>
      <w:r w:rsidRPr="00087A72">
        <w:rPr>
          <w:rStyle w:val="StyleUnderline"/>
        </w:rPr>
        <w:t>land is not so much occupied as reclaimed. At issue is not just ownership or control, but rather ways of being on and with the land</w:t>
      </w:r>
      <w:r w:rsidRPr="00087A72">
        <w:rPr>
          <w:sz w:val="8"/>
        </w:rPr>
        <w:t xml:space="preserve">. The goal is </w:t>
      </w:r>
      <w:r w:rsidRPr="00087A72">
        <w:rPr>
          <w:rStyle w:val="StyleUnderline"/>
        </w:rPr>
        <w:t>not to reform imposed systems such that Indigenous peoples can equally beneﬁt from them, but rather to fundamentally decolonize power and place through a transformation of how people relate to and in place.</w:t>
      </w:r>
      <w:r w:rsidRPr="00087A72">
        <w:rPr>
          <w:sz w:val="8"/>
        </w:rPr>
        <w:t xml:space="preserve"> Indigenous scholars are articulating </w:t>
      </w:r>
      <w:r w:rsidRPr="00087A72">
        <w:rPr>
          <w:rStyle w:val="StyleUnderline"/>
        </w:rPr>
        <w:t>effective Indigenous activism as the act of reconnecting with land, and through this, to identity, social cohesion and self-sufﬁciency</w:t>
      </w:r>
      <w:r w:rsidRPr="00087A72">
        <w:rPr>
          <w:sz w:val="8"/>
        </w:rPr>
        <w:t xml:space="preserve"> (Alfred, 2005). Increasingly, Indigenous activism is practised through the direct, collective assertion of place-based relationships that inform a worldview encompassing individual and group identities, resource acquisition and use, and governance structures and social institutions.</w:t>
      </w:r>
      <w:r w:rsidRPr="00087A72">
        <w:rPr>
          <w:rStyle w:val="StyleUnderline"/>
        </w:rPr>
        <w:t xml:space="preserve"> This can include non-indigenous participation, such as the cooperation between Indigenous Hawaiians, anarchists and other activists in Hawaii</w:t>
      </w:r>
      <w:r w:rsidRPr="00087A72">
        <w:rPr>
          <w:sz w:val="8"/>
        </w:rPr>
        <w:t xml:space="preserve"> (GoodyearKa’o ˜pua, 2011). </w:t>
      </w:r>
      <w:r w:rsidRPr="00087A72">
        <w:rPr>
          <w:rStyle w:val="StyleUnderline"/>
        </w:rPr>
        <w:t>Indigenous peoples are willing to share the struggle, but only to the point that the ultimate goal of liberation from colonial power, expressed through state and capital, is achieved</w:t>
      </w:r>
      <w:r w:rsidRPr="00087A72">
        <w:rPr>
          <w:sz w:val="8"/>
        </w:rPr>
        <w:t>. Long before the goal of settler colonialism was clearly articulated—</w:t>
      </w:r>
      <w:r w:rsidRPr="00087A72">
        <w:rPr>
          <w:rStyle w:val="StyleUnderline"/>
        </w:rPr>
        <w:t>the transfer of all land from Indigenous to Settler control; the erasure and replacement of Indigenous space with settler colonial spaces; the naturalization of Settler people on the land— Indigenous activists understood this inevitable trajectory and began moving to check it. Either the goals of Indigenous liberation and the decolonization of the northern bloc have been lost on many in Occupy, or they have been rejected.</w:t>
      </w:r>
      <w:r w:rsidRPr="00087A72">
        <w:rPr>
          <w:sz w:val="8"/>
        </w:rPr>
        <w:t xml:space="preserve"> As noted, Occupy movements have only partially engaged with Indigenous concerns. Despite a huge effort in both the online and physical communities of Occupy Toronto, resistance to Indigenous leadership persisted</w:t>
      </w:r>
      <w:r w:rsidRPr="00087A72">
        <w:rPr>
          <w:rStyle w:val="StyleUnderline"/>
        </w:rPr>
        <w:t>. Indigenous participants chose different forms of engagement, avoiding the GAs that have come to characterize Occupy encampments and gatherings. Instead, Indigenous activists tended a sacred ﬁre at the Occupy Toronto site, asserting an Indigenous space within the wider protest area</w:t>
      </w:r>
      <w:r w:rsidRPr="00087A72">
        <w:rPr>
          <w:sz w:val="8"/>
        </w:rPr>
        <w:t>. Furthermore, in January, Indigenous academics and activists spoke at a public forum, ‘Occupy Talks: Indigenous Perspectives on the Occupy Movement’.</w:t>
      </w:r>
      <w:r w:rsidRPr="00087A72">
        <w:rPr>
          <w:rStyle w:val="StyleUnderline"/>
        </w:rPr>
        <w:t xml:space="preserve"> This forum, while reaching out to the Settler community, was not reconciliation or reintegration, but an explanation of differences that Occupy Toronto had obfuscated.</w:t>
      </w:r>
      <w:r w:rsidRPr="00087A72">
        <w:rPr>
          <w:sz w:val="8"/>
        </w:rPr>
        <w:t xml:space="preserve"> Similar patterns occurred in Montreal, with Indigenous concerns portrayed as an ‘add on’. In Vancouver, despite an initial acknowledgement of Indigenous territory and a strong analysis of colonization throughout, ‘many at the camp still had problems taking leadership from indigenous peoples’ (Kilibarda, 2012, pp. 28–30). During the discussions on the name change during Occupy Oakland, many of the Settler members of Occupy clung to the name and moniker despite Indigenous protests. After voting down the Indigenous activists proposed name change, the general assembly devolved into a mass of shouting, arguments, confusion, protest and counter-protest (Ruiz-Lichter, 2011). It remains to be seen if solidarity can be established under these circumstances. Some Occupy activists have asserted that the occupations that they pursue are on par with Indigenous occupations, as well as those in places such as Tahrir Square. These are positioned as fundamentally different from colonial occupations. The assumption, articulated by one blogger, is that there is a basic difference between oppressive occupation by ‘the 1 percent or the military machine’, and liberatory occupations by protestors (D’amato, 2011). Meanings are ascribed to the term ‘occupy’ that is assumed to have universal resonance.</w:t>
      </w:r>
      <w:r w:rsidRPr="00087A72">
        <w:rPr>
          <w:rStyle w:val="StyleUnderline"/>
        </w:rPr>
        <w:t xml:space="preserve"> Understanding of Indigenous difference and the differential relationship that a history of settler colonialism has forged with the concept of occupation is limited. </w:t>
      </w:r>
      <w:r w:rsidRPr="00087A72">
        <w:rPr>
          <w:sz w:val="8"/>
        </w:rPr>
        <w:t xml:space="preserve">In 2005, Alfred wrote that </w:t>
      </w:r>
      <w:r w:rsidRPr="00087A72">
        <w:rPr>
          <w:rStyle w:val="StyleUnderline"/>
        </w:rPr>
        <w:t>anti-globalization protestors</w:t>
      </w:r>
      <w:r w:rsidRPr="00087A72">
        <w:rPr>
          <w:sz w:val="8"/>
        </w:rPr>
        <w:t xml:space="preserve"> appeared, to Indigenous eyes, as ‘</w:t>
      </w:r>
      <w:r w:rsidRPr="00087A72">
        <w:rPr>
          <w:rStyle w:val="StyleUnderline"/>
        </w:rPr>
        <w:t>nothing but staunch defenders of the ﬁrst wave of globalization against the second’</w:t>
      </w:r>
      <w:r w:rsidRPr="00087A72">
        <w:rPr>
          <w:sz w:val="8"/>
        </w:rPr>
        <w:t xml:space="preserve"> (Alfred, 2005, p. 235). The Occupy protestors may be more than this, but thus far their </w:t>
      </w:r>
      <w:r w:rsidRPr="00087A72">
        <w:rPr>
          <w:rStyle w:val="StyleUnderline"/>
        </w:rPr>
        <w:t>unwillingness to engage with Indigenous concerns and settler colonial privilege in the main seems to reinforce the point</w:t>
      </w:r>
      <w:r w:rsidRPr="00087A72">
        <w:rPr>
          <w:sz w:val="8"/>
        </w:rPr>
        <w:t xml:space="preserve">. The nationalistic, racialized nature of Occupy movements in North America does not just leave Indigenous peoples out; it situates Occupy as another settler colonial dynamic participating in the transfer of land and space to the hands of the settler colonial majority. If that is the case, then </w:t>
      </w:r>
      <w:r w:rsidRPr="00087A72">
        <w:rPr>
          <w:rStyle w:val="StyleUnderline"/>
        </w:rPr>
        <w:t>Occupy activists should not be surprised when Indigenous peoples confront them directly; Indigenous peoples have far too much experience ﬁghting for their survival and right to be on the land to be drawn into another homogenizing rights and reformation discourse.</w:t>
      </w:r>
      <w:r w:rsidRPr="00087A72">
        <w:rPr>
          <w:sz w:val="8"/>
        </w:rPr>
        <w:t xml:space="preserve"> After all of this, though, there remains hope that Occupy and Indigenous peoples’ movements can ﬁnd common ground; though slight, changes have been made and Indigenous activists, bloggers and scholars continue to engage with various Occupy movements, and vice versa. Furthermore, </w:t>
      </w:r>
      <w:r w:rsidRPr="00087A72">
        <w:rPr>
          <w:rStyle w:val="StyleUnderline"/>
        </w:rPr>
        <w:t>there are non-indigenous activists involved</w:t>
      </w:r>
      <w:r w:rsidRPr="00087A72">
        <w:rPr>
          <w:sz w:val="8"/>
        </w:rPr>
        <w:t xml:space="preserve"> in </w:t>
      </w:r>
      <w:r w:rsidRPr="00087A72">
        <w:rPr>
          <w:rStyle w:val="StyleUnderline"/>
        </w:rPr>
        <w:t>Occupy and other movements that are aware of settler colonialism and move to challenge it</w:t>
      </w:r>
      <w:r w:rsidRPr="00087A72">
        <w:rPr>
          <w:sz w:val="8"/>
        </w:rPr>
        <w:t xml:space="preserve">. One of those activists, Harsha Walia, sums up the dual need for engagement and decolonization, asserting </w:t>
      </w:r>
      <w:r w:rsidRPr="00087A72">
        <w:rPr>
          <w:rStyle w:val="StyleUnderline"/>
        </w:rPr>
        <w:t xml:space="preserve">non-natives must recognize our own role in perpetuating colonialism within our solidarity efforts. </w:t>
      </w:r>
      <w:r w:rsidRPr="00087A72">
        <w:rPr>
          <w:sz w:val="8"/>
        </w:rPr>
        <w:t>We can actively counter this by...discussing the nuanced issues of solidarity, leadership, strategy and analysis—not in abstraction, but within our real and informed and sustained relationships with Indigenous peoples. (Walia, 2011). In order for Occupy and Indigenous movements to truly support each other, decolonization must be central to their future relationships.</w:t>
      </w:r>
    </w:p>
    <w:p w:rsidR="009B57E5" w:rsidRPr="00087A72" w:rsidRDefault="009B57E5" w:rsidP="009B57E5">
      <w:pPr>
        <w:pStyle w:val="Heading3"/>
      </w:pPr>
      <w:r w:rsidRPr="00087A72">
        <w:t>Solvency – Rejection Key – Not Land</w:t>
      </w:r>
    </w:p>
    <w:p w:rsidR="009B57E5" w:rsidRPr="00087A72" w:rsidRDefault="009B57E5" w:rsidP="009B57E5">
      <w:pPr>
        <w:pStyle w:val="Heading4"/>
      </w:pPr>
      <w:r w:rsidRPr="00087A72">
        <w:t>Place and land has been viewed as a commodity that we can just “give back” to people and call it justice. Rather we need to understand acts of injustice and how it operates in order to adopt a lens free of settler colonial intrusions.</w:t>
      </w:r>
    </w:p>
    <w:p w:rsidR="009B57E5" w:rsidRPr="00087A72" w:rsidRDefault="009B57E5" w:rsidP="009B57E5">
      <w:r w:rsidRPr="00087A72">
        <w:rPr>
          <w:rStyle w:val="Style13ptBold"/>
        </w:rPr>
        <w:t xml:space="preserve">Seawright 2014 </w:t>
      </w:r>
      <w:r w:rsidRPr="00087A72">
        <w:t xml:space="preserve">(Gardner doctoral candidate in the Education, Culture, and Society department at the University of Utah, and will graduate in May 2018. His studies focus on the everyday presence of whiteness within educational spaces, as well as the possibilities of challenging this reality “Settler Traditions of Place: Making Explicit the Epistemological Legacy of White Supremacy and Settler Colonialism for Place-Based Education” </w:t>
      </w:r>
      <w:r w:rsidRPr="00087A72">
        <w:rPr>
          <w:i/>
        </w:rPr>
        <w:t>A Journal of the American Educational Studies Association</w:t>
      </w:r>
      <w:r w:rsidRPr="00087A72">
        <w:t>. 50:6, 554-572, pp.554-571)</w:t>
      </w:r>
    </w:p>
    <w:p w:rsidR="009B57E5" w:rsidRPr="00087A72" w:rsidRDefault="009B57E5" w:rsidP="009B57E5">
      <w:pPr>
        <w:rPr>
          <w:sz w:val="8"/>
        </w:rPr>
      </w:pPr>
      <w:r w:rsidRPr="00087A72">
        <w:rPr>
          <w:sz w:val="8"/>
        </w:rPr>
        <w:t xml:space="preserve">The increasing presence of place-based education in Western schooling is an attempt to center the relationship between the social and the ecological in response to the status quo of complicity to ecological degradation 555 their pedagogy believe that </w:t>
      </w:r>
      <w:r w:rsidRPr="00087A72">
        <w:rPr>
          <w:rStyle w:val="StyleUnderline"/>
        </w:rPr>
        <w:t>by tapping into an individual’s immediate socioecological world, a healthy, sustainable, and reciprocal relationship with the natural world can be cultivated; a natural world—a place—that includes one’s own community, town, city, geography, watershed, bioregion, as well as the natural communities of other places.</w:t>
      </w:r>
      <w:r w:rsidRPr="00087A72">
        <w:rPr>
          <w:sz w:val="8"/>
        </w:rPr>
        <w:t xml:space="preserve"> As place-based educators have worked to disrupt the norms of schooling, they have started to examine the normative conception of place within the Western knowledge system. This, in turn, has led prominent scholars of place to suggest that the dominant understanding of place exists in an abstract capacity that subordinates place to simplistic conceptualizations of land as divorced from the personal and ontological. David Orr (2005) is emblematic of this perspective when he suggests, </w:t>
      </w:r>
      <w:r w:rsidRPr="00087A72">
        <w:rPr>
          <w:rStyle w:val="StyleUnderline"/>
        </w:rPr>
        <w:t>“Place has no particular standing in contemporary education”</w:t>
      </w:r>
      <w:r w:rsidRPr="00087A72">
        <w:rPr>
          <w:sz w:val="8"/>
        </w:rPr>
        <w:t xml:space="preserve"> (87); all places have been relegated to “‘real estate’ or mere natural resources, their larger economic, ecological, social, political, and spiritual possibilities lost to the purely and narrowly utilitarian” (89). Western epistemology, and subsequently Western schooling, has come to be seen as placeless (Greenwood 2009, 2013a; Marker 2006; Orr 2005; Sobel 2004). Marking the Western concept of place as “narrowly utilitarian” is rooted in an accurate understanding of the distorted realities imposed by capitalism, but I argue that </w:t>
      </w:r>
      <w:r w:rsidRPr="00087A72">
        <w:rPr>
          <w:rStyle w:val="StyleUnderline"/>
        </w:rPr>
        <w:t>Western epistemology is not placeless and that, in addition to the distorted values of capitalism, place operates in a more significant capacity by shaping and influencing the self</w:t>
      </w:r>
      <w:r w:rsidRPr="00087A72">
        <w:rPr>
          <w:sz w:val="8"/>
        </w:rPr>
        <w:t xml:space="preserve">. Place, as it is articulated through a Western knowledge system, </w:t>
      </w:r>
      <w:r w:rsidRPr="00087A72">
        <w:rPr>
          <w:rStyle w:val="StyleUnderline"/>
        </w:rPr>
        <w:t>intersects with a social epistemology that normalizes domination through systems of white supremacy, settler colonialism, heteropatriarchy, and anthropocentrism, among other modes of domination</w:t>
      </w:r>
      <w:r w:rsidRPr="00087A72">
        <w:rPr>
          <w:sz w:val="8"/>
        </w:rPr>
        <w:t xml:space="preserve">. As a result, these epistemic norms curate conceptions of place, and come to bear on the way one knows oneself, others, and one’s relation to the natural world. Emerging from this normalized epistemological context, this article focuses on how Western social epistemologies constitute places in relation to the raced, classed, and gendered ontological possibilities embedded in the dominant knowledge system. Of particular interest is the method by which this oppressive epistemology formulates an ideal social actor, an ideal social being that mirrors and reinforces the cognitive, moral, material, and spiritual norms of the operative modes of domination. In this article, I pay specific attention to how this formulation of the ideal social actor is established upon a particular conception of place that is integral in perpetuating domination. This article is rooted in the idea </w:t>
      </w:r>
      <w:r w:rsidRPr="00087A72">
        <w:rPr>
          <w:rStyle w:val="StyleUnderline"/>
        </w:rPr>
        <w:t>that to envision a better and more just future, the nuances and reality of systemically imposed oppression and violence must be understood.</w:t>
      </w:r>
      <w:r w:rsidRPr="00087A72">
        <w:rPr>
          <w:sz w:val="8"/>
        </w:rPr>
        <w:t xml:space="preserve"> Jose Medina (2013) offers an example of a similar guid- ´ ing principle in The Epistemology of Resistance, in which he uses an approach to epistemology that emerges from an understanding that the prevailing social epistemology operates from a normalized injustice. Medina explains, “If our normative </w:t>
      </w:r>
      <w:r w:rsidRPr="00087A72">
        <w:rPr>
          <w:rStyle w:val="Emphasis"/>
        </w:rPr>
        <w:t>556</w:t>
      </w:r>
      <w:r w:rsidRPr="00087A72">
        <w:rPr>
          <w:sz w:val="8"/>
        </w:rPr>
        <w:t xml:space="preserve"> theories should start where we are, in medias res, </w:t>
      </w:r>
      <w:r w:rsidRPr="00087A72">
        <w:rPr>
          <w:rStyle w:val="StyleUnderline"/>
        </w:rPr>
        <w:t>we should start our theorizing by reflecting on the details of the actual injustices that surround us, rather than by speculating what a perfect justice might be. We need a theory of injustice more than a theory of justice</w:t>
      </w:r>
      <w:r w:rsidRPr="00087A72">
        <w:rPr>
          <w:sz w:val="8"/>
        </w:rPr>
        <w:t xml:space="preserve">” (12, emphasis in original). In response, Medina argues that </w:t>
      </w:r>
      <w:r w:rsidRPr="00087A72">
        <w:rPr>
          <w:rStyle w:val="StyleUnderline"/>
        </w:rPr>
        <w:t>epistemologies of resistance must be cultivated through critical understandings of how injustice is epistemically proliferated across social systems and must begin with a structural account of domination.</w:t>
      </w:r>
      <w:r w:rsidRPr="00087A72">
        <w:rPr>
          <w:sz w:val="8"/>
        </w:rPr>
        <w:t xml:space="preserve"> This article harbors a parallel spirit, and seeks to elucidate the epistemic mechanics of white supremacy and settler colonialism, to consider the possibilities of building resistance, and to encourage critical epistemic interrogation and introspection in place-based education. Place is an appropriate point of departure for this critical epistemic interrogation because inherent to place-based models of learning is epistemic challenge—a shifting of perspective that dares to see and understand the world around us in new ways (Gruenewald 2003). </w:t>
      </w:r>
      <w:r w:rsidRPr="00087A72">
        <w:rPr>
          <w:rStyle w:val="StyleUnderline"/>
        </w:rPr>
        <w:t>Critical epistemic shifts can move conceptions of place beyond simplistic visions of geography and flattened understandings of the land or the environment to a point where the soil, streams, and multitudes of beings engaged in complex relationships can be seen on their own terms outside of economic utility</w:t>
      </w:r>
      <w:r w:rsidRPr="00087A72">
        <w:rPr>
          <w:sz w:val="8"/>
        </w:rPr>
        <w:t xml:space="preserve">. Following the path set by many place-based scholars, I also see critical potential in place (Basso 1996; Cajete 1994, 1999; Greenwood 2013a, 2013b; Kawagley and Barnhardt 1999; Pena 1998). </w:t>
      </w:r>
      <w:r w:rsidRPr="00087A72">
        <w:rPr>
          <w:rStyle w:val="StyleUnderline"/>
        </w:rPr>
        <w:t>We all exist ˜ in place and we are all engaged in a subtle process of place-making: constituting and defining the places we exist in</w:t>
      </w:r>
      <w:r w:rsidRPr="00087A72">
        <w:rPr>
          <w:sz w:val="8"/>
        </w:rPr>
        <w:t xml:space="preserve"> (Basso 1996), </w:t>
      </w:r>
      <w:r w:rsidRPr="00087A72">
        <w:rPr>
          <w:rStyle w:val="StyleUnderline"/>
        </w:rPr>
        <w:t>and thus the potential of place-based learning to encourage a shift in awareness towards our most intimate environments.</w:t>
      </w:r>
      <w:r w:rsidRPr="00087A72">
        <w:rPr>
          <w:sz w:val="8"/>
        </w:rPr>
        <w:t xml:space="preserve"> As this article suggests, such an </w:t>
      </w:r>
      <w:r w:rsidRPr="00087A72">
        <w:rPr>
          <w:rStyle w:val="StyleUnderline"/>
        </w:rPr>
        <w:t>epistemic shift can be pushed further to incorporate a critical awareness of how place intersects with race, gender, and colonialism</w:t>
      </w:r>
      <w:r w:rsidRPr="00087A72">
        <w:rPr>
          <w:sz w:val="8"/>
        </w:rPr>
        <w:t xml:space="preserve">. However, </w:t>
      </w:r>
      <w:r w:rsidRPr="00087A72">
        <w:rPr>
          <w:rStyle w:val="StyleUnderline"/>
        </w:rPr>
        <w:t>epistemic interrogation cannot only be comprised of an individual critically engaging structural aspects of epistemology. Interrogation must also forefront a process of “self-estrangement</w:t>
      </w:r>
      <w:r w:rsidRPr="00087A72">
        <w:rPr>
          <w:sz w:val="8"/>
        </w:rPr>
        <w:t xml:space="preserve">” (Medina 2013, 19), in which epistemic positionality is located, and an individual seeks awareness of their relationship to epistemic structures and matrices of power. Accordingly, place-based inquiry needs to more thoroughly engage the complex epistemic relationship between modes of domination, conceptions of the natural world, and the politics of self. </w:t>
      </w:r>
      <w:r w:rsidRPr="00087A72">
        <w:rPr>
          <w:rStyle w:val="StyleUnderline"/>
        </w:rPr>
        <w:t xml:space="preserve">The structural epistemologies that influence conceptions of the self are not only enmeshed with white supremacy and settler colonialism. </w:t>
      </w:r>
      <w:r w:rsidRPr="00087A72">
        <w:rPr>
          <w:sz w:val="8"/>
        </w:rPr>
        <w:t xml:space="preserve">As has been pointed out by many scholars, educators and activists, </w:t>
      </w:r>
      <w:r w:rsidRPr="00087A72">
        <w:rPr>
          <w:rStyle w:val="StyleUnderline"/>
        </w:rPr>
        <w:t xml:space="preserve">to truly understand domination it must be seen in its entirety, meaning that white supremacy and settler colonialism have to be understood alongside the likes of heteropatriarchy </w:t>
      </w:r>
      <w:r w:rsidRPr="00087A72">
        <w:rPr>
          <w:sz w:val="8"/>
        </w:rPr>
        <w:t xml:space="preserve">(Smith 2006) </w:t>
      </w:r>
      <w:r w:rsidRPr="00087A72">
        <w:rPr>
          <w:rStyle w:val="StyleUnderline"/>
        </w:rPr>
        <w:t>and anthropocentrism</w:t>
      </w:r>
      <w:r w:rsidRPr="00087A72">
        <w:rPr>
          <w:sz w:val="8"/>
        </w:rPr>
        <w:t xml:space="preserve"> (Martusewicz, Edmundson, and Lupinacci 2011; Plumwood 2002). Although these modes of domination employ intersecting and mutually invested logics (e.g., a dependence on false dichotomies like man/woman, nature/culture, reason/passion, mind/body; Plumwood 2002), they do not always operate in the  </w:t>
      </w:r>
      <w:r w:rsidRPr="00087A72">
        <w:rPr>
          <w:rStyle w:val="Emphasis"/>
        </w:rPr>
        <w:t xml:space="preserve">557 </w:t>
      </w:r>
      <w:r w:rsidRPr="00087A72">
        <w:rPr>
          <w:sz w:val="8"/>
        </w:rPr>
        <w:t xml:space="preserve">same manner, and thus need to be considered on their own terms and according to their epistemic uniqueness (Medina 2013). With that being said, this article’s primary focus is on </w:t>
      </w:r>
      <w:r w:rsidRPr="00087A72">
        <w:rPr>
          <w:rStyle w:val="StyleUnderline"/>
        </w:rPr>
        <w:t>the structural epistemic interactions between white supremacy, settler colonialism, and place, hence the spotlight on white settler epistemology. I do my best to honestly engage with the complexities inherent to conversations of structure, positionality, and identity, and to acknowledge the concomitant nature between white supremacy and other modes of domination and elucidate these intersections where possible</w:t>
      </w:r>
      <w:r w:rsidRPr="00087A72">
        <w:rPr>
          <w:sz w:val="8"/>
        </w:rPr>
        <w:t>. To build upon the critical possibilities of epistemic interrogation within placebased education, this article examines white settler epistemology in relation to the politics of place and politics of self. To properly situate the role of place within the white settler epistemology, I argue that settler traditions of place are constituted by normative habits and practices that have been passed down for generations, encouraging particular relations to place, and ultimately impacting the contemporary potential of place-based education. Addressing the function of place within both white supremacy and settler colonialism provides a look at some of the nuances of settler traditions of place. The work of John Locke, as an epistemic representative of the West, is analyzed to push the politics of place to incorporate the politics of self. Locke’s theory of land, nature, people, and labor brings to light the racist, sexist, and anthropocentric characteristics and values of the ideal social actor embedded in Western epistemology. There is a radical potential in place-based education to promote productive epistemic friction and interrogation of the epistemic genealogy of the West. However, a critical comprehension of how we are differentially incorporated into epistemic structures is required to fully realize its potential.</w:t>
      </w:r>
    </w:p>
    <w:p w:rsidR="009B57E5" w:rsidRPr="00087A72" w:rsidRDefault="009B57E5" w:rsidP="009B57E5">
      <w:pPr>
        <w:pStyle w:val="Heading2"/>
      </w:pPr>
      <w:r w:rsidRPr="00087A72">
        <w:t>Impacts</w:t>
      </w:r>
    </w:p>
    <w:p w:rsidR="009B57E5" w:rsidRPr="00087A72" w:rsidRDefault="009B57E5" w:rsidP="009B57E5">
      <w:pPr>
        <w:pStyle w:val="Heading3"/>
      </w:pPr>
      <w:r w:rsidRPr="00087A72">
        <w:t xml:space="preserve">Impact – Assimilation </w:t>
      </w:r>
    </w:p>
    <w:p w:rsidR="009B57E5" w:rsidRPr="00087A72" w:rsidRDefault="009B57E5" w:rsidP="009B57E5">
      <w:pPr>
        <w:pStyle w:val="Heading4"/>
      </w:pPr>
      <w:r w:rsidRPr="00087A72">
        <w:t xml:space="preserve">Today native bodies are thought of with a sense otherness and the violence today only exist because of the mixing pot framework that the status quo uses. The integration through causes us to view them as the noble savage script their “exotic-ness” on native bodies when they refuse to assimilate and conform to American society standards. </w:t>
      </w:r>
    </w:p>
    <w:p w:rsidR="009B57E5" w:rsidRPr="00087A72" w:rsidRDefault="009B57E5" w:rsidP="009B57E5">
      <w:pPr>
        <w:rPr>
          <w:rStyle w:val="Style13ptBold"/>
        </w:rPr>
      </w:pPr>
      <w:r w:rsidRPr="00087A72">
        <w:rPr>
          <w:rStyle w:val="Style13ptBold"/>
        </w:rPr>
        <w:t xml:space="preserve">Najera &amp; Maldonado 2017(Lourdes Gutierrez &amp; Korinta, cultural anthropologist vested in continued exploration of indigeneity, immigration, ethnicity, citizenship &amp; belonging, and youth &amp; ndigenous Studies, Legal and Political Anthropology, Race and racisms in the Americas “Transnational Settler Colonial Formations and Global Capital: A Consideration of Indigenous Mexican Migrants” </w:t>
      </w:r>
      <w:r w:rsidRPr="00087A72">
        <w:rPr>
          <w:rStyle w:val="Style13ptBold"/>
          <w:i/>
        </w:rPr>
        <w:t>American Quarterly, Volume 69, No.4</w:t>
      </w:r>
      <w:r w:rsidRPr="00087A72">
        <w:rPr>
          <w:rStyle w:val="Style13ptBold"/>
        </w:rPr>
        <w:t xml:space="preserve"> pp.815-819)</w:t>
      </w:r>
    </w:p>
    <w:p w:rsidR="009B57E5" w:rsidRPr="00087A72" w:rsidRDefault="009B57E5" w:rsidP="009B57E5">
      <w:pPr>
        <w:rPr>
          <w:sz w:val="10"/>
        </w:rPr>
      </w:pPr>
      <w:r w:rsidRPr="00087A72">
        <w:rPr>
          <w:sz w:val="10"/>
        </w:rPr>
        <w:t xml:space="preserve">Transcommunal Indigeneity and Multicultural Erasures  Numerous works engage with the question of the reproduction of settler colonialism and the location of migrant communities within these contexts. For example, scholars studying the Hawaiian case argue that all migrants, even those with less economic power or pushed out by US colonial/empire endeavors in their own countries, are settlers.23 </w:t>
      </w:r>
      <w:r w:rsidRPr="00087A72">
        <w:rPr>
          <w:rStyle w:val="StyleUnderline"/>
        </w:rPr>
        <w:t>Migrant attempts to gain economic and political power by asserting “local” identities become complicit with settler colonialism by subordinating Hawaiian claims to their rightful homeland. Immigrant communities’ political agency can bolster a colonial system initiated by White settlers.</w:t>
      </w:r>
      <w:r w:rsidRPr="00087A72">
        <w:rPr>
          <w:sz w:val="10"/>
        </w:rPr>
        <w:t xml:space="preserve">24 The case of Zapotec Indigenous peoples living in Los Angeles provides insight to the ways in which they, like other “settlers of color”25 or “brown settlers,” perpetuate dispossession. Drawing on Aikau’s notion of “alternative contact narrative,” we show how </w:t>
      </w:r>
      <w:r w:rsidRPr="00087A72">
        <w:rPr>
          <w:rStyle w:val="StyleUnderline"/>
        </w:rPr>
        <w:t>Indigenous Mexicans simultaneously perpetuate Native dispossession in the United States as they lay roots and reconstruct transnational forms of indigeneity. Consequently, any understanding of Indigenous Mexican migrants as settlers must examine the relationship between settler colonial processes and indigeneity,</w:t>
      </w:r>
      <w:r w:rsidRPr="00087A72">
        <w:rPr>
          <w:sz w:val="10"/>
        </w:rPr>
        <w:t xml:space="preserve"> as argued by Aikau.26 The opening vignette provides an opportunity to begin this examination. Los Angeles today is recognized as a place marked by a large presence of Indigenous Mexicans, the majority hailing from the state of Oaxaca. Mixtecs, Zapotecs, and Mixes constitute three of the most prominent linguistic and cultural groups. Zapotecs constitute the largest group of urban residents in Los Angeles, representing Oaxaca’s main regional distributions—sierra norte, valles centrales, and isthmus. The communities representing the sierra form the largest enclave in Los Angeles. Zapotecs have left an indelible mark on the city, transforming neighborhoods into town and regional specific enclaves (e.g., valley Zapotecs in West Los Angeles versus sierra Zapotecs in Koreatown) and contributing to the growing presence of restaurants (e.g., La Guelaguetza, La Zapoteca, Sierra Juárez) and stores (e.g., La Mayordomia). Equally important are the numerous cultural groups representing hometown and regional brass 814 | American Quarterly bands, basketball teams, and dance groups. Zapotecs participate in collective celebrations commemorating patron saints, life-cycle events, and pan-ethnic festivities like guelaguetza. Not surprisingly, Oaxacans have transformed Los Angeles into a rich cultural space referred to as Oaxacalifornia. This re-envisioning of Los Angeles, and the broader state of California, as a space where Zapotecs can experience their culture, traditions, and cosmogony signals the continued importance of place in reconceptualizing indigeneity within this transnational space. Yet we suggest that the reconfiguration of Oaxacalifornia spanning Zapotec indigeneity between natal homes and Los Angeles via webs of social relations and cultural practices reproduces settler colonial logics of erasure and dispossession. In part, </w:t>
      </w:r>
      <w:r w:rsidRPr="00087A72">
        <w:rPr>
          <w:rStyle w:val="StyleUnderline"/>
        </w:rPr>
        <w:t>this erasure is achieved through US national practices of multiculturalism, but it is further reinforced by broader nationalist projects of assimilation and manifest destiny.</w:t>
      </w:r>
      <w:r w:rsidRPr="00087A72">
        <w:rPr>
          <w:sz w:val="10"/>
        </w:rPr>
        <w:t xml:space="preserve"> </w:t>
      </w:r>
      <w:r w:rsidRPr="00087A72">
        <w:rPr>
          <w:rStyle w:val="StyleUnderline"/>
        </w:rPr>
        <w:t>Numerous postcolonial scholars are critical of multiculturalism and the contemporary politics of recognition for reinforcing, rather than transforming, structures of colonial domination in relations between settler states and Indigenous communities</w:t>
      </w:r>
      <w:r w:rsidRPr="00087A72">
        <w:rPr>
          <w:sz w:val="10"/>
        </w:rPr>
        <w:t>. While Dean Saranillio stresses white supremacy as integral to logics of multiculturalism, Jonathan Okamura points to the systemic economic inequality within multicultural regimes. Other scholars further suggest that a distorted vision of Hawai‘i as a model of racial harmony and multiculturalism is often based on a common perception of a shared “local” identity among its residents that frames Native Hawaiians as “one more racial minority,” ostensibly eliminating Native rights to land, resources, and sovereignty.27 In the case of Los Angeles, Zapotec migrants are incorporated into California’s multicultural landscape through the city’s public recognition. In August 2014 the Los Angeles Public Library held a cultural event, “Welcome to Oaxacalifornia, Oaxaqueños in the Global City of L.A.,” that integrated multiple generations of Oaxacans through music and dance, a pop-up photo exhibit, and speaker panels.28 This type of recognition accentuates folkloric aspects of Oaxacan cultures that render them acceptable within a framework of assimilation. Recognition of Los Angeles as Oaxacan obscures Native people on whose land immigrants have settled. While Los Angeles residents increasingly recognize and celebrate Oaxacans by taking part in cultural events and festivities sponsored by the city, many people remain unaware that Los Angeles is “the second most Indigenous populated city in the country, with around 54,000 people who self identify as Native. When displaced Latin American and Pacific Island Indigenous peoples are considered, LA has the largest population of Transnational Settler Colonial Formations and Global Capital| 815 Indigenous peoples in the entire country.”29 The truth is, Native Californian populations—most noticeably, Tongva, Chumash, Tataviam—remain invisible in the Angeleno imaginary. “Replacement narratives” reflected in the Los Angeles Public Library’s Cornwell murals have erased their histories and, more important, so have nationalist narratives of multiculturalism that celebrate the latest wave of Oaxacan migrants as part of the city’s landscape. Beyond multicultural policies, manifest destiny and historical erasure have been used to dispossess Tongva from their lands as much today as in the past</w:t>
      </w:r>
      <w:r w:rsidRPr="00087A72">
        <w:rPr>
          <w:rStyle w:val="StyleUnderline"/>
        </w:rPr>
        <w:t>.</w:t>
      </w:r>
      <w:r w:rsidRPr="00087A72">
        <w:rPr>
          <w:sz w:val="10"/>
        </w:rPr>
        <w:t xml:space="preserve"> Again, Cornwell’s mural relies on images of Natives as subservient people relegated to the past. The most prominent images of Native people (over twenty-five across several panels) are visible in the mural depicting the “mission” period, dependent on Indigenous labor. Only three are visible in the last mural depicting Americanization and progress. What accounts for such a narrative? Here </w:t>
      </w:r>
      <w:r w:rsidRPr="00087A72">
        <w:rPr>
          <w:rStyle w:val="StyleUnderline"/>
        </w:rPr>
        <w:t>we enter a more complete rendering of Native triple colonization and continual dispossession of land and resources that contributes to their invisibility.</w:t>
      </w:r>
      <w:r w:rsidRPr="00087A72">
        <w:rPr>
          <w:sz w:val="10"/>
        </w:rPr>
        <w:t xml:space="preserve"> </w:t>
      </w:r>
      <w:r w:rsidRPr="00087A72">
        <w:rPr>
          <w:rStyle w:val="StyleUnderline"/>
        </w:rPr>
        <w:t>For Native peoples in California, dispossession began in the eighteenth century with Spanish colonization followed by extermination campaigns during the gold rush</w:t>
      </w:r>
      <w:r w:rsidRPr="00087A72">
        <w:rPr>
          <w:sz w:val="10"/>
        </w:rPr>
        <w:t xml:space="preserve">. In the </w:t>
      </w:r>
      <w:r w:rsidRPr="00087A72">
        <w:rPr>
          <w:rStyle w:val="StyleUnderline"/>
        </w:rPr>
        <w:t>1900s Native Californians who had survived</w:t>
      </w:r>
      <w:r w:rsidRPr="00087A72">
        <w:rPr>
          <w:sz w:val="10"/>
        </w:rPr>
        <w:t xml:space="preserve"> were subjected </w:t>
      </w:r>
      <w:r w:rsidRPr="00087A72">
        <w:rPr>
          <w:rStyle w:val="StyleUnderline"/>
        </w:rPr>
        <w:t xml:space="preserve">to forced relocations and boarding school education to assimilate them to “American” society. </w:t>
      </w:r>
      <w:r w:rsidRPr="00087A72">
        <w:rPr>
          <w:sz w:val="10"/>
        </w:rPr>
        <w:t xml:space="preserve">Yet through all these campaigns to erase them, </w:t>
      </w:r>
      <w:r w:rsidRPr="00087A72">
        <w:rPr>
          <w:rStyle w:val="StyleUnderline"/>
        </w:rPr>
        <w:t>Native people survived and continue to fight for their sovereignty</w:t>
      </w:r>
      <w:r w:rsidRPr="00087A72">
        <w:rPr>
          <w:sz w:val="10"/>
        </w:rPr>
        <w:t>. Tongva peoples, on whose lands the urban center was built, are at the forefront of struggles for recognition, protection of sacred sites and lands, and resources. The Public Library’s decision to invite a Oaxacan art collective builds on this colonial history of erasure, dispossession, and replacement</w:t>
      </w:r>
      <w:r w:rsidRPr="00087A72">
        <w:rPr>
          <w:rStyle w:val="StyleUnderline"/>
        </w:rPr>
        <w:t>. Inadvertently, Indigenous Mexicans in the city, unaware of California’s history of Native dispossession and the Tongva enduring presence in the city, partake in symbolic erasures</w:t>
      </w:r>
      <w:r w:rsidRPr="00087A72">
        <w:rPr>
          <w:sz w:val="10"/>
        </w:rPr>
        <w:t xml:space="preserve">. In part, this is accomplished through their own claims of transcommunal belonging contingent on transformational practices of space that incorporate Los Angeles into their sphere of relations between Oaxaca and California. </w:t>
      </w:r>
      <w:r w:rsidRPr="00087A72">
        <w:rPr>
          <w:rStyle w:val="StyleUnderline"/>
        </w:rPr>
        <w:t xml:space="preserve">While Indigenous Mexicans themselves are targets of erasure within their country of origin and are forced to move by neoliberal policies that seek to dispossess them of their lands and resources, in Los Angeles they nevertheless participate in settler logics of Tongva elimination through their complicity with the city’s multicultural agenda. </w:t>
      </w:r>
      <w:r w:rsidRPr="00087A72">
        <w:rPr>
          <w:sz w:val="10"/>
        </w:rPr>
        <w:t xml:space="preserve">Disappearing Indigenous Migrants in Yakama Land. The growing presence of Mexican Indigenous and non-Indigenous migrants on the Yakama nation reservation provides a novel context for analyzing the complexities and specificities of settler colonial formations. </w:t>
      </w:r>
      <w:r w:rsidRPr="00087A72">
        <w:rPr>
          <w:rStyle w:val="StyleUnderline"/>
        </w:rPr>
        <w:t>Migrants unintentionally have become complicit in erasing and dispossessing the Yakama from their homeland</w:t>
      </w:r>
      <w:r w:rsidRPr="00087A72">
        <w:rPr>
          <w:sz w:val="10"/>
        </w:rPr>
        <w:t xml:space="preserve">. We draw on the 2015 Latino USA “Reservation” program on Yakama land.30 The </w:t>
      </w:r>
      <w:r w:rsidRPr="00087A72">
        <w:rPr>
          <w:rStyle w:val="StyleUnderline"/>
        </w:rPr>
        <w:t>evocative imagery and voices help us understand why Native and migrant experiences continue to be considered separately rather than together as part of imbricated processes across settler colonial imperial formations.</w:t>
      </w:r>
      <w:r w:rsidRPr="00087A72">
        <w:rPr>
          <w:sz w:val="10"/>
        </w:rPr>
        <w:t xml:space="preserve">31 Looking at the historic specificity of Indigenous Mexican farmworkers in Yakama from a lens that considers indigeneity and Indigenous resurgence allows us to move beyond binaries without distressing settler colonial structuring logics.32 Yessenia, </w:t>
      </w:r>
      <w:r w:rsidRPr="00087A72">
        <w:rPr>
          <w:rStyle w:val="StyleUnderline"/>
        </w:rPr>
        <w:t>a Mexican migrant, recalls her experience moving as a child to the Yakama Indian reservation. “I remember in the closet of the house, there were beads: Native Americans beads. For as long [as] we lived in that house we kept finding beads on the closet.”33 The beads that she and her family kept unearthing work as a specter, an ongoing reminder of previous inhabitants. Yet Yessenia admits that “living in the reservation . . . it was not something we were conscious about it was just something that we figured: Indians live here,”34 an explicit acknowledgment of a presence that is always there but which Yessenia’s family was unable to grasp or recognize</w:t>
      </w:r>
      <w:r w:rsidRPr="00087A72">
        <w:rPr>
          <w:sz w:val="10"/>
        </w:rPr>
        <w:t xml:space="preserve">. Rather, </w:t>
      </w:r>
      <w:r w:rsidRPr="00087A72">
        <w:rPr>
          <w:rStyle w:val="StyleUnderline"/>
        </w:rPr>
        <w:t>they found unthreaded pieces of histories, beads that were unearthed as the migrants settled in the land. These beads illustrate the ways that settler coloniality obscures and promotes Indigenous recognition</w:t>
      </w:r>
      <w:r w:rsidRPr="00087A72">
        <w:rPr>
          <w:sz w:val="10"/>
        </w:rPr>
        <w:t xml:space="preserve">. Yessenia’s recollection provides a glimpse at the complexities arising in the Yakama Indian reservation, where a thriving Latinx population has dramatically exceeded the native Yakama people in the last thirty years.35 This demographic shift is visible at Heritage University, which was established within the Yakama reservation in the 1980s to serve the local native population. Today, its student body is 62 percent Mexican / Central American / South American ancestry and 16 percent Native American / Alaskan Native.36 Such layered social geography is reminiscent of Jodi Byrd’s delineation of the Americas, “where histories of settlers and arrivants map themselves into and on top of Indigenous peoples.”37 In this case the dominant historical narrative of the Yakima region starts with White settler habitation, dispossession, and genocide of Native Americans, like that depicted in Cornwell’s historical murals. </w:t>
      </w:r>
      <w:r w:rsidRPr="00087A72">
        <w:rPr>
          <w:rStyle w:val="StyleUnderline"/>
        </w:rPr>
        <w:t>The notion of settling on emptied Transnational Settler Colonial Formations and Global Capital land, void of “people,” is central to a settler colonial project that continues to uphold and reproduce settler logics.</w:t>
      </w:r>
      <w:r w:rsidRPr="00087A72">
        <w:rPr>
          <w:sz w:val="10"/>
        </w:rPr>
        <w:t xml:space="preserve"> Yet what the Yakima example illuminates is the ways in which settler colonialism produces racialized others and their location in relation to native peoples.38 </w:t>
      </w:r>
      <w:r w:rsidRPr="00087A72">
        <w:rPr>
          <w:rStyle w:val="StyleUnderline"/>
        </w:rPr>
        <w:t>The racialization of labor in Yakima Valley pits local native populations against Indigenous and non-Indigenous migrants, mostly from Mexico.</w:t>
      </w:r>
      <w:r w:rsidRPr="00087A72">
        <w:rPr>
          <w:sz w:val="10"/>
        </w:rPr>
        <w:t xml:space="preserve">39 Washington state and Oregon have experienced an influx of Triqui, Mixtec, and Purépecha people since the early 1990s.40 </w:t>
      </w:r>
      <w:r w:rsidRPr="00087A72">
        <w:rPr>
          <w:rStyle w:val="StyleUnderline"/>
        </w:rPr>
        <w:t>Initially, laborers in the region included Native Americans and indentured workers from Asia. But by the midtwentieth century, Mexican American workers from South Texas and Mexican migrants from rural regions dominated the landscape. The Bracero program was instrumental in this shift: “[It] enabled growers to lower wage scales and tightly control labor to such a degree that Anglos were no longer willing to work on farms.”</w:t>
      </w:r>
      <w:r w:rsidRPr="00087A72">
        <w:rPr>
          <w:sz w:val="10"/>
        </w:rPr>
        <w:t xml:space="preserve"> Latinxs, primarily of Mexican origin, ultimately come to replace Filipinos, Native Americans, and Anglos as apple workers in the 1970s and 1980s.”41 Mexican migration was predominantly of mestizo origin, but by the early 1990s Indigenous migrants dominated this flow. In Washington state, the upsurge of the Indigenous migrant population quadrupled from 1991 to 2008,42 feeding the agribusiness with cheap labor from the South</w:t>
      </w:r>
      <w:r w:rsidRPr="00087A72">
        <w:rPr>
          <w:rStyle w:val="StyleUnderline"/>
        </w:rPr>
        <w:t>. Distinct violences erase and dispossess Native Americans at the same time that Mixteco, Triqui, and mestizo migrants arrive from Mexico seeking to escape that country’s own logics of elimination through assimilation, land encroachment, and state and narco violence. These Indigenous migrants take residence on stolen lands. These are the same lands that Yakama people are precluded from owning unless they can prove tribal membership through blood quantum.</w:t>
      </w:r>
      <w:r w:rsidRPr="00087A72">
        <w:rPr>
          <w:sz w:val="10"/>
        </w:rPr>
        <w:t xml:space="preserve"> Such racialized entanglements foment anti-immigrant sentiments among some members of the Yakama nation. Matt Damaskins, a government liaison for the Yakama nation, says, “</w:t>
      </w:r>
      <w:r w:rsidRPr="00087A72">
        <w:rPr>
          <w:rStyle w:val="StyleUnderline"/>
        </w:rPr>
        <w:t>Indians are the only race that have to prove we are Indians. . . . we have to produce an enrollment card.”</w:t>
      </w:r>
      <w:r w:rsidRPr="00087A72">
        <w:rPr>
          <w:sz w:val="10"/>
        </w:rPr>
        <w:t xml:space="preserve">43 He points to the contradictions between Yakama and Indigenous Mexican reception and settlement experiences. While Yakama people struggle to be recognized as legitimate heirs of their lands, </w:t>
      </w:r>
      <w:r w:rsidRPr="00087A72">
        <w:rPr>
          <w:rStyle w:val="StyleUnderline"/>
        </w:rPr>
        <w:t>Indigenous migrants appear to blend into the social fabric more seamlessly. Yet Indigenous migrant identities are also flattened into either Mexican and/or Latinx, making their presence suspect of illegality. At other times, they play an important role within liberal multiculturalism settler colonialism as “exotic” others,44 carriers of ancestral knowledge, and noble savages in need of protectionism. An imperialist nostalgia is scripted over Indigenous migrants’ bodies</w:t>
      </w:r>
      <w:r w:rsidRPr="00087A72">
        <w:rPr>
          <w:sz w:val="10"/>
        </w:rPr>
        <w:t xml:space="preserve">, its exotic celebration and/or its protection as in the case of the Zapotec in California, and its multicultural reverberations. Such </w:t>
      </w:r>
      <w:r w:rsidRPr="00087A72">
        <w:rPr>
          <w:rStyle w:val="StyleUnderline"/>
        </w:rPr>
        <w:t>racialized and vulnerable positioning serves the settler colonial project even as it obscures its relationality</w:t>
      </w:r>
      <w:r w:rsidRPr="00087A72">
        <w:rPr>
          <w:sz w:val="10"/>
        </w:rPr>
        <w:t xml:space="preserve">.45 This embodies a process of colonial unknowing, which “renders unintelligible the entanglements of racialization and colonization.”46 “Reservations” concludes with one nodal aspect that decenters settler colonial constructions and forms of relationships and circles back to the beads and the politics of unearthing. Yessenia explains that despite the tensions, she sees important points of convergence between Indigenous experiences: a deep connection to the land, distinct language, importance of family, and a veneration of elders: “My Indigenous roots are very similar to the roots of the Yakama nation. . . . The desires we have for our families, our mothers and grandmother being key to maintaining culture, ritual and tradition and in needing to be grounded to the earth and to our language.”47 Her story allows us to imagine the beads as a venue for thinking through Indigenous relations framed not only by settler colonialism but also by alternative contact narratives. Every bead unearthed is a reminder of whose lands they settled on, political projects, and resistance. Her story also reveals a relational understanding of indigeneity that allows Yessenia to position herself as a Latinx migrant and as an Indigenous person. Conclusion We end with a reflection on the productive tensions that emerge when studying Indigenous migrants through a settler colonial framework. We emphasize </w:t>
      </w:r>
      <w:r w:rsidRPr="00087A72">
        <w:rPr>
          <w:rStyle w:val="StyleUnderline"/>
        </w:rPr>
        <w:t>these tensions to denaturalize and destabilize dominant settler–Native racial dichotomies. Recognizing the colonial present and the effects in the everyday lives of Indigenous migrants is not only crucial but urgent. Turning away from complicated and entangled conversations of the ways we (Indigenous and non-Indigenous migrants) perpetuate settler colonial logics is not an option</w:t>
      </w:r>
      <w:r w:rsidRPr="00087A72">
        <w:rPr>
          <w:sz w:val="10"/>
        </w:rPr>
        <w:t xml:space="preserve">. Neither is discarding the crucial role that production and reproduction of race and racial hierarchies play within settler colonial regimes. </w:t>
      </w:r>
      <w:r w:rsidRPr="00087A72">
        <w:rPr>
          <w:rStyle w:val="StyleUnderline"/>
        </w:rPr>
        <w:t>We are responsible in recognizing the limits of such frameworks. In so doing, we elucidate the ways in which Indigenous migrants root and reconstruct transnational indigenous identities and hemispheric articulations</w:t>
      </w:r>
      <w:r w:rsidRPr="00087A72">
        <w:rPr>
          <w:sz w:val="10"/>
        </w:rPr>
        <w:t>. Hence we need comparative and relational analysis when using settler colonial frameworks. We return briefly to the opening vignette to ruminate further on the unveiling of the murals by the Tlacolulokos, at the Los Angeles Public Library. Transnational Settler Colonial Formations and Global Capital. In our opening, we note how the retelling of California history by Oaxacan Indigenous migrants contributes to a process of erasure that renders Tongvans, Chumash, and other local tribes invisible, despite their rightful claims to the land on which the library is built. Yet we must also acknowledge the spaces that the new images may provide for alternative contact narratives between recent Mexican Indigenous arrivants and Native Americans. We hope the exhibition will foster hemispheric and intertribal dialogues in the context of an upsurge of anti-Indigenous and anti-immigrant narratives.</w:t>
      </w:r>
    </w:p>
    <w:p w:rsidR="009B57E5" w:rsidRPr="00087A72" w:rsidRDefault="009B57E5" w:rsidP="009B57E5">
      <w:pPr>
        <w:pStyle w:val="Heading4"/>
      </w:pPr>
      <w:r w:rsidRPr="00087A72">
        <w:t>Assimilation and indigenousness have been framed in the context of “sacrifice the Indian to save the man” since years of boarding schools, but the framing continues as either hyper-visibility of an otherized body; or invisibility and disappearance.</w:t>
      </w:r>
    </w:p>
    <w:p w:rsidR="009B57E5" w:rsidRPr="00087A72" w:rsidRDefault="009B57E5" w:rsidP="009B57E5">
      <w:r w:rsidRPr="00087A72">
        <w:rPr>
          <w:rStyle w:val="Style13ptBold"/>
        </w:rPr>
        <w:t xml:space="preserve">Taschereau Mamers 17 </w:t>
      </w:r>
      <w:r w:rsidRPr="00087A72">
        <w:t xml:space="preserve"> (Danielle, University of Western Ontario, Graduate in media studies "Settler Colonial Ways of Seeing: Documentary Governance of Indigenous Life in Canada and its Disruption" (2017). Electronic Thesis and Dissertation Repository. 4651. https://ir.lib.uwo.ca/etd/4651)</w:t>
      </w:r>
    </w:p>
    <w:p w:rsidR="009B57E5" w:rsidRPr="00087A72" w:rsidRDefault="009B57E5" w:rsidP="009B57E5">
      <w:r w:rsidRPr="00087A72">
        <w:t xml:space="preserve">To articulate the visual dimension of settler colonial desires and the legislation they produce, I turn to a series of insights from visual and political theorists. </w:t>
      </w:r>
      <w:r w:rsidRPr="00087A72">
        <w:rPr>
          <w:rStyle w:val="Emphasis"/>
        </w:rPr>
        <w:t>The politics of framing, of defining the terms of visibility, and of organizing the sensible world has 43 been the subject of a wide range of theoretical work.</w:t>
      </w:r>
      <w:r w:rsidRPr="00087A72">
        <w:t xml:space="preserve">2 At the heart of many of these interventions are responses to the following question: What are the </w:t>
      </w:r>
      <w:r w:rsidRPr="00087A72">
        <w:rPr>
          <w:rStyle w:val="StyleUnderline"/>
        </w:rPr>
        <w:t>conditions under which life is made visible—or invisible—and how does that visibility frame politics, ethics, and policy?</w:t>
      </w:r>
      <w:r w:rsidRPr="00087A72">
        <w:t xml:space="preserve"> Naturalized frames claim to present the world as it is, when so often what we glimpse through such a constrained view is an image of the world as if the desires of those invested in framing practices were neutral facts rather than the conditions of specific political aspirations. Put another way, </w:t>
      </w:r>
      <w:r w:rsidRPr="00087A72">
        <w:rPr>
          <w:rStyle w:val="StyleUnderline"/>
        </w:rPr>
        <w:t>framing attempts to transform the material conditions of the world by shaping their visibility. In conditioning the possibility of being seen, frames operationalize grids of intelligibility such as hierarchical classifications and property logics. As Judith Butler notes, frames are “operations of power”, but they do not unilaterally determine one’s apprehension of the world: there are always breakage points within these operations, where elements that disrupt framed senses of reality come into view (1999, 1). While I draw on the insights of several visual and political theorists to develop what I am calling settler colonial ways of seeing, my theorization of this concept is grounded in the insights of Kahnawà:ke Mohawk scholar Audra Simpson.</w:t>
      </w:r>
      <w:r w:rsidRPr="00087A72">
        <w:t xml:space="preserve"> In her 2007 article, “On Ethnographic Refusal”, Simpson reflects on the practices of re-presentation used in anthropological research </w:t>
      </w:r>
      <w:r w:rsidRPr="00087A72">
        <w:rPr>
          <w:rStyle w:val="StyleUnderline"/>
        </w:rPr>
        <w:t>have frequently worked in tandem with social and political theory to provide justifications for the dispossession of Indigenous peoples from their territories, in the past and present.</w:t>
      </w:r>
      <w:r w:rsidRPr="00087A72">
        <w:t xml:space="preserve"> Drawing on the example of Captain Cook’s reports of the Indigenous peoples he encountered in the lands now called Australia, Simpson notes that these accounts narrate an uncivilized people living without a system of land tenure. Cook’s representations, Simpson notes, </w:t>
      </w:r>
      <w:r w:rsidRPr="00087A72">
        <w:rPr>
          <w:rStyle w:val="StyleUnderline"/>
        </w:rPr>
        <w:t>not only reflected Euro-modern biases of the time, but were employed as evidence that the British settlement of the continent was justified under the legal doctrine of terra nullius</w:t>
      </w:r>
      <w:r w:rsidRPr="00087A72">
        <w:t xml:space="preserve"> (69). Cook’s accounts are one example of a </w:t>
      </w:r>
      <w:r w:rsidRPr="00087A72">
        <w:rPr>
          <w:rStyle w:val="StyleUnderline"/>
        </w:rPr>
        <w:t>wide range of anthropological, ethnological, ethnographic, and cartographic practices used in colonial contexts to extract Indigenous peoples from “their 2 Key interventions in debates on vision and politics include Azoulay</w:t>
      </w:r>
      <w:r w:rsidRPr="00087A72">
        <w:t xml:space="preserve"> (2008, 2012), Barthes (1977), Benjamin (2008), Butler (2009), Rancière (2004, 2010, 2014), Reinhardt (2012, 2015), Sliwinski (2011) and many others. 44 own spaces of self-definition” (69). Such ways of </w:t>
      </w:r>
      <w:r w:rsidRPr="00087A72">
        <w:rPr>
          <w:rStyle w:val="StyleUnderline"/>
        </w:rPr>
        <w:t>making Indigenous “others” known to settler colonial agents do so in ways that also render Indigenous claims to “self- and territorial-possession” imperceptible</w:t>
      </w:r>
      <w:r w:rsidRPr="00087A72">
        <w:t xml:space="preserve"> (69). This array of re-presentations employed alongside social, political, and legal theories to justify dispossession, Simpson argues, establish “the terms of even being seen” (69). Under such terms, </w:t>
      </w:r>
      <w:r w:rsidRPr="00087A72">
        <w:rPr>
          <w:rStyle w:val="StyleUnderline"/>
        </w:rPr>
        <w:t xml:space="preserve">“Indians” are insistently rendered in “deeply simplified, atrophied representations” that simultaneously conform to theories of settler colonial right and efface Indigenous political realities, presence, and relations. Simpson’s findings identify perceptibility and the operation of visual, narrative, and legal frames as key sites of settler colonial politics. </w:t>
      </w:r>
      <w:r w:rsidRPr="00087A72">
        <w:t xml:space="preserve">My theorization of settler colonial ways of seeing flows from a desire to better understand the conditions of possibility that establish </w:t>
      </w:r>
      <w:r w:rsidRPr="00087A72">
        <w:rPr>
          <w:rStyle w:val="Emphasis"/>
        </w:rPr>
        <w:t>such “terms of even being seen” and to examine the techniques through which the political work of seeing and refusing to see operate. Specifically, I am interested in the broader visual-political scene of settler colonialism.</w:t>
      </w:r>
      <w:r w:rsidRPr="00087A72">
        <w:t xml:space="preserve"> Building on Simpson’s critique of anthropological terms of even being seen, I ask: What political visions and visual techniques structure the ways that seeing—and unseeing—operates under settler colonialism? Shifting from Simpson’s anthropological register to one of political and media studies, </w:t>
      </w:r>
      <w:r w:rsidRPr="00087A72">
        <w:rPr>
          <w:rStyle w:val="StyleUnderline"/>
        </w:rPr>
        <w:t>how do settler colonial bureaucratic actors contribute to the visibilities that combine with social, political, and legal theory to justify dispossession?</w:t>
      </w:r>
      <w:r w:rsidRPr="00087A72">
        <w:t xml:space="preserve"> In response to settler colonial ways of seeing, how do the </w:t>
      </w:r>
      <w:r w:rsidRPr="00087A72">
        <w:rPr>
          <w:rStyle w:val="StyleUnderline"/>
        </w:rPr>
        <w:t>disruptive techniques of Indigenous activists and artists point to ways of seeing that insist on self-determining Indigenous presence</w:t>
      </w:r>
      <w:r w:rsidRPr="00087A72">
        <w:t>? With Simpson’s insight into how colonial politics establish</w:t>
      </w:r>
      <w:r w:rsidRPr="00087A72">
        <w:rPr>
          <w:rStyle w:val="Emphasis"/>
        </w:rPr>
        <w:t xml:space="preserve"> limited and restrictive terms of being seen for Indigenous peoples as a foundation, the remainder of this section elaborates the concept of settler colonial ways of seeing. Settler colonial ways of seeing enact the aesthetic dimensions of settler politics by framing what is perceptible, thinkable, and feasible</w:t>
      </w:r>
      <w:r w:rsidRPr="00087A72">
        <w:t xml:space="preserve"> (Rancière 2009, 72).</w:t>
      </w:r>
    </w:p>
    <w:p w:rsidR="009B57E5" w:rsidRPr="00087A72" w:rsidRDefault="009B57E5" w:rsidP="009B57E5"/>
    <w:p w:rsidR="009B57E5" w:rsidRPr="00087A72" w:rsidRDefault="009B57E5" w:rsidP="009B57E5">
      <w:pPr>
        <w:pStyle w:val="Heading3"/>
      </w:pPr>
      <w:r w:rsidRPr="00087A72">
        <w:t>Impact – Immigration is Integration, Integration is Assimilation</w:t>
      </w:r>
    </w:p>
    <w:p w:rsidR="009B57E5" w:rsidRPr="00087A72" w:rsidRDefault="009B57E5" w:rsidP="009B57E5">
      <w:pPr>
        <w:pStyle w:val="Heading4"/>
      </w:pPr>
      <w:r w:rsidRPr="00087A72">
        <w:t xml:space="preserve">Immigration is integration and integration is assimilation. </w:t>
      </w:r>
      <w:r w:rsidRPr="00087A72">
        <w:rPr>
          <w:rStyle w:val="Style13ptBold"/>
          <w:b/>
          <w:szCs w:val="24"/>
        </w:rPr>
        <w:t>Immigration is constituted upon the carceral state which maintain settler hierarchies—The American settler colony seeks to expand it territorial reach while containing and controlling populations through violence weaponized through inclusion and exclusion</w:t>
      </w:r>
      <w:r w:rsidRPr="00087A72">
        <w:rPr>
          <w:rStyle w:val="Style13ptBold"/>
          <w:szCs w:val="24"/>
        </w:rPr>
        <w:t xml:space="preserve">. </w:t>
      </w:r>
      <w:r w:rsidRPr="00087A72">
        <w:t xml:space="preserve"> Reject the affirmative because </w:t>
      </w:r>
      <w:r w:rsidRPr="00087A72">
        <w:rPr>
          <w:rStyle w:val="StyleUnderline"/>
          <w:szCs w:val="24"/>
        </w:rPr>
        <w:t xml:space="preserve">the inclusion of peoples perpetually rendered ‘different’ has been integral to US colonization and imperial expansion. The disposable labor force on which the White Settlers still depend has been constructed and controlled by mass internments and an immigration system that has long relied upon indefinite detention. </w:t>
      </w:r>
      <w:r w:rsidRPr="00087A72">
        <w:rPr>
          <w:b w:val="0"/>
          <w:szCs w:val="24"/>
        </w:rPr>
        <w:t xml:space="preserve"> </w:t>
      </w:r>
    </w:p>
    <w:p w:rsidR="009B57E5" w:rsidRPr="00087A72" w:rsidRDefault="009B57E5" w:rsidP="009B57E5">
      <w:r w:rsidRPr="00087A72">
        <w:rPr>
          <w:rStyle w:val="Style13ptBold"/>
        </w:rPr>
        <w:t>Saito 18</w:t>
      </w:r>
      <w:r w:rsidRPr="00087A72">
        <w:t xml:space="preserve"> ( Natsu Taylor. "Indefinite Detention, Colonialism, and Settler Prerogative in the United States." Social &amp; Legal Studies (2018): 0964663918769362. Indefinite Detention, Colonialism, and Settler Prerogative in the United States Natsu Taylor Saito Abstract Social &amp; Legal Studies 1–34 a The Author(s) 2018 Reprints and permission: sagepub.co.uk/journalsPermissions.nav DOI: 10.1177/0964663918769362 journals.sagepub.com/home/sls</w:t>
      </w:r>
    </w:p>
    <w:p w:rsidR="009B57E5" w:rsidRPr="00087A72" w:rsidRDefault="009B57E5" w:rsidP="009B57E5">
      <w:r w:rsidRPr="00087A72">
        <w:t xml:space="preserve">22 Social &amp; Legal Studies XX(X) Concluding Thoughts </w:t>
      </w:r>
      <w:r w:rsidRPr="00087A72">
        <w:rPr>
          <w:rStyle w:val="StyleUnderline"/>
        </w:rPr>
        <w:t>Indefinite detention is often described – and contested – as a form of exclusion from society having spatial, biological, conceptual, and legal dimensions. Denied the protections penal law purports to provide, detainees are forcibly confined, subjected to physical and mental torture, and rendered socially invisible. Exclusion, however, implies a border between inside and outside; it can exist only in relation to inclusion. Similarly, exceptions arise only in relation to rules.</w:t>
      </w:r>
      <w:r w:rsidRPr="00087A72">
        <w:t xml:space="preserve"> </w:t>
      </w:r>
      <w:r w:rsidRPr="00087A72">
        <w:rPr>
          <w:rStyle w:val="StyleUnderline"/>
        </w:rPr>
        <w:t>Thus contextualized, Agamben defines the ‘relation of exception’ as ‘the extreme form of relation by which something is included solely through its exclusion’ (Agamben, 1998: 18). His characterization of ‘the exception [as] an inclusive exclusion’ (Agamben, 1998: 21) provides a useful starting point for understanding indefinite detentions in settler colonial contexts, for colonization is a process of forcible inclusion that must be realized for there to be anyone or anything to exclude.</w:t>
      </w:r>
      <w:r w:rsidRPr="00087A72">
        <w:t xml:space="preserve">17 To the extent </w:t>
      </w:r>
      <w:r w:rsidRPr="00087A72">
        <w:rPr>
          <w:rStyle w:val="StyleUnderline"/>
        </w:rPr>
        <w:t xml:space="preserve">the inclusion of peoples perpetually rendered ‘different’ has been integral to US colonization and imperial expansion, the concomitant exclusions, or internments, must be seen as normative rather than exceptional. The United States would not have the land base that allows for its physical existence and its wealth without the forced removal of American Indians from their traditional lands and their militarily enforced confinement to reservations or boarding schools. The involuntary labor relied upon by the settlers to render these lands profitable cannot be divorced from the con- centration camps of chattel slavery or their subsequent evolution into the world’s largest prison system. The disposable labor force on which the settlers still depend has been constructed and controlled by mass internments and an immigration system that has long relied upon indefinite detention. Most recently, it appears that the arbitrary and dehumanizing incarceration of people who are, or are perceived to be, Arab, Muslim and/or of Middle Eastern origin is integral to the United States’ maintenance of global hegemony (Saito, 2001). Most of the peoples of color interned by the United States have been in a position to be excluded by virtue of having first been involuntarily included in the American settler colonial project. As a result, the exclusion represented by the indefinite detentions to which they have been subjected cannot adequately be understood – much less redressed – without simultaneously addressing the underlying inclusions, that is, the appropriation of lands, resources, and human bodies in the interest of colonial expansion. More recent migrants and refugees may be perceived as voluntarily requesting inclusion, but in many instances their migrations can be seen as proximately caused by the United States’ exercise of its military and economic power on a global scale. These and many other racialized detentions – each a conscious project of the settler state – are characterized by the twinned dimensions of inclusion and exclusion that reflect the internal logic of colonialism as well as its more practical aims. To the extent the dynamic of exclusion cannot be separated, in theory or practice, from that of involuntary (i.e., colonial or imperial) inclusion, the resulting injustices are not exceptional but organic to the state’s assertion of its sovereign prerogative </w:t>
      </w:r>
      <w:r w:rsidRPr="00087A72">
        <w:t xml:space="preserve">(Wolfe, 1999: 204–210). </w:t>
      </w:r>
      <w:r w:rsidRPr="00087A72">
        <w:rPr>
          <w:rStyle w:val="StyleUnderline"/>
        </w:rPr>
        <w:t>This helps explain the consistency with which the United States has utilized indefinite detentions throughout its history, while also suggesting that such practices cannot be effectively prevented or redressed within a paradigm of law, constitutional or otherwise, that rests upon colonial foundations. Throughout American his- tory, the settler state has exercised its claimed prerogative to indefinitely detain individuals or entire peoples in what it claims to be the national interest</w:t>
      </w:r>
      <w:r w:rsidRPr="00087A72">
        <w:t xml:space="preserve">. </w:t>
      </w:r>
      <w:r w:rsidRPr="00087A72">
        <w:rPr>
          <w:rStyle w:val="StyleUnderline"/>
        </w:rPr>
        <w:t>With equal</w:t>
      </w:r>
      <w:r w:rsidRPr="00087A72">
        <w:t xml:space="preserve"> Saito 23 </w:t>
      </w:r>
      <w:r w:rsidRPr="00087A72">
        <w:rPr>
          <w:rStyle w:val="StyleUnderline"/>
        </w:rPr>
        <w:t>consistency, this power has been ratified by the Supreme Court, often in the name of judicial deference to the plenary authority of the political branches of government</w:t>
      </w:r>
      <w:r w:rsidRPr="00087A72">
        <w:t>. In the seminal Downes v. Bidwell decision referenced above, Justice Henry Billings Brown acknowledged that such ‘an unrestrained possession of power’ could lead to concerns about despotism. He assured, us, however, that we need not worry, for ‘[t]here are certain principles of natural justice inherent in the Anglo-Saxon character, which need no expression in constitutions or statutes to give them effect’ (Downes v. Bidwell, 182 U.S. 244, 1901: 280</w:t>
      </w:r>
      <w:r w:rsidRPr="00087A72">
        <w:rPr>
          <w:rStyle w:val="StyleUnderline"/>
        </w:rPr>
        <w:t>). In support of this explicitly racialized proposition, he quoted the following statement from Chief Justice John Marshall’s opinion in Johnson v. McIntosh, the 1823 case that deemed American Indians incapable of owning their own lands: The title by conquest is acquired and maintained by force. The conqueror prescribes its limits. Humanity, however, acting on public opinion, has established, as a general rule, that the conquered shall not be wantonly oppressed, and that their condition shall remain as eligible as is compatible with the objects of the conquest</w:t>
      </w:r>
      <w:r w:rsidRPr="00087A72">
        <w:t xml:space="preserve">. (Downes v. Bidwell, 182 U.S. 244, 1901: 281; quoting Johnson v. McIntosh, 21 U.S. 543, 1823: 589) </w:t>
      </w:r>
      <w:r w:rsidRPr="00087A72">
        <w:rPr>
          <w:rStyle w:val="StyleUnderline"/>
        </w:rPr>
        <w:t>As of 2018, the US government’s power to indefinitely detain whomever it wishes, under whatever conditions it deems appropriate, still rests on this legal foundation. The ability to detain is constrained not by the rule of law but by ‘the objects of the [colonial] conquest’ and conditions of detention are limited, in essence, only by the ‘principles of natural justice inherent in the Anglo-Saxon character’. If we wish to effectively contest the conditions of exclusion embodied, quite literally, in indefinite detentions, we will also have to address and contest the underlying colonization that dictates the terms upon which those deemed Other have been and continue to be incorporated into, or subsumed by, the claimed jurisdiction of the United States.</w:t>
      </w:r>
    </w:p>
    <w:p w:rsidR="009B57E5" w:rsidRPr="00087A72" w:rsidRDefault="009B57E5" w:rsidP="009B57E5">
      <w:pPr>
        <w:pStyle w:val="Heading3"/>
      </w:pPr>
      <w:r w:rsidRPr="00087A72">
        <w:t>Impact – Biopolitics</w:t>
      </w:r>
    </w:p>
    <w:p w:rsidR="009B57E5" w:rsidRPr="00087A72" w:rsidRDefault="009B57E5" w:rsidP="009B57E5">
      <w:pPr>
        <w:pStyle w:val="Heading4"/>
        <w:rPr>
          <w:rStyle w:val="StyleUnderline"/>
          <w:szCs w:val="24"/>
        </w:rPr>
      </w:pPr>
      <w:r w:rsidRPr="00087A72">
        <w:rPr>
          <w:szCs w:val="24"/>
        </w:rPr>
        <w:t xml:space="preserve">Voluntary migrants are not innocent- their inclusion into the U.S. feed into the bipolitical colonial structures that create and police categories of the citizen and the alien. </w:t>
      </w:r>
      <w:r w:rsidRPr="00087A72">
        <w:rPr>
          <w:rStyle w:val="StyleUnderline"/>
          <w:szCs w:val="24"/>
        </w:rPr>
        <w:t xml:space="preserve">Immigrants are generally understood to be voluntary migrants and, therefore, it might appear that their exclusion from the United States, either through internment or deportation, is unrelated to the forced inclusions that inevitably characterize colonial ventures. </w:t>
      </w:r>
    </w:p>
    <w:p w:rsidR="009B57E5" w:rsidRPr="00087A72" w:rsidRDefault="009B57E5" w:rsidP="009B57E5">
      <w:r w:rsidRPr="00087A72">
        <w:t xml:space="preserve"> </w:t>
      </w:r>
    </w:p>
    <w:p w:rsidR="009B57E5" w:rsidRPr="00087A72" w:rsidRDefault="009B57E5" w:rsidP="009B57E5">
      <w:r w:rsidRPr="00087A72">
        <w:rPr>
          <w:rStyle w:val="Style13ptBold"/>
        </w:rPr>
        <w:t>Saito 18</w:t>
      </w:r>
      <w:r w:rsidRPr="00087A72">
        <w:t xml:space="preserve"> ( Natsu Taylor. "Indefinite Detention, Colonialism, and Settler Prerogative in the United States." Social &amp; Legal Studies (2018): 0964663918769362. Indefinite Detention, Colonialism, and Settler Prerogative in the United States Natsu Taylor Saito Abstract Social &amp; Legal Studies 1–34 a The Author(s) 2018 Reprints and permission: sagepub.co.uk/journalsPermissions.nav DOI: 10.1177/0964663918769362 journals.sagepub.com/home/sls</w:t>
      </w:r>
    </w:p>
    <w:p w:rsidR="009B57E5" w:rsidRPr="00087A72" w:rsidRDefault="009B57E5" w:rsidP="009B57E5">
      <w:r w:rsidRPr="00087A72">
        <w:t xml:space="preserve">18 Social &amp; Legal Studies XX(X) Immigrant Detention The previous sections have briefly addressed </w:t>
      </w:r>
      <w:r w:rsidRPr="00087A72">
        <w:rPr>
          <w:rStyle w:val="StyleUnderline"/>
        </w:rPr>
        <w:t xml:space="preserve">ways in which the settlers who believe the United States to be ‘their’ country have routinely imposed regimes of indefinite detention upon American Indians, Afro-descendants, and other peoples of color in order to obtain Indigenous lands and to profit from the lands and peoples they have colonized. A discussion of such ‘routine’ internments would be incomplete, however, without mention of the indefinite detention of peoples cast as unwelcome or disposable migrants, for ‘[n]o preventive detention regime in US law sees more use or affects as many people as does the immigration detention system’ (Klein and Wittes, 2011: 141). </w:t>
      </w:r>
      <w:r w:rsidRPr="00087A72">
        <w:t xml:space="preserve">Thus far I have argued that </w:t>
      </w:r>
      <w:r w:rsidRPr="00087A72">
        <w:rPr>
          <w:rStyle w:val="StyleUnderline"/>
        </w:rPr>
        <w:t>indefinite detentions in the US have, in large measure, been a necessary concomitant to the settler colonists’ appropriation of Indigenous lands, their utilization of enslaved labor to ‘develop’ and profit from those lands, and their desire to contain and control sectors of the population they perceive as superfluous to the well-being of ‘their’ state. From this perspective, the exclusion of Indigenous and Afro-descendant peoples through various forms of incarceration is integrally related to their histories of having been involuntarily included in the course of American colonial expansion. Immigrants are generally understood to be voluntary migrants and, therefore, it might appear that their exclusion from the United States, either through internment or deportation, is unrelated to the forced inclusions that inevitably characterize colonial ventures.</w:t>
      </w:r>
      <w:r w:rsidRPr="00087A72">
        <w:t xml:space="preserve"> </w:t>
      </w:r>
      <w:r w:rsidRPr="00087A72">
        <w:rPr>
          <w:rStyle w:val="StyleUnderline"/>
        </w:rPr>
        <w:t>In fact, however, immigration-based detentions can be seen as integrally related to American settler colonialism. An assumed right to control who may, must, or may not enter the territory, and who may or must leave it, is a foundational precept of the sovereign prerogative claimed by colonial founders of the state (Veracini, 2010: 16– 17).</w:t>
      </w:r>
      <w:r w:rsidRPr="00087A72">
        <w:t xml:space="preserve"> </w:t>
      </w:r>
      <w:r w:rsidRPr="00087A72">
        <w:rPr>
          <w:rStyle w:val="StyleUnderline"/>
        </w:rPr>
        <w:t>As the Supreme Court candidly stated in its 1901 decision in Downes v. Bidwell, where it refused to extend constitutional protections to the residents of external colonies such as Puerto Rico, ‘[t]he power to acquire territory . . . implies not only the power to govern such territory, but to prescribe upon what terms the United States will receive its inhabitants, and what their status shall be’</w:t>
      </w:r>
      <w:r w:rsidRPr="00087A72">
        <w:t xml:space="preserve"> (Downes v. Bidwell, 182 U.S. 244, 1901: 279</w:t>
      </w:r>
      <w:r w:rsidRPr="00087A72">
        <w:rPr>
          <w:rStyle w:val="StyleUnderline"/>
        </w:rPr>
        <w:t xml:space="preserve">). Despite the master narrative’s rhetorical insistence that this is a ‘nation of immigrants’ (White House, Office of Communications, 2013) – a framing that serves primarily to erase Indigenous sovereignty – it has always been more accurately described, as it was by the so-called Native Sons of the Golden West, as ‘the White Man’s Paradise’ (CWRIC, 1982: 364, n. 41). In attempting to create and maintain this ‘paradise’, immigration policies have played a critical role. </w:t>
      </w:r>
      <w:r w:rsidRPr="00087A72">
        <w:t xml:space="preserve">Mae Ngai has documented in detail how </w:t>
      </w:r>
      <w:r w:rsidRPr="00087A72">
        <w:rPr>
          <w:rStyle w:val="StyleUnderline"/>
        </w:rPr>
        <w:t>global migration is not simply ‘a unidirectional phenomenon, in which the hapless poor of the world clamor at the gates of . . . wealthier nations’ and, more particularly, how American immigration history is ‘the product of specific economic, colonial, political, military, and/or ideological ties between the United States and other countries’ (</w:t>
      </w:r>
      <w:r w:rsidRPr="00087A72">
        <w:t xml:space="preserve">Ngai, 2004: 11, 10). </w:t>
      </w:r>
      <w:r w:rsidRPr="00087A72">
        <w:rPr>
          <w:rStyle w:val="StyleUnderline"/>
        </w:rPr>
        <w:t>Given the United States’ remarkably successful campaign to depict this as a ‘land of opportunity’ for all, many undoubtedly came voluntarily, believing – accurately or not – in their ability to share in the benefits accrued by the largely Euroderivative settler class</w:t>
      </w:r>
      <w:r w:rsidRPr="00087A72">
        <w:t xml:space="preserve"> (Lockwood, 2013). </w:t>
      </w:r>
      <w:r w:rsidRPr="00087A72">
        <w:rPr>
          <w:rStyle w:val="StyleUnderline"/>
        </w:rPr>
        <w:t>Many others, however, have migrated under very different circumstances, from Saito 19 Chinese laborers literally kidnapped and forced to migrate (Redman, 2010: 2–5) to Filipinos, Puerto Ricans and Pacific Islanders driven from their homelands by US colonial occupation and its economic consequences</w:t>
      </w:r>
      <w:r w:rsidRPr="00087A72">
        <w:t xml:space="preserve"> (Andres, 2009: 530–531; Roma ́n and Simmons, 2002: 488–519; Torruella, 2013: 82–87); to Central American refugees, them- selves Indigenous peoples, forced off their lands by US-backed military governments (Romig, 1985: 317–18); to those, like Mexican subsistence farmers, no longer able to feed their families as a result of global economic agreements (Belanger, 2006: 2–3, 13– 16); to refugees generated by US wars, from Southeast Asia to Iraq, Afghanistan, and Syria (Chow, 2005: 106–111; Hedges, 2013). </w:t>
      </w:r>
      <w:r w:rsidRPr="00087A72">
        <w:rPr>
          <w:rStyle w:val="StyleUnderline"/>
        </w:rPr>
        <w:t>In many of these cases, governmental policies have facilitated the importation of labor when the otherwise available workforce was inadequate to settler territorial or economic expansion, and then excluded these workers during periods of economic downturn</w:t>
      </w:r>
      <w:r w:rsidRPr="00087A72">
        <w:t xml:space="preserve"> (Lo ́pez, 2012). </w:t>
      </w:r>
      <w:r w:rsidRPr="00087A72">
        <w:rPr>
          <w:rStyle w:val="StyleUnderline"/>
        </w:rPr>
        <w:t xml:space="preserve">In other instances, such as the influx of refugees generated by US wars, the diversification of the population seems less intentional, accepted, often grudgingly, as the collateral damage of the policies and actions perceived as necessary to achieve or maintain global hegemony </w:t>
      </w:r>
      <w:r w:rsidRPr="00087A72">
        <w:t xml:space="preserve">(Scott, 2014). </w:t>
      </w:r>
      <w:r w:rsidRPr="00087A72">
        <w:rPr>
          <w:rStyle w:val="StyleUnderline"/>
        </w:rPr>
        <w:t>Despite the wide range of motivations impelling migrations to the United States, certain commonalities, or patterns, can be seen in terms of the subordination of migrants, particularly migrants of color, in the interest of maintaining colonial relations. One of these is the government’s consistent use of a virtually unfettered prerogative to detain immigrants.</w:t>
      </w:r>
      <w:r w:rsidRPr="00087A72">
        <w:t xml:space="preserve"> This section provides a few illustrative examples of this process. During the mid-19th century,</w:t>
      </w:r>
      <w:r w:rsidRPr="00087A72">
        <w:rPr>
          <w:rStyle w:val="StyleUnderline"/>
        </w:rPr>
        <w:t xml:space="preserve"> Chinese workers were heavily – and often involuntarily – recruited to the United States to serve as a readily contained and presumptively disposable pool of low-wage labor essential to the agricultural and industrial develop- ment of the West </w:t>
      </w:r>
      <w:r w:rsidRPr="00087A72">
        <w:t xml:space="preserve">(Galenson, 1984: 15; Takaki, 1989: 79–88). </w:t>
      </w:r>
      <w:r w:rsidRPr="00087A72">
        <w:rPr>
          <w:rStyle w:val="StyleUnderline"/>
        </w:rPr>
        <w:t xml:space="preserve">Within a few decades, however, the Chinese were increasingly depicted as a ‘yellow peril’ intent on displacing White workers and Congress responded to the mounting calls for exclusion by passing the first federal immigration laws since the prohibition of the slave trade. A series of Chinese Exclusion Acts was passed in the 1880s, prohibiting the entry of Chinese workers, precluding the reentry of Chinese residents who left the country, and creating a presumption of illegal presence that could be rebutted only with a certificate of residence (‘a kind of internal passport’) attested to by White witnesses </w:t>
      </w:r>
      <w:r w:rsidRPr="00087A72">
        <w:t>(Daniels, 2004: 17–22).</w:t>
      </w:r>
      <w:r w:rsidRPr="00087A72">
        <w:rPr>
          <w:rStyle w:val="StyleUnderline"/>
        </w:rPr>
        <w:t xml:space="preserve"> Equally egregiously, during the Depression of the 1930s, when their labor was no longer desired, about one-third of the population of Mexican origin – both citizen and noncitizen – was summarily rounded up and deported </w:t>
      </w:r>
      <w:r w:rsidRPr="00087A72">
        <w:t>(Johnson, 2004: 661–667). In the Chinese Exclusion Cases, the Supreme Court first articulated the plenary power doctrine referenced above with respect to the federal government’s assertion of absolute authority, unconstrained by otherwise applicable constitutional protections, over Amer- ican Indian nations and external colonies. Deferring to the political branches of govern- ment – that is, Congress and the Executive – the Court authorized exclusion based solely upon race or national origin (Chae Chan Ping v. United States, 130 U.S. 581, 1889: 606) and refused to characterize deportation as punishment (Fong Yue Ting v. United States, 149 U.S. 698, 1893: 730–734). Subsequently, the Court exempted detention pending deportation from otherwise applicable constitutional constraints (Rodriguez-Fernandez v. Wilkerson, 654 F.2d, 10th Cir. 1981: 1385). Since then, indefinite detention pending</w:t>
      </w:r>
    </w:p>
    <w:p w:rsidR="00540BEA" w:rsidRPr="00087A72" w:rsidRDefault="00540BEA" w:rsidP="00D005A2">
      <w:pPr>
        <w:pStyle w:val="Heading1"/>
      </w:pPr>
      <w:r w:rsidRPr="00087A72">
        <w:t>Settlerism Kritik</w:t>
      </w:r>
    </w:p>
    <w:p w:rsidR="00D005A2" w:rsidRPr="00087A72" w:rsidRDefault="00D005A2" w:rsidP="009556BB">
      <w:pPr>
        <w:pStyle w:val="Heading2"/>
      </w:pPr>
      <w:r w:rsidRPr="00087A72">
        <w:t>1NCs</w:t>
      </w:r>
    </w:p>
    <w:p w:rsidR="00FA1026" w:rsidRPr="00087A72" w:rsidRDefault="00FA1026" w:rsidP="00FA1026">
      <w:r w:rsidRPr="00087A72">
        <w:t>Notes: Every 1NC is constructed as a 1-off K that follows this order:</w:t>
      </w:r>
      <w:r w:rsidRPr="00087A72">
        <w:br/>
        <w:t>-Thesis</w:t>
      </w:r>
      <w:r w:rsidRPr="00087A72">
        <w:br/>
        <w:t>-Link 1</w:t>
      </w:r>
      <w:r w:rsidRPr="00087A72">
        <w:br/>
        <w:t>-Link 2</w:t>
      </w:r>
      <w:r w:rsidRPr="00087A72">
        <w:br/>
        <w:t>-Link 3</w:t>
      </w:r>
      <w:r w:rsidRPr="00087A72">
        <w:br/>
        <w:t>-Impact Framing</w:t>
      </w:r>
      <w:r w:rsidRPr="00087A72">
        <w:br/>
        <w:t>-Impact</w:t>
      </w:r>
      <w:r w:rsidRPr="00087A72">
        <w:br/>
        <w:t>-Alt</w:t>
      </w:r>
      <w:r w:rsidRPr="00087A72">
        <w:br/>
        <w:t>-Alt Solvency</w:t>
      </w:r>
    </w:p>
    <w:p w:rsidR="00FA1026" w:rsidRPr="00087A72" w:rsidRDefault="00FA1026" w:rsidP="00FA1026">
      <w:r w:rsidRPr="00087A72">
        <w:t>If the reader would like to go for multiple off in the 1NC, I suggest the following construction:</w:t>
      </w:r>
      <w:r w:rsidRPr="00087A72">
        <w:br/>
        <w:t>-Thesis</w:t>
      </w:r>
      <w:r w:rsidRPr="00087A72">
        <w:br/>
        <w:t>-Link 1</w:t>
      </w:r>
      <w:r w:rsidRPr="00087A72">
        <w:br/>
        <w:t>-Link 2</w:t>
      </w:r>
      <w:r w:rsidRPr="00087A72">
        <w:br/>
        <w:t>-Impact</w:t>
      </w:r>
      <w:r w:rsidRPr="00087A72">
        <w:br/>
        <w:t>-Alternative</w:t>
      </w:r>
    </w:p>
    <w:p w:rsidR="00FA1026" w:rsidRPr="00087A72" w:rsidRDefault="00FA1026" w:rsidP="00FA1026">
      <w:r w:rsidRPr="00087A72">
        <w:t>Removing whatever link the reader feels is weakest and removing impact framing and alternative solvency cards which can either not be read at all or be read in the 2NC.</w:t>
      </w:r>
    </w:p>
    <w:p w:rsidR="002777A6" w:rsidRPr="00087A72" w:rsidRDefault="00414088" w:rsidP="002777A6">
      <w:r w:rsidRPr="00087A72">
        <w:t>If one is using the “And the Rock Cried Out” as the tags, then just place each card with its citation, but not is tag, underneath the lines from the story. Should you remove cards from the 1 off, just combine blocks of text as shown below:</w:t>
      </w:r>
    </w:p>
    <w:p w:rsidR="002777A6" w:rsidRPr="00087A72" w:rsidRDefault="002777A6" w:rsidP="002777A6">
      <w:r w:rsidRPr="00087A72">
        <w:t>John Webb turned the car around a lush bend in the green rain-jungle road.</w:t>
      </w:r>
      <w:r w:rsidRPr="00087A72">
        <w:br/>
        <w:t>'Do you think they'll let us into Juatala when we get there?'</w:t>
      </w:r>
      <w:r w:rsidRPr="00087A72">
        <w:br/>
        <w:t>'I don't know.'</w:t>
      </w:r>
      <w:r w:rsidRPr="00087A72">
        <w:br/>
        <w:t>'Watch out!'</w:t>
      </w:r>
      <w:r w:rsidRPr="00087A72">
        <w:br/>
        <w:t>He saw the bright things in the road too late, tried to swerve, but hit them. There was a terrible sighing from the right front tyre, the car heaved about and sank to a stop. He opened his side of the car and stepped out. The jungle was hot and silent and the highway empty, very empty and quiet at noon. He walked to the front of the car and bent, all the while checking his revolver in its underarm holster.</w:t>
      </w:r>
      <w:r w:rsidRPr="00087A72">
        <w:br/>
        <w:t>Leonora's window gleamed down. 'Is the tyre hurt much?'</w:t>
      </w:r>
      <w:r w:rsidRPr="00087A72">
        <w:br/>
        <w:t>'Ruined, utterly ruined!' He picked up the bright thing that had stabbed and slashed the tyre.</w:t>
      </w:r>
      <w:r w:rsidRPr="00087A72">
        <w:br/>
        <w:t>'Pieces of a broken machete,' he said, 'placed in adobe holders pointing towards our car wheels. We're lucky it didn't get all our tyres.'</w:t>
      </w:r>
      <w:r w:rsidRPr="00087A72">
        <w:br/>
        <w:t>'But why?'</w:t>
      </w:r>
      <w:r w:rsidRPr="00087A72">
        <w:br/>
        <w:t>'You know as well as I.' He nodded to the newspaper beside her, at the date, the headlines:</w:t>
      </w:r>
      <w:r w:rsidRPr="00087A72">
        <w:br/>
      </w:r>
      <w:r w:rsidRPr="00087A72">
        <w:br/>
        <w:t>OCTOBER 1963: UNITED STATES,</w:t>
      </w:r>
      <w:r w:rsidRPr="00087A72">
        <w:br/>
        <w:t>EUROPE SILENT!</w:t>
      </w:r>
      <w:r w:rsidRPr="00087A72">
        <w:br/>
      </w:r>
      <w:r w:rsidRPr="00087A72">
        <w:br/>
        <w:t>The radios of the U.S.A. and Europe are dead. There is a great silence. The War has spent itself.</w:t>
      </w:r>
      <w:r w:rsidRPr="00087A72">
        <w:br/>
      </w:r>
      <w:r w:rsidRPr="00087A72">
        <w:br/>
        <w:t>It is believed that most of the population of the United States is dead. It is believed that most of Europe, Russia, and Siberia are equally decimated. The day of the white people of the earth is over and finished.</w:t>
      </w:r>
      <w:r w:rsidRPr="00087A72">
        <w:br/>
      </w:r>
      <w:r w:rsidRPr="00087A72">
        <w:br/>
        <w:t>‘What're we going to do?' said Leonora.</w:t>
      </w:r>
      <w:r w:rsidRPr="00087A72">
        <w:br/>
        <w:t>'Rot. Or try to reach Porto Bello.'</w:t>
      </w:r>
      <w:r w:rsidRPr="00087A72">
        <w:br/>
        <w:t>'But we need gas and our spare fixed. And going back over those highways . . . This time they might drop logs, and — '</w:t>
      </w:r>
      <w:r w:rsidRPr="00087A72">
        <w:br/>
        <w:t>'I know, I know.' He rubbed his eyes and sat for a moment with his head in his hands. 'We're alone, my God, we're alone. Remember how safe we used to feel? How safe? We registered in all the big towns with the American Consuls. Remember how the joke went? "Everywhere you go you can hear the rustle of the eagle's wings!" Or was it the sound of paper money? I forget. Jesus, Jesus, the world got empty awfully quick. Who do I call on now?'</w:t>
      </w:r>
      <w:r w:rsidRPr="00087A72">
        <w:br/>
        <w:t>She waited a moment and then said, 'I guess just me. That's not much.'</w:t>
      </w:r>
      <w:r w:rsidRPr="00087A72">
        <w:br/>
        <w:t>He put his arm around her. 'You've been swell. No hysterics, nothing.'</w:t>
      </w:r>
      <w:r w:rsidRPr="00087A72">
        <w:br/>
        <w:t>'Tonight maybe I'll be screaming, when we're in bed, if we ever find a bed again. It's been a million miles since breakfast.'</w:t>
      </w:r>
      <w:r w:rsidRPr="00087A72">
        <w:br/>
        <w:t>He kissed her, twice, on her dry mouth. Then he sat slowly back. 'First thing is to try to find gas. If we can get that, we're ready to head for Porto Bello.'</w:t>
      </w:r>
      <w:r w:rsidRPr="00087A72">
        <w:br/>
        <w:t>[Card 1]</w:t>
      </w:r>
    </w:p>
    <w:p w:rsidR="00414088" w:rsidRPr="00087A72" w:rsidRDefault="00E711F2" w:rsidP="00FA1026">
      <w:r w:rsidRPr="00087A72">
        <w:t>'We'd like to buy some gas, please.'</w:t>
      </w:r>
      <w:r w:rsidRPr="00087A72">
        <w:br/>
        <w:t>'We are all out of gas, señor.'</w:t>
      </w:r>
      <w:r w:rsidRPr="00087A72">
        <w:br/>
        <w:t>'But your tank reads full. I see the gas in the glass container up there.'</w:t>
      </w:r>
      <w:r w:rsidRPr="00087A72">
        <w:br/>
        <w:t>'We are all out of gas,' said the man.</w:t>
      </w:r>
      <w:r w:rsidRPr="00087A72">
        <w:br/>
        <w:t>'I'll give you ten pesos a gallon!'</w:t>
      </w:r>
      <w:r w:rsidRPr="00087A72">
        <w:br/>
        <w:t>'Gracias, no.'</w:t>
      </w:r>
      <w:r w:rsidRPr="00087A72">
        <w:br/>
        <w:t>'We haven't enough gas to get anywhere from here.' Webb checked the gauge. 'Not even a quarter gallon left. We'd better leave the car here and go into town and see what we can do there.'</w:t>
      </w:r>
      <w:r w:rsidRPr="00087A72">
        <w:br/>
        <w:t>'I'll watch the car for you, señor,' said the station attendant. 'If you leave the keys.'</w:t>
      </w:r>
      <w:r w:rsidRPr="00087A72">
        <w:br/>
        <w:t>'We can't do that!' said Leonora. 'Can we?'</w:t>
      </w:r>
      <w:r w:rsidRPr="00087A72">
        <w:br/>
        <w:t>'I don't see what choice we have. We can stall it on the road and leave it to anyone who comes along, or leave it with this man.'</w:t>
      </w:r>
      <w:r w:rsidRPr="00087A72">
        <w:br/>
        <w:t>[Card 2]</w:t>
      </w:r>
    </w:p>
    <w:p w:rsidR="00E711F2" w:rsidRPr="00087A72" w:rsidRDefault="00E711F2" w:rsidP="00FA1026">
      <w:r w:rsidRPr="00087A72">
        <w:t>They entered the small town of Colonia on foot. They walked past the little shops, the butcher shop, the photographer's. People stopped and looked at them as they went by and did not stop looking at them as long as they were in sight. Every few seconds, as he walked, Webb put up his hand to touch the holster hidden under his coat, secretly, tentatively, like someone feeling for a tiny boil that is growing and growing every hour and every hour.</w:t>
      </w:r>
      <w:r w:rsidRPr="00087A72">
        <w:br/>
        <w:t>The patio of the Hotel Esposa was cool as a grotto under a blue waterfall. In it birds sang, caged, and footsteps echoed like small rifle shots, clear and smooth.</w:t>
      </w:r>
      <w:r w:rsidRPr="00087A72">
        <w:br/>
        <w:t>'Remember? We stopped here years ago,' said Webb, helping his wife up the steps. They stood in the cool grotto, glad of the blue shade.</w:t>
      </w:r>
      <w:r w:rsidRPr="00087A72">
        <w:br/>
        <w:t>'Señor Esposa,' said John Webb, when a fat man came forward from the desk, squinting at them. 'Do you remember me — John Webb? Five years ago — we played cards one night.'</w:t>
      </w:r>
      <w:r w:rsidRPr="00087A72">
        <w:br/>
        <w:t>'Of course, of course.' Señor Esposa bowed to the wife and shook hands briefly. There was an uncomfortable silence.</w:t>
      </w:r>
      <w:r w:rsidRPr="00087A72">
        <w:br/>
        <w:t xml:space="preserve">Webb cleared his throat. 'We've had a bit of trouble, señor. Could we have a room for tonight only?' </w:t>
      </w:r>
      <w:r w:rsidRPr="00087A72">
        <w:br/>
        <w:t>'Your money is always good here.'</w:t>
      </w:r>
      <w:r w:rsidRPr="00087A72">
        <w:br/>
        <w:t>[Card 3]</w:t>
      </w:r>
    </w:p>
    <w:p w:rsidR="00E711F2" w:rsidRPr="00087A72" w:rsidRDefault="00E711F2" w:rsidP="00FA1026">
      <w:r w:rsidRPr="00087A72">
        <w:t>The fireworks began at nine that evening. First one skyrocket then another soared into the dark sky and burst out upon the winds, building architectures of flame. Each skyrocket, at the top of its ride, cracked open and let out a formation of streamers in red and white flame that made something like the dome of a beautiful cathedral.</w:t>
      </w:r>
      <w:r w:rsidRPr="00087A72">
        <w:br/>
        <w:t>…</w:t>
      </w:r>
      <w:r w:rsidRPr="00087A72">
        <w:br/>
        <w:t>A man had leaped up, shouting, on the bandstand. There was a flash of machetes in the air and the brown gleam of half-naked bodies.</w:t>
      </w:r>
      <w:r w:rsidRPr="00087A72">
        <w:br/>
        <w:t>The man on the bandstand faced the hotel and looked up at the dark room where John and Leonora Webb now stood back out of the intermittent flares.</w:t>
      </w:r>
      <w:r w:rsidRPr="00087A72">
        <w:br/>
        <w:t>The man shouted.</w:t>
      </w:r>
      <w:r w:rsidRPr="00087A72">
        <w:br/>
        <w:t>'What does he say?' asked Leonora.</w:t>
      </w:r>
      <w:r w:rsidRPr="00087A72">
        <w:br/>
        <w:t>John Webb translated: ' "It is now a free world," he says.'</w:t>
      </w:r>
      <w:r w:rsidRPr="00087A72">
        <w:br/>
        <w:t>The man yelled.</w:t>
      </w:r>
      <w:r w:rsidRPr="00087A72">
        <w:br/>
        <w:t>John Webb translated again. 'He says, "We are free!"'</w:t>
      </w:r>
      <w:r w:rsidRPr="00087A72">
        <w:br/>
        <w:t>The man lifted himself on his toes and made a motion of breaking manacles. 'He says, "No one owns us, no one in all the world."'</w:t>
      </w:r>
      <w:r w:rsidRPr="00087A72">
        <w:br/>
        <w:t>The crowd roared and the band began to play, and while it was playing, the man on the bandstand stood glaring up at the room window, with all of the hatred of the universe in his eyes.</w:t>
      </w:r>
      <w:r w:rsidRPr="00087A72">
        <w:br/>
        <w:t>During the night there were fights and pummellings and voices lifted, arguments and shots fired.</w:t>
      </w:r>
      <w:r w:rsidRPr="00087A72">
        <w:br/>
        <w:t>John Webb lay awake and heard the voice of Señor Esposa below, reasoning, talking quietly, firmly. And then the fading away of the tumult, the last rockets in the sky, the last breakings of bottles on the cobbles.</w:t>
      </w:r>
      <w:r w:rsidRPr="00087A72">
        <w:br/>
      </w:r>
      <w:r w:rsidRPr="00087A72">
        <w:br/>
        <w:t>At five in the morning the air was warming into a new day. There was the softest of taps on the bedroom door.</w:t>
      </w:r>
      <w:r w:rsidRPr="00087A72">
        <w:br/>
        <w:t xml:space="preserve"> 'It is me, it is Esposa,' said a voice.</w:t>
      </w:r>
      <w:r w:rsidRPr="00087A72">
        <w:br/>
        <w:t>John Webb hesitated, half-dressed, numb on his feet from lack of sleep, then opened the door.</w:t>
      </w:r>
      <w:r w:rsidRPr="00087A72">
        <w:br/>
        <w:t>'What a night, what a night!' said Señor Esposa, coming in, shaking his head, laughing gently. 'Did you hear that noise? Yes? They tried to come up here to your room. I prevented this.”</w:t>
      </w:r>
      <w:r w:rsidRPr="00087A72">
        <w:br/>
        <w:t>…</w:t>
      </w:r>
      <w:r w:rsidRPr="00087A72">
        <w:br/>
        <w:t>I've come to offer you the chance to settle down,' he said.</w:t>
      </w:r>
      <w:r w:rsidRPr="00087A72">
        <w:br/>
        <w:t>'We wanted to move on, if possible.'</w:t>
      </w:r>
      <w:r w:rsidRPr="00087A72">
        <w:br/>
        <w:t>The Manager shrugged. 'Your car is stolen, I can do nothing to get it back. You cannot leave town. Remain then and accept my offer of a position in my hotel.'</w:t>
      </w:r>
      <w:r w:rsidRPr="00087A72">
        <w:br/>
        <w:t>…</w:t>
      </w:r>
      <w:r w:rsidRPr="00087A72">
        <w:br/>
        <w:t>'What's the job?' asked Webb.</w:t>
      </w:r>
      <w:r w:rsidRPr="00087A72">
        <w:br/>
        <w:t>'In the kitchen,' said the Manager, and looked away.</w:t>
      </w:r>
      <w:r w:rsidRPr="00087A72">
        <w:br/>
        <w:t>John Webb sat on the bed and said nothing. His wife did not move.</w:t>
      </w:r>
      <w:r w:rsidRPr="00087A72">
        <w:br/>
        <w:t>Señor Esposa said. 'It is the best I can do. What more can you ask of me? Last night, those others down in the plaza wanted both of you. Did you see the machetes? I bargained with them. You were lucky. I told them you would be employed in my hotel for the next twenty years, that you were my employees and deserve my protection!'</w:t>
      </w:r>
      <w:r w:rsidRPr="00087A72">
        <w:br/>
        <w:t>'You said that!'</w:t>
      </w:r>
      <w:r w:rsidRPr="00087A72">
        <w:br/>
        <w:t>'Señor, señor, be thankful! Consider! Where will you go? The jungle? You will be dead in two hours from the snakes. Then can you walk five hundred miles to a capital which will not welcome you? No — you must face the reality.' Señor Esposa opened the door. 'I offer you an honest job and you will be paid the standard wages of two pesos a day, plus meals. Would you rather be with me, or out in the plaza at noon with our friends? Consider.”</w:t>
      </w:r>
      <w:r w:rsidRPr="00087A72">
        <w:br/>
        <w:t>[Card 4]</w:t>
      </w:r>
    </w:p>
    <w:p w:rsidR="00E711F2" w:rsidRPr="00087A72" w:rsidRDefault="00E711F2" w:rsidP="00E711F2">
      <w:r w:rsidRPr="00087A72">
        <w:t>'We could stay here and work,' he said.</w:t>
      </w:r>
      <w:r w:rsidRPr="00087A72">
        <w:br/>
        <w:t>She stirred at last. 'No. We couldn't do that, not really. Could we?'</w:t>
      </w:r>
      <w:r w:rsidRPr="00087A72">
        <w:br/>
        <w:t>'No, I guess not.'</w:t>
      </w:r>
      <w:r w:rsidRPr="00087A72">
        <w:br/>
        <w:t>'There's no way we could do that. We're being consistent, anyway; spoiled, but consistent.'</w:t>
      </w:r>
      <w:r w:rsidRPr="00087A72">
        <w:br/>
        <w:t>He thought a moment. 'We could make for the jungle.'</w:t>
      </w:r>
      <w:r w:rsidRPr="00087A72">
        <w:br/>
        <w:t>'I don't think we can move from the hotel without being seen. We don't want to try to escape and be caught. It would be far worse that way.'</w:t>
      </w:r>
      <w:r w:rsidRPr="00087A72">
        <w:br/>
        <w:t>He nodded.</w:t>
      </w:r>
      <w:r w:rsidRPr="00087A72">
        <w:br/>
        <w:t>They both sat a moment.</w:t>
      </w:r>
      <w:r w:rsidRPr="00087A72">
        <w:br/>
        <w:t>'It might not be too bad, working here,' he said.</w:t>
      </w:r>
      <w:r w:rsidRPr="00087A72">
        <w:br/>
        <w:t>'What would we be living for? Everyone's dead — your father, mine, your mother, mine, your brothers, mine, all our friends, everything gone, everything we understood.'</w:t>
      </w:r>
      <w:r w:rsidRPr="00087A72">
        <w:br/>
        <w:t>He nodded.</w:t>
      </w:r>
      <w:r w:rsidRPr="00087A72">
        <w:br/>
        <w:t>…</w:t>
      </w:r>
      <w:r w:rsidRPr="00087A72">
        <w:br/>
        <w:t>They sat for fifteen minutes, talking quietly. Then, at last, he picked up the telephone and ticked the</w:t>
      </w:r>
      <w:r w:rsidRPr="00087A72">
        <w:br/>
        <w:t>cradle with his finger.</w:t>
      </w:r>
      <w:r w:rsidRPr="00087A72">
        <w:br/>
        <w:t>'Bueno,' said a voice on the other end.</w:t>
      </w:r>
      <w:r w:rsidRPr="00087A72">
        <w:br/>
        <w:t>'Señor Esposa?'</w:t>
      </w:r>
      <w:r w:rsidRPr="00087A72">
        <w:br/>
        <w:t>'Sí.</w:t>
      </w:r>
      <w:r w:rsidRPr="00087A72">
        <w:br/>
        <w:t xml:space="preserve">'Señor Esposa,' he paused and licked his lips, 'tell your friends we will be leaving the hotel at noon.' </w:t>
      </w:r>
      <w:r w:rsidRPr="00087A72">
        <w:br/>
        <w:t>The phone did not immediately reply. Then with a sigh, Señor Esposa said, 'As you wish. You are sure — ?</w:t>
      </w:r>
      <w:r w:rsidRPr="00087A72">
        <w:br/>
        <w:t>'The phone was silent for a full minute. Then it was picked up again and the Manager said quietly, 'My friends say they will be waiting for you on the far side of the plaza.'</w:t>
      </w:r>
      <w:r w:rsidRPr="00087A72">
        <w:br/>
      </w:r>
      <w:r w:rsidRPr="00087A72">
        <w:br/>
        <w:t>'We will meet them there,' said John Webb.</w:t>
      </w:r>
      <w:r w:rsidRPr="00087A72">
        <w:br/>
        <w:t>[Card 5]</w:t>
      </w:r>
    </w:p>
    <w:p w:rsidR="00E711F2" w:rsidRPr="00087A72" w:rsidRDefault="00E711F2" w:rsidP="00FA1026"/>
    <w:p w:rsidR="00414088" w:rsidRPr="00087A72" w:rsidRDefault="00414088" w:rsidP="009556BB">
      <w:pPr>
        <w:pStyle w:val="Heading3"/>
      </w:pPr>
      <w:r w:rsidRPr="00087A72">
        <w:t>“And the Rock Cried Out” Shell</w:t>
      </w:r>
    </w:p>
    <w:p w:rsidR="00414088" w:rsidRPr="00087A72" w:rsidRDefault="00414088" w:rsidP="005D0E5A">
      <w:pPr>
        <w:pStyle w:val="Heading4"/>
      </w:pPr>
      <w:r w:rsidRPr="00087A72">
        <w:t>John Webb turned the car around a lush bend in the green rain-jungle road.</w:t>
      </w:r>
      <w:r w:rsidR="005D0E5A" w:rsidRPr="00087A72">
        <w:br/>
      </w:r>
      <w:r w:rsidRPr="00087A72">
        <w:t>'Do you think they'll let us into Juatala when we get there?'</w:t>
      </w:r>
      <w:r w:rsidR="005D0E5A" w:rsidRPr="00087A72">
        <w:br/>
      </w:r>
      <w:r w:rsidRPr="00087A72">
        <w:t>'I don't know.'</w:t>
      </w:r>
      <w:r w:rsidR="005D0E5A" w:rsidRPr="00087A72">
        <w:br/>
      </w:r>
      <w:r w:rsidRPr="00087A72">
        <w:t>'Watch out!'</w:t>
      </w:r>
      <w:r w:rsidR="005D0E5A" w:rsidRPr="00087A72">
        <w:br/>
      </w:r>
      <w:r w:rsidRPr="00087A72">
        <w:t>He saw the bright things in the road too late, tried to swerve, but hit them. There was a terrible</w:t>
      </w:r>
      <w:r w:rsidR="005D0E5A" w:rsidRPr="00087A72">
        <w:t xml:space="preserve"> </w:t>
      </w:r>
      <w:r w:rsidRPr="00087A72">
        <w:t>sighing from the right front tyre, the car heaved about and sank to a stop. He opened his side of the car</w:t>
      </w:r>
      <w:r w:rsidR="005D0E5A" w:rsidRPr="00087A72">
        <w:t xml:space="preserve"> </w:t>
      </w:r>
      <w:r w:rsidRPr="00087A72">
        <w:t>and stepped out. The jungle was hot and silent and the highway empty, very empty and quiet at noon.</w:t>
      </w:r>
      <w:r w:rsidR="005D0E5A" w:rsidRPr="00087A72">
        <w:t xml:space="preserve"> </w:t>
      </w:r>
      <w:r w:rsidRPr="00087A72">
        <w:t>He walked to the front of the car and bent, all the while checking his revolver in its underarm holster.</w:t>
      </w:r>
      <w:r w:rsidR="005D0E5A" w:rsidRPr="00087A72">
        <w:br/>
      </w:r>
      <w:r w:rsidRPr="00087A72">
        <w:t>Leonora's window gleamed down. 'Is the tyre hurt much?'</w:t>
      </w:r>
      <w:r w:rsidR="005D0E5A" w:rsidRPr="00087A72">
        <w:br/>
      </w:r>
      <w:r w:rsidRPr="00087A72">
        <w:t>'Ruined, utterly ruined!' He picked up the bright thing that had stabbed and slashed the tyre.</w:t>
      </w:r>
      <w:r w:rsidR="005D0E5A" w:rsidRPr="00087A72">
        <w:br/>
      </w:r>
      <w:r w:rsidRPr="00087A72">
        <w:t>'Pieces of a broken machete,' he said, 'placed in adobe holders pointing towards our car wheels.</w:t>
      </w:r>
      <w:r w:rsidR="005D0E5A" w:rsidRPr="00087A72">
        <w:t xml:space="preserve"> </w:t>
      </w:r>
      <w:r w:rsidRPr="00087A72">
        <w:t>We're lucky it didn't get all our tyres.'</w:t>
      </w:r>
      <w:r w:rsidR="005D0E5A" w:rsidRPr="00087A72">
        <w:br/>
      </w:r>
      <w:r w:rsidRPr="00087A72">
        <w:t>'But why?'</w:t>
      </w:r>
      <w:r w:rsidR="005D0E5A" w:rsidRPr="00087A72">
        <w:br/>
      </w:r>
      <w:r w:rsidRPr="00087A72">
        <w:t>'You know as well as I.' He nodded to the newspaper beside her, at the date, the headlines:</w:t>
      </w:r>
      <w:r w:rsidR="005D0E5A" w:rsidRPr="00087A72">
        <w:br/>
      </w:r>
      <w:r w:rsidR="005D0E5A" w:rsidRPr="00087A72">
        <w:br/>
      </w:r>
      <w:r w:rsidRPr="00087A72">
        <w:t>OCTOBER 1963: UNITED STATES,</w:t>
      </w:r>
      <w:r w:rsidR="005D0E5A" w:rsidRPr="00087A72">
        <w:br/>
      </w:r>
      <w:r w:rsidRPr="00087A72">
        <w:t>EUROPE SILENT!</w:t>
      </w:r>
      <w:r w:rsidR="005D0E5A" w:rsidRPr="00087A72">
        <w:br/>
      </w:r>
      <w:r w:rsidR="005D0E5A" w:rsidRPr="00087A72">
        <w:br/>
      </w:r>
      <w:r w:rsidRPr="00087A72">
        <w:t>The radios of the U.S.A. and Europe are dead. There is a</w:t>
      </w:r>
      <w:r w:rsidR="005D0E5A" w:rsidRPr="00087A72">
        <w:t xml:space="preserve"> </w:t>
      </w:r>
      <w:r w:rsidRPr="00087A72">
        <w:t>great silence. The War has spent itself.</w:t>
      </w:r>
      <w:r w:rsidR="005D0E5A" w:rsidRPr="00087A72">
        <w:br/>
      </w:r>
      <w:r w:rsidR="005D0E5A" w:rsidRPr="00087A72">
        <w:br/>
      </w:r>
      <w:r w:rsidRPr="00087A72">
        <w:t>It is believed that most of the population of the United States is dead. It is believed that most of Europe,</w:t>
      </w:r>
      <w:r w:rsidR="005D0E5A" w:rsidRPr="00087A72">
        <w:t xml:space="preserve"> </w:t>
      </w:r>
      <w:r w:rsidRPr="00087A72">
        <w:t>Russia, and Siberia are equally decimated. The day of the white people of the earth is over and finished.</w:t>
      </w:r>
    </w:p>
    <w:p w:rsidR="005D0E5A" w:rsidRPr="00087A72" w:rsidRDefault="005D0E5A" w:rsidP="005D0E5A">
      <w:r w:rsidRPr="00087A72">
        <w:t>[Card 1]</w:t>
      </w:r>
    </w:p>
    <w:p w:rsidR="005D0E5A" w:rsidRPr="00087A72" w:rsidRDefault="005D0E5A" w:rsidP="005D0E5A">
      <w:pPr>
        <w:pStyle w:val="Heading4"/>
      </w:pPr>
      <w:r w:rsidRPr="00087A72">
        <w:t>‘What're we going to do?' said Leonora.</w:t>
      </w:r>
      <w:r w:rsidRPr="00087A72">
        <w:br/>
        <w:t>'Rot. Or try to reach Porto Bello.'</w:t>
      </w:r>
      <w:r w:rsidRPr="00087A72">
        <w:br/>
        <w:t>'But we need gas and our spare fixed. And going back over those highways . . . This time they might drop logs, and — '</w:t>
      </w:r>
      <w:r w:rsidRPr="00087A72">
        <w:br/>
        <w:t>'I know, I know.' He rubbed his eyes and sat for a moment with his head in his hands. 'We're alone, my God, we're alone. Remember how safe we used to feel? How safe? We registered in all the big towns with the American Consuls. Remember how the joke went? "Everywhere you go you can hear the rustle of the eagle's wings!" Or was it the sound of paper money? I forget. Jesus, Jesus, the world got empty awfully quick. Who do I call on now?'</w:t>
      </w:r>
      <w:r w:rsidRPr="00087A72">
        <w:br/>
        <w:t>She waited a moment and then said, 'I guess just me. That's not much.'</w:t>
      </w:r>
      <w:r w:rsidRPr="00087A72">
        <w:br/>
        <w:t>He put his arm around her. 'You've been swell. No hysterics, nothing.'</w:t>
      </w:r>
      <w:r w:rsidRPr="00087A72">
        <w:br/>
        <w:t>'Tonight maybe I'll be screaming, when we're in bed, if we ever find a bed again. It's been a million miles since breakfast.'</w:t>
      </w:r>
      <w:r w:rsidRPr="00087A72">
        <w:br/>
        <w:t>He kissed her, twice, on her dry mouth. Then he sat slowly back. 'First thing is to try to find gas. If we can get that, we're ready to head for Porto Bello.'</w:t>
      </w:r>
    </w:p>
    <w:p w:rsidR="005D0E5A" w:rsidRPr="00087A72" w:rsidRDefault="005D0E5A" w:rsidP="005D0E5A">
      <w:r w:rsidRPr="00087A72">
        <w:t>[Card 2]</w:t>
      </w:r>
    </w:p>
    <w:p w:rsidR="005D0E5A" w:rsidRPr="00087A72" w:rsidRDefault="005D0E5A" w:rsidP="005D0E5A">
      <w:pPr>
        <w:pStyle w:val="Heading4"/>
      </w:pPr>
      <w:r w:rsidRPr="00087A72">
        <w:t>'We'd like to buy some gas, please.'</w:t>
      </w:r>
      <w:r w:rsidRPr="00087A72">
        <w:br/>
        <w:t>'We are all out of gas, señor.'</w:t>
      </w:r>
      <w:r w:rsidRPr="00087A72">
        <w:br/>
        <w:t>'But your tank reads full. I see the gas in the glass container up there.'</w:t>
      </w:r>
      <w:r w:rsidRPr="00087A72">
        <w:br/>
        <w:t>'We are all out of gas,' said the man.</w:t>
      </w:r>
      <w:r w:rsidRPr="00087A72">
        <w:br/>
        <w:t>'I'll give you ten pesos a gallon!'</w:t>
      </w:r>
      <w:r w:rsidRPr="00087A72">
        <w:br/>
        <w:t>'Gracias, no.'</w:t>
      </w:r>
      <w:r w:rsidRPr="00087A72">
        <w:br/>
        <w:t>'We haven't enough gas to get anywhere from here.' Webb checked the gauge. 'Not even a quarter gallon left. We'd better leave the car here and go into town and see what we can do there.'</w:t>
      </w:r>
      <w:r w:rsidRPr="00087A72">
        <w:br/>
        <w:t>'I'll watch the car for you, señor,' said the station attendant. 'If you leave the keys.'</w:t>
      </w:r>
      <w:r w:rsidRPr="00087A72">
        <w:br/>
        <w:t>'We can't do that!' said Leonora. 'Can we?'</w:t>
      </w:r>
      <w:r w:rsidRPr="00087A72">
        <w:br/>
        <w:t>'I don't see what choice we have. We can stall it on the road and leave it to anyone who comes along, or leave it with this man.'</w:t>
      </w:r>
    </w:p>
    <w:p w:rsidR="005D0E5A" w:rsidRPr="00087A72" w:rsidRDefault="005D0E5A" w:rsidP="005D0E5A">
      <w:r w:rsidRPr="00087A72">
        <w:t>[Card 3]</w:t>
      </w:r>
    </w:p>
    <w:p w:rsidR="005D0E5A" w:rsidRPr="00087A72" w:rsidRDefault="005D0E5A" w:rsidP="005D0E5A">
      <w:pPr>
        <w:pStyle w:val="Heading4"/>
      </w:pPr>
      <w:r w:rsidRPr="00087A72">
        <w:t>They entered the small town of Colonia on foot. They walked past the little shops, the butcher shop, the photographer's. People stopped and looked at them as they went by and did not stop looking at them as long as they were in sight. Every few seconds, as he walked, Webb put up his hand to touch the holster hidden under his coat, secretly, tentatively, like someone feeling for a tiny boil that is growing and growing every hour and every hour.</w:t>
      </w:r>
      <w:r w:rsidRPr="00087A72">
        <w:br/>
        <w:t>The patio of the Hotel Esposa was cool as a grotto under a blue waterfall. In it birds sang, caged, and footsteps echoed like small rifle shots, clear and smooth.</w:t>
      </w:r>
      <w:r w:rsidRPr="00087A72">
        <w:br/>
        <w:t>'Remember? We stopped here years ago,' said Webb, helping his wife up the steps. They stood in the cool grotto, glad of the blue shade.</w:t>
      </w:r>
      <w:r w:rsidRPr="00087A72">
        <w:br/>
        <w:t>'Señor Esposa,' said John Webb, when a fat man came forward from the desk, squinting at them. 'Do you remember me — John Webb? Five years ago — we played cards one night.'</w:t>
      </w:r>
      <w:r w:rsidRPr="00087A72">
        <w:br/>
        <w:t>'Of course, of course.' Señor Esposa bowed to the wife and shook hands briefly. There was an uncomfortable silence.</w:t>
      </w:r>
      <w:r w:rsidRPr="00087A72">
        <w:br/>
        <w:t xml:space="preserve">Webb cleared his throat. 'We've had a bit of trouble, señor. Could we have a room for tonight only?' </w:t>
      </w:r>
      <w:r w:rsidRPr="00087A72">
        <w:br/>
        <w:t>'Your money is always good here.'</w:t>
      </w:r>
    </w:p>
    <w:p w:rsidR="005D0E5A" w:rsidRPr="00087A72" w:rsidRDefault="005D0E5A" w:rsidP="005D0E5A">
      <w:r w:rsidRPr="00087A72">
        <w:t>[Card 4]</w:t>
      </w:r>
    </w:p>
    <w:p w:rsidR="002777A6" w:rsidRPr="00087A72" w:rsidRDefault="005D0E5A" w:rsidP="002777A6">
      <w:pPr>
        <w:pStyle w:val="Heading4"/>
      </w:pPr>
      <w:r w:rsidRPr="00087A72">
        <w:t>The fireworks began at nine that evening. First one skyrocket then another soared into the dark sky and burst out upon the winds, building architectures of flame. Each skyrocket, at the top of its ride, cracked open and let out a formation of streamers in red and white flame that made something like the dome of a beautiful cathedral.</w:t>
      </w:r>
      <w:r w:rsidR="002777A6" w:rsidRPr="00087A72">
        <w:br/>
        <w:t>…</w:t>
      </w:r>
      <w:r w:rsidR="002777A6" w:rsidRPr="00087A72">
        <w:br/>
        <w:t>A</w:t>
      </w:r>
      <w:r w:rsidRPr="00087A72">
        <w:t xml:space="preserve"> man had leaped up, shouting, on the bandstand. There</w:t>
      </w:r>
      <w:r w:rsidR="002777A6" w:rsidRPr="00087A72">
        <w:t xml:space="preserve"> </w:t>
      </w:r>
      <w:r w:rsidRPr="00087A72">
        <w:t>was a flash of machetes in the air and the brown gleam of half-naked bodies.</w:t>
      </w:r>
      <w:r w:rsidR="002777A6" w:rsidRPr="00087A72">
        <w:br/>
      </w:r>
      <w:r w:rsidRPr="00087A72">
        <w:t>The man on the bandstand faced the hotel and looked up at the dark room where John and Leonora</w:t>
      </w:r>
      <w:r w:rsidR="002777A6" w:rsidRPr="00087A72">
        <w:t xml:space="preserve"> </w:t>
      </w:r>
      <w:r w:rsidRPr="00087A72">
        <w:t>Webb now stood back out of the intermittent flares.</w:t>
      </w:r>
      <w:r w:rsidR="002777A6" w:rsidRPr="00087A72">
        <w:br/>
      </w:r>
      <w:r w:rsidRPr="00087A72">
        <w:t>The man shouted.</w:t>
      </w:r>
      <w:r w:rsidR="002777A6" w:rsidRPr="00087A72">
        <w:br/>
      </w:r>
      <w:r w:rsidRPr="00087A72">
        <w:t>'What does he say?' asked Leonora.</w:t>
      </w:r>
      <w:r w:rsidR="002777A6" w:rsidRPr="00087A72">
        <w:br/>
      </w:r>
      <w:r w:rsidRPr="00087A72">
        <w:t>John Webb translated: ' "It is now a free world," he says.'</w:t>
      </w:r>
      <w:r w:rsidR="002777A6" w:rsidRPr="00087A72">
        <w:br/>
      </w:r>
      <w:r w:rsidRPr="00087A72">
        <w:t>The man yelled.</w:t>
      </w:r>
      <w:r w:rsidR="002777A6" w:rsidRPr="00087A72">
        <w:br/>
      </w:r>
      <w:r w:rsidRPr="00087A72">
        <w:t>John Webb translated again. 'He says, "We are free!"'</w:t>
      </w:r>
      <w:r w:rsidR="002777A6" w:rsidRPr="00087A72">
        <w:br/>
      </w:r>
      <w:r w:rsidRPr="00087A72">
        <w:t>The man lifted himself on his toes and made a motion of breaking manacles. 'He says, "No one owns</w:t>
      </w:r>
      <w:r w:rsidR="002777A6" w:rsidRPr="00087A72">
        <w:t xml:space="preserve"> </w:t>
      </w:r>
      <w:r w:rsidRPr="00087A72">
        <w:t>us, no one in all the world."'</w:t>
      </w:r>
      <w:r w:rsidR="002777A6" w:rsidRPr="00087A72">
        <w:br/>
      </w:r>
      <w:r w:rsidRPr="00087A72">
        <w:t>The crowd roared and the band began to play, and while it was playing, the man on the bandstand</w:t>
      </w:r>
      <w:r w:rsidR="002777A6" w:rsidRPr="00087A72">
        <w:t xml:space="preserve"> </w:t>
      </w:r>
      <w:r w:rsidRPr="00087A72">
        <w:t>stood glaring up at the room window, with all of the hatred of the universe in his eyes.</w:t>
      </w:r>
      <w:r w:rsidR="002777A6" w:rsidRPr="00087A72">
        <w:br/>
        <w:t>During the night there were fights and pummellings and voices lifted, arguments and shots fired.</w:t>
      </w:r>
      <w:r w:rsidR="002777A6" w:rsidRPr="00087A72">
        <w:br/>
        <w:t>John Webb lay awake and heard the voice of Señor Esposa below, reasoning, talking quietly, firmly. And then the fading away of the tumult, the last rockets in the sky, the last breakings of bottles on the cobbles.</w:t>
      </w:r>
    </w:p>
    <w:p w:rsidR="002777A6" w:rsidRPr="00087A72" w:rsidRDefault="002777A6" w:rsidP="002777A6">
      <w:r w:rsidRPr="00087A72">
        <w:t>[Card 5]</w:t>
      </w:r>
    </w:p>
    <w:p w:rsidR="002777A6" w:rsidRPr="00087A72" w:rsidRDefault="002777A6" w:rsidP="002777A6">
      <w:pPr>
        <w:pStyle w:val="Heading4"/>
      </w:pPr>
      <w:r w:rsidRPr="00087A72">
        <w:t>At five in the morning the air was warming into a new day. There was the softest of taps on the bedroom door.</w:t>
      </w:r>
      <w:r w:rsidRPr="00087A72">
        <w:br/>
        <w:t xml:space="preserve"> 'It is me, it is Esposa,' said a voice.</w:t>
      </w:r>
      <w:r w:rsidRPr="00087A72">
        <w:br/>
        <w:t>John Webb hesitated, half-dressed, numb on his feet from lack of sleep, then opened the door.</w:t>
      </w:r>
      <w:r w:rsidRPr="00087A72">
        <w:br/>
        <w:t>'What a night, what a night!' said Señor Esposa, coming in, shaking his head, laughing gently. 'Did you hear that noise? Yes? They tried to come up here to your room. I prevented this.”</w:t>
      </w:r>
      <w:r w:rsidRPr="00087A72">
        <w:br/>
        <w:t>…</w:t>
      </w:r>
      <w:r w:rsidRPr="00087A72">
        <w:br/>
        <w:t>I've come to offer you the chance to settle down,' he said.</w:t>
      </w:r>
      <w:r w:rsidRPr="00087A72">
        <w:br/>
        <w:t>'We wanted to move on, if possible.'</w:t>
      </w:r>
      <w:r w:rsidRPr="00087A72">
        <w:br/>
        <w:t>The Manager shrugged. 'Your car is stolen, I can do nothing to get it back. You cannot leave town. Remain then and accept my offer of a position in my hotel.'</w:t>
      </w:r>
      <w:r w:rsidRPr="00087A72">
        <w:br/>
        <w:t>…</w:t>
      </w:r>
      <w:r w:rsidRPr="00087A72">
        <w:br/>
        <w:t>'What's the job?' asked Webb.</w:t>
      </w:r>
      <w:r w:rsidRPr="00087A72">
        <w:br/>
        <w:t>'In the kitchen,' said the Manager, and looked away.</w:t>
      </w:r>
      <w:r w:rsidRPr="00087A72">
        <w:br/>
        <w:t>John Webb sat on the bed and said nothing. His wife did not move.</w:t>
      </w:r>
      <w:r w:rsidRPr="00087A72">
        <w:br/>
        <w:t>Señor Esposa said. 'It is the best I can do. What more can you ask of me? Last night, those others down in the plaza wanted both of you. Did you see the machetes? I bargained with them. You were lucky. I told them you would be employed in my hotel for the next twenty years, that you were my employees and deserve my protection!'</w:t>
      </w:r>
      <w:r w:rsidRPr="00087A72">
        <w:br/>
        <w:t>'You said that!'</w:t>
      </w:r>
      <w:r w:rsidRPr="00087A72">
        <w:br/>
        <w:t>'Señor, señor, be thankful! Consider! Where will you go? The jungle? You will be dead in two hours from the snakes. Then can you walk five hundred miles to a capital which will not welcome you? No — you must face the reality.' Señor Esposa opened the door. 'I offer you an honest job and you will be paid the standard wages of two pesos a day, plus meals. Would you rather be with me, or out in the plaza at noon with our friends? Consider.'</w:t>
      </w:r>
    </w:p>
    <w:p w:rsidR="002777A6" w:rsidRPr="00087A72" w:rsidRDefault="002777A6" w:rsidP="002777A6">
      <w:r w:rsidRPr="00087A72">
        <w:t>[Card 6]</w:t>
      </w:r>
    </w:p>
    <w:p w:rsidR="002777A6" w:rsidRPr="00087A72" w:rsidRDefault="002777A6" w:rsidP="002777A6">
      <w:pPr>
        <w:pStyle w:val="Heading4"/>
      </w:pPr>
      <w:r w:rsidRPr="00087A72">
        <w:t>'We could stay here and work,' he said.</w:t>
      </w:r>
      <w:r w:rsidRPr="00087A72">
        <w:br/>
        <w:t>She stirred at last. 'No. We couldn't do that, not really. Could we?'</w:t>
      </w:r>
      <w:r w:rsidRPr="00087A72">
        <w:br/>
        <w:t>'No, I guess not.'</w:t>
      </w:r>
      <w:r w:rsidRPr="00087A72">
        <w:br/>
        <w:t>'There's no way we could do that. We're being consistent, anyway; spoiled, but consistent.'</w:t>
      </w:r>
      <w:r w:rsidRPr="00087A72">
        <w:br/>
        <w:t>He thought a moment. 'We could make for the jungle.'</w:t>
      </w:r>
      <w:r w:rsidRPr="00087A72">
        <w:br/>
        <w:t>'I don't think we can move from the hotel without being seen. We don't want to try to escape and be caught. It would be far worse that way.'</w:t>
      </w:r>
      <w:r w:rsidRPr="00087A72">
        <w:br/>
        <w:t>He nodded.</w:t>
      </w:r>
      <w:r w:rsidRPr="00087A72">
        <w:br/>
        <w:t>They both sat a moment.</w:t>
      </w:r>
      <w:r w:rsidRPr="00087A72">
        <w:br/>
        <w:t>'It might not be too bad, working here,' he said.</w:t>
      </w:r>
      <w:r w:rsidRPr="00087A72">
        <w:br/>
        <w:t>'What would we be living for? Everyone's dead — your father, mine, your mother, mine, your brothers, mine, all our friends, everything gone, everything we understood.'</w:t>
      </w:r>
      <w:r w:rsidRPr="00087A72">
        <w:br/>
        <w:t>He nodded.</w:t>
      </w:r>
      <w:r w:rsidRPr="00087A72">
        <w:br/>
        <w:t>…</w:t>
      </w:r>
      <w:r w:rsidRPr="00087A72">
        <w:br/>
        <w:t>They sat for fifteen minutes, talking quietly. Then, at last, he picked up the telephone and ticked the</w:t>
      </w:r>
      <w:r w:rsidRPr="00087A72">
        <w:br/>
        <w:t>cradle with his finger.</w:t>
      </w:r>
      <w:r w:rsidRPr="00087A72">
        <w:br/>
        <w:t>'Bueno,' said a voice on the other end.</w:t>
      </w:r>
      <w:r w:rsidRPr="00087A72">
        <w:br/>
        <w:t>'Señor Esposa?'</w:t>
      </w:r>
      <w:r w:rsidRPr="00087A72">
        <w:br/>
        <w:t>'Sí.</w:t>
      </w:r>
      <w:r w:rsidRPr="00087A72">
        <w:br/>
        <w:t xml:space="preserve">'Señor Esposa,' he paused and licked his lips, 'tell your friends we will be leaving the hotel at noon.' </w:t>
      </w:r>
      <w:r w:rsidRPr="00087A72">
        <w:br/>
        <w:t>The phone did not immediately reply. Then with a sigh, Señor Esposa said, 'As you wish. You are sure — ?</w:t>
      </w:r>
      <w:r w:rsidRPr="00087A72">
        <w:br/>
        <w:t>'The phone was silent for a full minute. Then it was picked up again and the Manager said quietly, 'My friends say they will be waiting for you on the far side of the plaza.'</w:t>
      </w:r>
      <w:r w:rsidRPr="00087A72">
        <w:br/>
      </w:r>
      <w:r w:rsidRPr="00087A72">
        <w:br/>
        <w:t>'We will meet them there,' said John Webb.</w:t>
      </w:r>
    </w:p>
    <w:p w:rsidR="005D0E5A" w:rsidRPr="00087A72" w:rsidRDefault="002777A6" w:rsidP="005D0E5A">
      <w:r w:rsidRPr="00087A72">
        <w:t>[Card 7]</w:t>
      </w:r>
    </w:p>
    <w:p w:rsidR="009556BB" w:rsidRPr="00087A72" w:rsidRDefault="009556BB" w:rsidP="009556BB">
      <w:pPr>
        <w:pStyle w:val="Heading3"/>
      </w:pPr>
      <w:r w:rsidRPr="00087A72">
        <w:t>1NC – SP1 (HB-5 Visas)</w:t>
      </w:r>
    </w:p>
    <w:p w:rsidR="009556BB" w:rsidRPr="00087A72" w:rsidRDefault="009556BB" w:rsidP="009556BB">
      <w:pPr>
        <w:pStyle w:val="Heading4"/>
      </w:pPr>
      <w:r w:rsidRPr="00087A72">
        <w:t>The genocide of the Native is the quilting point for the signifiers “politics” and “subjectivity” to adhere itself to meaning. However, unable to obtain perfect completion—that more perfect union—the Political becomes an accelerating cycle of death driven violence against the Native.</w:t>
      </w:r>
    </w:p>
    <w:p w:rsidR="009556BB" w:rsidRPr="00087A72" w:rsidRDefault="009556BB" w:rsidP="009556BB">
      <w:r w:rsidRPr="00087A72">
        <w:rPr>
          <w:rStyle w:val="Style13ptBold"/>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95-100) NIJ</w:t>
      </w:r>
    </w:p>
    <w:p w:rsidR="009556BB" w:rsidRPr="00087A72" w:rsidRDefault="009556BB" w:rsidP="009556BB">
      <w:pPr>
        <w:rPr>
          <w:sz w:val="12"/>
        </w:rPr>
      </w:pPr>
      <w:r w:rsidRPr="00087A72">
        <w:rPr>
          <w:sz w:val="12"/>
        </w:rPr>
        <w:t xml:space="preserve">Whiteness, the Child, and the Logics of Futurity Against the politicized topographies and temporalities of indigeneity and race, I now move into a consideration of the contributions of psychoanalytic theory to the questions of politics and time presented thus far. </w:t>
      </w:r>
      <w:r w:rsidRPr="00087A72">
        <w:rPr>
          <w:rStyle w:val="StyleUnderline"/>
        </w:rPr>
        <w:t>The kinds of questions psychoanalysis is interested in asking, the registers upon which it performs analysis, and its unique emphasis on temporality, language, and difference provide an excellent conceptual apparatus through which we might begin to trouble/problematize stable, taken-for-granted oppositions between psychic and social, personal and political, self and other.</w:t>
      </w:r>
      <w:r w:rsidRPr="00087A72">
        <w:rPr>
          <w:sz w:val="12"/>
        </w:rPr>
        <w:t xml:space="preserve"> Freud’s interest in time is evident in his work on the uncanny, and in his inaugural work on what we might now call trauma studies and conditions we now call post-traumatic stress disorder (PTSD). For Freud, this theory of hysteria introduces a provocative temporality in which traumatic events reoccur, flashing up in perfect replication of themselves, as though happening again and again. In his diagnosis of so-called shell-shocked soldiers returning from World War I, Freud was keenly aware that time did not always progress along an even plane. Though Freud’s analysis of trauma is captivating and critically rich, it is not within my purview here to take on the full extent of this scholarship. Instead, what is most salient to my analysis are the capacities of psychoanalytic theory to move critique outside and beyond prevailing notions of time and narratives of progress that only mean moving forward. This chapter writes from a stance that views it as imperative that scholarship reaches beyond, and thinks outside, the paradigms that invented it. </w:t>
      </w:r>
      <w:r w:rsidRPr="00087A72">
        <w:rPr>
          <w:rStyle w:val="StyleUnderline"/>
        </w:rPr>
        <w:t>Psychoanalytic theory, with its idiosyncratic temporal logics</w:t>
      </w:r>
      <w:r w:rsidRPr="00087A72">
        <w:rPr>
          <w:sz w:val="12"/>
        </w:rPr>
        <w:t>—particularly in conjunction with Foucauldian theory—</w:t>
      </w:r>
      <w:r w:rsidRPr="00087A72">
        <w:rPr>
          <w:rStyle w:val="StyleUnderline"/>
        </w:rPr>
        <w:t>offers a productive and robust way to critique the continuing primacy of normative disciplines whose chronologics have historically warranted a politics that kills in the name of life. Such an approach allows us to hold in productive tension any definition of “the political” as stable and finite, with—as in the case of liberal political philosophy—the legally constructed “person” as its primary epistemological unit. This conceptual capacity of psychoanalysis</w:t>
      </w:r>
      <w:r w:rsidRPr="00087A72">
        <w:rPr>
          <w:sz w:val="12"/>
        </w:rPr>
        <w:t xml:space="preserve">, in turn, </w:t>
      </w:r>
      <w:r w:rsidRPr="00087A72">
        <w:rPr>
          <w:rStyle w:val="StyleUnderline"/>
        </w:rPr>
        <w:t>allows us to politicize a form of life and modality of corporeal personhood hitherto constructed as what</w:t>
      </w:r>
      <w:r w:rsidRPr="00087A72">
        <w:rPr>
          <w:sz w:val="12"/>
        </w:rPr>
        <w:t xml:space="preserve">, in Bataillean parlance, </w:t>
      </w:r>
      <w:r w:rsidRPr="00087A72">
        <w:rPr>
          <w:rStyle w:val="StyleUnderline"/>
        </w:rPr>
        <w:t>we might call colonialism’s accursed share—colonialism’s pure waste.</w:t>
      </w:r>
      <w:r w:rsidRPr="00087A72">
        <w:rPr>
          <w:sz w:val="12"/>
        </w:rPr>
        <w:t xml:space="preserve"> Additionally, </w:t>
      </w:r>
      <w:r w:rsidRPr="00087A72">
        <w:rPr>
          <w:rStyle w:val="StyleUnderline"/>
        </w:rPr>
        <w:t>psychoanalytic notions of the death drive, whose proper movement is explicitly circular, allows us to begin to locate the child within logics of futurity, onto which is laminated a kind of indelible whiteness.</w:t>
      </w:r>
      <w:r w:rsidRPr="00087A72">
        <w:rPr>
          <w:sz w:val="12"/>
        </w:rPr>
        <w:t xml:space="preserve"> For the purpose of my analysis I engage Lacanian psychoanalysis, limiting myself to a consideration of the structure of the drives and to a Lacanian conceptualization of language, and its role in the formation of self and the suturing of the psyche to sociality. Freud, as Teresa De Lauretis (2008) emphasizes, elaborated the death drive between the First and Second World Wars, in a Europe living “under the shadow of death and the threat of biological and cultural genocide” (1). Situating her analysis of the death drive in the contemporary moment, De Lauretis points to this contextual, historical darkening, writing: “I wonder whether our epistemologies can sustain the impact of the real … If I return to Freud’s notion of an unconscious death drive, it is because it conveys the sense and the force of something in human reality that resists discursive articulation as well as political diplomacy, an otherness that haunts the dream of a common world” (9). Using psychoanalysis as reading practice, Freud’s suspicion that human life, both individual and social, is compromised from the beginning by something that undermines it, works against it, is (darkly?) generative. </w:t>
      </w:r>
      <w:r w:rsidRPr="00087A72">
        <w:rPr>
          <w:rStyle w:val="StyleUnderline"/>
        </w:rPr>
        <w:t>The death drive indicates a tension bordering psychic and libidinal relations, which marks Freud’s radical break with Cartesian rationality and points to a negativity that counteracts the optimistic affirmations of human perfectability. This dimension of radical negativity cannot be reduced to an expression of alienated social conditions, nor is it entirely something the body does on its own.</w:t>
      </w:r>
      <w:r w:rsidRPr="00087A72">
        <w:rPr>
          <w:sz w:val="12"/>
        </w:rPr>
        <w:t xml:space="preserve"> Theorized as the destruction drive, the antagonism drive, or sometimes, simply “the drive,” </w:t>
      </w:r>
      <w:r w:rsidRPr="00087A72">
        <w:rPr>
          <w:rStyle w:val="StyleUnderline"/>
        </w:rPr>
        <w:t>it is impossible to escape.</w:t>
      </w:r>
      <w:r w:rsidRPr="00087A72">
        <w:rPr>
          <w:sz w:val="12"/>
        </w:rPr>
        <w:t xml:space="preserve"> In psychoanalytic theory, therefore, particularly in the clinical setting, </w:t>
      </w:r>
      <w:r w:rsidRPr="00087A72">
        <w:rPr>
          <w:rStyle w:val="StyleUnderline"/>
        </w:rPr>
        <w:t>the objective is not to overcome the drive, but rather to come to terms with it, in</w:t>
      </w:r>
      <w:r w:rsidRPr="00087A72">
        <w:rPr>
          <w:sz w:val="12"/>
        </w:rPr>
        <w:t xml:space="preserve"> what Slovenian Lacanian psychoanalytic theorist Slavoj Žižek (1989) calls </w:t>
      </w:r>
      <w:r w:rsidRPr="00087A72">
        <w:rPr>
          <w:rStyle w:val="StyleUnderline"/>
        </w:rPr>
        <w:t xml:space="preserve">“its terrifying dimension” </w:t>
      </w:r>
      <w:r w:rsidRPr="00087A72">
        <w:rPr>
          <w:sz w:val="12"/>
        </w:rPr>
        <w:t xml:space="preserve">(4). </w:t>
      </w:r>
      <w:r w:rsidRPr="00087A72">
        <w:rPr>
          <w:rStyle w:val="StyleUnderline"/>
        </w:rPr>
        <w:t>It is a fundamental axiom of Lacanian psychoanalytic theory that attempts to abolish the drive antagonism are precisely the source of totalitarian temptation.</w:t>
      </w:r>
      <w:r w:rsidRPr="00087A72">
        <w:rPr>
          <w:sz w:val="12"/>
        </w:rPr>
        <w:t xml:space="preserve"> Žižek writes: </w:t>
      </w:r>
      <w:r w:rsidRPr="00087A72">
        <w:rPr>
          <w:rStyle w:val="StyleUnderline"/>
        </w:rPr>
        <w:t>“The greatest mass murders and holocausts have always been perpetrated in the name of man as harmonious being, of a New Man without antagonistic tension”</w:t>
      </w:r>
      <w:r w:rsidRPr="00087A72">
        <w:rPr>
          <w:sz w:val="12"/>
        </w:rPr>
        <w:t xml:space="preserve"> (5). </w:t>
      </w:r>
      <w:r w:rsidRPr="00087A72">
        <w:rPr>
          <w:rStyle w:val="StyleUnderline"/>
        </w:rPr>
        <w:t>So it is that</w:t>
      </w:r>
      <w:r w:rsidRPr="00087A72">
        <w:rPr>
          <w:sz w:val="12"/>
        </w:rPr>
        <w:t xml:space="preserve"> one of Canada’s greatest atrocities— </w:t>
      </w:r>
      <w:r w:rsidRPr="00087A72">
        <w:rPr>
          <w:rStyle w:val="StyleUnderline"/>
        </w:rPr>
        <w:t>the genocide of its First Peoples—took place in the name o</w:t>
      </w:r>
      <w:r w:rsidRPr="00087A72">
        <w:rPr>
          <w:sz w:val="12"/>
        </w:rPr>
        <w:t xml:space="preserve">f Canada itself, that sought </w:t>
      </w:r>
      <w:r w:rsidRPr="00087A72">
        <w:rPr>
          <w:rStyle w:val="StyleUnderline"/>
        </w:rPr>
        <w:t>progress and unification as a single body politic with claims on a shared futurity.</w:t>
      </w:r>
      <w:r w:rsidRPr="00087A72">
        <w:rPr>
          <w:sz w:val="12"/>
        </w:rPr>
        <w:t xml:space="preserve"> The fulfillment of this destiny relied upon the negation of the other, the bad race, the dangerous race, the race that stood outside the purview of the norm and had no share in its time-zone, the ones called to live in the between space—as nobody. </w:t>
      </w:r>
      <w:r w:rsidRPr="00087A72">
        <w:rPr>
          <w:rStyle w:val="StyleUnderline"/>
        </w:rPr>
        <w:t>As the relatively more benign civilization policies failed to convert Aboriginal forms of life into separate but civilized</w:t>
      </w:r>
      <w:r w:rsidRPr="00087A72">
        <w:rPr>
          <w:sz w:val="12"/>
        </w:rPr>
        <w:t xml:space="preserve">, Christian communities on reserves, </w:t>
      </w:r>
      <w:r w:rsidRPr="00087A72">
        <w:rPr>
          <w:rStyle w:val="StyleUnderline"/>
        </w:rPr>
        <w:t>the federal government intensified its tactics. Policies became more aggressive. As these more aggressive policies</w:t>
      </w:r>
      <w:r w:rsidRPr="00087A72">
        <w:rPr>
          <w:sz w:val="12"/>
        </w:rPr>
        <w:t xml:space="preserve"> (such as enfranchisement) </w:t>
      </w:r>
      <w:r w:rsidRPr="00087A72">
        <w:rPr>
          <w:rStyle w:val="StyleUnderline"/>
        </w:rPr>
        <w:t>also failed, the federal government intensified its tactics once again, escalating the stakes and the strategies towards the horizon of assimilation. This ‘doubling down’ in the face of failure is a primary trace effect of the death drive, and indeed, it is not unreasonable to argue that the federal government Indian policy has, since confederation, been death driven. Because the aim of fully eradicating the otherness of the other can only fail</w:t>
      </w:r>
      <w:r w:rsidRPr="00087A72">
        <w:rPr>
          <w:sz w:val="12"/>
        </w:rPr>
        <w:t>—in Freudian parlance, it cannot be mastered—</w:t>
      </w:r>
      <w:r w:rsidRPr="00087A72">
        <w:rPr>
          <w:rStyle w:val="StyleUnderline"/>
        </w:rPr>
        <w:t>the trajectory of the aiming turns in a circularity, orbiting around that which can never be had: perfection. Caught in death drive circularity, the aiming towards the objective</w:t>
      </w:r>
      <w:r w:rsidRPr="00087A72">
        <w:rPr>
          <w:sz w:val="12"/>
        </w:rPr>
        <w:t xml:space="preserve"> (i.e. a unified body politic) </w:t>
      </w:r>
      <w:r w:rsidRPr="00087A72">
        <w:rPr>
          <w:rStyle w:val="StyleUnderline"/>
        </w:rPr>
        <w:t>authorizes, and indeed recruits, escalating violence in the interest of—finally—closing the open.</w:t>
      </w:r>
      <w:r w:rsidRPr="00087A72">
        <w:rPr>
          <w:sz w:val="12"/>
        </w:rPr>
        <w:t xml:space="preserve"> For Žižek, </w:t>
      </w:r>
      <w:r w:rsidRPr="00087A72">
        <w:rPr>
          <w:rStyle w:val="StyleUnderline"/>
        </w:rPr>
        <w:t>this compulsive ‘doubling-down’ in the face of failure to arrive at the impossible horizon of perfection tips towards totalitarian temptation, which</w:t>
      </w:r>
      <w:r w:rsidRPr="00087A72">
        <w:rPr>
          <w:sz w:val="12"/>
        </w:rPr>
        <w:t xml:space="preserve">, he tells us, </w:t>
      </w:r>
      <w:r w:rsidRPr="00087A72">
        <w:rPr>
          <w:rStyle w:val="StyleUnderline"/>
        </w:rPr>
        <w:t>is implicated in the drive to unify a singular body politic, a new man without antagonistic tension. The drive aims for the return to a moment of unity before the intrusion of language and the entrance of the subject into what Lacan calls the Symbolic—the universe of symbols in which all human subjects share. Because this economy of signifiers operates through a modality of difference by association, on the premise that language does not reflect or carry within it universal a priori meaning, spirit, or Truth, signifiers are always and already sliding along a chain of signification that is never truly fixed.</w:t>
      </w:r>
      <w:r w:rsidRPr="00087A72">
        <w:rPr>
          <w:sz w:val="12"/>
        </w:rPr>
        <w:t xml:space="preserve"> Rather, for Lacan, </w:t>
      </w:r>
      <w:r w:rsidRPr="00087A72">
        <w:rPr>
          <w:rStyle w:val="StyleUnderline"/>
        </w:rPr>
        <w:t>meaning is constructed through quilting points, durable concepts that affix ideas to their signifiers and which, in their durability, structure entire fields of meaning.</w:t>
      </w:r>
      <w:r w:rsidRPr="00087A72">
        <w:rPr>
          <w:sz w:val="12"/>
        </w:rPr>
        <w:t xml:space="preserve"> For Lacan, </w:t>
      </w:r>
      <w:r w:rsidRPr="00087A72">
        <w:rPr>
          <w:rStyle w:val="StyleUnderline"/>
        </w:rPr>
        <w:t>subjects are formed by their entrance into this system of sliding difference from a pre-linguistic state retroactively constructed through nostalgic affective associations with unity, perfection, and completion. The loss or lack occurs in the imaginary, the order of presence and absence, and is formalized in the symbolic. This is experienced by the subject as a loss of that to which she/he can never again return, but for which she/he perpetually yearns, and toward which she/he perpetually moves. The circularity of movement toward this impossible horizon is precisely the movement of the drive.</w:t>
      </w:r>
      <w:r w:rsidRPr="00087A72">
        <w:rPr>
          <w:sz w:val="12"/>
        </w:rPr>
        <w:t xml:space="preserve"> It is my argument that the concept of </w:t>
      </w:r>
      <w:r w:rsidRPr="00087A72">
        <w:rPr>
          <w:rStyle w:val="Emphasis"/>
        </w:rPr>
        <w:t>“the Indian” is a quilting point through which the field of politics</w:t>
      </w:r>
      <w:r w:rsidRPr="00087A72">
        <w:rPr>
          <w:sz w:val="12"/>
        </w:rPr>
        <w:t xml:space="preserve"> in Canada </w:t>
      </w:r>
      <w:r w:rsidRPr="00087A72">
        <w:rPr>
          <w:rStyle w:val="Emphasis"/>
        </w:rPr>
        <w:t>is sutured into signification, a durable concept that organizes the meaning of nation, citizen, sovereignty, and subjecthood.</w:t>
      </w:r>
      <w:r w:rsidRPr="00087A72">
        <w:rPr>
          <w:sz w:val="12"/>
        </w:rPr>
        <w:t xml:space="preserve"> Further, </w:t>
      </w:r>
      <w:r w:rsidRPr="00087A72">
        <w:rPr>
          <w:rStyle w:val="StyleUnderline"/>
        </w:rPr>
        <w:t>the hypoxic vision of national unity and a harmonious white(ned) citizenry is a movement propelled by the drive, a circularity impelled by the belief that what is lacking in the present can be made good in the future—an imaginary that activates/harnesses a kind of libidinal energy that is, by its very nature, inexhaustible. It matters, in the instance of the</w:t>
      </w:r>
      <w:r w:rsidRPr="00087A72">
        <w:rPr>
          <w:sz w:val="12"/>
        </w:rPr>
        <w:t xml:space="preserve"> Canadian </w:t>
      </w:r>
      <w:r w:rsidRPr="00087A72">
        <w:rPr>
          <w:rStyle w:val="StyleUnderline"/>
        </w:rPr>
        <w:t>Indian Residential Schools</w:t>
      </w:r>
      <w:r w:rsidRPr="00087A72">
        <w:rPr>
          <w:sz w:val="12"/>
        </w:rPr>
        <w:t xml:space="preserve"> and their mandate, </w:t>
      </w:r>
      <w:r w:rsidRPr="00087A72">
        <w:rPr>
          <w:rStyle w:val="StyleUnderline"/>
        </w:rPr>
        <w:t>that before child subjects enter into the structuration of language/the Symbolic, their bodies are already marked as disprized, abject, inscribed into the signification for, and</w:t>
      </w:r>
      <w:r w:rsidRPr="00087A72">
        <w:rPr>
          <w:sz w:val="12"/>
        </w:rPr>
        <w:t xml:space="preserve">, I argue, </w:t>
      </w:r>
      <w:r w:rsidRPr="00087A72">
        <w:rPr>
          <w:rStyle w:val="StyleUnderline"/>
        </w:rPr>
        <w:t>as, loss itself.</w:t>
      </w:r>
      <w:r w:rsidRPr="00087A72">
        <w:rPr>
          <w:sz w:val="12"/>
        </w:rPr>
        <w:t xml:space="preserve"> As I have argued above, reading through psychoanalytic theory facilitates a conceptualization of subject-formation that includes the role of signification in the contouring of subject/ivities. This analytic rubric is importantly brought to bear in my analysis of “the child” the Canadian Indian Residential School System announces into presence: </w:t>
      </w:r>
      <w:r w:rsidRPr="00087A72">
        <w:rPr>
          <w:rStyle w:val="StyleUnderline"/>
        </w:rPr>
        <w:t>a child fundamentally and constitutively tied to a death whose temporal structure is always deferred, always impartial, always unfolding, and yet always still to be.</w:t>
      </w:r>
      <w:r w:rsidRPr="00087A72">
        <w:rPr>
          <w:sz w:val="12"/>
        </w:rPr>
        <w:t xml:space="preserve"> Indeed, </w:t>
      </w:r>
      <w:r w:rsidRPr="00087A72">
        <w:rPr>
          <w:rStyle w:val="StyleUnderline"/>
        </w:rPr>
        <w:t>even in circumstances in which her/his mode of being in the world is not a deliberate practice of making- spectral, “the child” remains a notoriously ambivalent, slippery signifier. This plasticity</w:t>
      </w:r>
      <w:r w:rsidRPr="00087A72">
        <w:rPr>
          <w:sz w:val="12"/>
        </w:rPr>
        <w:t>—differently stated, this over-abundant availability of “the child” as concept—</w:t>
      </w:r>
      <w:r w:rsidRPr="00087A72">
        <w:rPr>
          <w:rStyle w:val="StyleUnderline"/>
        </w:rPr>
        <w:t>takes on an interesting significance within political thought, functioning not as that which is politicized, but as the signifier in whose name the political mobilizes itself.</w:t>
      </w:r>
      <w:r w:rsidRPr="00087A72">
        <w:rPr>
          <w:sz w:val="12"/>
        </w:rPr>
        <w:t xml:space="preserve"> In this way, </w:t>
      </w:r>
      <w:r w:rsidRPr="00087A72">
        <w:rPr>
          <w:rStyle w:val="StyleUnderline"/>
        </w:rPr>
        <w:t>the child functions as the absolute outside to political thought and the logics of its temporality, functioning instead to condition its possibilities and organize, from beyond its borders, its spatial and temporal limits.</w:t>
      </w:r>
      <w:r w:rsidRPr="00087A72">
        <w:rPr>
          <w:sz w:val="12"/>
        </w:rPr>
        <w:t xml:space="preserve"> An example of this conceptualization of the child as signifier—and certainly one of the more provocative articulations of this phenomena in the contemporary neoliberal moment—is the polemic Lee develops in his monograph No Future: Queer Theory and the Death Drive. For Edelman, the Child—in its conflation with the kind of futurity toward which the teleology of (neo)liberal discourse is mobilized—is not simply important to contemporary politics, but is that which “serves to regulate political discourse [itself]” (ii). Indeed, as Edelman points out, “the figural Child alone embodies the citizen as ideal, entitled to claim full rights to its future share in the nation’s good, though always at the cost of limiting the rights ‘real’ citizens are allowed. For the social exists to preserve for this universalized subject, this fantasmatic Child, a national freedom more highly valued than the actuality of freedom itself” (ii). In Edelman’s polemic, </w:t>
      </w:r>
      <w:r w:rsidRPr="00087A72">
        <w:rPr>
          <w:rStyle w:val="Emphasis"/>
        </w:rPr>
        <w:t>it goes without saying that the figural child is a white child</w:t>
      </w:r>
      <w:r w:rsidRPr="00087A72">
        <w:rPr>
          <w:sz w:val="12"/>
        </w:rPr>
        <w:t xml:space="preserve"> and that children of colour, children of mixed heritage, </w:t>
      </w:r>
      <w:r w:rsidRPr="00087A72">
        <w:rPr>
          <w:rStyle w:val="StyleUnderline"/>
        </w:rPr>
        <w:t>Indian children</w:t>
      </w:r>
      <w:r w:rsidRPr="00087A72">
        <w:rPr>
          <w:sz w:val="12"/>
        </w:rPr>
        <w:t xml:space="preserve">—within the Ideological State Apparatus of the Indian Residential Schools—far from carrying the over-abundant significance Edelman so adeptly parses, signify on only the most spectral of registers. This child, I argue, as a kind of spectral(ized) partial subject, </w:t>
      </w:r>
      <w:r w:rsidRPr="00087A72">
        <w:rPr>
          <w:rStyle w:val="StyleUnderline"/>
        </w:rPr>
        <w:t>instantiates a subjectivity simultaneously over-exposed to the political and over-determined by the word of the law, while barely accorded even the status of bare life. This is a subject that is hailed into a circularity of misrecognition in a relationship with death that is virtually inescapable. This relationship with death is the suture that connects this subject to the social.</w:t>
      </w:r>
      <w:r w:rsidRPr="00087A72">
        <w:rPr>
          <w:sz w:val="12"/>
        </w:rPr>
        <w:t xml:space="preserve"> Edelman’s argument does not address racialized formations of self-hood, but is no less relevant to the argument I seek to develop here. Indeed, it is perhaps all the keener in what it omits—which is the child of color. This omission points to the level of signification and the way in which the whitened child is effortlessly lifted from the problematically raced body—the body whose racialized status is found problematic. This fantasy of purification through signification speaks, in ways that are eloquent and disturbing in equal measure, precisely the fantasy of the Canadian Indian Residential School System: that the body of the Indian could be left behind in a transcendent movement away from the vexatious quagmire posed by the Indian body toward the realm of what Kantian philosophy calls pure spirit, the realm of whiteness, purity, and hypoxic visions of what Edelman calls, “a national freedom more highly valued than the actuality of freedom itself” (ii). This fantasy of corporeal abandonment points to the latent desire of Western philosophical thought that seeks, through the disavowal of bodily finitude and a fetishization of the logos, access to purity of form, a fantasy that relegates, leaves trapped, the sometimes racialized, sometimes feminized other, mired in flesh and finitude from which it is allowed no escape. </w:t>
      </w:r>
      <w:r w:rsidRPr="00087A72">
        <w:rPr>
          <w:rStyle w:val="StyleUnderline"/>
        </w:rPr>
        <w:t>The Indigenous person</w:t>
      </w:r>
      <w:r w:rsidRPr="00087A72">
        <w:rPr>
          <w:sz w:val="12"/>
        </w:rPr>
        <w:t xml:space="preserve">, we remember from Hegel’s Lectures on the Philosophy of World History, </w:t>
      </w:r>
      <w:r w:rsidRPr="00087A72">
        <w:rPr>
          <w:rStyle w:val="StyleUnderline"/>
        </w:rPr>
        <w:t>is imagined as always already outside the teleology of history, already extinct. This way of understanding difference, through the rubric of historical progress, remains central to liberal and neoliberal political thought, economic practices, and policies in the current moment.</w:t>
      </w:r>
      <w:r w:rsidRPr="00087A72">
        <w:rPr>
          <w:sz w:val="12"/>
        </w:rPr>
        <w:t xml:space="preserve"> Prising the child away from the Indian, meanwhile, continues to have important implications in the way we imagine colonial forms, not only of life, but also of death.</w:t>
      </w:r>
    </w:p>
    <w:p w:rsidR="00FA1026" w:rsidRPr="00087A72" w:rsidRDefault="00FA1026" w:rsidP="00FA1026">
      <w:pPr>
        <w:pStyle w:val="Heading4"/>
      </w:pPr>
      <w:r w:rsidRPr="00087A72">
        <w:t>Documentation—particularly through visas—functions as a settler colonial tool to render migrant bodies visible to the state, thus able to be controlled and surveilled, and ensures their exploitation through capital.</w:t>
      </w:r>
    </w:p>
    <w:p w:rsidR="00FA1026" w:rsidRPr="00087A72" w:rsidRDefault="00FA1026" w:rsidP="00FA1026">
      <w:r w:rsidRPr="00087A72">
        <w:rPr>
          <w:rStyle w:val="Style13ptBold"/>
        </w:rPr>
        <w:t xml:space="preserve">Taschereau Mamers 17 </w:t>
      </w:r>
      <w:r w:rsidRPr="00087A72">
        <w:t xml:space="preserve"> (Danielle, University of Western Ontario, Graduate in media studies "Settler Colonial Ways of Seeing: Documentary Governance of Indigenous Life in Canada and its Disruption" (2017). Electronic Thesis and Dissertation Repository. 4651. https://ir.lib.uwo.ca/etd/4651)</w:t>
      </w:r>
    </w:p>
    <w:p w:rsidR="00FA1026" w:rsidRPr="00087A72" w:rsidRDefault="00FA1026" w:rsidP="009556BB">
      <w:pPr>
        <w:rPr>
          <w:rStyle w:val="Emphasis"/>
        </w:rPr>
      </w:pPr>
      <w:r w:rsidRPr="00087A72">
        <w:rPr>
          <w:sz w:val="12"/>
        </w:rPr>
        <w:t xml:space="preserve">The materiality of files and </w:t>
      </w:r>
      <w:r w:rsidRPr="00087A72">
        <w:rPr>
          <w:rStyle w:val="Emphasis"/>
        </w:rPr>
        <w:t>documents make and foreclose a range of visibility and, thus, possibility.</w:t>
      </w:r>
      <w:r w:rsidRPr="00087A72">
        <w:rPr>
          <w:sz w:val="12"/>
        </w:rPr>
        <w:t xml:space="preserve"> Describing the productive heart of documentation Ben Kafka repeats a frequently cited dictum of Spain’s King Philip II: “quod non est in actis, non est in mundo; </w:t>
      </w:r>
      <w:r w:rsidRPr="00087A72">
        <w:rPr>
          <w:rStyle w:val="StyleUnderline"/>
        </w:rPr>
        <w:t>what is not in the records is not in the world” (2009, 345; Vismann 2008). Similarly, what is not “Indian” in the Indian Register is not in the world.</w:t>
      </w:r>
      <w:r w:rsidRPr="00087A72">
        <w:rPr>
          <w:sz w:val="12"/>
        </w:rPr>
        <w:t xml:space="preserve"> That is, not in the world as perceived by the settler colonial Canadian state and its administrators. By creating documentary records, the Indian Register literalizes and makes visible in its files the lives defined as “Indian” by the state’s taxonomic nominalism. Lives outside the narrow Indian Act definition are obscured: they may appear to the state in a variety of other ways, but not as “Indian”. The </w:t>
      </w:r>
      <w:r w:rsidRPr="00087A72">
        <w:rPr>
          <w:rStyle w:val="Emphasis"/>
        </w:rPr>
        <w:t>stakes of this documentary visibility are high. To not be seen as “Indian” risks an assimilative invisibility, which results in being denied access to treaty relationships and what is owed by virtue of these relationships.</w:t>
      </w:r>
      <w:r w:rsidRPr="00087A72">
        <w:rPr>
          <w:sz w:val="12"/>
        </w:rPr>
        <w:t xml:space="preserve"> But being seen on the state’s terms risks being made visible under deeply constrained conditions. The stakes of this erasure are clear in the many court cases and struggles over the definition of status, as well as the struggle of different groups such as the Métis and Inuit to be recognized as Aboriginal peoples under the Constitution.9 The circumscribed </w:t>
      </w:r>
      <w:r w:rsidRPr="00087A72">
        <w:rPr>
          <w:rStyle w:val="StyleUnderline"/>
        </w:rPr>
        <w:t>visibility of Indigenous life recorded by the Register is the evidence accepted by the Registrar and the broader settler state apparatus. Only the data recorded by its own documentary</w:t>
      </w:r>
      <w:r w:rsidRPr="00087A72">
        <w:rPr>
          <w:sz w:val="12"/>
        </w:rPr>
        <w:t xml:space="preserve"> practices is 9 Such court cases begin with the 1939 Supreme Court ruling in Reference Re: Eskimos that the “Eskimo” population—now referred to as Inuit—should be included in federal jurisdiction over “Indians”. Section 35 of the Constitution Act 1982 recognizes the Aboriginal treaty rights of First Nations (“status Indians”), Inuit/Inuk, and Métis peoples. The April 2016 Daniels v. Canada Supreme Court decision granted that Métis and non-status Indians are “Indians” under Section 91(24) of the Constitution. Indigenous women’s long struggle against Indian Act sex-discrimination also made use of the court system. Key cases include Mary Two-Axe Earley’s petition to the Royal Commission on the Status of Women in Canada in 1968, Jeanette Lavell and Yvonne Bedard’s 1973 Supreme Court cases, and Sandra Lovelace’s 1974 Supreme Court case. While the courts upheld the Act in these cases, Lovelace’s 1981 petition to the United Nations human rights committee finally led to the C-31 amendment in 1985. 86  deemed real and becomes the terrain of reality on which the state operates. To be seen at all—indeed to even be glimpsed as in the world of the settler state—</w:t>
      </w:r>
      <w:r w:rsidRPr="00087A72">
        <w:rPr>
          <w:rStyle w:val="Emphasis"/>
        </w:rPr>
        <w:t>Indigenous people and nations must make themselves visible through documents that literalize the terms of the Indian Act. As will be discussed further in Chapter Four, this constrained form of visibility also frequently entails a hyper-visibility of Indigenous peoples—and especially Indigenous women—to agents of state law and to perpetrators of sexual and other forms of violence.</w:t>
      </w:r>
      <w:r w:rsidRPr="00087A72">
        <w:rPr>
          <w:sz w:val="12"/>
        </w:rPr>
        <w:t xml:space="preserve"> As I’ve argued in the previous chapter, documents and documentary techniques— forms, maps, files—are key processes in the bureaucratic tradition. Suzanne Briet defined </w:t>
      </w:r>
      <w:r w:rsidRPr="00087A72">
        <w:rPr>
          <w:rStyle w:val="StyleUnderline"/>
        </w:rPr>
        <w:t>documents as things that have been “preserved or recorded toward the ends of representing, of reconstituting, or of proving a physical or intellectual phenomenon” (2006, 10). By rendering territories and peoples visible within the terms of the state, documentation processes create many of the forms of bureaucratic re-presentations that the state uses to do the work of governing. In other words, documentary practices are central to what Mark Reinhardt has identified as the dual “visual construction of the political field” and “political construction of the visual field”</w:t>
      </w:r>
      <w:r w:rsidRPr="00087A72">
        <w:rPr>
          <w:sz w:val="12"/>
        </w:rPr>
        <w:t xml:space="preserve"> (2012, 34). In delimiting frames of what can be seen and how, settler colonial ways of seeing make visible the bodily and territorial terrain on which the state seeks to operate. The Canadian state’s vision for a new and better settler polity includes articulating Indigenous presence as an “Indian problem”. In the previous chapter, I demonstrated how </w:t>
      </w:r>
      <w:r w:rsidRPr="00087A72">
        <w:rPr>
          <w:rStyle w:val="StyleUnderline"/>
        </w:rPr>
        <w:t>the Indian Act’s racializing taxonomy is a vision for colonization and a technique of knowledge and governance grounded in a settler colonial logic of elimination. In the form of the Indian Register, documentation is a technique for applying this taxonomy. The Indian Act taxonomy produces the category and name “Indian”; the Register is a documentary mode of identifying, sorting, and counting individuals in relation to this taxonomy.</w:t>
      </w:r>
      <w:r w:rsidRPr="00087A72">
        <w:rPr>
          <w:sz w:val="12"/>
        </w:rPr>
        <w:t xml:space="preserve"> Yet, the settler colonial state and its representatives in the metropole (Ottawa) are removed from the bodies they seek to categorize, scrutinize, govern, assimilate, and eliminate. Documentation is one of the localized forms of sovereign law and of interaction with juridical categories. While the </w:t>
      </w:r>
      <w:r w:rsidRPr="00087A72">
        <w:rPr>
          <w:rStyle w:val="StyleUnderline"/>
        </w:rPr>
        <w:t>settler state takes a very real, material form in the body of the Indian Agent visiting the reserve or the Indian Registrar in the 87 distant metropole, it also is literalized through documentation.</w:t>
      </w:r>
      <w:r w:rsidRPr="00087A72">
        <w:rPr>
          <w:sz w:val="12"/>
        </w:rPr>
        <w:t xml:space="preserve"> Indeed, the Indian Agent and the Registrar are not only enforcers or representatives of settler law, they are also documentarians charged with the role of transforming Indigenous land and life into the many genres of the bureaucratic tradition. In the late 19th and early 20th centuries,</w:t>
      </w:r>
      <w:r w:rsidRPr="00087A72">
        <w:rPr>
          <w:rStyle w:val="Emphasis"/>
        </w:rPr>
        <w:t xml:space="preserve"> documentation was key to developing a new form of authority, which was based on the collection of evidence in centralized, administrative spaces.</w:t>
      </w:r>
      <w:r w:rsidRPr="00087A72">
        <w:rPr>
          <w:sz w:val="12"/>
        </w:rPr>
        <w:t xml:space="preserve"> Craig Robertson (2014, 2009) has analyzed the emergence of state investments in the validity of paper documents as a technique for stabilizing the “official” identities of a population in service of centralizing governance. Robertson </w:t>
      </w:r>
      <w:r w:rsidRPr="00087A72">
        <w:rPr>
          <w:rStyle w:val="Emphasis"/>
        </w:rPr>
        <w:t>characterizes this system of paper evidence and governance as a “documentary regime of verification</w:t>
      </w:r>
      <w:r w:rsidRPr="00087A72">
        <w:rPr>
          <w:sz w:val="12"/>
        </w:rPr>
        <w:t xml:space="preserve">” (2014, 79). A documentary regime of verification depends on </w:t>
      </w:r>
      <w:r w:rsidRPr="00087A72">
        <w:rPr>
          <w:rStyle w:val="StyleUnderline"/>
        </w:rPr>
        <w:t>exclusion and marginalization in the process of collecting, recording, and transmitting information about individuals. Such a regime assumes that individuals cannot be reliable or objective sources of information about their own identity and that it is necessary to minimize individual discretion in relation to reading and interpreting evidence of identit</w:t>
      </w:r>
      <w:r w:rsidRPr="00087A72">
        <w:rPr>
          <w:sz w:val="12"/>
        </w:rPr>
        <w:t xml:space="preserve">y. This results in individuals being excluded from the process of their own documentary identification: birth certificates, passports, and other forms of “official” identity are produced by administrative officials at a distance from the particular person being identified. Under this </w:t>
      </w:r>
      <w:r w:rsidRPr="00087A72">
        <w:rPr>
          <w:rStyle w:val="StyleUnderline"/>
        </w:rPr>
        <w:t>documentary regime, Robertson notes, “ideally official document begat official document to articulate an official identity” (2009, 342). By requiring state- generated documents such as birth and marriage certificates to secure documentation of “Indian status”, the Indian Register exemplifies such a cyclical regime of documentary verification</w:t>
      </w:r>
      <w:r w:rsidRPr="00087A72">
        <w:rPr>
          <w:sz w:val="12"/>
        </w:rPr>
        <w:t xml:space="preserve">. Structured by procedures set out in official manuals and enacted at a distance from individual applicants, the Indian Register operates within a documentary regime of verification. As a system of files housed first in the Ministry for Citizenship and Immigration’s Indian Affairs portfolio (1951-1965) and later in the Departments of Indian Affairs and Northern Development (1966-2011) and Aboriginal Affairs and Northern Development Canada (2011-2015), the Indian Register’s claims to knowledge and </w:t>
      </w:r>
      <w:r w:rsidRPr="00087A72">
        <w:rPr>
          <w:rStyle w:val="Emphasis"/>
        </w:rPr>
        <w:t xml:space="preserve">authority are rooted in a “logic of location” common to many forms of identity 88 verification. The veracity of an administrative document is tied to its condition of production: someone with a defined position within a bureaucracy follows predetermined protocols to confirm the provided evidence of an individual’s identity and ultimately generates further documents verifying the “fact” of that identity </w:t>
      </w:r>
      <w:r w:rsidRPr="00087A72">
        <w:rPr>
          <w:sz w:val="12"/>
        </w:rPr>
        <w:t xml:space="preserve">(Robertson 2009, 335). This logic of location privileges documents emanating from a formal state organization over personal stories or associations, rendering trust a question of depersonalization. The Indian Register was structured by this logic, producing official “Indian” </w:t>
      </w:r>
      <w:r w:rsidRPr="00087A72">
        <w:rPr>
          <w:rStyle w:val="Emphasis"/>
        </w:rPr>
        <w:t>identity by the intentional collection and recording of specific facts as documents, then processing, classifying, and storing these documents in the files—first paper, now digitized—of the bureaucrats charged with governing the affairs of “Indians”.</w:t>
      </w:r>
      <w:r w:rsidRPr="00087A72">
        <w:rPr>
          <w:sz w:val="12"/>
        </w:rPr>
        <w:t xml:space="preserve"> Ultimately, these processes create a circle of evidence in which documents require more documents to verify identity. Applications for registration as a “status Indian” must reference specific forms of evidence testifying to an individual’s eligibility. The </w:t>
      </w:r>
      <w:r w:rsidRPr="00087A72">
        <w:rPr>
          <w:rStyle w:val="Emphasis"/>
        </w:rPr>
        <w:t>limited range of evidence accepted by the Registrar illustrates the circumscribed range of the world legible to sovereign grids of intelligibility</w:t>
      </w:r>
      <w:r w:rsidRPr="00087A72">
        <w:rPr>
          <w:sz w:val="12"/>
        </w:rPr>
        <w:t xml:space="preserve">. The forms of evidence required for registration with the state is evidence generated by the state. A 1993 Department of Indian Affairs and Northern Development report on registration presented a list of acceptable documents, prioritized in the following order: provincial vital statistics documents; court orders and court documents; church records; school or census records; band or other Indian Affairs records; and, lastly, sworn affidavits testifying to the applicant’s birth (DIAND 1993, 38-9). </w:t>
      </w:r>
      <w:r w:rsidRPr="00087A72">
        <w:rPr>
          <w:rStyle w:val="Emphasis"/>
        </w:rPr>
        <w:t>This hierarchical order reveals the regime of truth at the heart of Canadian Indian policy.</w:t>
      </w:r>
      <w:r w:rsidRPr="00087A72">
        <w:rPr>
          <w:sz w:val="12"/>
        </w:rPr>
        <w:t xml:space="preserve"> Settlers, Eve Tuck and K. Wayne Yang argue, “locate themselves at the top and at the center of all typologies—as simultaneously most superior and most normal” (2014, 812). Similarly, the preferred </w:t>
      </w:r>
      <w:r w:rsidRPr="00087A72">
        <w:rPr>
          <w:rStyle w:val="StyleUnderline"/>
        </w:rPr>
        <w:t>sources of evidence within colonial bureaucracies are those most removed from the individual requesting registration and closest to settler political authority. Those documents infused with the authorial force of state power conform to state grids of intelligibility and, as such, are perceptible as statements of fact</w:t>
      </w:r>
      <w:r w:rsidRPr="00087A72">
        <w:rPr>
          <w:sz w:val="12"/>
        </w:rPr>
        <w:t xml:space="preserve">. The information sources of last resort are those closest to the individual in question, furthest from political authority, and potentially attest to alternate regimes of truth. Even in cases 89 where the Registrar accepts oral testimony, that testimony is co-authored by the state via the affidavit process. </w:t>
      </w:r>
      <w:r w:rsidRPr="00087A72">
        <w:rPr>
          <w:rStyle w:val="StyleUnderline"/>
        </w:rPr>
        <w:t>An inscription of state-recognized authority on the storyteller’s own authority, the affidavit serves as “proven” or “verified” oral history. Ultimately, the state only accepts what can be included within its realm of intelligibility and authorized within a state-defined realm of facts. Working through the office of the Indian Registrar, the state thus retained its grasp on sovereign authorial power: the ability to grant status remained under the exclusive auspices of settler colonial law.</w:t>
      </w:r>
      <w:r w:rsidRPr="00087A72">
        <w:rPr>
          <w:sz w:val="12"/>
        </w:rPr>
        <w:t xml:space="preserve">10 Administrative documents and the categories and facts they make visible set the terms of interaction with the state. The reality materialized by authorized documents and the facts they contain forms a closed circuit of evidence: </w:t>
      </w:r>
      <w:r w:rsidRPr="00087A72">
        <w:rPr>
          <w:rStyle w:val="Emphasis"/>
        </w:rPr>
        <w:t>to be recognized by the state, one needs to produce documents visible to the state and yet to contest the state, one is still limited to those</w:t>
      </w:r>
      <w:r w:rsidRPr="00087A72">
        <w:rPr>
          <w:sz w:val="12"/>
        </w:rPr>
        <w:t xml:space="preserve"> </w:t>
      </w:r>
      <w:r w:rsidRPr="00087A72">
        <w:rPr>
          <w:rStyle w:val="Emphasis"/>
        </w:rPr>
        <w:t>same modes of visibility</w:t>
      </w:r>
      <w:r w:rsidRPr="00087A72">
        <w:rPr>
          <w:sz w:val="12"/>
        </w:rPr>
        <w:t>. Authorized documents are the “operative facts” in spaces of sovereign power and “</w:t>
      </w:r>
      <w:r w:rsidRPr="00087A72">
        <w:rPr>
          <w:rStyle w:val="Emphasis"/>
        </w:rPr>
        <w:t xml:space="preserve">there are virtually no other facts for the state than those that are contained in documents standardized for that purpose” </w:t>
      </w:r>
      <w:r w:rsidRPr="00087A72">
        <w:rPr>
          <w:sz w:val="12"/>
        </w:rPr>
        <w:t xml:space="preserve">(Scott 1998, 83). The avenue for speaking back to one’s position within Indian Act taxonomy—filing a protest of the Registrar’s decision—is structured by the forms of truth authorized and accepted by the state. The same forms of evidence accepted by the Registrar are also the only forms of evidence admissible in situations where the Registrar’s decision is protested or heard in court (DIAND 1993, 40). While </w:t>
      </w:r>
      <w:r w:rsidRPr="00087A72">
        <w:rPr>
          <w:rStyle w:val="Emphasis"/>
        </w:rPr>
        <w:t>an individual may protest the veracity of information included on her official documents, her claim must be corroborated by additional documents that still fall within the list of those intelligible to the Registrar and the court.</w:t>
      </w:r>
    </w:p>
    <w:p w:rsidR="00FA1026" w:rsidRPr="00087A72" w:rsidRDefault="00FA1026" w:rsidP="00FA1026">
      <w:pPr>
        <w:pStyle w:val="Heading4"/>
      </w:pPr>
      <w:r w:rsidRPr="00087A72">
        <w:t>Narratives of extinction are a settler move to innocence, marking the fragility of whiteness in its repetition compulsion</w:t>
      </w:r>
    </w:p>
    <w:p w:rsidR="00FA1026" w:rsidRPr="00087A72" w:rsidRDefault="00FA1026" w:rsidP="00FA1026">
      <w:r w:rsidRPr="00087A72">
        <w:rPr>
          <w:rStyle w:val="Style13ptBold"/>
        </w:rPr>
        <w:t>Dalley 16</w:t>
      </w:r>
      <w:r w:rsidRPr="00087A72">
        <w:t xml:space="preserve"> (Hamish, Assistant professor of English at Daemen College and techer in the areas of ancient and modern world literature, “The deaths of settler colonialism: extinction as a metaphor of decolonization in contemporary settler literature,” </w:t>
      </w:r>
      <w:r w:rsidRPr="00087A72">
        <w:rPr>
          <w:i/>
        </w:rPr>
        <w:t>Settler Colonial Studies</w:t>
      </w:r>
      <w:r w:rsidRPr="00087A72">
        <w:t>, Issue Number, No. 8)//vikas</w:t>
      </w:r>
    </w:p>
    <w:p w:rsidR="00FA1026" w:rsidRPr="00087A72" w:rsidRDefault="00FA1026" w:rsidP="00FA1026">
      <w:pPr>
        <w:rPr>
          <w:b/>
          <w:iCs/>
          <w:sz w:val="26"/>
          <w:u w:val="single"/>
        </w:rPr>
      </w:pPr>
      <w:r w:rsidRPr="00087A72">
        <w:rPr>
          <w:b/>
          <w:u w:val="single"/>
        </w:rPr>
        <w:t>Settlers love to contemplate the possibility of their own extinction</w:t>
      </w:r>
      <w:r w:rsidRPr="00087A72">
        <w:rPr>
          <w:sz w:val="14"/>
        </w:rPr>
        <w:t xml:space="preserve">; to read many contemporary literary representations of settler colonialism is to find settlers strangely satisfied </w:t>
      </w:r>
      <w:r w:rsidRPr="00087A72">
        <w:rPr>
          <w:b/>
          <w:u w:val="single"/>
        </w:rPr>
        <w:t>in dreaming of ends</w:t>
      </w:r>
      <w:r w:rsidRPr="00087A72">
        <w:rPr>
          <w:sz w:val="14"/>
        </w:rPr>
        <w:t xml:space="preserve"> that never come. This tendency is widely prevalent in English-language representations of settler colonialism produced since the 1980s: the possibility of an ending – </w:t>
      </w:r>
      <w:r w:rsidRPr="00087A72">
        <w:rPr>
          <w:rStyle w:val="Emphasis"/>
        </w:rPr>
        <w:t>the likelihood that the settler race will one day die out</w:t>
      </w:r>
      <w:r w:rsidRPr="00087A72">
        <w:rPr>
          <w:sz w:val="14"/>
        </w:rPr>
        <w:t xml:space="preserve"> – is a common theme in literary and pop culture considerations of colonialism’s future. Yet it has barely been remarked how surprising it is that this theme is so present. For settlers, of all people, to obsessively ruminate on their own finitude is counterintuitive, for few modern social formations have been more resistant to change than settler colonialism. 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that has been mounted whenever </w:t>
      </w:r>
      <w:r w:rsidRPr="00087A72">
        <w:rPr>
          <w:sz w:val="14"/>
          <w:szCs w:val="14"/>
        </w:rPr>
        <w:t>such an order has been built.</w:t>
      </w:r>
      <w:r w:rsidRPr="00087A72">
        <w:rPr>
          <w:b/>
          <w:sz w:val="14"/>
          <w:szCs w:val="14"/>
          <w:u w:val="single"/>
        </w:rPr>
        <w:t xml:space="preserve"> </w:t>
      </w:r>
      <w:r w:rsidRPr="00087A72">
        <w:rPr>
          <w:b/>
          <w:u w:val="single"/>
        </w:rPr>
        <w:t>Settlers think all the time that they might one day end, even though (perhaps because) that ending seems unlikely</w:t>
      </w:r>
      <w:r w:rsidRPr="00087A72">
        <w:rPr>
          <w:sz w:val="14"/>
        </w:rPr>
        <w:t xml:space="preserve"> ever to happen. The significance of this paradox for settler-colonial literature is the subject of this article. </w:t>
      </w:r>
      <w:r w:rsidRPr="00087A72">
        <w:rPr>
          <w:rStyle w:val="Emphasis"/>
        </w:rPr>
        <w:t>Considering the problem of futurity offers a useful foil to traditional analyses of settler colonial narrative</w:t>
      </w:r>
      <w:r w:rsidRPr="00087A72">
        <w:rPr>
          <w:sz w:val="14"/>
        </w:rPr>
        <w:t xml:space="preserve">, which typically examine settlers’ attitudes towards history in order to highlight a constitutive anxiety about the past – about origins. </w:t>
      </w:r>
      <w:r w:rsidRPr="00087A72">
        <w:rPr>
          <w:b/>
          <w:u w:val="single"/>
        </w:rPr>
        <w:t>Settler colonialism</w:t>
      </w:r>
      <w:r w:rsidRPr="00087A72">
        <w:rPr>
          <w:sz w:val="14"/>
        </w:rPr>
        <w:t xml:space="preserve">, the argument goes, </w:t>
      </w:r>
      <w:r w:rsidRPr="00087A72">
        <w:rPr>
          <w:b/>
          <w:u w:val="single"/>
        </w:rPr>
        <w:t>has a problem with historical narration that arises from a contradiction in its founding mythology.</w:t>
      </w:r>
      <w:r w:rsidRPr="00087A72">
        <w:rPr>
          <w:sz w:val="14"/>
        </w:rPr>
        <w:t xml:space="preserve"> In Stephen Turner’s formulation, the settler subject is by definition one who comes from elsewhere but who strives to make this place home. </w:t>
      </w:r>
      <w:r w:rsidRPr="00087A72">
        <w:rPr>
          <w:rStyle w:val="Emphasis"/>
        </w:rPr>
        <w:t>The settlement narrative must explain how this gap</w:t>
      </w:r>
      <w:r w:rsidRPr="00087A72">
        <w:rPr>
          <w:sz w:val="14"/>
        </w:rPr>
        <w:t xml:space="preserve"> – which is at once geographical, historical, and existential – </w:t>
      </w:r>
      <w:r w:rsidRPr="00087A72">
        <w:rPr>
          <w:b/>
          <w:u w:val="single"/>
        </w:rPr>
        <w:t xml:space="preserve">has been bridged, and </w:t>
      </w:r>
      <w:r w:rsidRPr="00087A72">
        <w:rPr>
          <w:rStyle w:val="Emphasis"/>
        </w:rPr>
        <w:t>the settler transformed from outsider into indigene.</w:t>
      </w:r>
      <w:r w:rsidRPr="00087A72">
        <w:rPr>
          <w:sz w:val="14"/>
        </w:rPr>
        <w:t xml:space="preserve"> Yet the transformation </w:t>
      </w:r>
      <w:r w:rsidRPr="00087A72">
        <w:rPr>
          <w:rStyle w:val="Emphasis"/>
        </w:rPr>
        <w:t>must remain</w:t>
      </w:r>
      <w:r w:rsidRPr="00087A72">
        <w:rPr>
          <w:b/>
          <w:u w:val="single"/>
        </w:rPr>
        <w:t xml:space="preserve"> constitutively </w:t>
      </w:r>
      <w:r w:rsidRPr="00087A72">
        <w:rPr>
          <w:rStyle w:val="Emphasis"/>
        </w:rPr>
        <w:t>incomplete, because the desire to be at home</w:t>
      </w:r>
      <w:r w:rsidRPr="00087A72">
        <w:rPr>
          <w:b/>
          <w:u w:val="single"/>
        </w:rPr>
        <w:t xml:space="preserve"> necessarily </w:t>
      </w:r>
      <w:r w:rsidRPr="00087A72">
        <w:rPr>
          <w:rStyle w:val="Emphasis"/>
        </w:rPr>
        <w:t>invokes the spectre of the native, whose existence</w:t>
      </w:r>
      <w:r w:rsidRPr="00087A72">
        <w:rPr>
          <w:sz w:val="14"/>
        </w:rPr>
        <w:t xml:space="preserve"> (which cannot be disavowed completely because it is needed to define the settler’s difference, superiority, and hence claim to the land) </w:t>
      </w:r>
      <w:r w:rsidRPr="00087A72">
        <w:rPr>
          <w:rStyle w:val="Emphasis"/>
        </w:rPr>
        <w:t>inscribes the settler’s foreignness</w:t>
      </w:r>
      <w:r w:rsidRPr="00087A72">
        <w:rPr>
          <w:sz w:val="14"/>
        </w:rPr>
        <w:t xml:space="preserve">, thus </w:t>
      </w:r>
      <w:r w:rsidRPr="00087A72">
        <w:rPr>
          <w:rStyle w:val="Emphasis"/>
        </w:rPr>
        <w:t>reinstating the gap between settler and colony that the narrative was meant to efface.</w:t>
      </w:r>
      <w:r w:rsidRPr="00087A72">
        <w:rPr>
          <w:sz w:val="14"/>
        </w:rPr>
        <w:t xml:space="preserve"> Settler-colonial narrative is thus </w:t>
      </w:r>
      <w:r w:rsidRPr="00087A72">
        <w:rPr>
          <w:b/>
          <w:u w:val="single"/>
        </w:rPr>
        <w:t>shaped around its need to erase and evoke the native, to make the indigene both invisible and present in a contradictory pattern that prevents settlers from</w:t>
      </w:r>
      <w:r w:rsidRPr="00087A72">
        <w:rPr>
          <w:sz w:val="14"/>
        </w:rPr>
        <w:t xml:space="preserve"> ever </w:t>
      </w:r>
      <w:r w:rsidRPr="00087A72">
        <w:rPr>
          <w:b/>
          <w:u w:val="single"/>
        </w:rPr>
        <w:t>moving on from the moment of colonization.</w:t>
      </w:r>
      <w:r w:rsidRPr="00087A72">
        <w:rPr>
          <w:sz w:val="14"/>
        </w:rPr>
        <w:t xml:space="preserve">2 As evidence of this constitutive contradiction, </w:t>
      </w:r>
      <w:r w:rsidRPr="00087A72">
        <w:rPr>
          <w:rStyle w:val="Emphasis"/>
        </w:rPr>
        <w:t>critics have identified in settler-colonial discourse symptoms of psychic</w:t>
      </w:r>
      <w:r w:rsidRPr="00087A72">
        <w:rPr>
          <w:sz w:val="14"/>
        </w:rPr>
        <w:t xml:space="preserve"> distress such as disavowal, inversion, and </w:t>
      </w:r>
      <w:r w:rsidRPr="00087A72">
        <w:rPr>
          <w:rStyle w:val="Emphasis"/>
        </w:rPr>
        <w:t>repression</w:t>
      </w:r>
      <w:r w:rsidRPr="00087A72">
        <w:rPr>
          <w:sz w:val="14"/>
        </w:rPr>
        <w:t xml:space="preserve">.3 Indeed, </w:t>
      </w:r>
      <w:r w:rsidRPr="00087A72">
        <w:rPr>
          <w:rStyle w:val="Emphasis"/>
        </w:rPr>
        <w:t>the frozen temporality of settler-colonial narrative</w:t>
      </w:r>
      <w:r w:rsidRPr="00087A72">
        <w:rPr>
          <w:sz w:val="14"/>
        </w:rPr>
        <w:t xml:space="preserve">, fixated on the moment of the frontier, recalls nothing so much as Freud’s description </w:t>
      </w:r>
      <w:r w:rsidRPr="00087A72">
        <w:rPr>
          <w:rStyle w:val="Emphasis"/>
        </w:rPr>
        <w:t>of the ‘repetition compulsion’ attending trauma.</w:t>
      </w:r>
      <w:r w:rsidRPr="00087A72">
        <w:rPr>
          <w:sz w:val="14"/>
        </w:rPr>
        <w:t xml:space="preserve">4 As Lorenzo Veracini puts it, because: </w:t>
      </w:r>
      <w:r w:rsidRPr="00087A72">
        <w:rPr>
          <w:b/>
          <w:u w:val="single"/>
        </w:rPr>
        <w:t>‘settler society’ can thus be seen as a fantasy where a perception of a constant struggle is juxtaposed against an ideal of ‘peace’ that can never be reached, settler projects embrace and reject violence</w:t>
      </w:r>
      <w:r w:rsidRPr="00087A72">
        <w:rPr>
          <w:sz w:val="14"/>
        </w:rPr>
        <w:t xml:space="preserve"> at the same time. The settler colonial situation is thus a circumstance where the tension between contradictory impulses produces long-lasting psychic conflicts and a number of associated psychopathologies.5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settler-colonial narrative can never contemplate an ending: that settler decolonization is inconceivable because settlers lack the metaphorical tools to imagine their own demise.6 This article outlines why I partly disagree with that view. I argue that </w:t>
      </w:r>
      <w:r w:rsidRPr="00087A72">
        <w:rPr>
          <w:b/>
          <w:u w:val="single"/>
        </w:rPr>
        <w:t>the narratological paradox that defines settler-colonial narrative does make the future a problematic object of contemplation.</w:t>
      </w:r>
      <w:r w:rsidRPr="00087A72">
        <w:rPr>
          <w:sz w:val="14"/>
        </w:rPr>
        <w:t xml:space="preserve"> But </w:t>
      </w:r>
      <w:r w:rsidRPr="00087A72">
        <w:rPr>
          <w:b/>
          <w:u w:val="single"/>
        </w:rPr>
        <w:t>that does not make settler decolonization unthinkable per se</w:t>
      </w:r>
      <w:r w:rsidRPr="00087A72">
        <w:rPr>
          <w:sz w:val="14"/>
        </w:rPr>
        <w:t xml:space="preserve">; as I will show, </w:t>
      </w:r>
      <w:r w:rsidRPr="00087A72">
        <w:rPr>
          <w:rStyle w:val="Emphasis"/>
        </w:rPr>
        <w:t>settlers do often try to imagine their demise</w:t>
      </w:r>
      <w:r w:rsidRPr="00087A72">
        <w:rPr>
          <w:sz w:val="14"/>
        </w:rPr>
        <w:t xml:space="preserve"> – but they do so </w:t>
      </w:r>
      <w:r w:rsidRPr="00087A72">
        <w:rPr>
          <w:rStyle w:val="Emphasis"/>
        </w:rPr>
        <w:t xml:space="preserve">in a way that reasserts the paradoxes of their founding ideology, with the result that </w:t>
      </w:r>
      <w:r w:rsidRPr="00087A72">
        <w:rPr>
          <w:sz w:val="14"/>
        </w:rPr>
        <w:t xml:space="preserve">the radical </w:t>
      </w:r>
      <w:r w:rsidRPr="00087A72">
        <w:rPr>
          <w:rStyle w:val="Emphasis"/>
        </w:rPr>
        <w:t>potentiality of decolonization is undone</w:t>
      </w:r>
      <w:r w:rsidRPr="00087A72">
        <w:rPr>
          <w:sz w:val="14"/>
        </w:rPr>
        <w:t xml:space="preserve"> even </w:t>
      </w:r>
      <w:r w:rsidRPr="00087A72">
        <w:rPr>
          <w:rStyle w:val="Emphasis"/>
        </w:rPr>
        <w:t>as it is invoked.</w:t>
      </w:r>
      <w:r w:rsidRPr="00087A72">
        <w:rPr>
          <w:sz w:val="14"/>
        </w:rPr>
        <w:t xml:space="preserve"> I argue that, notwithstanding Veracini’s analysis, there is a metaphor via which the end of settler colonialism unspools – </w:t>
      </w:r>
      <w:r w:rsidRPr="00087A72">
        <w:rPr>
          <w:rStyle w:val="Emphasis"/>
        </w:rPr>
        <w:t>the</w:t>
      </w:r>
      <w:r w:rsidRPr="00087A72">
        <w:rPr>
          <w:sz w:val="14"/>
        </w:rPr>
        <w:t xml:space="preserve"> quasi-</w:t>
      </w:r>
      <w:r w:rsidRPr="00087A72">
        <w:rPr>
          <w:sz w:val="14"/>
          <w:szCs w:val="14"/>
        </w:rPr>
        <w:t>biological</w:t>
      </w:r>
      <w:r w:rsidRPr="00087A72">
        <w:t xml:space="preserve"> </w:t>
      </w:r>
      <w:r w:rsidRPr="00087A72">
        <w:rPr>
          <w:rStyle w:val="Emphasis"/>
        </w:rPr>
        <w:t>concept of extinction</w:t>
      </w:r>
      <w:r w:rsidRPr="00087A72">
        <w:rPr>
          <w:sz w:val="14"/>
        </w:rPr>
        <w:t xml:space="preserve">, which, when </w:t>
      </w:r>
      <w:r w:rsidRPr="00087A72">
        <w:rPr>
          <w:rStyle w:val="Emphasis"/>
        </w:rPr>
        <w:t>deployed as a narrative trope, offers settlers a chance to consider and disavow their demise</w:t>
      </w:r>
      <w:r w:rsidRPr="00087A72">
        <w:rPr>
          <w:sz w:val="14"/>
        </w:rPr>
        <w:t xml:space="preserve">, just as they consider and then disavow the violence of their origins. This article traces the importance of the trope of extinction for contemporary settler-colonial literature,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w:t>
      </w:r>
      <w:r w:rsidRPr="00087A72">
        <w:rPr>
          <w:b/>
          <w:u w:val="single"/>
        </w:rPr>
        <w:t>my analysis is intended to draw the attention of settler colonial studies toward futurity and</w:t>
      </w:r>
      <w:r w:rsidRPr="00087A72">
        <w:rPr>
          <w:sz w:val="14"/>
        </w:rPr>
        <w:t xml:space="preserve"> the </w:t>
      </w:r>
      <w:r w:rsidRPr="00087A72">
        <w:rPr>
          <w:b/>
          <w:u w:val="single"/>
        </w:rPr>
        <w:t>ambivalence of settler paranoia</w:t>
      </w:r>
      <w:r w:rsidRPr="00087A72">
        <w:rPr>
          <w:sz w:val="14"/>
        </w:rPr>
        <w:t xml:space="preserve">, while highlighting a potential point of cross-fertilization between settler-colonial and eco-critical approaches to contemporary literature. That ‘extinction’ should be a key word in the settler-colonial lexicon is no surprise. In Patrick Wolfe’s phrase,7 </w:t>
      </w:r>
      <w:r w:rsidRPr="00087A72">
        <w:rPr>
          <w:rStyle w:val="StyleUnderline"/>
        </w:rPr>
        <w:t>settler colonialism is predicated on a ‘logic of elimination’ that tends towards the extermination – by one means or another – of indigenous peoples</w:t>
      </w:r>
      <w:r w:rsidRPr="00087A72">
        <w:rPr>
          <w:sz w:val="14"/>
        </w:rPr>
        <w:t xml:space="preserv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 9 that necessitates the extinction of inferior races. 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 century novels from the imperial metropole, such as Dracula and War of the Worlds, which are plotted around the prospect of invasions that would see the extinction of British imperialism, and, in the process, the human species. Such </w:t>
      </w:r>
      <w:r w:rsidRPr="00087A72">
        <w:rPr>
          <w:rStyle w:val="Emphasis"/>
        </w:rPr>
        <w:t>anxieties draw energy from a pattern of settler defensiveness that can be observed across</w:t>
      </w:r>
      <w:r w:rsidRPr="00087A72">
        <w:rPr>
          <w:sz w:val="14"/>
        </w:rPr>
        <w:t xml:space="preserve"> numerous </w:t>
      </w:r>
      <w:r w:rsidRPr="00087A72">
        <w:rPr>
          <w:rStyle w:val="Emphasis"/>
        </w:rPr>
        <w:t>settler-colonial contexts.</w:t>
      </w:r>
      <w:r w:rsidRPr="00087A72">
        <w:rPr>
          <w:sz w:val="14"/>
        </w:rPr>
        <w:t xml:space="preserve"> Marilyn Lake’s and Henry Reynold’s account of </w:t>
      </w:r>
      <w:r w:rsidRPr="00087A72">
        <w:rPr>
          <w:b/>
          <w:u w:val="single"/>
        </w:rPr>
        <w:t>the emergence of transnational ‘whiteness’ highlights the paradoxical fact that while white male settlers have been arguably the most privileged class in history,</w:t>
      </w:r>
      <w:r w:rsidRPr="00087A72">
        <w:rPr>
          <w:sz w:val="14"/>
        </w:rPr>
        <w:t xml:space="preserve"> they have </w:t>
      </w:r>
      <w:r w:rsidRPr="00087A72">
        <w:rPr>
          <w:rStyle w:val="Emphasis"/>
        </w:rPr>
        <w:t>routinely perceived themselves to be ‘under siege’, threatened with destruction</w:t>
      </w:r>
      <w:r w:rsidRPr="00087A72">
        <w:rPr>
          <w:sz w:val="14"/>
        </w:rPr>
        <w:t xml:space="preserve"> to the extent </w:t>
      </w:r>
      <w:r w:rsidRPr="00087A72">
        <w:rPr>
          <w:rStyle w:val="Emphasis"/>
        </w:rPr>
        <w:t>that their very identity of</w:t>
      </w:r>
      <w:r w:rsidRPr="00087A72">
        <w:rPr>
          <w:sz w:val="14"/>
        </w:rPr>
        <w:t xml:space="preserve"> ‘</w:t>
      </w:r>
      <w:r w:rsidRPr="00087A72">
        <w:rPr>
          <w:rStyle w:val="Emphasis"/>
        </w:rPr>
        <w:t>whiteness was born in the apprehension of imminent loss</w:t>
      </w:r>
      <w:r w:rsidRPr="00087A72">
        <w:rPr>
          <w:sz w:val="14"/>
        </w:rPr>
        <w:t xml:space="preserve">’. 11 The </w:t>
      </w:r>
      <w:r w:rsidRPr="00087A72">
        <w:rPr>
          <w:rStyle w:val="Emphasis"/>
        </w:rPr>
        <w:t>fear of looming annihilation serves</w:t>
      </w:r>
      <w:r w:rsidRPr="00087A72">
        <w:rPr>
          <w:b/>
          <w:u w:val="single"/>
        </w:rPr>
        <w:t xml:space="preserve"> a powerful ideological function in settler communities, working </w:t>
      </w:r>
      <w:r w:rsidRPr="00087A72">
        <w:rPr>
          <w:rStyle w:val="Emphasis"/>
        </w:rPr>
        <w:t>to foster racial solidarity, suppress dissent, and legitimate violence against indigenous populations</w:t>
      </w:r>
      <w:r w:rsidRPr="00087A72">
        <w:rPr>
          <w:b/>
          <w:u w:val="single"/>
        </w:rPr>
        <w:t xml:space="preserve"> who</w:t>
      </w:r>
      <w:r w:rsidRPr="00087A72">
        <w:rPr>
          <w:sz w:val="14"/>
        </w:rPr>
        <w:t xml:space="preserve">, by any objective measure, </w:t>
      </w:r>
      <w:r w:rsidRPr="00087A72">
        <w:rPr>
          <w:b/>
          <w:u w:val="single"/>
        </w:rPr>
        <w:t>are far more at risk of extermination than the settlers who fear them.</w:t>
      </w:r>
      <w:r w:rsidRPr="00087A72">
        <w:rPr>
          <w:sz w:val="14"/>
        </w:rPr>
        <w:t xml:space="preserve"> Ann Curthoys and Dirk Moses have traced this pattern in Australia and Israel-Palestine, respectively.12 This scholarship suggests that </w:t>
      </w:r>
      <w:r w:rsidRPr="00087A72">
        <w:rPr>
          <w:rStyle w:val="Emphasis"/>
        </w:rPr>
        <w:t>narratives of settler extinction are acts of ideological mystification, obscuring the brutal inequalities of the frontier behind a mask of white vulnerability</w:t>
      </w:r>
      <w:r w:rsidRPr="00087A72">
        <w:rPr>
          <w:sz w:val="14"/>
        </w:rPr>
        <w:t xml:space="preserve"> – an argument with which I sympathize. However, this article shows how there is more to settler-colonial extinction narratives than bad faith. I argue that 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argument that to treat decolonization figuratively, as I argue </w:t>
      </w:r>
      <w:r w:rsidRPr="00087A72">
        <w:rPr>
          <w:rStyle w:val="Emphasis"/>
        </w:rPr>
        <w:t>extinction narratives</w:t>
      </w:r>
      <w:r w:rsidRPr="00087A72">
        <w:rPr>
          <w:sz w:val="14"/>
        </w:rPr>
        <w:t xml:space="preserve"> do, is necessarily to prec</w:t>
      </w:r>
      <w:r w:rsidRPr="00087A72">
        <w:rPr>
          <w:rStyle w:val="Emphasis"/>
        </w:rPr>
        <w:t>lude radical change, creating opportunities for settler ‘moves to innocence’ that re-legitimate racial inequality.</w:t>
      </w:r>
      <w:r w:rsidRPr="00087A72">
        <w:rPr>
          <w:sz w:val="14"/>
        </w:rPr>
        <w:t>13 The counterview to this pessimistic perspective is offered by Veracini, who suggests that progressive change to settler-colonial relationships will only happen if narratives can be found that make decolonization thinkable.14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w:t>
      </w:r>
      <w:r w:rsidRPr="00087A72">
        <w:rPr>
          <w:rStyle w:val="StyleUnderline"/>
        </w:rPr>
        <w:t>. First, extinction narratives take at least two forms depending on whether the ‘end’ of settler society is framed primarily in historical-civilizational terms or in a stronger, biological sense; the key question is whether the ‘thing’ that is going extinct is a society or a species. Second, biologically oriented extinction narratives rely on a more or less conscious slippage between ‘the settler’ and ‘the human’. Third, 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 Fourth, these ideological effects are mediated by gender, insofar as extinction narratives invoke issues of biological reproduction, community protection, and violence that function to differentiate and reify masculine and feminine roles in the putative de-colonial future.</w:t>
      </w:r>
      <w:r w:rsidRPr="00087A72">
        <w:rPr>
          <w:sz w:val="14"/>
        </w:rPr>
        <w:t xml:space="preserve"> Overall, my central claim is that </w:t>
      </w:r>
      <w:r w:rsidRPr="00087A72">
        <w:rPr>
          <w:b/>
          <w:u w:val="single"/>
        </w:rPr>
        <w:t>extinction is a core trope through which settler futurity emerges</w:t>
      </w:r>
      <w:r w:rsidRPr="00087A72">
        <w:rPr>
          <w:sz w:val="14"/>
        </w:rPr>
        <w:t xml:space="preserve">, one </w:t>
      </w:r>
      <w:r w:rsidRPr="00087A72">
        <w:rPr>
          <w:rStyle w:val="Emphasis"/>
        </w:rPr>
        <w:t>with crucial narrative and ideological effects that shape</w:t>
      </w:r>
      <w:r w:rsidRPr="00087A72">
        <w:rPr>
          <w:sz w:val="14"/>
        </w:rPr>
        <w:t xml:space="preserve"> much of the contemporary </w:t>
      </w:r>
      <w:r w:rsidRPr="00087A72">
        <w:rPr>
          <w:rStyle w:val="Emphasis"/>
        </w:rPr>
        <w:t>literature emerging from white colonial settings.</w:t>
      </w:r>
    </w:p>
    <w:p w:rsidR="00FA1026" w:rsidRPr="00087A72" w:rsidRDefault="00FA1026" w:rsidP="009556BB">
      <w:pPr>
        <w:rPr>
          <w:sz w:val="12"/>
        </w:rPr>
      </w:pPr>
    </w:p>
    <w:p w:rsidR="00FA1026" w:rsidRPr="00087A72" w:rsidRDefault="00FA1026" w:rsidP="00FA1026">
      <w:pPr>
        <w:pStyle w:val="Heading4"/>
      </w:pPr>
      <w:r w:rsidRPr="00087A72">
        <w:t>Hegemony’s belief in its own superiority produces settler sovereignty as justified and inevitable, creating reiterative practices of genocide</w:t>
      </w:r>
    </w:p>
    <w:p w:rsidR="00FA1026" w:rsidRPr="00087A72" w:rsidRDefault="00FA1026" w:rsidP="00FA1026">
      <w:r w:rsidRPr="00087A72">
        <w:rPr>
          <w:rStyle w:val="Style13ptBold"/>
        </w:rPr>
        <w:t>Bruyneel 15</w:t>
      </w:r>
      <w:r w:rsidRPr="00087A72">
        <w:t xml:space="preserve"> (Kevin, Professor of Politics at Babson College. He wrote The Third Space of Sovereignty: The Postcolonial Politics of U.S.-Indigenous Relations, “Codename Geronimo: settler memory and the production of American statism,” </w:t>
      </w:r>
      <w:r w:rsidRPr="00087A72">
        <w:rPr>
          <w:i/>
        </w:rPr>
        <w:t>Settler Colonial Studies</w:t>
      </w:r>
      <w:r w:rsidRPr="00087A72">
        <w:t>, Issue Number, No.4, pp. 4-6)//vikas</w:t>
      </w:r>
    </w:p>
    <w:p w:rsidR="00FA1026" w:rsidRPr="00087A72" w:rsidRDefault="00FA1026" w:rsidP="00FA1026">
      <w:pPr>
        <w:rPr>
          <w:sz w:val="16"/>
        </w:rPr>
      </w:pPr>
      <w:r w:rsidRPr="00087A72">
        <w:rPr>
          <w:sz w:val="16"/>
        </w:rPr>
        <w:t xml:space="preserve">In moving swiftly from the so-called War on Terror, to the US-Dakota War and its aftermath, to the US Civil War and its notable moments my introductory narrative intentionally blurs the boundaries between past and present, between colonialist and imperialist state violence, and between the mutually constitutive practices of liberal nationalism and colonial settlement in US political development. To blur boundaries is not to imply that they do not exist, as there are important distinctions and definitions worth maintaining here. Rather, the aim is to draw attention to the intimate, constitutive relationship among these categories so as to see, for example, </w:t>
      </w:r>
      <w:r w:rsidRPr="00087A72">
        <w:rPr>
          <w:b/>
          <w:u w:val="single"/>
        </w:rPr>
        <w:t>the active settler logic at the core of American collective memory</w:t>
      </w:r>
      <w:r w:rsidRPr="00087A72">
        <w:rPr>
          <w:sz w:val="16"/>
        </w:rPr>
        <w:t xml:space="preserve"> that </w:t>
      </w:r>
      <w:r w:rsidRPr="00087A72">
        <w:rPr>
          <w:b/>
          <w:u w:val="single"/>
        </w:rPr>
        <w:t>habitually justifies and authorizes US imperialist violence in the contemporary period</w:t>
      </w:r>
      <w:r w:rsidRPr="00087A72">
        <w:rPr>
          <w:sz w:val="16"/>
        </w:rPr>
        <w:t xml:space="preserve">, just </w:t>
      </w:r>
      <w:r w:rsidRPr="00087A72">
        <w:rPr>
          <w:b/>
          <w:u w:val="single"/>
        </w:rPr>
        <w:t>as these imperialist actions and their justifications reinforce the liberal legitimation of</w:t>
      </w:r>
      <w:r w:rsidRPr="00087A72">
        <w:rPr>
          <w:sz w:val="16"/>
        </w:rPr>
        <w:t xml:space="preserve"> persistent </w:t>
      </w:r>
      <w:r w:rsidRPr="00087A72">
        <w:rPr>
          <w:b/>
          <w:u w:val="single"/>
        </w:rPr>
        <w:t>settler dispossession, violence, and incarceration.</w:t>
      </w:r>
      <w:r w:rsidRPr="00087A72">
        <w:rPr>
          <w:sz w:val="16"/>
        </w:rPr>
        <w:t xml:space="preserve"> It is not a mere matter of </w:t>
      </w:r>
      <w:r w:rsidRPr="00087A72">
        <w:rPr>
          <w:b/>
          <w:u w:val="single"/>
        </w:rPr>
        <w:t>political incorrectness that name of Geronimo</w:t>
      </w:r>
      <w:r w:rsidRPr="00087A72">
        <w:rPr>
          <w:sz w:val="16"/>
        </w:rPr>
        <w:t xml:space="preserve">, the </w:t>
      </w:r>
      <w:r w:rsidRPr="00087A72">
        <w:rPr>
          <w:b/>
          <w:u w:val="single"/>
        </w:rPr>
        <w:t>legendary Chiricahua Apache</w:t>
      </w:r>
      <w:r w:rsidRPr="00087A72">
        <w:rPr>
          <w:sz w:val="16"/>
        </w:rPr>
        <w:t xml:space="preserve"> leader, became </w:t>
      </w:r>
      <w:r w:rsidRPr="00087A72">
        <w:rPr>
          <w:b/>
          <w:u w:val="single"/>
        </w:rPr>
        <w:t>military code for identifying Bin Laden</w:t>
      </w:r>
      <w:r w:rsidRPr="00087A72">
        <w:rPr>
          <w:sz w:val="16"/>
        </w:rPr>
        <w:t xml:space="preserve">. </w:t>
      </w:r>
      <w:r w:rsidRPr="00087A72">
        <w:rPr>
          <w:b/>
          <w:u w:val="single"/>
        </w:rPr>
        <w:t>Nor is it just a coincidence that</w:t>
      </w:r>
      <w:r w:rsidRPr="00087A72">
        <w:rPr>
          <w:sz w:val="16"/>
        </w:rPr>
        <w:t xml:space="preserve"> the </w:t>
      </w:r>
      <w:r w:rsidRPr="00087A72">
        <w:rPr>
          <w:b/>
          <w:u w:val="single"/>
        </w:rPr>
        <w:t>Emancipation Proclamation was signed</w:t>
      </w:r>
      <w:r w:rsidRPr="00087A72">
        <w:rPr>
          <w:sz w:val="16"/>
        </w:rPr>
        <w:t xml:space="preserve"> only </w:t>
      </w:r>
      <w:r w:rsidRPr="00087A72">
        <w:rPr>
          <w:b/>
          <w:u w:val="single"/>
        </w:rPr>
        <w:t xml:space="preserve">six days after the mass execution of the Dakota </w:t>
      </w:r>
      <w:r w:rsidRPr="00087A72">
        <w:rPr>
          <w:sz w:val="16"/>
        </w:rPr>
        <w:t xml:space="preserve">38. </w:t>
      </w:r>
      <w:r w:rsidRPr="00087A72">
        <w:rPr>
          <w:b/>
          <w:u w:val="single"/>
        </w:rPr>
        <w:t>And it is not a case of amnesia that leads</w:t>
      </w:r>
      <w:r w:rsidRPr="00087A72">
        <w:rPr>
          <w:sz w:val="16"/>
        </w:rPr>
        <w:t xml:space="preserve"> President </w:t>
      </w:r>
      <w:r w:rsidRPr="00087A72">
        <w:rPr>
          <w:b/>
          <w:u w:val="single"/>
        </w:rPr>
        <w:t>Obama to ask the nation to remember the actions of</w:t>
      </w:r>
      <w:r w:rsidRPr="00087A72">
        <w:rPr>
          <w:sz w:val="16"/>
        </w:rPr>
        <w:t xml:space="preserve"> President </w:t>
      </w:r>
      <w:r w:rsidRPr="00087A72">
        <w:rPr>
          <w:b/>
          <w:u w:val="single"/>
        </w:rPr>
        <w:t>Lincoln as it concerns liberating enslaved Black Americans</w:t>
      </w:r>
      <w:r w:rsidRPr="00087A72">
        <w:rPr>
          <w:sz w:val="16"/>
        </w:rPr>
        <w:t xml:space="preserve"> while </w:t>
      </w:r>
      <w:r w:rsidRPr="00087A72">
        <w:rPr>
          <w:b/>
          <w:u w:val="single"/>
        </w:rPr>
        <w:t>staying silent on</w:t>
      </w:r>
      <w:r w:rsidRPr="00087A72">
        <w:rPr>
          <w:sz w:val="16"/>
        </w:rPr>
        <w:t xml:space="preserve"> Lincoln's role in the </w:t>
      </w:r>
      <w:r w:rsidRPr="00087A72">
        <w:rPr>
          <w:b/>
          <w:u w:val="single"/>
        </w:rPr>
        <w:t>execution of the Dakota</w:t>
      </w:r>
      <w:r w:rsidRPr="00087A72">
        <w:rPr>
          <w:sz w:val="16"/>
        </w:rPr>
        <w:t xml:space="preserve"> 38, let alone even mentioning these men at all. </w:t>
      </w:r>
      <w:r w:rsidRPr="00087A72">
        <w:rPr>
          <w:b/>
          <w:u w:val="single"/>
        </w:rPr>
        <w:t>What links these all is</w:t>
      </w:r>
      <w:r w:rsidRPr="00087A72">
        <w:rPr>
          <w:sz w:val="16"/>
        </w:rPr>
        <w:t xml:space="preserve"> that they are </w:t>
      </w:r>
      <w:r w:rsidRPr="00087A72">
        <w:rPr>
          <w:b/>
          <w:u w:val="single"/>
        </w:rPr>
        <w:t>different forms of evidence of the important relationship between settler memory and statism in the development and maintenance of US liberal colonialism. Settler memory refers to the mnemonics – that is, the functions, practices, and products of memory</w:t>
      </w:r>
      <w:r w:rsidRPr="00087A72">
        <w:rPr>
          <w:sz w:val="16"/>
        </w:rPr>
        <w:t xml:space="preserve"> – of </w:t>
      </w:r>
      <w:r w:rsidRPr="00087A72">
        <w:rPr>
          <w:rStyle w:val="Emphasis"/>
        </w:rPr>
        <w:t>colonialist dispossession and settlement that shape settler subjectivity and governmentality in liberal colonial contexts such as the USA</w:t>
      </w:r>
      <w:r w:rsidRPr="00087A72">
        <w:rPr>
          <w:sz w:val="16"/>
        </w:rPr>
        <w:t xml:space="preserve">. By ‘liberal colonial’ I mean polities comprised of institutions, norms, and practices that reflect a compatible encounter between liberal-democracy and colonialism in the political development and contemporary formations of nations such as the USA. In short, liberal-democracy and settler colonialism are not mutually exclusive or contradictory. In contexts such as the USA they are mutually reinforcing; </w:t>
      </w:r>
      <w:r w:rsidRPr="00087A72">
        <w:rPr>
          <w:b/>
          <w:u w:val="single"/>
        </w:rPr>
        <w:t>liberal democracy legitimates settler dispossessions while</w:t>
      </w:r>
      <w:r w:rsidRPr="00087A72">
        <w:rPr>
          <w:sz w:val="16"/>
        </w:rPr>
        <w:t xml:space="preserve"> these very </w:t>
      </w:r>
      <w:r w:rsidRPr="00087A72">
        <w:rPr>
          <w:b/>
          <w:u w:val="single"/>
        </w:rPr>
        <w:t>dispossessions provide the territorial and ideological context for liberal democratic political life</w:t>
      </w:r>
      <w:r w:rsidRPr="00087A72">
        <w:rPr>
          <w:sz w:val="16"/>
        </w:rPr>
        <w:t xml:space="preserve">. And in liberal colonial contexts such as the USA, settler mnemonics – such as codename Geronimo, Black Hawk helicopters, places and teams named after Indigenous peoples, and calendric commemorations such as Columbus Day and Thanksgiving – are so ubiquitous and habitual that they become both simultaneously present and absent in American collective memory. This is settler memory at work, habitually invoking settler colonialism in a manner that blurs the line between past and present, thus further re-inscribing the practices of present day settler violence and dispossession. That is, these </w:t>
      </w:r>
      <w:r w:rsidRPr="00087A72">
        <w:rPr>
          <w:b/>
          <w:u w:val="single"/>
        </w:rPr>
        <w:t>settler memories are both there and not there at the same time, before our eyes but also dispossessed of active political meaning</w:t>
      </w:r>
      <w:r w:rsidRPr="00087A72">
        <w:rPr>
          <w:sz w:val="16"/>
        </w:rPr>
        <w:t xml:space="preserve"> in and by the settler imaginary. </w:t>
      </w:r>
      <w:r w:rsidRPr="00087A72">
        <w:rPr>
          <w:b/>
          <w:u w:val="single"/>
        </w:rPr>
        <w:t>This is a cycle that replays dispossession and settlement</w:t>
      </w:r>
      <w:r w:rsidRPr="00087A72">
        <w:rPr>
          <w:sz w:val="16"/>
        </w:rPr>
        <w:t xml:space="preserve"> on a mnemonic loop. Political efforts to challenge the meaning of, for example, codename Geronimo, Columbus Day, or the Washington football team's name seek to intervene and upset this mnemonic loop so as to unsettle this memory and refuse this ongoing dispossession. During political conflicts over these settler designations we see that settler memory is not a forgetting of colonialism and settlement. This is not a condition of collective amnesia in which nations conveniently forget those aspect of the past that do not shed a positive light on the nation.6 In contrast to the amnesia diagnosis, I argue that </w:t>
      </w:r>
      <w:r w:rsidRPr="00087A72">
        <w:rPr>
          <w:b/>
          <w:u w:val="single"/>
        </w:rPr>
        <w:t>the problem with America's relationship with its past is</w:t>
      </w:r>
      <w:r w:rsidRPr="00087A72">
        <w:rPr>
          <w:sz w:val="16"/>
        </w:rPr>
        <w:t xml:space="preserve"> not a matter of forgetting, but rather is </w:t>
      </w:r>
      <w:r w:rsidRPr="00087A72">
        <w:rPr>
          <w:b/>
          <w:u w:val="single"/>
        </w:rPr>
        <w:t>the manner in which the nation remembers its past, as facts and myths, and</w:t>
      </w:r>
      <w:r w:rsidRPr="00087A72">
        <w:rPr>
          <w:sz w:val="16"/>
        </w:rPr>
        <w:t xml:space="preserve"> the important role of this remembering in the </w:t>
      </w:r>
      <w:r w:rsidRPr="00087A72">
        <w:rPr>
          <w:b/>
          <w:u w:val="single"/>
        </w:rPr>
        <w:t>re-legitimation of contemporary violence, dispossession, and appropriation.</w:t>
      </w:r>
      <w:r w:rsidRPr="00087A72">
        <w:rPr>
          <w:sz w:val="16"/>
        </w:rPr>
        <w:t xml:space="preserve">7 In this regard, I offer up the concept of settler memory to refer to the way in which a settler society habitually articulates collective knowledge of the past and present of settler colonial violence and dispossession and in the same moment disavows the political relevance of this memory by refusing and absenting the presence of Indigenous people as contemporary agents. Furthermore, </w:t>
      </w:r>
      <w:r w:rsidRPr="00087A72">
        <w:rPr>
          <w:b/>
          <w:u w:val="single"/>
        </w:rPr>
        <w:t>settler memory is always at work in this way because securing settlement is a persistent American state practice</w:t>
      </w:r>
      <w:r w:rsidRPr="00087A72">
        <w:rPr>
          <w:sz w:val="16"/>
        </w:rPr>
        <w:t xml:space="preserve">. As such, a contemporary anti-colonial politics needs to attend to the working of settler memory as central to the reproduction of settler ideology and hegemony in our time, including legitimating the status and role of the settler state. I argue that </w:t>
      </w:r>
      <w:r w:rsidRPr="00087A72">
        <w:rPr>
          <w:b/>
          <w:u w:val="single"/>
        </w:rPr>
        <w:t>American state practices and institutions function and are legitimated</w:t>
      </w:r>
      <w:r w:rsidRPr="00087A72">
        <w:rPr>
          <w:sz w:val="16"/>
        </w:rPr>
        <w:t xml:space="preserve">, especially in their most warlike functioning, </w:t>
      </w:r>
      <w:r w:rsidRPr="00087A72">
        <w:rPr>
          <w:b/>
          <w:u w:val="single"/>
        </w:rPr>
        <w:t>through settler memory</w:t>
      </w:r>
      <w:r w:rsidRPr="00087A72">
        <w:rPr>
          <w:sz w:val="16"/>
        </w:rPr>
        <w:t xml:space="preserve">. When one accounts for the history and present of American violence toward Indigenous people and dispossession of Indigenous lands it is fair to say that the USA has always been in a warlike state; that this is not a new phenomenon of the post-World War II era. In this regard, settler memory as an active practice, not a reference to dislocated past. Just as an individual cannot act ably without the active function of memory, neither can institutions nor communities such as the American settler state and nation. States and nations are embodied structures that function, develop, and transform through the expression of individual and collective agency over time. They do not have a life on their own without people maintaining them, developing and adapting them, and articulating their power. </w:t>
      </w:r>
      <w:r w:rsidRPr="00087A72">
        <w:rPr>
          <w:rStyle w:val="Emphasis"/>
        </w:rPr>
        <w:t>The American effort to legitimate</w:t>
      </w:r>
      <w:r w:rsidRPr="00087A72">
        <w:rPr>
          <w:sz w:val="16"/>
        </w:rPr>
        <w:t xml:space="preserve"> settlement requires </w:t>
      </w:r>
      <w:r w:rsidRPr="00087A72">
        <w:rPr>
          <w:rStyle w:val="Emphasis"/>
        </w:rPr>
        <w:t>persistent articulation, especially as it concerns statist power that enforces and naturalizes Indigenous territorial dispossession and</w:t>
      </w:r>
      <w:r w:rsidRPr="00087A72">
        <w:rPr>
          <w:sz w:val="16"/>
        </w:rPr>
        <w:t xml:space="preserve"> Indigenous people's </w:t>
      </w:r>
      <w:r w:rsidRPr="00087A72">
        <w:rPr>
          <w:rStyle w:val="Emphasis"/>
        </w:rPr>
        <w:t>disempowerment</w:t>
      </w:r>
      <w:r w:rsidRPr="00087A72">
        <w:rPr>
          <w:sz w:val="16"/>
        </w:rPr>
        <w:t>. This essay offers a way to imagine decolonization and unsettlement through a critique of statism by deconstructing it as produced through the intersected practices of memory and settlement. I turn next to explain why memory is an important analytical site of political intervention here, in particular in its relationship to settler statism. Building upon this discussion, the essay then assesses the case of Codename Geronimo, moving back and forth between historical and contemporary events with a specific focus on how the mnemonic figure of Geronimo offers insight on the mnemonic practices central to the persistence of US liberal colonialism and settler statism.</w:t>
      </w:r>
    </w:p>
    <w:p w:rsidR="00E42CFE" w:rsidRPr="00087A72" w:rsidRDefault="00E42CFE" w:rsidP="00E42CFE">
      <w:pPr>
        <w:pStyle w:val="Heading4"/>
      </w:pPr>
      <w:r w:rsidRPr="00087A72">
        <w:t>Settler colonialism turns any impact calculus because how you understand value and ethical calculus are all ontologically dependent on Native genocide. The genocide of the Native clears the way for intra-Settler discussions of ethical value. To be alive is to stand upon this Indian burial ground we call the world—to be alive is to be unethical.</w:t>
      </w:r>
    </w:p>
    <w:p w:rsidR="00E42CFE" w:rsidRPr="00087A72" w:rsidRDefault="00E42CFE" w:rsidP="00E42CFE">
      <w:r w:rsidRPr="00087A72">
        <w:rPr>
          <w:rStyle w:val="Style13ptBold"/>
        </w:rPr>
        <w:t>Wilderson 10</w:t>
      </w:r>
      <w:r w:rsidRPr="00087A72">
        <w:t xml:space="preserve"> (Frank, Full Professor of Drama and African American studies at the University of California, Irvine </w:t>
      </w:r>
      <w:r w:rsidRPr="00087A72">
        <w:rPr>
          <w:i/>
        </w:rPr>
        <w:t>Red, White, and Black: Cinema and the Structure of U.S. Antagonisms</w:t>
      </w:r>
      <w:r w:rsidRPr="00087A72">
        <w:t xml:space="preserve"> pp. 214-220) NIJ</w:t>
      </w:r>
    </w:p>
    <w:p w:rsidR="00E42CFE" w:rsidRPr="00087A72" w:rsidRDefault="00E42CFE" w:rsidP="00E42CFE">
      <w:pPr>
        <w:rPr>
          <w:sz w:val="12"/>
        </w:rPr>
      </w:pPr>
      <w:r w:rsidRPr="00087A72">
        <w:rPr>
          <w:rStyle w:val="StyleUnderline"/>
        </w:rPr>
        <w:t>Mogie’s surrealist demand, “send me a big…fat woman …[to] cover up all the cracks in my shack,” goes to the heart of the matter.</w:t>
      </w:r>
      <w:r w:rsidRPr="00087A72">
        <w:rPr>
          <w:sz w:val="12"/>
        </w:rPr>
        <w:t xml:space="preserve"> </w:t>
      </w:r>
      <w:r w:rsidRPr="00087A72">
        <w:rPr>
          <w:rStyle w:val="Emphasis"/>
        </w:rPr>
        <w:t xml:space="preserve">Red flesh can only be restored, ethically, through the destruction of White bodies, because the corporeality of the indigenous has been consumed by and gone into the making of the Settler’s corporeality. Mogie wants what he has lost; not just his labor power, not just his language or land, but the raw material of his flesh. And, like most “grassroots Indians,” he knows precisely where it went—into the Settler’s “body”—and thus he knows precisely from where to repossess it. </w:t>
      </w:r>
      <w:r w:rsidRPr="00087A72">
        <w:rPr>
          <w:sz w:val="12"/>
        </w:rPr>
        <w:t xml:space="preserve">Though Mogie’s shack is small, we know from earlier scenes that it has at least two rooms. Therefore, </w:t>
      </w:r>
      <w:r w:rsidRPr="00087A72">
        <w:rPr>
          <w:rStyle w:val="StyleUnderline"/>
        </w:rPr>
        <w:t>to stretch a White woman across its interior, window-to-window, wall-to-wall, corner-to-corner, and then stretch her across the door, would be to reconfigure her body into grotesque and unrecognizable dimensions. There are serious doubts as to whether a White woman</w:t>
      </w:r>
      <w:r w:rsidRPr="00087A72">
        <w:rPr>
          <w:sz w:val="12"/>
        </w:rPr>
        <w:t xml:space="preserve">, even as large a White woman as Mogie Yellow Lodge is demanding from the President, “the Great White Father in Washington,” </w:t>
      </w:r>
      <w:r w:rsidRPr="00087A72">
        <w:rPr>
          <w:rStyle w:val="StyleUnderline"/>
        </w:rPr>
        <w:t>would survive such an ordeal. Imagine such a demand being made, such wallpapering taking place, en mass</w:t>
      </w:r>
      <w:r w:rsidRPr="00087A72">
        <w:rPr>
          <w:sz w:val="12"/>
        </w:rPr>
        <w:t xml:space="preserve">, on a scale which even Mogie’s inebriated imagination has not yet grasped. [General Andrew Jackson] instructed his troops to cut the noses of the corpses so that no one would be able to challenge the body count. They had bushel baskets full of noses that they brought back. This [practice] got him elected President. [He] campaigned on the basis that he had never met a recalcitrant Indian that he had not killed and never killed an Indian that he had not scalped and that anybody who wanted to question the validity of what he was saying was invited to tea in his parlor that evening so he could display the scalps and prove his point. [He] rode with a saddle bridle made out of the skin of an opposing Indian leader. This is the President of the United States. (Churchill: Book Tour Speech July 31, 2004) </w:t>
      </w:r>
      <w:r w:rsidRPr="00087A72">
        <w:rPr>
          <w:rStyle w:val="StyleUnderline"/>
        </w:rPr>
        <w:t>One begins to see how wallpapering or insulating one’s room not with “bushel baskets” of White female skin but with even one White woman is simply out of the question. Mogie’s demand, then, is laughed off—managed, constrained, marginalized—by the script.</w:t>
      </w:r>
      <w:r w:rsidRPr="00087A72">
        <w:rPr>
          <w:sz w:val="12"/>
        </w:rPr>
        <w:t xml:space="preserve"> “Hey, ya wanna see me piss in my pants?” are the words he is made to utter next. Words portrayed as the surreal ruminations of an Indian who has reached the end of his inebriated tether, and not as the wisdom of a man who could lead his people. </w:t>
      </w:r>
      <w:r w:rsidRPr="00087A72">
        <w:rPr>
          <w:rStyle w:val="Emphasis"/>
        </w:rPr>
        <w:t xml:space="preserve">The film is nervous in the face of Mogie’s demand not because of its absurdity but because of its authority. But Mogie is demanding no more of the Great White Father, no more of civil society, than he has already given. In fact, he is demanding less. </w:t>
      </w:r>
      <w:r w:rsidRPr="00087A72">
        <w:rPr>
          <w:sz w:val="12"/>
        </w:rPr>
        <w:t xml:space="preserve">His surrealism indicates a qualitatively similar ontological relationship between the Red and the White as exists between the Black and the White. The Middle Passage turns, for example, Ashanti spatial and temporal capacity into spatial and temporal incapacity—a body into flesh. This process begins as early as the 1200s for the Slave. lxxvi </w:t>
      </w:r>
      <w:r w:rsidRPr="00087A72">
        <w:rPr>
          <w:rStyle w:val="StyleUnderline"/>
        </w:rPr>
        <w:t>By the 1530s, Modernity is more self-conscious of its coordinates, and Whiteness begins its ontological consolidation and negative knowledge of itself by turning</w:t>
      </w:r>
      <w:r w:rsidRPr="00087A72">
        <w:rPr>
          <w:sz w:val="12"/>
        </w:rPr>
        <w:t xml:space="preserve"> (part of) </w:t>
      </w:r>
      <w:r w:rsidRPr="00087A72">
        <w:rPr>
          <w:rStyle w:val="StyleUnderline"/>
        </w:rPr>
        <w:t>the Aztec body</w:t>
      </w:r>
      <w:r w:rsidRPr="00087A72">
        <w:rPr>
          <w:sz w:val="12"/>
        </w:rPr>
        <w:t xml:space="preserve">, for example, </w:t>
      </w:r>
      <w:r w:rsidRPr="00087A72">
        <w:rPr>
          <w:rStyle w:val="StyleUnderline"/>
        </w:rPr>
        <w:t>into Indian flesh</w:t>
      </w:r>
      <w:r w:rsidRPr="00087A72">
        <w:rPr>
          <w:sz w:val="12"/>
        </w:rPr>
        <w:t xml:space="preserve"> (Judy (Dis)Forming the American Canon 81). </w:t>
      </w:r>
      <w:r w:rsidRPr="00087A72">
        <w:rPr>
          <w:rStyle w:val="StyleUnderline"/>
        </w:rPr>
        <w:t xml:space="preserve">In this moment the White body completes itself and proceeds to lay the groundwork for the intra-Settler ensemble of questions foundational to its ethical dilemmas (i.e., Marxism, feminism, psychoanalysis). In the final analysis, Settler ontology is guaranteed by way of a negative knowledge of what it is not, rather than by way of its positive claims of what it is. Ontological Whiteness is secured not through its cultural, economic, or gendered identities; but by the fact that it cannot be known (positioned) by genocide </w:t>
      </w:r>
      <w:r w:rsidRPr="00087A72">
        <w:rPr>
          <w:sz w:val="12"/>
        </w:rPr>
        <w:t xml:space="preserve">(or by Accumulation and Fungibility). </w:t>
      </w:r>
      <w:r w:rsidRPr="00087A72">
        <w:rPr>
          <w:rStyle w:val="StyleUnderline"/>
        </w:rPr>
        <w:t xml:space="preserve">This negative knowledge has its pleasures… </w:t>
      </w:r>
      <w:r w:rsidRPr="00087A72">
        <w:rPr>
          <w:sz w:val="12"/>
        </w:rPr>
        <w:t xml:space="preserve">[Unlike Jackson’s army of the early 19 th century, the 16 th century Dutch] didn’t take the noses and they didn’t take the scalps. They took whole heads because they wanted to identify the fact that they had eradicated the entire leadership of the opposition. They brought the heads back to the central square in New Amsterdam [now Manhattan] where the citizenry began to celebrate. They turned it into a sport. People who had participated in the expedition had themselves a jolly game of kick ball using the heads and the citizenry sat around and cheered…(Churchill 7/31/04) </w:t>
      </w:r>
      <w:r w:rsidRPr="00087A72">
        <w:rPr>
          <w:rStyle w:val="StyleUnderline"/>
        </w:rPr>
        <w:t xml:space="preserve">…has a sense of affilial inclusion and filial longevity… </w:t>
      </w:r>
      <w:r w:rsidRPr="00087A72">
        <w:rPr>
          <w:sz w:val="12"/>
        </w:rPr>
        <w:t xml:space="preserve">[In 1864, the 3 rd Regiment of the U.S. Calvary] returned to Denver [Colorado] with their trophies [the vaginas of Native American women stapled to the front of their hats] and held a triumphal parade. [They] proceeded down Larimore Street…and the good citizenry stood up and cheered wildly...[T]he Rocky Mountain News [described it as] “an unparalleled feat of martial prowess that would live forever in the annals of the history and nobility of the race.” (7/31/04) </w:t>
      </w:r>
      <w:r w:rsidRPr="00087A72">
        <w:rPr>
          <w:rStyle w:val="StyleUnderline"/>
        </w:rPr>
        <w:t xml:space="preserve">…has a capacity for territorial integrity… </w:t>
      </w:r>
      <w:r w:rsidRPr="00087A72">
        <w:rPr>
          <w:sz w:val="12"/>
        </w:rPr>
        <w:t xml:space="preserve">Scalp bounties…were officially claimed bounties that were placed on Indians in every antecedent colony in the Eastern Seaboard—French, English, and Spanish. I don’t know about the Dutch. They killed all the Indians around before they had the chance to need a bounty. But from the antecedent colonies this law transferred to every state and territory in forty-eight contiguous states. (7/31/04) </w:t>
      </w:r>
      <w:r w:rsidRPr="00087A72">
        <w:rPr>
          <w:rStyle w:val="StyleUnderline"/>
        </w:rPr>
        <w:t xml:space="preserve">…that is, it has the capacity to transform Clearing from a verb into Clearing as a noun… </w:t>
      </w:r>
      <w:r w:rsidRPr="00087A72">
        <w:rPr>
          <w:sz w:val="12"/>
        </w:rPr>
        <w:t xml:space="preserve">Every [state in the union] placed a bounty on Indians, any Indians, all Indians. [For example in the] Pennsylvania colony in the 1740s, the bounty [was] forty pounds sterling for proof of death of an adult male Indian. That proof of death being in the form of a scalp or a bloody red skin…Proof of death in that form got the bearer of the proof forty pounds sterling. Forty pounds sterling in the 1740s was equivalent to the annual wage of your average farmer. This is big business. Twenty pounds sterling would be paid for proof of death in the same form of an adult female. Ten pounds sterling for proof of death of a child, a child being defined as human being of either sex under ten years of age down to and, yes, including the fetus…In Texas this law was not rescinded until 1887, [when] the debate in the Texas legislature concluded that there was no reason to continue because there was no long sufficient numbers of living Indians in the entire state of Texas to warrant the continuation of it. It had accomplished its purpose. (7/31/04) </w:t>
      </w:r>
      <w:r w:rsidRPr="00087A72">
        <w:rPr>
          <w:rStyle w:val="StyleUnderline"/>
        </w:rPr>
        <w:t>…and just like that, Little Baby Civil Society was walking on its own two feet. To Grown-up Civil Society</w:t>
      </w:r>
      <w:r w:rsidRPr="00087A72">
        <w:rPr>
          <w:sz w:val="12"/>
        </w:rPr>
        <w:t xml:space="preserve"> (Mogie’s “Great White Father in Washington”) </w:t>
      </w:r>
      <w:r w:rsidRPr="00087A72">
        <w:rPr>
          <w:rStyle w:val="StyleUnderline"/>
        </w:rPr>
        <w:t xml:space="preserve">Mogie Yellow Lodge submits his own “personal” genocide reparations bill. A bill that accounts for the perfect symmetry through which Whiteness has formed a body (from the genitals to the body politic) out of “Savage” flesh. The symmetry’s perfection becomes clear when one realizes that today’s 1.6%-to-80.6%, “Savage”-to-Settler ratio is a pure inversion of the sixteenth century’s “Savage” to Settler ratio. </w:t>
      </w:r>
      <w:r w:rsidRPr="00087A72">
        <w:rPr>
          <w:sz w:val="12"/>
        </w:rPr>
        <w:t xml:space="preserve">lxxvii </w:t>
      </w:r>
      <w:r w:rsidRPr="00087A72">
        <w:rPr>
          <w:rStyle w:val="StyleUnderline"/>
        </w:rPr>
        <w:t>“Send me a big woman. A fat woman! So that when I sleep with her she’ll cover up all the cracks in my shack and stop the wind from blowing through” is a demand so ethically pure that the film finds it unbearable and, as such, is unable (unwilling?) to let Mogie state it without irony.</w:t>
      </w:r>
      <w:r w:rsidRPr="00087A72">
        <w:rPr>
          <w:sz w:val="12"/>
        </w:rPr>
        <w:t xml:space="preserve"> And yet, Mogie’s outbursts like this—“outbursts” because they are generally infrequent and contained by pity or humor—are the few moments when the film engages the ethical dilemmas of the Settler/“Savage” antagonism (genocide and its impossible semiotics) instead of the ethical dilemmas of the Settler/“Savage” conflict (sovereignty and its semiotics of loss). Again, </w:t>
      </w:r>
      <w:r w:rsidRPr="00087A72">
        <w:rPr>
          <w:rStyle w:val="Emphasis"/>
        </w:rPr>
        <w:t>it is not that Mogie’s demand is absurd and unethical, but rather that it is a demand so pure in its ethicality that it threatens the quotidian prohibitions which, in Modernity, constrain ethics. The demand is far too ethical</w:t>
      </w:r>
      <w:r w:rsidRPr="00087A72">
        <w:rPr>
          <w:sz w:val="12"/>
        </w:rPr>
        <w:t xml:space="preserve"> for the film to embrace and elaborate at the level of narrative. It is a demand that must be policed by sovereign powers. Exploring Skins’ cinematic strategies reveals this containment as an effort to manage the spectator’s interpellation by the dilemmas of Mogie’s ruination and by they demand that ushers forth from his “flesh.” </w:t>
      </w:r>
      <w:r w:rsidRPr="00087A72">
        <w:rPr>
          <w:rStyle w:val="StyleUnderline"/>
        </w:rPr>
        <w:t>Mogie’s surrealism seeks to cull power directly from the subjectivity of the Settler, what Ward Churchill calls the “imperial integrity of the US itself”</w:t>
      </w:r>
      <w:r w:rsidRPr="00087A72">
        <w:rPr>
          <w:sz w:val="12"/>
        </w:rPr>
        <w:t xml:space="preserve"> (Marxism and Native Americans 202). </w:t>
      </w:r>
      <w:r w:rsidRPr="00087A72">
        <w:rPr>
          <w:rStyle w:val="StyleUnderline"/>
        </w:rPr>
        <w:t>This idea of culling power, resources, and Human life directly from the imperial integrity of the US, especially when we think that imperial integrity through the banality of White bodies</w:t>
      </w:r>
      <w:r w:rsidRPr="00087A72">
        <w:rPr>
          <w:sz w:val="12"/>
        </w:rPr>
        <w:t xml:space="preserve"> (in other words, through the “innocence” of today’s citizen), is indicative of the kind of unflinching paradigmatic analyses which allowed Ward Churchill to embrace the 9/11 attack on the World Trade Center within forty-eight hours of its occurrence, a moment in time when Settler Marxists and Settler progressives either suddenly became mute, or stumbled over their own tongues in half-hearted attempts to simultaneously condemn the attack and explain its political and historical rationale. Churchill’s embrace of the event is not synonymous with either celebration or condemnation. It goes without saying that Churchill also refused to be interpellated by the pageantry of mourning that followed in the wake of 9-1-1. But Settler radicals and progressives assailed him for meditating on the attack from within the questions of the genocided “Savage,” rather than from within an ensemble of questions allied with Settler’s grammar of suffering, exploitation and alienation. </w:t>
      </w:r>
      <w:r w:rsidRPr="00087A72">
        <w:rPr>
          <w:rStyle w:val="StyleUnderline"/>
        </w:rPr>
        <w:t xml:space="preserve">People on the Left tried to shame Churchill for embracing incoherent terror </w:t>
      </w:r>
      <w:r w:rsidRPr="00087A72">
        <w:rPr>
          <w:sz w:val="12"/>
        </w:rPr>
        <w:t xml:space="preserve">(suicide bombers) </w:t>
      </w:r>
      <w:r w:rsidRPr="00087A72">
        <w:rPr>
          <w:rStyle w:val="StyleUnderline"/>
        </w:rPr>
        <w:t>instead of morally and politically sanctioned revolutionary action</w:t>
      </w:r>
      <w:r w:rsidRPr="00087A72">
        <w:rPr>
          <w:sz w:val="12"/>
        </w:rPr>
        <w:t xml:space="preserve"> (like the Zapatistas or the Sandanistas). </w:t>
      </w:r>
      <w:r w:rsidRPr="00087A72">
        <w:rPr>
          <w:rStyle w:val="StyleUnderline"/>
        </w:rPr>
        <w:t>Others chided him for advocating violence in any form.</w:t>
      </w:r>
      <w:r w:rsidRPr="00087A72">
        <w:rPr>
          <w:sz w:val="12"/>
        </w:rPr>
        <w:t xml:space="preserve"> Many said that now is not the time for a scathing critique; “our” nation is in mourning. And there were those who wagged their finger and reminded him that there were members of the working class (not just police agents and investment bankers) who died in the Twin Towers. These nay-sayers all made their arguments at the level of experience, and Churchill, rather handily, answered them at the level as well. But I am neither interested in his interlocutors’ chiding nor in his response. </w:t>
      </w:r>
      <w:r w:rsidRPr="00087A72">
        <w:rPr>
          <w:rStyle w:val="StyleUnderline"/>
        </w:rPr>
        <w:t>The Left’s attack on Churchill’s embrace of the 9-1-1 attacks is important not for the social issues it raises, the myriad of things it claims it is concerned about, but rather for the grammar of suffering shared across the board, those building blocks through which loss is conceptualized in such a way that makes it impossible for the “Savage” to function, grammatically, as their paradigm of suffering, and even less as its paradigmatic agent for change. Had Churchill’s interlocutors been more honest, they would have used fewer words—not draped their rejoinders with the veil of issues from the realm of experience</w:t>
      </w:r>
      <w:r w:rsidRPr="00087A72">
        <w:rPr>
          <w:sz w:val="12"/>
        </w:rPr>
        <w:t xml:space="preserve"> (i.e., tactics) —</w:t>
      </w:r>
      <w:r w:rsidRPr="00087A72">
        <w:rPr>
          <w:rStyle w:val="StyleUnderline"/>
        </w:rPr>
        <w:t xml:space="preserve">and said, quite simply, </w:t>
      </w:r>
      <w:r w:rsidRPr="00087A72">
        <w:rPr>
          <w:rStyle w:val="Emphasis"/>
        </w:rPr>
        <w:t xml:space="preserve">“We will not be led by the ‘Savage;’ death is not an element constituent of our ontology.” </w:t>
      </w:r>
      <w:r w:rsidRPr="00087A72">
        <w:rPr>
          <w:sz w:val="12"/>
        </w:rPr>
        <w:t xml:space="preserve">Unlike the narrative and cinematic strategies of Skins, Churchill’s meditation on 9-1-1 embraces, rather than contains, Mogie Yellow Lodge’s demand. </w:t>
      </w:r>
      <w:r w:rsidRPr="00087A72">
        <w:rPr>
          <w:rStyle w:val="StyleUnderline"/>
        </w:rPr>
        <w:t>Churchill’s work is authorized by Mogie Yellow Lodge’s grammar of suffering which, inter alia, forecloses upon Churchill’s passing judgment on the tactical ethics of either the attack on the World Trade Center or, for that matter, Mogie’s attack on the body of White femininity. Churchill accepts this foreclosure and works off of it. He does not feel constrained by it but finds it enabling of a quality of reflection that would be otherwise inconceivable: There can be no defensible suggestion that those who attacked the Pentagon and the WTC on 9-1-1 were seeking to get even with the U.S. Still less is there a basis for claims that they “started” something, or that the U.S. has anything to get even with them for. Quite the contrary. For the attackers to have arguably “evened the score” for Iraqi’s dead children alone, it would have been necessary for them to have killed a hundred times the number of Americans who actually died. This in itself, however would have allowed them to attain parity in terms of real numbers. The U.S. population is about fifteen times the size of Iraq’s. Hence, for the attackers to have achieved a proportionally equivalent impact, it would have been necessary that they kill some 7.5 million Americans</w:t>
      </w:r>
      <w:r w:rsidRPr="00087A72">
        <w:rPr>
          <w:sz w:val="12"/>
        </w:rPr>
        <w:t xml:space="preserve">. (On the Justice of Roosting Chickens: Reflections on the Consequences of U.S. Imperial Arrogance and Criminality 14) Churchill reflects upon the event of 9-1-1 in such a way as to make it impossible to talk about it as an event. This is a marker of the philosophical brilliance and rhetorical dexterity foundational to Churchill’s thirty-odd books, articles, and recorded speeches. This dexterity allows the work to be conversant with the actual details and “facts” of the event (as presented and cathedralized by White civil society). </w:t>
      </w:r>
      <w:r w:rsidRPr="00087A72">
        <w:rPr>
          <w:rStyle w:val="StyleUnderline"/>
        </w:rPr>
        <w:t>Yet instead of becoming mired in the bog of concerns which makes the event as “event”</w:t>
      </w:r>
      <w:r w:rsidRPr="00087A72">
        <w:rPr>
          <w:sz w:val="12"/>
        </w:rPr>
        <w:t xml:space="preserve"> (details and common sense ethics) </w:t>
      </w:r>
      <w:r w:rsidRPr="00087A72">
        <w:rPr>
          <w:rStyle w:val="StyleUnderline"/>
        </w:rPr>
        <w:t>Churchill jettisons common sense and presses the details into service of an ensemble of questions animated by the ethical dilemmas of “Savage,” and not Settler, ontology.</w:t>
      </w:r>
      <w:r w:rsidRPr="00087A72">
        <w:rPr>
          <w:sz w:val="12"/>
        </w:rPr>
        <w:t xml:space="preserve"> He can do this on behalf of those who are not even Native Americans (in this passage, Iraqis) because he provides them with the “Savage” as a lens through which they can do ethnographic and political work on the Settler as specimen. In other words, </w:t>
      </w:r>
      <w:r w:rsidRPr="00087A72">
        <w:rPr>
          <w:rStyle w:val="StyleUnderline"/>
        </w:rPr>
        <w:t>in his chapter on 9-1-1, his argument is made in such a way that, to be interpellated, the reader must adjust the logic of his/her political experience to fit the logic of “Savage” genocidal ontology—and not vice versa.</w:t>
      </w:r>
      <w:r w:rsidRPr="00087A72">
        <w:rPr>
          <w:sz w:val="12"/>
        </w:rPr>
        <w:t xml:space="preserve"> The reader must be subordinated to, and incorporated by, Redness, or else the reader will experience the piece in the same way that the viewer is meant to experience Mogie Yellow Lodge: as a scandal, as a problem in need of fixing. </w:t>
      </w:r>
      <w:r w:rsidRPr="00087A72">
        <w:rPr>
          <w:rStyle w:val="StyleUnderline"/>
        </w:rPr>
        <w:t>Churchill continues to subordinate the “facts” of 9-1-1 to an ethical examination of Settlerism by reminding the reader that the U.S. is “fifteen times the size” of Iraq, therefore 9-1-1 would have had to have had a death toll of “7.5 million Americans” in order to have “achieved a proportionately equivalent impact”</w:t>
      </w:r>
      <w:r w:rsidRPr="00087A72">
        <w:rPr>
          <w:sz w:val="12"/>
        </w:rPr>
        <w:t xml:space="preserve"> (14). </w:t>
      </w:r>
      <w:r w:rsidRPr="00087A72">
        <w:rPr>
          <w:rStyle w:val="StyleUnderline"/>
        </w:rPr>
        <w:t>In the very next paragraph, Churchill corrects himself and insists that 7.5 million is the number of American children the attackers would have had to have killed in order to achieve parity. This is followed by a list of even more corrections, in which Churchill recalculates the meaning of parity based solely on the U.S.’s deracination of Iraq since 1990 (further down the correctives will lead him to the “Savage” and to the Slave). True parity would result in 7.5 million dead American children, 15 million dead American adults, the obliteration of “sewage, water sanitation and electrical plants, food production/storage capacity, hospitals, pharmaceutical production facilities, communication centers and much more.” The effects of which would mean not just mass death but “a surviving population wracked by malnutrition an endemic disease”</w:t>
      </w:r>
      <w:r w:rsidRPr="00087A72">
        <w:rPr>
          <w:sz w:val="12"/>
        </w:rPr>
        <w:t xml:space="preserve"> (14). </w:t>
      </w:r>
      <w:r w:rsidRPr="00087A72">
        <w:rPr>
          <w:rStyle w:val="StyleUnderline"/>
        </w:rPr>
        <w:t>“Indeed, applying such standards of ‘pay back’ vis-à-vis American Indians alone would require a lethal reduction in the U.S. population…of between 96 and 99 percent”</w:t>
      </w:r>
      <w:r w:rsidRPr="00087A72">
        <w:rPr>
          <w:sz w:val="12"/>
        </w:rPr>
        <w:t xml:space="preserve"> (15). </w:t>
      </w:r>
      <w:r w:rsidRPr="00087A72">
        <w:rPr>
          <w:rStyle w:val="Emphasis"/>
        </w:rPr>
        <w:t>Suddenly, Mogie Yellow Lodge’s demand for parity (just one big fat White woman to cover up the cracks in his shack) sounds downright generous. Mogie is demanding one Settler, a far cry from demanding parity for ontological death. Were he to demand parity the U.S. “would run out of people long before it ran out of compensatory obligation”</w:t>
      </w:r>
      <w:r w:rsidRPr="00087A72">
        <w:rPr>
          <w:sz w:val="12"/>
        </w:rPr>
        <w:t xml:space="preserve"> (Churchill Roosting Chickens 14-15).</w:t>
      </w:r>
    </w:p>
    <w:p w:rsidR="00E42CFE" w:rsidRPr="00087A72" w:rsidRDefault="00E42CFE" w:rsidP="00E42CFE">
      <w:pPr>
        <w:pStyle w:val="Heading4"/>
      </w:pPr>
      <w:r w:rsidRPr="00087A72">
        <w:t>The death of the Native becomes the condition of possibility for war globally. Either through the past development of the bomb and current nuclear development on Native nations or in the ways in which settler colonialism provides the motor force for imperial wars. In the end, every tool used to kill the Indian becomes a tool to kill another.</w:t>
      </w:r>
    </w:p>
    <w:p w:rsidR="00E42CFE" w:rsidRPr="00087A72" w:rsidRDefault="00E42CFE" w:rsidP="00E42CFE">
      <w:r w:rsidRPr="00087A72">
        <w:rPr>
          <w:rStyle w:val="Style13ptBold"/>
        </w:rPr>
        <w:t>Tuck and Yang 12</w:t>
      </w:r>
      <w:r w:rsidRPr="00087A72">
        <w:t xml:space="preserve"> (Eve; K. Wayne, the dynamic duo “Decolonization Is Not a Metaphor” </w:t>
      </w:r>
      <w:r w:rsidRPr="00087A72">
        <w:rPr>
          <w:i/>
        </w:rPr>
        <w:t xml:space="preserve">Decolonization: Indigeneity, Education &amp; Society </w:t>
      </w:r>
      <w:r w:rsidRPr="00087A72">
        <w:t>1, no. 1, pp. 31-33) NIJ</w:t>
      </w:r>
    </w:p>
    <w:p w:rsidR="00E42CFE" w:rsidRPr="00087A72" w:rsidRDefault="00E42CFE" w:rsidP="00E42CFE">
      <w:pPr>
        <w:rPr>
          <w:rStyle w:val="StyleUnderline"/>
        </w:rPr>
      </w:pPr>
      <w:r w:rsidRPr="00087A72">
        <w:rPr>
          <w:sz w:val="12"/>
        </w:rPr>
        <w:t xml:space="preserve">There is so much that is incommensurable, so many overlaps that can’t be figured, that cannot be resolved. </w:t>
      </w:r>
      <w:r w:rsidRPr="00087A72">
        <w:rPr>
          <w:rStyle w:val="Emphasis"/>
        </w:rPr>
        <w:t>Settler colonialism fuels imperialism all around the globe.</w:t>
      </w:r>
      <w:r w:rsidRPr="00087A72">
        <w:rPr>
          <w:sz w:val="12"/>
        </w:rPr>
        <w:t xml:space="preserve"> </w:t>
      </w:r>
      <w:r w:rsidRPr="00087A72">
        <w:rPr>
          <w:rStyle w:val="StyleUnderline"/>
        </w:rPr>
        <w:t>Oil is the motor and motive for war and so was salt, so will be water.</w:t>
      </w:r>
      <w:r w:rsidRPr="00087A72">
        <w:rPr>
          <w:sz w:val="12"/>
        </w:rPr>
        <w:t xml:space="preserve"> </w:t>
      </w:r>
      <w:r w:rsidRPr="00087A72">
        <w:rPr>
          <w:rStyle w:val="Emphasis"/>
        </w:rPr>
        <w:t>Settler sovereignty over these very pieces of earth, air, and water is what makes possible these imperialisms.</w:t>
      </w:r>
      <w:r w:rsidRPr="00087A72">
        <w:rPr>
          <w:sz w:val="12"/>
        </w:rPr>
        <w:t xml:space="preserve"> </w:t>
      </w:r>
      <w:r w:rsidRPr="00087A72">
        <w:rPr>
          <w:rStyle w:val="StyleUnderline"/>
        </w:rPr>
        <w:t>The same yellow pollen in the water of the Laguna Pueblo reservation in New Mexico</w:t>
      </w:r>
      <w:r w:rsidRPr="00087A72">
        <w:rPr>
          <w:sz w:val="12"/>
        </w:rPr>
        <w:t xml:space="preserve">, Leslie Marmon Silko reminds us, </w:t>
      </w:r>
      <w:r w:rsidRPr="00087A72">
        <w:rPr>
          <w:rStyle w:val="StyleUnderline"/>
        </w:rPr>
        <w:t>is the same uranium that annihilated over 200,000 strangers in 2 flashes. The same yellow pollen that poisons the land from where it came. Used in the same war that took a generation of young Pueblo men.</w:t>
      </w:r>
      <w:r w:rsidRPr="00087A72">
        <w:rPr>
          <w:sz w:val="12"/>
        </w:rPr>
        <w:t xml:space="preserve">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 </w:t>
      </w:r>
      <w:r w:rsidRPr="00087A72">
        <w:rPr>
          <w:rStyle w:val="StyleUnderline"/>
        </w:rPr>
        <w:t>“Indian Country” was/is the term used in Viet Nam, Afghanistan, Iraq by the U.S. military for ‘enemy territory’. 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Bedonkohe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gattling gun that shot canonballs. The technologies of the permanent settler war are reserviced for foreign wars, including boarding schools, colonial schools, urban schools run by military personnel. It is properly called Indian Country. 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w:t>
      </w:r>
      <w:r w:rsidRPr="00087A72">
        <w:rPr>
          <w:sz w:val="12"/>
        </w:rPr>
        <w:t xml:space="preserve"> (“This book is my bible” he said of Madison Grant’s The Passing of the Great Race). </w:t>
      </w:r>
      <w:r w:rsidRPr="00087A72">
        <w:rPr>
          <w:rStyle w:val="StyleUnderline"/>
        </w:rPr>
        <w:t>The admiration is sometimes mutual, the doctors and administrators of forced sterilizations of black, Native, disabled, poor, and mostly female people - The Sterilization Act accompanied the Racial Integrity Act and the Pocohontas Exception - praised the Nazi eugenics program.</w:t>
      </w:r>
      <w:r w:rsidRPr="00087A72">
        <w:rPr>
          <w:sz w:val="12"/>
        </w:rPr>
        <w:t xml:space="preserve"> Forced sterilizations became illegal in California in 1964. </w:t>
      </w:r>
      <w:r w:rsidRPr="00087A72">
        <w:rPr>
          <w:rStyle w:val="StyleUnderline"/>
        </w:rPr>
        <w:t>The management technologies of North American settler colonialism have provided the tools for internal colonialisms elsewhere. So to with philosophies of state and corporate land-grabbing</w:t>
      </w:r>
      <w:r w:rsidRPr="00087A72">
        <w:rPr>
          <w:sz w:val="12"/>
        </w:rPr>
        <w:t xml:space="preserve"> 24 . The prominence of “flat world” perspectives asserts that technology has afforded a diminished significance of place and borders. </w:t>
      </w:r>
      <w:r w:rsidRPr="00087A72">
        <w:rPr>
          <w:rStyle w:val="StyleUnderline"/>
        </w:rPr>
        <w:t>The claim is that U.S. borders have become more flexible, yet simultaneously, the physical border has become more absolute and enforced. The border is no longer just a line suturing two nation-states; the U.S. now polices its borders interior to its territory and exercises sovereignty throughout the globe. Just as sovereignty has expanded, so has settler colonialism in partial forms.</w:t>
      </w:r>
    </w:p>
    <w:p w:rsidR="00ED0FAD" w:rsidRPr="00087A72" w:rsidRDefault="00ED0FAD" w:rsidP="00ED0FAD">
      <w:pPr>
        <w:pStyle w:val="Heading4"/>
        <w:rPr>
          <w:rFonts w:cstheme="majorHAnsi"/>
        </w:rPr>
      </w:pPr>
      <w:r w:rsidRPr="00087A72">
        <w:rPr>
          <w:rFonts w:cstheme="majorHAnsi"/>
        </w:rPr>
        <w:t>Thus, refuse the affirmative as an ethical confrontation with catastrophe that functions as an affirmation of the affective vulnerability of the present. Only through confronting genocide not as a historical event or one impact amongst others, but as ongoing catastrophe imminent to settler subjectivity can disrupt the arborescent form of the Settler scaled from the world down to the individual.</w:t>
      </w:r>
    </w:p>
    <w:p w:rsidR="00ED0FAD" w:rsidRPr="00087A72" w:rsidRDefault="00ED0FAD" w:rsidP="00ED0FAD">
      <w:pPr>
        <w:rPr>
          <w:rFonts w:cstheme="majorHAnsi"/>
        </w:rPr>
      </w:pPr>
      <w:r w:rsidRPr="00087A72">
        <w:rPr>
          <w:rStyle w:val="Style13ptBold"/>
          <w:rFonts w:cstheme="majorHAnsi"/>
        </w:rPr>
        <w:t>Kouri and Skott-Myhre 15</w:t>
      </w:r>
      <w:r w:rsidRPr="00087A72">
        <w:rPr>
          <w:rFonts w:cstheme="majorHAnsi"/>
        </w:rPr>
        <w:t xml:space="preserve"> (Scott and Hans, “Catastrophe: a transversal mapping of colonialism and settler subjectivity,” Settler Colonial Studies, Issue Number, No. 3, pp. 12-13)//vikas</w:t>
      </w:r>
    </w:p>
    <w:p w:rsidR="00E42CFE" w:rsidRPr="00087A72" w:rsidRDefault="00ED0FAD" w:rsidP="00FA1026">
      <w:pPr>
        <w:rPr>
          <w:rFonts w:cstheme="majorHAnsi"/>
          <w:sz w:val="16"/>
        </w:rPr>
      </w:pPr>
      <w:r w:rsidRPr="00087A72">
        <w:rPr>
          <w:rFonts w:cstheme="majorHAnsi"/>
          <w:sz w:val="16"/>
        </w:rPr>
        <w:t xml:space="preserve">Deleuze and Guattari’s conceptualization of catastrophe juxtaposes two senses of the word, the representational and the actual. </w:t>
      </w:r>
      <w:r w:rsidRPr="00087A72">
        <w:rPr>
          <w:rFonts w:cstheme="majorHAnsi"/>
          <w:b/>
          <w:u w:val="single"/>
        </w:rPr>
        <w:t>Representing catastrophe as an abstract or historic occurrence distances us from its effects, while recreating ourselves as expressions of catastrophe allows it to function as an actual present.</w:t>
      </w:r>
      <w:r w:rsidRPr="00087A72">
        <w:rPr>
          <w:rFonts w:cstheme="majorHAnsi"/>
          <w:sz w:val="16"/>
        </w:rPr>
        <w:t xml:space="preserve"> It is </w:t>
      </w:r>
      <w:r w:rsidRPr="00087A72">
        <w:rPr>
          <w:rFonts w:cstheme="majorHAnsi"/>
          <w:b/>
          <w:u w:val="single"/>
        </w:rPr>
        <w:t>through a sobering acknowledgment of the present as a state of catastrophe</w:t>
      </w:r>
      <w:r w:rsidRPr="00087A72">
        <w:rPr>
          <w:rFonts w:cstheme="majorHAnsi"/>
          <w:sz w:val="16"/>
        </w:rPr>
        <w:t xml:space="preserve"> – an admission that takes up history in our current spatial, corporeal, and conceptual makeup – </w:t>
      </w:r>
      <w:r w:rsidRPr="00087A72">
        <w:rPr>
          <w:rFonts w:cstheme="majorHAnsi"/>
          <w:b/>
          <w:u w:val="single"/>
        </w:rPr>
        <w:t>and an endurance of the shame and anger that accompanies such</w:t>
      </w:r>
      <w:r w:rsidRPr="00087A72">
        <w:rPr>
          <w:rFonts w:cstheme="majorHAnsi"/>
          <w:sz w:val="16"/>
        </w:rPr>
        <w:t xml:space="preserve"> a revulsive </w:t>
      </w:r>
      <w:r w:rsidRPr="00087A72">
        <w:rPr>
          <w:rFonts w:cstheme="majorHAnsi"/>
          <w:b/>
          <w:u w:val="single"/>
        </w:rPr>
        <w:t>analysis that new ethical subjectivities can be forged.</w:t>
      </w:r>
      <w:r w:rsidRPr="00087A72">
        <w:rPr>
          <w:rFonts w:cstheme="majorHAnsi"/>
          <w:sz w:val="16"/>
        </w:rPr>
        <w:t xml:space="preserve"> A </w:t>
      </w:r>
      <w:r w:rsidRPr="00087A72">
        <w:rPr>
          <w:rFonts w:cstheme="majorHAnsi"/>
          <w:b/>
          <w:u w:val="single"/>
        </w:rPr>
        <w:t>yes-saying to the present</w:t>
      </w:r>
      <w:r w:rsidRPr="00087A72">
        <w:rPr>
          <w:rFonts w:cstheme="majorHAnsi"/>
          <w:sz w:val="16"/>
        </w:rPr>
        <w:t xml:space="preserve">, to </w:t>
      </w:r>
      <w:r w:rsidRPr="00087A72">
        <w:rPr>
          <w:rFonts w:cstheme="majorHAnsi"/>
          <w:b/>
          <w:u w:val="single"/>
        </w:rPr>
        <w:t>all of the present</w:t>
      </w:r>
      <w:r w:rsidRPr="00087A72">
        <w:rPr>
          <w:rFonts w:cstheme="majorHAnsi"/>
          <w:sz w:val="16"/>
        </w:rPr>
        <w:t xml:space="preserve">, </w:t>
      </w:r>
      <w:r w:rsidRPr="00087A72">
        <w:rPr>
          <w:rFonts w:cstheme="majorHAnsi"/>
          <w:b/>
          <w:u w:val="single"/>
        </w:rPr>
        <w:t>moves beyond</w:t>
      </w:r>
      <w:r w:rsidRPr="00087A72">
        <w:rPr>
          <w:rFonts w:cstheme="majorHAnsi"/>
          <w:sz w:val="16"/>
        </w:rPr>
        <w:t xml:space="preserve"> an </w:t>
      </w:r>
      <w:r w:rsidRPr="00087A72">
        <w:rPr>
          <w:rFonts w:cstheme="majorHAnsi"/>
          <w:b/>
          <w:u w:val="single"/>
        </w:rPr>
        <w:t>acceptance of things as they are and affirms all that could be</w:t>
      </w:r>
      <w:r w:rsidRPr="00087A72">
        <w:rPr>
          <w:rFonts w:cstheme="majorHAnsi"/>
          <w:sz w:val="16"/>
        </w:rPr>
        <w:t xml:space="preserve">, since </w:t>
      </w:r>
      <w:r w:rsidRPr="00087A72">
        <w:rPr>
          <w:rFonts w:cstheme="majorHAnsi"/>
          <w:b/>
          <w:u w:val="single"/>
        </w:rPr>
        <w:t>the actual is not what we are but</w:t>
      </w:r>
      <w:r w:rsidRPr="00087A72">
        <w:rPr>
          <w:rFonts w:cstheme="majorHAnsi"/>
          <w:sz w:val="16"/>
        </w:rPr>
        <w:t xml:space="preserve">, rather, </w:t>
      </w:r>
      <w:r w:rsidRPr="00087A72">
        <w:rPr>
          <w:rFonts w:cstheme="majorHAnsi"/>
          <w:b/>
          <w:u w:val="single"/>
        </w:rPr>
        <w:t>what we become</w:t>
      </w:r>
      <w:r w:rsidRPr="00087A72">
        <w:rPr>
          <w:rFonts w:cstheme="majorHAnsi"/>
          <w:sz w:val="16"/>
        </w:rPr>
        <w:t xml:space="preserve">, </w:t>
      </w:r>
      <w:r w:rsidRPr="00087A72">
        <w:rPr>
          <w:rFonts w:cstheme="majorHAnsi"/>
          <w:b/>
          <w:u w:val="single"/>
        </w:rPr>
        <w:t>what we are in the process of becoming</w:t>
      </w:r>
      <w:r w:rsidRPr="00087A72">
        <w:rPr>
          <w:rFonts w:cstheme="majorHAnsi"/>
          <w:sz w:val="16"/>
        </w:rPr>
        <w:t xml:space="preserve"> – that is to say, the Other, our becoming-other. </w:t>
      </w:r>
      <w:r w:rsidRPr="00087A72">
        <w:rPr>
          <w:rFonts w:cstheme="majorHAnsi"/>
          <w:b/>
          <w:u w:val="single"/>
        </w:rPr>
        <w:t>The present</w:t>
      </w:r>
      <w:r w:rsidRPr="00087A72">
        <w:rPr>
          <w:rFonts w:cstheme="majorHAnsi"/>
          <w:sz w:val="16"/>
        </w:rPr>
        <w:t xml:space="preserve">, on the contrary, </w:t>
      </w:r>
      <w:r w:rsidRPr="00087A72">
        <w:rPr>
          <w:rFonts w:cstheme="majorHAnsi"/>
          <w:b/>
          <w:u w:val="single"/>
        </w:rPr>
        <w:t>is what we are and, thereby, what already we are ceasing to be.</w:t>
      </w:r>
      <w:r w:rsidRPr="00087A72">
        <w:rPr>
          <w:rFonts w:cstheme="majorHAnsi"/>
          <w:sz w:val="16"/>
        </w:rPr>
        <w:t xml:space="preserve">58 To be clear, </w:t>
      </w:r>
      <w:r w:rsidRPr="00087A72">
        <w:rPr>
          <w:rStyle w:val="Emphasis"/>
          <w:rFonts w:cstheme="majorHAnsi"/>
        </w:rPr>
        <w:t>affirmation is not an acceptance of the way things are nor a hopeful projection of a future predicated on growth-oriented investments</w:t>
      </w:r>
      <w:r w:rsidRPr="00087A72">
        <w:rPr>
          <w:rFonts w:cstheme="majorHAnsi"/>
          <w:sz w:val="16"/>
        </w:rPr>
        <w:t xml:space="preserve"> in security, accumulation, and comfort, </w:t>
      </w:r>
      <w:r w:rsidRPr="00087A72">
        <w:rPr>
          <w:rStyle w:val="Emphasis"/>
          <w:rFonts w:cstheme="majorHAnsi"/>
        </w:rPr>
        <w:t>but a view of temporality as dynamic dependency and affective and corporeal vulnerability.</w:t>
      </w:r>
      <w:r w:rsidRPr="00087A72">
        <w:rPr>
          <w:rFonts w:cstheme="majorHAnsi"/>
          <w:sz w:val="16"/>
        </w:rPr>
        <w:t xml:space="preserve"> Our </w:t>
      </w:r>
      <w:r w:rsidRPr="00087A72">
        <w:rPr>
          <w:rFonts w:cstheme="majorHAnsi"/>
          <w:b/>
          <w:u w:val="single"/>
        </w:rPr>
        <w:t>present</w:t>
      </w:r>
      <w:r w:rsidRPr="00087A72">
        <w:rPr>
          <w:rFonts w:cstheme="majorHAnsi"/>
          <w:sz w:val="16"/>
        </w:rPr>
        <w:t xml:space="preserve"> is here </w:t>
      </w:r>
      <w:r w:rsidRPr="00087A72">
        <w:rPr>
          <w:rFonts w:cstheme="majorHAnsi"/>
          <w:b/>
          <w:u w:val="single"/>
        </w:rPr>
        <w:t>recast as our very undoing</w:t>
      </w:r>
      <w:r w:rsidRPr="00087A72">
        <w:rPr>
          <w:rFonts w:cstheme="majorHAnsi"/>
          <w:sz w:val="16"/>
        </w:rPr>
        <w:t xml:space="preserve">; it is </w:t>
      </w:r>
      <w:r w:rsidRPr="00087A72">
        <w:rPr>
          <w:rFonts w:cstheme="majorHAnsi"/>
          <w:b/>
          <w:u w:val="single"/>
        </w:rPr>
        <w:t>a present of living relations that is in a perpetual state of change.</w:t>
      </w:r>
      <w:r w:rsidRPr="00087A72">
        <w:rPr>
          <w:rFonts w:cstheme="majorHAnsi"/>
          <w:sz w:val="16"/>
        </w:rPr>
        <w:t xml:space="preserve"> The present is a ceaseless flow of becoming that </w:t>
      </w:r>
      <w:r w:rsidRPr="00087A72">
        <w:rPr>
          <w:rFonts w:cstheme="majorHAnsi"/>
          <w:b/>
          <w:u w:val="single"/>
        </w:rPr>
        <w:t>undermines a settled identity.</w:t>
      </w:r>
      <w:r w:rsidRPr="00087A72">
        <w:rPr>
          <w:rFonts w:cstheme="majorHAnsi"/>
          <w:sz w:val="16"/>
        </w:rPr>
        <w:t xml:space="preserve"> Concerns with settler subjectivity as an abstract entity continue to withdraw us from the living present in which we are composed through our relationships. What this means for us is that </w:t>
      </w:r>
      <w:r w:rsidRPr="00087A72">
        <w:rPr>
          <w:rFonts w:cstheme="majorHAnsi"/>
          <w:b/>
          <w:u w:val="single"/>
        </w:rPr>
        <w:t>rather than ask who or what we are, we must ask about our capacities and relationships. What has been foreclosed through</w:t>
      </w:r>
      <w:r w:rsidRPr="00087A72">
        <w:rPr>
          <w:rFonts w:cstheme="majorHAnsi"/>
          <w:sz w:val="16"/>
        </w:rPr>
        <w:t xml:space="preserve"> the </w:t>
      </w:r>
      <w:r w:rsidRPr="00087A72">
        <w:rPr>
          <w:rFonts w:cstheme="majorHAnsi"/>
          <w:b/>
          <w:u w:val="single"/>
        </w:rPr>
        <w:t>separations, closures, and biopolitics</w:t>
      </w:r>
      <w:r w:rsidRPr="00087A72">
        <w:rPr>
          <w:rFonts w:cstheme="majorHAnsi"/>
          <w:sz w:val="16"/>
        </w:rPr>
        <w:t xml:space="preserve"> of settler colonialism? What might still be extractable through vulnerability, endurance, sobriety, and confrontation with catastrophe? Who do we become when representations, repressions, and negative affects are transformed into positive affects and action? </w:t>
      </w:r>
      <w:r w:rsidRPr="00087A72">
        <w:rPr>
          <w:rFonts w:cstheme="majorHAnsi"/>
          <w:b/>
          <w:u w:val="single"/>
        </w:rPr>
        <w:t>The violence of settler colonialism</w:t>
      </w:r>
      <w:r w:rsidRPr="00087A72">
        <w:rPr>
          <w:rFonts w:cstheme="majorHAnsi"/>
          <w:sz w:val="16"/>
        </w:rPr>
        <w:t>, as Tuck and Yang insist, ‘</w:t>
      </w:r>
      <w:r w:rsidRPr="00087A72">
        <w:rPr>
          <w:rFonts w:cstheme="majorHAnsi"/>
          <w:b/>
          <w:u w:val="single"/>
        </w:rPr>
        <w:t>is not temporally contained in the arrival of the settler but</w:t>
      </w:r>
      <w:r w:rsidRPr="00087A72">
        <w:rPr>
          <w:rFonts w:cstheme="majorHAnsi"/>
          <w:sz w:val="16"/>
        </w:rPr>
        <w:t xml:space="preserve"> is </w:t>
      </w:r>
      <w:r w:rsidRPr="00087A72">
        <w:rPr>
          <w:rFonts w:cstheme="majorHAnsi"/>
          <w:b/>
          <w:u w:val="single"/>
        </w:rPr>
        <w:t>reasserted each day of occupation</w:t>
      </w:r>
      <w:r w:rsidRPr="00087A72">
        <w:rPr>
          <w:rFonts w:cstheme="majorHAnsi"/>
          <w:sz w:val="16"/>
        </w:rPr>
        <w:t xml:space="preserve">’, 59 </w:t>
      </w:r>
      <w:r w:rsidRPr="00087A72">
        <w:rPr>
          <w:rStyle w:val="Emphasis"/>
          <w:rFonts w:cstheme="majorHAnsi"/>
        </w:rPr>
        <w:t>yet we argue that we have to resist the belief that the current state of affairs and its</w:t>
      </w:r>
      <w:r w:rsidRPr="00087A72">
        <w:rPr>
          <w:rFonts w:cstheme="majorHAnsi"/>
          <w:sz w:val="16"/>
        </w:rPr>
        <w:t xml:space="preserve"> sets of </w:t>
      </w:r>
      <w:r w:rsidRPr="00087A72">
        <w:rPr>
          <w:rStyle w:val="Emphasis"/>
          <w:rFonts w:cstheme="majorHAnsi"/>
        </w:rPr>
        <w:t>relations are the only possible ones.</w:t>
      </w:r>
      <w:r w:rsidRPr="00087A72">
        <w:rPr>
          <w:rFonts w:cstheme="majorHAnsi"/>
          <w:sz w:val="16"/>
        </w:rPr>
        <w:t xml:space="preserve"> While acknowledging that decolonization is specifically about the restitution of Indigenous lands,60 </w:t>
      </w:r>
      <w:r w:rsidRPr="00087A72">
        <w:rPr>
          <w:rFonts w:cstheme="majorHAnsi"/>
          <w:b/>
          <w:u w:val="single"/>
        </w:rPr>
        <w:t>we persist in considering that undoing the colonial mind and its apparatus is important in reconfiguring</w:t>
      </w:r>
      <w:r w:rsidRPr="00087A72">
        <w:rPr>
          <w:rFonts w:cstheme="majorHAnsi"/>
          <w:sz w:val="16"/>
        </w:rPr>
        <w:t xml:space="preserve"> contemporary </w:t>
      </w:r>
      <w:r w:rsidRPr="00087A72">
        <w:rPr>
          <w:rFonts w:cstheme="majorHAnsi"/>
          <w:b/>
          <w:u w:val="single"/>
        </w:rPr>
        <w:t>relations and developing a new society. We are</w:t>
      </w:r>
      <w:r w:rsidRPr="00087A72">
        <w:rPr>
          <w:rFonts w:cstheme="majorHAnsi"/>
          <w:sz w:val="16"/>
        </w:rPr>
        <w:t xml:space="preserve"> not asking our fellow settlers to leave their homes to join the anticolonial revolution, but </w:t>
      </w:r>
      <w:r w:rsidRPr="00087A72">
        <w:rPr>
          <w:rFonts w:cstheme="majorHAnsi"/>
          <w:b/>
          <w:u w:val="single"/>
        </w:rPr>
        <w:t>suggesting</w:t>
      </w:r>
      <w:r w:rsidRPr="00087A72">
        <w:rPr>
          <w:rFonts w:cstheme="majorHAnsi"/>
          <w:sz w:val="16"/>
        </w:rPr>
        <w:t xml:space="preserve"> precisely </w:t>
      </w:r>
      <w:r w:rsidRPr="00087A72">
        <w:rPr>
          <w:rFonts w:cstheme="majorHAnsi"/>
          <w:b/>
          <w:u w:val="single"/>
        </w:rPr>
        <w:t xml:space="preserve">the opposite: </w:t>
      </w:r>
      <w:r w:rsidRPr="00087A72">
        <w:rPr>
          <w:rStyle w:val="Emphasis"/>
          <w:rFonts w:cstheme="majorHAnsi"/>
        </w:rPr>
        <w:t>to make your home and life the revolution itself.</w:t>
      </w:r>
      <w:r w:rsidRPr="00087A72">
        <w:rPr>
          <w:rFonts w:cstheme="majorHAnsi"/>
          <w:sz w:val="16"/>
        </w:rPr>
        <w:t xml:space="preserve"> We are seeking </w:t>
      </w:r>
      <w:r w:rsidRPr="00087A72">
        <w:rPr>
          <w:rFonts w:cstheme="majorHAnsi"/>
          <w:b/>
          <w:u w:val="single"/>
        </w:rPr>
        <w:t>ways of being radically present on Indigenous territory, a radicality that undermines the state, Western identity formations, and settler futures.</w:t>
      </w:r>
      <w:r w:rsidRPr="00087A72">
        <w:rPr>
          <w:rFonts w:cstheme="majorHAnsi"/>
          <w:sz w:val="16"/>
        </w:rPr>
        <w:t xml:space="preserve"> And because colonialism and capitalism have always been at least partially successful of recuperating revolutionary modes of production this process must be ongoing and specific to circumstance. We are interested in the production of </w:t>
      </w:r>
      <w:r w:rsidRPr="00087A72">
        <w:rPr>
          <w:rFonts w:cstheme="majorHAnsi"/>
          <w:b/>
          <w:u w:val="single"/>
        </w:rPr>
        <w:t>subjectivities that are not founded on binaries between who we are and who we are not</w:t>
      </w:r>
      <w:r w:rsidRPr="00087A72">
        <w:rPr>
          <w:rFonts w:cstheme="majorHAnsi"/>
          <w:sz w:val="16"/>
        </w:rPr>
        <w:t xml:space="preserve"> – </w:t>
      </w:r>
      <w:r w:rsidRPr="00087A72">
        <w:rPr>
          <w:rStyle w:val="Emphasis"/>
          <w:rFonts w:cstheme="majorHAnsi"/>
        </w:rPr>
        <w:t>without</w:t>
      </w:r>
      <w:r w:rsidRPr="00087A72">
        <w:rPr>
          <w:rFonts w:cstheme="majorHAnsi"/>
          <w:sz w:val="16"/>
        </w:rPr>
        <w:t xml:space="preserve">, of course, </w:t>
      </w:r>
      <w:r w:rsidRPr="00087A72">
        <w:rPr>
          <w:rStyle w:val="Emphasis"/>
          <w:rFonts w:cstheme="majorHAnsi"/>
        </w:rPr>
        <w:t>interfering with Indigenous politics of identity or ignoring differential distributions of injustice</w:t>
      </w:r>
      <w:r w:rsidRPr="00087A72">
        <w:rPr>
          <w:rFonts w:cstheme="majorHAnsi"/>
          <w:sz w:val="16"/>
        </w:rPr>
        <w:t xml:space="preserve"> and violence </w:t>
      </w:r>
      <w:r w:rsidRPr="00087A72">
        <w:rPr>
          <w:rStyle w:val="Emphasis"/>
          <w:rFonts w:cstheme="majorHAnsi"/>
        </w:rPr>
        <w:t>based on identity.</w:t>
      </w:r>
      <w:r w:rsidRPr="00087A72">
        <w:rPr>
          <w:rFonts w:cstheme="majorHAnsi"/>
          <w:sz w:val="16"/>
        </w:rPr>
        <w:t xml:space="preserve"> We want to move </w:t>
      </w:r>
      <w:r w:rsidRPr="00087A72">
        <w:rPr>
          <w:rFonts w:cstheme="majorHAnsi"/>
          <w:b/>
          <w:u w:val="single"/>
        </w:rPr>
        <w:t xml:space="preserve">from rigid settler identities toward processes of </w:t>
      </w:r>
      <w:r w:rsidRPr="00087A72">
        <w:rPr>
          <w:rStyle w:val="Emphasis"/>
          <w:rFonts w:cstheme="majorHAnsi"/>
        </w:rPr>
        <w:t>subjectification based on who and what we are related to, including humans, plants, minerals, waters, and stars</w:t>
      </w:r>
      <w:r w:rsidRPr="00087A72">
        <w:rPr>
          <w:rFonts w:cstheme="majorHAnsi"/>
          <w:b/>
          <w:u w:val="single"/>
        </w:rPr>
        <w:t>. We seek to undo dialectical thinking and recognize the singularity of every existent outside state taxonomy and organizational</w:t>
      </w:r>
      <w:r w:rsidRPr="00087A72">
        <w:rPr>
          <w:rFonts w:cstheme="majorHAnsi"/>
          <w:sz w:val="16"/>
        </w:rPr>
        <w:t xml:space="preserve"> system. As Deleuze writes, the Spinozan principle asserts that </w:t>
      </w:r>
      <w:r w:rsidRPr="00087A72">
        <w:rPr>
          <w:rFonts w:cstheme="majorHAnsi"/>
          <w:b/>
          <w:u w:val="single"/>
        </w:rPr>
        <w:t xml:space="preserve">negation is nothing, because </w:t>
      </w:r>
      <w:r w:rsidRPr="00087A72">
        <w:rPr>
          <w:rFonts w:cstheme="majorHAnsi"/>
          <w:sz w:val="16"/>
        </w:rPr>
        <w:t xml:space="preserve">absolutely </w:t>
      </w:r>
      <w:r w:rsidRPr="00087A72">
        <w:rPr>
          <w:rFonts w:cstheme="majorHAnsi"/>
          <w:b/>
          <w:u w:val="single"/>
        </w:rPr>
        <w:t>nothing</w:t>
      </w:r>
      <w:r w:rsidRPr="00087A72">
        <w:rPr>
          <w:rFonts w:cstheme="majorHAnsi"/>
          <w:sz w:val="16"/>
        </w:rPr>
        <w:t xml:space="preserve"> ever </w:t>
      </w:r>
      <w:r w:rsidRPr="00087A72">
        <w:rPr>
          <w:rFonts w:cstheme="majorHAnsi"/>
          <w:b/>
          <w:u w:val="single"/>
        </w:rPr>
        <w:t>lacks anything. Negation is a being of reason</w:t>
      </w:r>
      <w:r w:rsidRPr="00087A72">
        <w:rPr>
          <w:rFonts w:cstheme="majorHAnsi"/>
          <w:sz w:val="16"/>
        </w:rPr>
        <w:t xml:space="preserve">, or rather of comparison, </w:t>
      </w:r>
      <w:r w:rsidRPr="00087A72">
        <w:rPr>
          <w:rFonts w:cstheme="majorHAnsi"/>
          <w:b/>
          <w:u w:val="single"/>
        </w:rPr>
        <w:t>which results from our grouping together</w:t>
      </w:r>
      <w:r w:rsidRPr="00087A72">
        <w:rPr>
          <w:rFonts w:cstheme="majorHAnsi"/>
          <w:sz w:val="16"/>
        </w:rPr>
        <w:t xml:space="preserve"> all sorts </w:t>
      </w:r>
      <w:r w:rsidRPr="00087A72">
        <w:rPr>
          <w:rFonts w:cstheme="majorHAnsi"/>
          <w:b/>
          <w:u w:val="single"/>
        </w:rPr>
        <w:t>of distinct beings so as to refer them to one and the same fictitious ideal</w:t>
      </w:r>
      <w:r w:rsidRPr="00087A72">
        <w:rPr>
          <w:rFonts w:cstheme="majorHAnsi"/>
          <w:sz w:val="16"/>
        </w:rPr>
        <w:t xml:space="preserve">, in the name of which we say that one or another of them falls short of the ideal.61 The concepts of identity and lack in the colonial project are used to organize difference and diversity into dichotomies or taxonomies. </w:t>
      </w:r>
      <w:r w:rsidRPr="00087A72">
        <w:rPr>
          <w:rFonts w:cstheme="majorHAnsi"/>
          <w:b/>
          <w:u w:val="single"/>
        </w:rPr>
        <w:t>Categories and subcategories of difference are</w:t>
      </w:r>
      <w:r w:rsidRPr="00087A72">
        <w:rPr>
          <w:rFonts w:cstheme="majorHAnsi"/>
          <w:sz w:val="16"/>
        </w:rPr>
        <w:t xml:space="preserve">, without exception, </w:t>
      </w:r>
      <w:r w:rsidRPr="00087A72">
        <w:rPr>
          <w:rFonts w:cstheme="majorHAnsi"/>
          <w:b/>
          <w:u w:val="single"/>
        </w:rPr>
        <w:t>hierarchical and saturated in power relations</w:t>
      </w:r>
      <w:r w:rsidRPr="00087A72">
        <w:rPr>
          <w:rFonts w:cstheme="majorHAnsi"/>
          <w:sz w:val="16"/>
        </w:rPr>
        <w:t xml:space="preserve">, where to be </w:t>
      </w:r>
      <w:r w:rsidRPr="00087A72">
        <w:rPr>
          <w:rFonts w:cstheme="majorHAnsi"/>
          <w:b/>
          <w:u w:val="single"/>
        </w:rPr>
        <w:t>identified with</w:t>
      </w:r>
      <w:r w:rsidRPr="00087A72">
        <w:rPr>
          <w:rFonts w:cstheme="majorHAnsi"/>
          <w:sz w:val="16"/>
        </w:rPr>
        <w:t xml:space="preserve"> or different from is inextricably tied to </w:t>
      </w:r>
      <w:r w:rsidRPr="00087A72">
        <w:rPr>
          <w:rFonts w:cstheme="majorHAnsi"/>
          <w:b/>
          <w:u w:val="single"/>
        </w:rPr>
        <w:t>access, affordances, and annulments.</w:t>
      </w:r>
      <w:r w:rsidRPr="00087A72">
        <w:rPr>
          <w:rFonts w:cstheme="majorHAnsi"/>
          <w:sz w:val="16"/>
        </w:rPr>
        <w:t xml:space="preserve"> In Spinoza and Deleuze, </w:t>
      </w:r>
      <w:r w:rsidRPr="00087A72">
        <w:rPr>
          <w:rStyle w:val="Emphasis"/>
          <w:rFonts w:cstheme="majorHAnsi"/>
        </w:rPr>
        <w:t>alternatively, difference is immanent to life and</w:t>
      </w:r>
      <w:r w:rsidRPr="00087A72">
        <w:rPr>
          <w:rFonts w:cstheme="majorHAnsi"/>
          <w:sz w:val="16"/>
        </w:rPr>
        <w:t xml:space="preserve"> the </w:t>
      </w:r>
      <w:r w:rsidRPr="00087A72">
        <w:rPr>
          <w:rStyle w:val="Emphasis"/>
          <w:rFonts w:cstheme="majorHAnsi"/>
        </w:rPr>
        <w:t>affirmation of distinctiveness and singularity have the capacity to break up transcendent systems of organization.</w:t>
      </w:r>
      <w:r w:rsidRPr="00087A72">
        <w:rPr>
          <w:rFonts w:cstheme="majorHAnsi"/>
          <w:sz w:val="16"/>
        </w:rPr>
        <w:t xml:space="preserve"> Deleuze proposes that </w:t>
      </w:r>
      <w:r w:rsidRPr="00087A72">
        <w:rPr>
          <w:rFonts w:cstheme="majorHAnsi"/>
          <w:b/>
          <w:u w:val="single"/>
        </w:rPr>
        <w:t>catastrophe offers a new right to thought that can open up transcendence in such a way that one can actually apprehend</w:t>
      </w:r>
      <w:r w:rsidRPr="00087A72">
        <w:rPr>
          <w:rFonts w:cstheme="majorHAnsi"/>
          <w:sz w:val="16"/>
        </w:rPr>
        <w:t xml:space="preserve">, in at least an instance, </w:t>
      </w:r>
      <w:r w:rsidRPr="00087A72">
        <w:rPr>
          <w:rFonts w:cstheme="majorHAnsi"/>
          <w:b/>
          <w:u w:val="single"/>
        </w:rPr>
        <w:t>the whole of life as a system of interconnected forces and flows</w:t>
      </w:r>
      <w:r w:rsidRPr="00087A72">
        <w:rPr>
          <w:rFonts w:cstheme="majorHAnsi"/>
          <w:sz w:val="16"/>
        </w:rPr>
        <w:t xml:space="preserve">. This thought of </w:t>
      </w:r>
      <w:r w:rsidRPr="00087A72">
        <w:rPr>
          <w:rFonts w:cstheme="majorHAnsi"/>
          <w:b/>
          <w:u w:val="single"/>
        </w:rPr>
        <w:t xml:space="preserve">immanence is particularly useful to apprehend how colonialism naturalizes hierarchy and attempts to repress </w:t>
      </w:r>
      <w:r w:rsidRPr="00087A72">
        <w:rPr>
          <w:rFonts w:cstheme="majorHAnsi"/>
          <w:sz w:val="16"/>
        </w:rPr>
        <w:t xml:space="preserve">the infinitely </w:t>
      </w:r>
      <w:r w:rsidRPr="00087A72">
        <w:rPr>
          <w:rFonts w:cstheme="majorHAnsi"/>
          <w:b/>
          <w:u w:val="single"/>
        </w:rPr>
        <w:t>diverse</w:t>
      </w:r>
      <w:r w:rsidRPr="00087A72">
        <w:rPr>
          <w:rFonts w:cstheme="majorHAnsi"/>
          <w:sz w:val="16"/>
        </w:rPr>
        <w:t xml:space="preserve"> ways that the flows and </w:t>
      </w:r>
      <w:r w:rsidRPr="00087A72">
        <w:rPr>
          <w:rFonts w:cstheme="majorHAnsi"/>
          <w:b/>
          <w:u w:val="single"/>
        </w:rPr>
        <w:t>forces of life</w:t>
      </w:r>
      <w:r w:rsidRPr="00087A72">
        <w:rPr>
          <w:rFonts w:cstheme="majorHAnsi"/>
          <w:sz w:val="16"/>
        </w:rPr>
        <w:t xml:space="preserve"> continually reassemble. </w:t>
      </w:r>
      <w:r w:rsidRPr="00087A72">
        <w:rPr>
          <w:rStyle w:val="Emphasis"/>
          <w:rFonts w:cstheme="majorHAnsi"/>
        </w:rPr>
        <w:t>The quest is not to see any difference, but to see difference in itself – the complete singularity of an existent without reference to what it is not</w:t>
      </w:r>
      <w:r w:rsidRPr="00087A72">
        <w:rPr>
          <w:rFonts w:cstheme="majorHAnsi"/>
          <w:sz w:val="16"/>
        </w:rPr>
        <w:t xml:space="preserve">, what it lacks, </w:t>
      </w:r>
      <w:r w:rsidRPr="00087A72">
        <w:rPr>
          <w:rStyle w:val="Emphasis"/>
          <w:rFonts w:cstheme="majorHAnsi"/>
        </w:rPr>
        <w:t>or to any other set of abstract codes.</w:t>
      </w:r>
      <w:r w:rsidRPr="00087A72">
        <w:rPr>
          <w:rFonts w:cstheme="majorHAnsi"/>
          <w:b/>
          <w:sz w:val="16"/>
        </w:rPr>
        <w:t xml:space="preserve"> </w:t>
      </w:r>
      <w:r w:rsidRPr="00087A72">
        <w:rPr>
          <w:rFonts w:cstheme="majorHAnsi"/>
          <w:b/>
          <w:u w:val="single"/>
        </w:rPr>
        <w:t>Such a thought better sensitizes us to apprehending how current social structures and rationality work</w:t>
      </w:r>
      <w:r w:rsidRPr="00087A72">
        <w:rPr>
          <w:rFonts w:cstheme="majorHAnsi"/>
          <w:sz w:val="16"/>
        </w:rPr>
        <w:t xml:space="preserve"> to organize, prevent, extract, and control the living flows. Furthermore, </w:t>
      </w:r>
      <w:r w:rsidRPr="00087A72">
        <w:rPr>
          <w:rFonts w:cstheme="majorHAnsi"/>
          <w:b/>
          <w:u w:val="single"/>
        </w:rPr>
        <w:t>it allows us to glimpse the processes at work in the formation of our own subjectivities. We are not proposing</w:t>
      </w:r>
      <w:r w:rsidRPr="00087A72">
        <w:rPr>
          <w:rFonts w:cstheme="majorHAnsi"/>
          <w:sz w:val="16"/>
        </w:rPr>
        <w:t xml:space="preserve"> here that </w:t>
      </w:r>
      <w:r w:rsidRPr="00087A72">
        <w:rPr>
          <w:rFonts w:cstheme="majorHAnsi"/>
          <w:b/>
          <w:u w:val="single"/>
        </w:rPr>
        <w:t>living in immanence is an option.</w:t>
      </w:r>
      <w:r w:rsidRPr="00087A72">
        <w:rPr>
          <w:rFonts w:cstheme="majorHAnsi"/>
          <w:sz w:val="16"/>
        </w:rPr>
        <w:t xml:space="preserve"> </w:t>
      </w:r>
      <w:r w:rsidRPr="00087A72">
        <w:rPr>
          <w:rStyle w:val="Emphasis"/>
          <w:rFonts w:cstheme="majorHAnsi"/>
        </w:rPr>
        <w:t>We are proposing that life is immanence and that recognizing that fact can help us to map how the state, Western rationality, and settler subjects disfigure life</w:t>
      </w:r>
      <w:r w:rsidRPr="00087A72">
        <w:rPr>
          <w:rFonts w:cstheme="majorHAnsi"/>
          <w:sz w:val="16"/>
        </w:rPr>
        <w:t xml:space="preserve"> in order </w:t>
      </w:r>
      <w:r w:rsidRPr="00087A72">
        <w:rPr>
          <w:rStyle w:val="Emphasis"/>
          <w:rFonts w:cstheme="majorHAnsi"/>
        </w:rPr>
        <w:t>to extract from it what they need to extend themselves.</w:t>
      </w:r>
      <w:r w:rsidRPr="00087A72">
        <w:rPr>
          <w:rFonts w:cstheme="majorHAnsi"/>
          <w:sz w:val="16"/>
        </w:rPr>
        <w:t xml:space="preserve"> All transcendental, categorical, or universal settler principles are anathema to the immanent subjectivity that we are mapping here as their alternative. We therefore entirely reject the set of universal standards instituted, yet betrayed, in settler colonies by the state, church, and educational systems. We understand that the moralisms of the church, </w:t>
      </w:r>
      <w:r w:rsidRPr="00087A72">
        <w:rPr>
          <w:rFonts w:cstheme="majorHAnsi"/>
          <w:b/>
          <w:u w:val="single"/>
        </w:rPr>
        <w:t>the democratic promise of equality issued by the state</w:t>
      </w:r>
      <w:r w:rsidRPr="00087A72">
        <w:rPr>
          <w:rFonts w:cstheme="majorHAnsi"/>
          <w:sz w:val="16"/>
        </w:rPr>
        <w:t xml:space="preserve">, and the pseudo-science of the fields of anthropology, history, and psychiatry </w:t>
      </w:r>
      <w:r w:rsidRPr="00087A72">
        <w:rPr>
          <w:rFonts w:cstheme="majorHAnsi"/>
          <w:b/>
          <w:u w:val="single"/>
        </w:rPr>
        <w:t>are all founded on a transcendental image that has undermined Indigenous lives</w:t>
      </w:r>
      <w:r w:rsidRPr="00087A72">
        <w:rPr>
          <w:rFonts w:cstheme="majorHAnsi"/>
          <w:sz w:val="16"/>
        </w:rPr>
        <w:t xml:space="preserve"> and worldviews and marginalized immanent and revolutionary subjectivities. </w:t>
      </w:r>
      <w:r w:rsidRPr="00087A72">
        <w:rPr>
          <w:rStyle w:val="Emphasis"/>
          <w:rFonts w:cstheme="majorHAnsi"/>
        </w:rPr>
        <w:t>A new immanent settler subjectivity that rejects the dictates of a transcendental god, state, or knowledge moves toward an ethics of accountability</w:t>
      </w:r>
      <w:r w:rsidRPr="00087A72">
        <w:rPr>
          <w:rFonts w:cstheme="majorHAnsi"/>
          <w:sz w:val="16"/>
        </w:rPr>
        <w:t xml:space="preserve"> to the immanent relations that constitute it. </w:t>
      </w:r>
      <w:r w:rsidRPr="00087A72">
        <w:rPr>
          <w:rFonts w:cstheme="majorHAnsi"/>
          <w:b/>
          <w:u w:val="single"/>
        </w:rPr>
        <w:t xml:space="preserve">We seek to dislodge ourselves from the dominant power and change the effects of that power toward a collective community building and immanent auto-productivity. </w:t>
      </w:r>
      <w:r w:rsidRPr="00087A72">
        <w:rPr>
          <w:rStyle w:val="Emphasis"/>
          <w:rFonts w:cstheme="majorHAnsi"/>
        </w:rPr>
        <w:t>Such relationships</w:t>
      </w:r>
      <w:r w:rsidRPr="00087A72">
        <w:rPr>
          <w:rFonts w:cstheme="majorHAnsi"/>
          <w:sz w:val="16"/>
        </w:rPr>
        <w:t xml:space="preserve"> move alongside recognition politics by the state through laws and rights, but more critically </w:t>
      </w:r>
      <w:r w:rsidRPr="00087A72">
        <w:rPr>
          <w:rStyle w:val="Emphasis"/>
          <w:rFonts w:cstheme="majorHAnsi"/>
        </w:rPr>
        <w:t>act to undo the state’s power to subject others to rights and laws.</w:t>
      </w:r>
      <w:r w:rsidRPr="00087A72">
        <w:rPr>
          <w:rFonts w:cstheme="majorHAnsi"/>
          <w:sz w:val="16"/>
        </w:rPr>
        <w:t xml:space="preserve"> It is a call </w:t>
      </w:r>
      <w:r w:rsidRPr="00087A72">
        <w:rPr>
          <w:rStyle w:val="Emphasis"/>
          <w:rFonts w:cstheme="majorHAnsi"/>
        </w:rPr>
        <w:t>to rethink power, agency, and freedom through a situated accountability based on responsibility, allegiance, and affiliation.</w:t>
      </w:r>
      <w:r w:rsidRPr="00087A72">
        <w:rPr>
          <w:rFonts w:cstheme="majorHAnsi"/>
          <w:sz w:val="16"/>
        </w:rPr>
        <w:t xml:space="preserve"> Ethics here is about active forces and increasing relationality, affect, and capacity to act. It therefore calls for singularized mappings of power and responsible negotiations en route to a different world.</w:t>
      </w:r>
    </w:p>
    <w:p w:rsidR="00ED0FAD" w:rsidRPr="00087A72" w:rsidRDefault="00ED0FAD" w:rsidP="00ED0FAD">
      <w:pPr>
        <w:pStyle w:val="Heading4"/>
      </w:pPr>
      <w:r w:rsidRPr="00087A72">
        <w:t>Settler colonialism maintains itself through the everyday, repetitive acts of practices, presences, and speech acts. Loyalty to an ethic of decolonization requires a refusal of the affirmative as a repudiation of the Settler subject’s ongoing attempt to achieve the end of Indigenous life. Only by an iterative process of refusal can cultivate cracks in the Settler psyche.</w:t>
      </w:r>
    </w:p>
    <w:p w:rsidR="00ED0FAD" w:rsidRPr="00087A72" w:rsidRDefault="00ED0FAD" w:rsidP="00ED0FAD">
      <w:r w:rsidRPr="00087A72">
        <w:rPr>
          <w:rStyle w:val="Style13ptBold"/>
        </w:rPr>
        <w:t>Henderson 15</w:t>
      </w:r>
      <w:r w:rsidRPr="00087A72">
        <w:t xml:space="preserve"> (Phil, Doctoral Student at the University of Victoria "Imagoed communities: the psychosocial space of settler colonialism" Settler Colonial Studies DOI: 10.1080/2201473X.2015.1092194, pp. 10-14) NIJ</w:t>
      </w:r>
    </w:p>
    <w:p w:rsidR="00ED0FAD" w:rsidRPr="00087A72" w:rsidRDefault="00ED0FAD" w:rsidP="00FA1026">
      <w:pPr>
        <w:rPr>
          <w:sz w:val="12"/>
        </w:rPr>
      </w:pPr>
      <w:r w:rsidRPr="00087A72">
        <w:rPr>
          <w:sz w:val="12"/>
        </w:rPr>
        <w:t xml:space="preserve">Facing assertive indigenous presences within settler colonial spaces, </w:t>
      </w:r>
      <w:r w:rsidRPr="00087A72">
        <w:rPr>
          <w:rStyle w:val="Emphasis"/>
        </w:rPr>
        <w:t>settlers must answer the legitimate charge that their daily life – in all its banality – is predicated upon the privileges produced by ongoing genocide.</w:t>
      </w:r>
      <w:r w:rsidRPr="00087A72">
        <w:rPr>
          <w:sz w:val="12"/>
        </w:rPr>
        <w:t xml:space="preserve"> </w:t>
      </w:r>
      <w:r w:rsidRPr="00087A72">
        <w:rPr>
          <w:rStyle w:val="StyleUnderline"/>
        </w:rPr>
        <w:t>The jarring nature of such charges offers an irreconcilable challenge to settlers qua settlers.</w:t>
      </w:r>
      <w:r w:rsidRPr="00087A72">
        <w:rPr>
          <w:sz w:val="12"/>
        </w:rPr>
        <w:t xml:space="preserve">64 </w:t>
      </w:r>
      <w:r w:rsidRPr="00087A72">
        <w:rPr>
          <w:rStyle w:val="StyleUnderline"/>
        </w:rPr>
        <w:t>Should these charges become impossible to ignore, they threaten to explode the imago of settler colonialism, which had hitherto operated within the settler psyche in a relatively smooth and benign manner. This explosion is potentiated by the revelation of even a portion of the violence that is required to make settler life possible. If, for example, settlers are forced to see ‘their’ beach as a site of murder and ongoing colonization, it becomes more difficult to sustain it within the imaginary as a site of frivolity.</w:t>
      </w:r>
      <w:r w:rsidRPr="00087A72">
        <w:rPr>
          <w:sz w:val="12"/>
        </w:rPr>
        <w:t xml:space="preserve">65 As Brown writes, in the ‘loss of horizons, order, and identity’ the subject experiences a sense of enormous vulnerability.66 Threatened with this ‘loss of containment’, the settler subject embarks down the road to psychosis.67 Thus, to parlay Brown’s thesis to the settler colonial context, </w:t>
      </w:r>
      <w:r w:rsidRPr="00087A72">
        <w:rPr>
          <w:rStyle w:val="StyleUnderline"/>
        </w:rPr>
        <w:t>the uncontrollable rage that indigenous presences induce within the settler is not evidence of the strength of settlers, but rather of a subject lashing out on the brink of its own dissolution. This panic – this rabid and insatiable anger – is always already at the core of the settler as a subject.</w:t>
      </w:r>
      <w:r w:rsidRPr="00087A72">
        <w:rPr>
          <w:sz w:val="12"/>
        </w:rPr>
        <w:t xml:space="preserve"> As Lorenzo Veracini observes, </w:t>
      </w:r>
      <w:r w:rsidRPr="00087A72">
        <w:rPr>
          <w:rStyle w:val="StyleUnderline"/>
        </w:rPr>
        <w:t xml:space="preserve">the settler necessarily remains in a disposition of aggression ‘even after indigenous alterities have ceased to be threatening’. </w:t>
      </w:r>
      <w:r w:rsidRPr="00087A72">
        <w:rPr>
          <w:sz w:val="12"/>
        </w:rPr>
        <w:t xml:space="preserve">68 </w:t>
      </w:r>
      <w:r w:rsidRPr="00087A72">
        <w:rPr>
          <w:rStyle w:val="StyleUnderline"/>
        </w:rPr>
        <w:t>This disposition results from the precarity inherent in the maintenance of settler colonialism’s imago, wherein any and all indigenous presences threaten subjective dissolution of the settler as such.</w:t>
      </w:r>
      <w:r w:rsidRPr="00087A72">
        <w:rPr>
          <w:sz w:val="12"/>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w:t>
      </w:r>
      <w:r w:rsidRPr="00087A72">
        <w:rPr>
          <w:rStyle w:val="StyleUnderline"/>
        </w:rPr>
        <w:t>Their desire to produce a firm imago means that settlers are also always already in a psychically defensive position – that is, the settler’s offensive position</w:t>
      </w:r>
      <w:r w:rsidRPr="00087A72">
        <w:rPr>
          <w:sz w:val="12"/>
        </w:rPr>
        <w:t xml:space="preserve"> on occupied land </w:t>
      </w:r>
      <w:r w:rsidRPr="00087A72">
        <w:rPr>
          <w:rStyle w:val="StyleUnderline"/>
        </w:rPr>
        <w:t>is sustained through a defensive posture. For while settlers desire the total erasure of indigenous populations, the attendant desire to disappear their own identity as settlers necessitates the suppression of both desires, if the subject’s reliance on settler colonial power structure is to be psychically naturalized. Settlers’ reactions to indigenous peoples fit, almost universally, with the two ego defense responses</w:t>
      </w:r>
      <w:r w:rsidRPr="00087A72">
        <w:rPr>
          <w:sz w:val="12"/>
        </w:rPr>
        <w:t xml:space="preserve"> that Sigmund Freud observed. </w:t>
      </w:r>
      <w:r w:rsidRPr="00087A72">
        <w:rPr>
          <w:rStyle w:val="StyleUnderline"/>
        </w:rPr>
        <w:t>The first of these defenses is to attempt a complete conversion of the suppressed desire into a new idea.</w:t>
      </w:r>
      <w:r w:rsidRPr="00087A72">
        <w:rPr>
          <w:sz w:val="12"/>
        </w:rPr>
        <w:t xml:space="preserve"> In settler colonial contexts, </w:t>
      </w:r>
      <w:r w:rsidRPr="00087A72">
        <w:rPr>
          <w:rStyle w:val="StyleUnderline"/>
        </w:rPr>
        <w:t xml:space="preserve">this requires averting attention from the violence of dispossession; as such, settlers often suggest that they aim to create a ‘city on the hill’. </w:t>
      </w:r>
      <w:r w:rsidRPr="00087A72">
        <w:rPr>
          <w:sz w:val="12"/>
        </w:rPr>
        <w:t xml:space="preserve">70 Freud noted that </w:t>
      </w:r>
      <w:r w:rsidRPr="00087A72">
        <w:rPr>
          <w:rStyle w:val="StyleUnderline"/>
        </w:rPr>
        <w:t>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w:t>
      </w:r>
      <w:r w:rsidRPr="00087A72">
        <w:rPr>
          <w:sz w:val="12"/>
        </w:rPr>
        <w:t xml:space="preserve">71 As we have already seen, </w:t>
      </w:r>
      <w:r w:rsidRPr="00087A72">
        <w:rPr>
          <w:rStyle w:val="StyleUnderline"/>
        </w:rPr>
        <w:t>this obsession at once solidifies the power of the settler state, thereby naturalizing the settler and simultaneously perpetuating the processes of erasing indigenous peoples.</w:t>
      </w:r>
      <w:r w:rsidRPr="00087A72">
        <w:rPr>
          <w:sz w:val="12"/>
        </w:rPr>
        <w:t xml:space="preserve"> Psychic defenses are intended to secure the subject from pain, and whether that pain originates inside or outside the psyche is inconsequential. Because of the threat that indigeneity presents to the phantasmatic wholeness of settler colonialism, settlers must always remain suspended in a state of arrested development between these defensive positions. Despite any pretensions to the contrary, </w:t>
      </w:r>
      <w:r w:rsidRPr="00087A72">
        <w:rPr>
          <w:rStyle w:val="StyleUnderline"/>
        </w:rPr>
        <w:t>the settler is necessarily a parochial subject who continuously coils, reacts, disavows, and lashes out, when confronted with his dependency on indigenous peoples and their territory.</w:t>
      </w:r>
      <w:r w:rsidRPr="00087A72">
        <w:rPr>
          <w:sz w:val="12"/>
        </w:rPr>
        <w:t xml:space="preserve">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w:t>
      </w:r>
      <w:r w:rsidRPr="00087A72">
        <w:rPr>
          <w:rStyle w:val="StyleUnderline"/>
        </w:rPr>
        <w:t xml:space="preserve"> </w:t>
      </w:r>
      <w:r w:rsidRPr="00087A72">
        <w:rPr>
          <w:rStyle w:val="Emphasis"/>
        </w:rPr>
        <w:t xml:space="preserve">decolonization must include an analysis of the dominant ‘self-disciplining colonial subject’. </w:t>
      </w:r>
      <w:r w:rsidRPr="00087A72">
        <w:rPr>
          <w:sz w:val="12"/>
        </w:rPr>
        <w:t xml:space="preserve">73 However, as this discussion of subjective precarity demonstrates, the degree of to which these disciplinary or phenomenological processes are complete should not be overstated. For settler-allies must also examine and cultivate the ways in which settler subjects fail to be totally disciplined. Evidence of this incompletion is apparent in the subject’s arrested state of development. </w:t>
      </w:r>
      <w:r w:rsidRPr="00087A72">
        <w:rPr>
          <w:rStyle w:val="StyleUnderline"/>
        </w:rPr>
        <w:t xml:space="preserve">Discovering the instability at the core of the settler subject, indeed of all subjects, is the central conceit of psychoanalysis. </w:t>
      </w:r>
      <w:r w:rsidRPr="00087A72">
        <w:rPr>
          <w:sz w:val="12"/>
        </w:rPr>
        <w:t xml:space="preserve">This exception of at least partial failure to fully subjectivize the settler is also what sets my account apart from Rifkin’s. His phenomenology falls into the trap that Jacqueline Rose observes within many sociological accounts of the subject: that of assuming a successful internalization of norms. From the psychoanalytical perspective, </w:t>
      </w:r>
      <w:r w:rsidRPr="00087A72">
        <w:rPr>
          <w:rStyle w:val="StyleUnderline"/>
        </w:rPr>
        <w:t>the ‘unconscious constantly reveals the “failure”’ of internalization.</w:t>
      </w:r>
      <w:r w:rsidRPr="00087A72">
        <w:rPr>
          <w:sz w:val="12"/>
        </w:rPr>
        <w:t xml:space="preserve">74 As we have seen, </w:t>
      </w:r>
      <w:r w:rsidRPr="00087A72">
        <w:rPr>
          <w:rStyle w:val="StyleUnderline"/>
        </w:rPr>
        <w:t>within settler subjects this can be expressed as an irrational anxiety that expresses itself whenever a settler is confronted with the facts regarding their colonizing status. Under conditions of total subjectification, such charges ought to be unintelligible to the settler.</w:t>
      </w:r>
      <w:r w:rsidRPr="00087A72">
        <w:rPr>
          <w:sz w:val="12"/>
        </w:rPr>
        <w:t xml:space="preserve"> Thus, </w:t>
      </w:r>
      <w:r w:rsidRPr="00087A72">
        <w:rPr>
          <w:rStyle w:val="StyleUnderline"/>
        </w:rPr>
        <w:t>the process of subject formation is always in slippage and never totalized as others might suggest.</w:t>
      </w:r>
      <w:r w:rsidRPr="00087A72">
        <w:rPr>
          <w:sz w:val="12"/>
        </w:rPr>
        <w:t xml:space="preserve">75 </w:t>
      </w:r>
      <w:r w:rsidRPr="00087A72">
        <w:rPr>
          <w:rStyle w:val="Emphasis"/>
        </w:rPr>
        <w:t>Because of this precarity, the settler subject is prone to violence and lashing out; but the subject in slippage also provides an avenue by which the process of settler colonialism can be subverted – creating cracks in a phantasmatic wholeness which can be opened wider.</w:t>
      </w:r>
      <w:r w:rsidRPr="00087A72">
        <w:rPr>
          <w:sz w:val="12"/>
        </w:rPr>
        <w:t xml:space="preserve"> Breakages of this sort offer an opportunity to pursue what Paulette Regan calls a ‘restorying’ of settler colonial history and culture, to decanter settler mythologies built upon and within the dispossession of indigenous peoples.76 </w:t>
      </w:r>
      <w:r w:rsidRPr="00087A72">
        <w:rPr>
          <w:rStyle w:val="Emphasis"/>
        </w:rPr>
        <w:t>The cultivation of these cracks is a necessary part of decolonizing work, as it continues to panic and thus to destabilize settler subjects. Resistance to settler colonialism</w:t>
      </w:r>
      <w:r w:rsidRPr="00087A72">
        <w:rPr>
          <w:sz w:val="12"/>
        </w:rPr>
        <w:t xml:space="preserve"> does not occur only in highly visible moments like the famous conflict at Kanesatake and Kahnawake,77 it also </w:t>
      </w:r>
      <w:r w:rsidRPr="00087A72">
        <w:rPr>
          <w:rStyle w:val="Emphasis"/>
        </w:rPr>
        <w:t>occurs in reiterative and disruptive practices, presences, and speech acts.</w:t>
      </w:r>
      <w:r w:rsidRPr="00087A72">
        <w:rPr>
          <w:sz w:val="12"/>
        </w:rPr>
        <w:t xml:space="preserve"> Goeman correctly observes that </w:t>
      </w:r>
      <w:r w:rsidRPr="00087A72">
        <w:rPr>
          <w:rStyle w:val="Emphasis"/>
        </w:rPr>
        <w:t>the ‘repetitive practices of everyday life’ are what give settler spaces their meaning, as they provide a degree of naturalness to the settler imago and its psychic investments.</w:t>
      </w:r>
      <w:r w:rsidRPr="00087A72">
        <w:rPr>
          <w:sz w:val="12"/>
        </w:rPr>
        <w:t xml:space="preserve">78 As such, </w:t>
      </w:r>
      <w:r w:rsidRPr="00087A72">
        <w:rPr>
          <w:rStyle w:val="StyleUnderline"/>
        </w:rPr>
        <w:t xml:space="preserve">to disrupt the ease of these repetitions is at once to striate radically the otherwise smooth spaces of settler colonialism and also to disrupt the easy (re)production of the settler subject. </w:t>
      </w:r>
      <w:r w:rsidRPr="00087A72">
        <w:rPr>
          <w:sz w:val="12"/>
        </w:rPr>
        <w:t xml:space="preserve">Goeman calls these subversive acts the ‘micro-politics of resistance’, which historically took the form of ‘moving fences, not cooperating with census enumerators, sometimes disrupting survey parties’ amongst other process.79 These acts panic the subject that is disciplined as a product of settler colonial power, by forcing encounters with the sovereign indigenous peoples that were imagined to be gone. This reveals to the settler, if only fleetingly, the violence that founds and sustains the settler colonial relationship. While such practices may not overthrow the settler colonial system, they do subvert its logics by insistently drawing attention to the ongoing presence of indigenous peoples who refuse erasure. 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Island.80 The micro-politics of the movement strengthen indigenous subjects and their spatialities, while leaving an indelible imprint in the settler psyche. Predictably, rage and resentment were provoked in some settlers;81 however, Idle No More also drew thousands of settler-allies into the streets and renewed conversations about the necessity of nation-to-nation relationships. With settler colonial spaces disrupted and a relationship of domination made impossible to ignore, in the tradition of centuries of indigenous resistance, Idle No More put the settler subject into serious flux once more. Conclusion Settler colonialism has been distinguished from colonialism proper by what Wolfe calls its ‘logic of elimination’, which requires the erasure of indigenous peoples from the colonized territory. This is accomplished through a variety of mechanisms that range from outright violence to policies of gradual elimination. Ultimately, </w:t>
      </w:r>
      <w:r w:rsidRPr="00087A72">
        <w:rPr>
          <w:rStyle w:val="StyleUnderline"/>
        </w:rPr>
        <w:t xml:space="preserve">settler colonialism is perpetuated through a double move: to erase indigenous peoples and then to disappear settlers by naturalizing the violence inherent their existence in colonized territory. </w:t>
      </w:r>
      <w:r w:rsidRPr="00087A72">
        <w:rPr>
          <w:sz w:val="12"/>
        </w:rPr>
        <w:t xml:space="preserve">This is accomplished through the production of spatialities bereft of indigeneity. Out of this spatial logic, an imago of settler society is produced that binds settlers both psychically and socially to each other and to the colonized spaces. </w:t>
      </w:r>
      <w:r w:rsidRPr="00087A72">
        <w:rPr>
          <w:rStyle w:val="StyleUnderline"/>
        </w:rPr>
        <w:t>The continual (re)production of a settler colonial imago is necessary to secure the psychic horizons of the settler subject; it is also inextricably bound up with an insatiable need to constantly renew the erasure of indigenous peoples.</w:t>
      </w:r>
      <w:r w:rsidRPr="00087A72">
        <w:rPr>
          <w:sz w:val="12"/>
        </w:rPr>
        <w:t xml:space="preserve"> Thus, in order to secure its continued survival as a subject, the settler must always strive to maintain the conditions of settler colonialism. </w:t>
      </w:r>
      <w:r w:rsidRPr="00087A72">
        <w:rPr>
          <w:rStyle w:val="Emphasis"/>
        </w:rPr>
        <w:t>Total erasure of indigeneity is the grotesque desire of the settler that must be constantly disrupted.</w:t>
      </w:r>
      <w:r w:rsidRPr="00087A72">
        <w:rPr>
          <w:sz w:val="12"/>
        </w:rPr>
        <w:t xml:space="preserve"> Where indigenous peoples have persisted as an insurgent presence in the settler imago, they are always already threatening this disruption of the settler subject at its very core. </w:t>
      </w:r>
      <w:r w:rsidRPr="00087A72">
        <w:rPr>
          <w:rStyle w:val="StyleUnderline"/>
        </w:rPr>
        <w:t>For while the affirmation of indigeneity can induce panic, and subsequently rage, in the settler, it also opens a crack within the imago – that is, within the settler subject itself – through which an ethic of decolonization can emerge.</w:t>
      </w:r>
      <w:r w:rsidRPr="00087A72">
        <w:rPr>
          <w:sz w:val="12"/>
        </w:rPr>
        <w:t xml:space="preserve"> While it seems that settler colonialism is propelled by a tightly circuitous movement of subject formation, projection, and (re)formation, the presence of indigenous peoples in ongoing and sovereign relationship with the land serves as a powerful blockage of to the smoothness of this process.</w:t>
      </w:r>
    </w:p>
    <w:p w:rsidR="009556BB" w:rsidRPr="00087A72" w:rsidRDefault="009556BB" w:rsidP="009556BB">
      <w:pPr>
        <w:pStyle w:val="Heading3"/>
      </w:pPr>
      <w:r w:rsidRPr="00087A72">
        <w:t>1NC – SP2 (Asylum)</w:t>
      </w:r>
    </w:p>
    <w:p w:rsidR="00ED0FAD" w:rsidRPr="00087A72" w:rsidRDefault="00ED0FAD" w:rsidP="00ED0FAD">
      <w:pPr>
        <w:pStyle w:val="Heading4"/>
      </w:pPr>
      <w:r w:rsidRPr="00087A72">
        <w:t>The genocide of the Native is the quilting point for the signifiers “politics” and “subjectivity” to adhere itself to meaning. However, unable to obtain perfect completion—that more perfect union—the Political becomes an accelerating cycle of death driven violence against the Native.</w:t>
      </w:r>
    </w:p>
    <w:p w:rsidR="00ED0FAD" w:rsidRPr="00087A72" w:rsidRDefault="00ED0FAD" w:rsidP="00ED0FAD">
      <w:r w:rsidRPr="00087A72">
        <w:rPr>
          <w:rStyle w:val="Style13ptBold"/>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95-100) NIJ</w:t>
      </w:r>
    </w:p>
    <w:p w:rsidR="00ED0FAD" w:rsidRPr="00087A72" w:rsidRDefault="00ED0FAD" w:rsidP="00ED0FAD">
      <w:pPr>
        <w:rPr>
          <w:sz w:val="12"/>
        </w:rPr>
      </w:pPr>
      <w:r w:rsidRPr="00087A72">
        <w:rPr>
          <w:sz w:val="12"/>
        </w:rPr>
        <w:t xml:space="preserve">Whiteness, the Child, and the Logics of Futurity Against the politicized topographies and temporalities of indigeneity and race, I now move into a consideration of the contributions of psychoanalytic theory to the questions of politics and time presented thus far. </w:t>
      </w:r>
      <w:r w:rsidRPr="00087A72">
        <w:rPr>
          <w:rStyle w:val="StyleUnderline"/>
        </w:rPr>
        <w:t>The kinds of questions psychoanalysis is interested in asking, the registers upon which it performs analysis, and its unique emphasis on temporality, language, and difference provide an excellent conceptual apparatus through which we might begin to trouble/problematize stable, taken-for-granted oppositions between psychic and social, personal and political, self and other.</w:t>
      </w:r>
      <w:r w:rsidRPr="00087A72">
        <w:rPr>
          <w:sz w:val="12"/>
        </w:rPr>
        <w:t xml:space="preserve"> Freud’s interest in time is evident in his work on the uncanny, and in his inaugural work on what we might now call trauma studies and conditions we now call post-traumatic stress disorder (PTSD). For Freud, this theory of hysteria introduces a provocative temporality in which traumatic events reoccur, flashing up in perfect replication of themselves, as though happening again and again. In his diagnosis of so-called shell-shocked soldiers returning from World War I, Freud was keenly aware that time did not always progress along an even plane. Though Freud’s analysis of trauma is captivating and critically rich, it is not within my purview here to take on the full extent of this scholarship. Instead, what is most salient to my analysis are the capacities of psychoanalytic theory to move critique outside and beyond prevailing notions of time and narratives of progress that only mean moving forward. This chapter writes from a stance that views it as imperative that scholarship reaches beyond, and thinks outside, the paradigms that invented it. </w:t>
      </w:r>
      <w:r w:rsidRPr="00087A72">
        <w:rPr>
          <w:rStyle w:val="StyleUnderline"/>
        </w:rPr>
        <w:t>Psychoanalytic theory, with its idiosyncratic temporal logics</w:t>
      </w:r>
      <w:r w:rsidRPr="00087A72">
        <w:rPr>
          <w:sz w:val="12"/>
        </w:rPr>
        <w:t>—particularly in conjunction with Foucauldian theory—</w:t>
      </w:r>
      <w:r w:rsidRPr="00087A72">
        <w:rPr>
          <w:rStyle w:val="StyleUnderline"/>
        </w:rPr>
        <w:t>offers a productive and robust way to critique the continuing primacy of normative disciplines whose chronologics have historically warranted a politics that kills in the name of life. Such an approach allows us to hold in productive tension any definition of “the political” as stable and finite, with—as in the case of liberal political philosophy—the legally constructed “person” as its primary epistemological unit. This conceptual capacity of psychoanalysis</w:t>
      </w:r>
      <w:r w:rsidRPr="00087A72">
        <w:rPr>
          <w:sz w:val="12"/>
        </w:rPr>
        <w:t xml:space="preserve">, in turn, </w:t>
      </w:r>
      <w:r w:rsidRPr="00087A72">
        <w:rPr>
          <w:rStyle w:val="StyleUnderline"/>
        </w:rPr>
        <w:t>allows us to politicize a form of life and modality of corporeal personhood hitherto constructed as what</w:t>
      </w:r>
      <w:r w:rsidRPr="00087A72">
        <w:rPr>
          <w:sz w:val="12"/>
        </w:rPr>
        <w:t xml:space="preserve">, in Bataillean parlance, </w:t>
      </w:r>
      <w:r w:rsidRPr="00087A72">
        <w:rPr>
          <w:rStyle w:val="StyleUnderline"/>
        </w:rPr>
        <w:t>we might call colonialism’s accursed share—colonialism’s pure waste.</w:t>
      </w:r>
      <w:r w:rsidRPr="00087A72">
        <w:rPr>
          <w:sz w:val="12"/>
        </w:rPr>
        <w:t xml:space="preserve"> Additionally, </w:t>
      </w:r>
      <w:r w:rsidRPr="00087A72">
        <w:rPr>
          <w:rStyle w:val="StyleUnderline"/>
        </w:rPr>
        <w:t>psychoanalytic notions of the death drive, whose proper movement is explicitly circular, allows us to begin to locate the child within logics of futurity, onto which is laminated a kind of indelible whiteness.</w:t>
      </w:r>
      <w:r w:rsidRPr="00087A72">
        <w:rPr>
          <w:sz w:val="12"/>
        </w:rPr>
        <w:t xml:space="preserve"> For the purpose of my analysis I engage Lacanian psychoanalysis, limiting myself to a consideration of the structure of the drives and to a Lacanian conceptualization of language, and its role in the formation of self and the suturing of the psyche to sociality. Freud, as Teresa De Lauretis (2008) emphasizes, elaborated the death drive between the First and Second World Wars, in a Europe living “under the shadow of death and the threat of biological and cultural genocide” (1). Situating her analysis of the death drive in the contemporary moment, De Lauretis points to this contextual, historical darkening, writing: “I wonder whether our epistemologies can sustain the impact of the real … If I return to Freud’s notion of an unconscious death drive, it is because it conveys the sense and the force of something in human reality that resists discursive articulation as well as political diplomacy, an otherness that haunts the dream of a common world” (9). Using psychoanalysis as reading practice, Freud’s suspicion that human life, both individual and social, is compromised from the beginning by something that undermines it, works against it, is (darkly?) generative. </w:t>
      </w:r>
      <w:r w:rsidRPr="00087A72">
        <w:rPr>
          <w:rStyle w:val="StyleUnderline"/>
        </w:rPr>
        <w:t>The death drive indicates a tension bordering psychic and libidinal relations, which marks Freud’s radical break with Cartesian rationality and points to a negativity that counteracts the optimistic affirmations of human perfectability. This dimension of radical negativity cannot be reduced to an expression of alienated social conditions, nor is it entirely something the body does on its own.</w:t>
      </w:r>
      <w:r w:rsidRPr="00087A72">
        <w:rPr>
          <w:sz w:val="12"/>
        </w:rPr>
        <w:t xml:space="preserve"> Theorized as the destruction drive, the antagonism drive, or sometimes, simply “the drive,” </w:t>
      </w:r>
      <w:r w:rsidRPr="00087A72">
        <w:rPr>
          <w:rStyle w:val="StyleUnderline"/>
        </w:rPr>
        <w:t>it is impossible to escape.</w:t>
      </w:r>
      <w:r w:rsidRPr="00087A72">
        <w:rPr>
          <w:sz w:val="12"/>
        </w:rPr>
        <w:t xml:space="preserve"> In psychoanalytic theory, therefore, particularly in the clinical setting, </w:t>
      </w:r>
      <w:r w:rsidRPr="00087A72">
        <w:rPr>
          <w:rStyle w:val="StyleUnderline"/>
        </w:rPr>
        <w:t>the objective is not to overcome the drive, but rather to come to terms with it, in</w:t>
      </w:r>
      <w:r w:rsidRPr="00087A72">
        <w:rPr>
          <w:sz w:val="12"/>
        </w:rPr>
        <w:t xml:space="preserve"> what Slovenian Lacanian psychoanalytic theorist Slavoj Žižek (1989) calls </w:t>
      </w:r>
      <w:r w:rsidRPr="00087A72">
        <w:rPr>
          <w:rStyle w:val="StyleUnderline"/>
        </w:rPr>
        <w:t xml:space="preserve">“its terrifying dimension” </w:t>
      </w:r>
      <w:r w:rsidRPr="00087A72">
        <w:rPr>
          <w:sz w:val="12"/>
        </w:rPr>
        <w:t xml:space="preserve">(4). </w:t>
      </w:r>
      <w:r w:rsidRPr="00087A72">
        <w:rPr>
          <w:rStyle w:val="StyleUnderline"/>
        </w:rPr>
        <w:t>It is a fundamental axiom of Lacanian psychoanalytic theory that attempts to abolish the drive antagonism are precisely the source of totalitarian temptation.</w:t>
      </w:r>
      <w:r w:rsidRPr="00087A72">
        <w:rPr>
          <w:sz w:val="12"/>
        </w:rPr>
        <w:t xml:space="preserve"> Žižek writes: </w:t>
      </w:r>
      <w:r w:rsidRPr="00087A72">
        <w:rPr>
          <w:rStyle w:val="StyleUnderline"/>
        </w:rPr>
        <w:t>“The greatest mass murders and holocausts have always been perpetrated in the name of man as harmonious being, of a New Man without antagonistic tension”</w:t>
      </w:r>
      <w:r w:rsidRPr="00087A72">
        <w:rPr>
          <w:sz w:val="12"/>
        </w:rPr>
        <w:t xml:space="preserve"> (5). </w:t>
      </w:r>
      <w:r w:rsidRPr="00087A72">
        <w:rPr>
          <w:rStyle w:val="StyleUnderline"/>
        </w:rPr>
        <w:t>So it is that</w:t>
      </w:r>
      <w:r w:rsidRPr="00087A72">
        <w:rPr>
          <w:sz w:val="12"/>
        </w:rPr>
        <w:t xml:space="preserve"> one of Canada’s greatest atrocities— </w:t>
      </w:r>
      <w:r w:rsidRPr="00087A72">
        <w:rPr>
          <w:rStyle w:val="StyleUnderline"/>
        </w:rPr>
        <w:t>the genocide of its First Peoples—took place in the name o</w:t>
      </w:r>
      <w:r w:rsidRPr="00087A72">
        <w:rPr>
          <w:sz w:val="12"/>
        </w:rPr>
        <w:t xml:space="preserve">f Canada itself, that sought </w:t>
      </w:r>
      <w:r w:rsidRPr="00087A72">
        <w:rPr>
          <w:rStyle w:val="StyleUnderline"/>
        </w:rPr>
        <w:t>progress and unification as a single body politic with claims on a shared futurity.</w:t>
      </w:r>
      <w:r w:rsidRPr="00087A72">
        <w:rPr>
          <w:sz w:val="12"/>
        </w:rPr>
        <w:t xml:space="preserve"> The fulfillment of this destiny relied upon the negation of the other, the bad race, the dangerous race, the race that stood outside the purview of the norm and had no share in its time-zone, the ones called to live in the between space—as nobody. </w:t>
      </w:r>
      <w:r w:rsidRPr="00087A72">
        <w:rPr>
          <w:rStyle w:val="StyleUnderline"/>
        </w:rPr>
        <w:t>As the relatively more benign civilization policies failed to convert Aboriginal forms of life into separate but civilized</w:t>
      </w:r>
      <w:r w:rsidRPr="00087A72">
        <w:rPr>
          <w:sz w:val="12"/>
        </w:rPr>
        <w:t xml:space="preserve">, Christian communities on reserves, </w:t>
      </w:r>
      <w:r w:rsidRPr="00087A72">
        <w:rPr>
          <w:rStyle w:val="StyleUnderline"/>
        </w:rPr>
        <w:t>the federal government intensified its tactics. Policies became more aggressive. As these more aggressive policies</w:t>
      </w:r>
      <w:r w:rsidRPr="00087A72">
        <w:rPr>
          <w:sz w:val="12"/>
        </w:rPr>
        <w:t xml:space="preserve"> (such as enfranchisement) </w:t>
      </w:r>
      <w:r w:rsidRPr="00087A72">
        <w:rPr>
          <w:rStyle w:val="StyleUnderline"/>
        </w:rPr>
        <w:t>also failed, the federal government intensified its tactics once again, escalating the stakes and the strategies towards the horizon of assimilation. This ‘doubling down’ in the face of failure is a primary trace effect of the death drive, and indeed, it is not unreasonable to argue that the federal government Indian policy has, since confederation, been death driven. Because the aim of fully eradicating the otherness of the other can only fail</w:t>
      </w:r>
      <w:r w:rsidRPr="00087A72">
        <w:rPr>
          <w:sz w:val="12"/>
        </w:rPr>
        <w:t>—in Freudian parlance, it cannot be mastered—</w:t>
      </w:r>
      <w:r w:rsidRPr="00087A72">
        <w:rPr>
          <w:rStyle w:val="StyleUnderline"/>
        </w:rPr>
        <w:t>the trajectory of the aiming turns in a circularity, orbiting around that which can never be had: perfection. Caught in death drive circularity, the aiming towards the objective</w:t>
      </w:r>
      <w:r w:rsidRPr="00087A72">
        <w:rPr>
          <w:sz w:val="12"/>
        </w:rPr>
        <w:t xml:space="preserve"> (i.e. a unified body politic) </w:t>
      </w:r>
      <w:r w:rsidRPr="00087A72">
        <w:rPr>
          <w:rStyle w:val="StyleUnderline"/>
        </w:rPr>
        <w:t>authorizes, and indeed recruits, escalating violence in the interest of—finally—closing the open.</w:t>
      </w:r>
      <w:r w:rsidRPr="00087A72">
        <w:rPr>
          <w:sz w:val="12"/>
        </w:rPr>
        <w:t xml:space="preserve"> For Žižek, </w:t>
      </w:r>
      <w:r w:rsidRPr="00087A72">
        <w:rPr>
          <w:rStyle w:val="StyleUnderline"/>
        </w:rPr>
        <w:t>this compulsive ‘doubling-down’ in the face of failure to arrive at the impossible horizon of perfection tips towards totalitarian temptation, which</w:t>
      </w:r>
      <w:r w:rsidRPr="00087A72">
        <w:rPr>
          <w:sz w:val="12"/>
        </w:rPr>
        <w:t xml:space="preserve">, he tells us, </w:t>
      </w:r>
      <w:r w:rsidRPr="00087A72">
        <w:rPr>
          <w:rStyle w:val="StyleUnderline"/>
        </w:rPr>
        <w:t>is implicated in the drive to unify a singular body politic, a new man without antagonistic tension. The drive aims for the return to a moment of unity before the intrusion of language and the entrance of the subject into what Lacan calls the Symbolic—the universe of symbols in which all human subjects share. Because this economy of signifiers operates through a modality of difference by association, on the premise that language does not reflect or carry within it universal a priori meaning, spirit, or Truth, signifiers are always and already sliding along a chain of signification that is never truly fixed.</w:t>
      </w:r>
      <w:r w:rsidRPr="00087A72">
        <w:rPr>
          <w:sz w:val="12"/>
        </w:rPr>
        <w:t xml:space="preserve"> Rather, for Lacan, </w:t>
      </w:r>
      <w:r w:rsidRPr="00087A72">
        <w:rPr>
          <w:rStyle w:val="StyleUnderline"/>
        </w:rPr>
        <w:t>meaning is constructed through quilting points, durable concepts that affix ideas to their signifiers and which, in their durability, structure entire fields of meaning.</w:t>
      </w:r>
      <w:r w:rsidRPr="00087A72">
        <w:rPr>
          <w:sz w:val="12"/>
        </w:rPr>
        <w:t xml:space="preserve"> For Lacan, </w:t>
      </w:r>
      <w:r w:rsidRPr="00087A72">
        <w:rPr>
          <w:rStyle w:val="StyleUnderline"/>
        </w:rPr>
        <w:t>subjects are formed by their entrance into this system of sliding difference from a pre-linguistic state retroactively constructed through nostalgic affective associations with unity, perfection, and completion. The loss or lack occurs in the imaginary, the order of presence and absence, and is formalized in the symbolic. This is experienced by the subject as a loss of that to which she/he can never again return, but for which she/he perpetually yearns, and toward which she/he perpetually moves. The circularity of movement toward this impossible horizon is precisely the movement of the drive.</w:t>
      </w:r>
      <w:r w:rsidRPr="00087A72">
        <w:rPr>
          <w:sz w:val="12"/>
        </w:rPr>
        <w:t xml:space="preserve"> It is my argument that the concept of </w:t>
      </w:r>
      <w:r w:rsidRPr="00087A72">
        <w:rPr>
          <w:rStyle w:val="Emphasis"/>
        </w:rPr>
        <w:t>“the Indian” is a quilting point through which the field of politics</w:t>
      </w:r>
      <w:r w:rsidRPr="00087A72">
        <w:rPr>
          <w:sz w:val="12"/>
        </w:rPr>
        <w:t xml:space="preserve"> in Canada </w:t>
      </w:r>
      <w:r w:rsidRPr="00087A72">
        <w:rPr>
          <w:rStyle w:val="Emphasis"/>
        </w:rPr>
        <w:t>is sutured into signification, a durable concept that organizes the meaning of nation, citizen, sovereignty, and subjecthood.</w:t>
      </w:r>
      <w:r w:rsidRPr="00087A72">
        <w:rPr>
          <w:sz w:val="12"/>
        </w:rPr>
        <w:t xml:space="preserve"> Further, </w:t>
      </w:r>
      <w:r w:rsidRPr="00087A72">
        <w:rPr>
          <w:rStyle w:val="StyleUnderline"/>
        </w:rPr>
        <w:t>the hypoxic vision of national unity and a harmonious white(ned) citizenry is a movement propelled by the drive, a circularity impelled by the belief that what is lacking in the present can be made good in the future—an imaginary that activates/harnesses a kind of libidinal energy that is, by its very nature, inexhaustible. It matters, in the instance of the</w:t>
      </w:r>
      <w:r w:rsidRPr="00087A72">
        <w:rPr>
          <w:sz w:val="12"/>
        </w:rPr>
        <w:t xml:space="preserve"> Canadian </w:t>
      </w:r>
      <w:r w:rsidRPr="00087A72">
        <w:rPr>
          <w:rStyle w:val="StyleUnderline"/>
        </w:rPr>
        <w:t>Indian Residential Schools</w:t>
      </w:r>
      <w:r w:rsidRPr="00087A72">
        <w:rPr>
          <w:sz w:val="12"/>
        </w:rPr>
        <w:t xml:space="preserve"> and their mandate, </w:t>
      </w:r>
      <w:r w:rsidRPr="00087A72">
        <w:rPr>
          <w:rStyle w:val="StyleUnderline"/>
        </w:rPr>
        <w:t>that before child subjects enter into the structuration of language/the Symbolic, their bodies are already marked as disprized, abject, inscribed into the signification for, and</w:t>
      </w:r>
      <w:r w:rsidRPr="00087A72">
        <w:rPr>
          <w:sz w:val="12"/>
        </w:rPr>
        <w:t xml:space="preserve">, I argue, </w:t>
      </w:r>
      <w:r w:rsidRPr="00087A72">
        <w:rPr>
          <w:rStyle w:val="StyleUnderline"/>
        </w:rPr>
        <w:t>as, loss itself.</w:t>
      </w:r>
      <w:r w:rsidRPr="00087A72">
        <w:rPr>
          <w:sz w:val="12"/>
        </w:rPr>
        <w:t xml:space="preserve"> As I have argued above, reading through psychoanalytic theory facilitates a conceptualization of subject-formation that includes the role of signification in the contouring of subject/ivities. This analytic rubric is importantly brought to bear in my analysis of “the child” the Canadian Indian Residential School System announces into presence: </w:t>
      </w:r>
      <w:r w:rsidRPr="00087A72">
        <w:rPr>
          <w:rStyle w:val="StyleUnderline"/>
        </w:rPr>
        <w:t>a child fundamentally and constitutively tied to a death whose temporal structure is always deferred, always impartial, always unfolding, and yet always still to be.</w:t>
      </w:r>
      <w:r w:rsidRPr="00087A72">
        <w:rPr>
          <w:sz w:val="12"/>
        </w:rPr>
        <w:t xml:space="preserve"> Indeed, </w:t>
      </w:r>
      <w:r w:rsidRPr="00087A72">
        <w:rPr>
          <w:rStyle w:val="StyleUnderline"/>
        </w:rPr>
        <w:t>even in circumstances in which her/his mode of being in the world is not a deliberate practice of making- spectral, “the child” remains a notoriously ambivalent, slippery signifier. This plasticity</w:t>
      </w:r>
      <w:r w:rsidRPr="00087A72">
        <w:rPr>
          <w:sz w:val="12"/>
        </w:rPr>
        <w:t>—differently stated, this over-abundant availability of “the child” as concept—</w:t>
      </w:r>
      <w:r w:rsidRPr="00087A72">
        <w:rPr>
          <w:rStyle w:val="StyleUnderline"/>
        </w:rPr>
        <w:t>takes on an interesting significance within political thought, functioning not as that which is politicized, but as the signifier in whose name the political mobilizes itself.</w:t>
      </w:r>
      <w:r w:rsidRPr="00087A72">
        <w:rPr>
          <w:sz w:val="12"/>
        </w:rPr>
        <w:t xml:space="preserve"> In this way, </w:t>
      </w:r>
      <w:r w:rsidRPr="00087A72">
        <w:rPr>
          <w:rStyle w:val="StyleUnderline"/>
        </w:rPr>
        <w:t>the child functions as the absolute outside to political thought and the logics of its temporality, functioning instead to condition its possibilities and organize, from beyond its borders, its spatial and temporal limits.</w:t>
      </w:r>
      <w:r w:rsidRPr="00087A72">
        <w:rPr>
          <w:sz w:val="12"/>
        </w:rPr>
        <w:t xml:space="preserve"> An example of this conceptualization of the child as signifier—and certainly one of the more provocative articulations of this phenomena in the contemporary neoliberal moment—is the polemic Lee develops in his monograph No Future: Queer Theory and the Death Drive. For Edelman, the Child—in its conflation with the kind of futurity toward which the teleology of (neo)liberal discourse is mobilized—is not simply important to contemporary politics, but is that which “serves to regulate political discourse [itself]” (ii). Indeed, as Edelman points out, “the figural Child alone embodies the citizen as ideal, entitled to claim full rights to its future share in the nation’s good, though always at the cost of limiting the rights ‘real’ citizens are allowed. For the social exists to preserve for this universalized subject, this fantasmatic Child, a national freedom more highly valued than the actuality of freedom itself” (ii). In Edelman’s polemic, </w:t>
      </w:r>
      <w:r w:rsidRPr="00087A72">
        <w:rPr>
          <w:rStyle w:val="Emphasis"/>
        </w:rPr>
        <w:t>it goes without saying that the figural child is a white child</w:t>
      </w:r>
      <w:r w:rsidRPr="00087A72">
        <w:rPr>
          <w:sz w:val="12"/>
        </w:rPr>
        <w:t xml:space="preserve"> and that children of colour, children of mixed heritage, </w:t>
      </w:r>
      <w:r w:rsidRPr="00087A72">
        <w:rPr>
          <w:rStyle w:val="StyleUnderline"/>
        </w:rPr>
        <w:t>Indian children</w:t>
      </w:r>
      <w:r w:rsidRPr="00087A72">
        <w:rPr>
          <w:sz w:val="12"/>
        </w:rPr>
        <w:t xml:space="preserve">—within the Ideological State Apparatus of the Indian Residential Schools—far from carrying the over-abundant significance Edelman so adeptly parses, signify on only the most spectral of registers. This child, I argue, as a kind of spectral(ized) partial subject, </w:t>
      </w:r>
      <w:r w:rsidRPr="00087A72">
        <w:rPr>
          <w:rStyle w:val="StyleUnderline"/>
        </w:rPr>
        <w:t>instantiates a subjectivity simultaneously over-exposed to the political and over-determined by the word of the law, while barely accorded even the status of bare life. This is a subject that is hailed into a circularity of misrecognition in a relationship with death that is virtually inescapable. This relationship with death is the suture that connects this subject to the social.</w:t>
      </w:r>
      <w:r w:rsidRPr="00087A72">
        <w:rPr>
          <w:sz w:val="12"/>
        </w:rPr>
        <w:t xml:space="preserve"> Edelman’s argument does not address racialized formations of self-hood, but is no less relevant to the argument I seek to develop here. Indeed, it is perhaps all the keener in what it omits—which is the child of color. This omission points to the level of signification and the way in which the whitened child is effortlessly lifted from the problematically raced body—the body whose racialized status is found problematic. This fantasy of purification through signification speaks, in ways that are eloquent and disturbing in equal measure, precisely the fantasy of the Canadian Indian Residential School System: that the body of the Indian could be left behind in a transcendent movement away from the vexatious quagmire posed by the Indian body toward the realm of what Kantian philosophy calls pure spirit, the realm of whiteness, purity, and hypoxic visions of what Edelman calls, “a national freedom more highly valued than the actuality of freedom itself” (ii). This fantasy of corporeal abandonment points to the latent desire of Western philosophical thought that seeks, through the disavowal of bodily finitude and a fetishization of the logos, access to purity of form, a fantasy that relegates, leaves trapped, the sometimes racialized, sometimes feminized other, mired in flesh and finitude from which it is allowed no escape. </w:t>
      </w:r>
      <w:r w:rsidRPr="00087A72">
        <w:rPr>
          <w:rStyle w:val="StyleUnderline"/>
        </w:rPr>
        <w:t>The Indigenous person</w:t>
      </w:r>
      <w:r w:rsidRPr="00087A72">
        <w:rPr>
          <w:sz w:val="12"/>
        </w:rPr>
        <w:t xml:space="preserve">, we remember from Hegel’s Lectures on the Philosophy of World History, </w:t>
      </w:r>
      <w:r w:rsidRPr="00087A72">
        <w:rPr>
          <w:rStyle w:val="StyleUnderline"/>
        </w:rPr>
        <w:t>is imagined as always already outside the teleology of history, already extinct. This way of understanding difference, through the rubric of historical progress, remains central to liberal and neoliberal political thought, economic practices, and policies in the current moment.</w:t>
      </w:r>
      <w:r w:rsidRPr="00087A72">
        <w:rPr>
          <w:sz w:val="12"/>
        </w:rPr>
        <w:t xml:space="preserve"> Prising the child away from the Indian, meanwhile, continues to have important implications in the way we imagine colonial forms, not only of life, but also of death.</w:t>
      </w:r>
    </w:p>
    <w:p w:rsidR="00ED0FAD" w:rsidRPr="00087A72" w:rsidRDefault="00ED0FAD" w:rsidP="00ED0FAD">
      <w:pPr>
        <w:pStyle w:val="Heading4"/>
        <w:rPr>
          <w:rFonts w:cstheme="majorHAnsi"/>
        </w:rPr>
      </w:pPr>
      <w:r w:rsidRPr="00087A72">
        <w:rPr>
          <w:rFonts w:cstheme="majorHAnsi"/>
        </w:rPr>
        <w:t>Marking asylum seekers as hard-working, deserving immigrants fuels narratives of settler multiculturalism</w:t>
      </w:r>
    </w:p>
    <w:p w:rsidR="00ED0FAD" w:rsidRPr="00087A72" w:rsidRDefault="00ED0FAD" w:rsidP="00ED0FAD">
      <w:pPr>
        <w:rPr>
          <w:rFonts w:cstheme="majorHAnsi"/>
        </w:rPr>
      </w:pPr>
      <w:r w:rsidRPr="00087A72">
        <w:rPr>
          <w:rStyle w:val="Style13ptBold"/>
          <w:rFonts w:cstheme="majorHAnsi"/>
        </w:rPr>
        <w:t>Dauvergne 16</w:t>
      </w:r>
      <w:r w:rsidRPr="00087A72">
        <w:rPr>
          <w:rFonts w:cstheme="majorHAnsi"/>
        </w:rPr>
        <w:t xml:space="preserve"> (Catherine, She is the eighth dean of the Peter A. Allard School of Law. Professor Dauvergne has been working in the area of refugee, immigration, and citizenship law over the past quarter of a century, “Immigration and the End of Settler Societies”,</w:t>
      </w:r>
      <w:r w:rsidRPr="00087A72">
        <w:rPr>
          <w:rFonts w:cstheme="majorHAnsi"/>
          <w:i/>
        </w:rPr>
        <w:t xml:space="preserve"> Cambridge University Press</w:t>
      </w:r>
      <w:r w:rsidRPr="00087A72">
        <w:rPr>
          <w:rFonts w:cstheme="majorHAnsi"/>
        </w:rPr>
        <w:t>, pp. 13-16)//vikas</w:t>
      </w:r>
    </w:p>
    <w:p w:rsidR="00ED0FAD" w:rsidRPr="00087A72" w:rsidRDefault="00ED0FAD" w:rsidP="00ED0FAD">
      <w:pPr>
        <w:rPr>
          <w:rFonts w:cstheme="majorHAnsi"/>
          <w:sz w:val="16"/>
        </w:rPr>
      </w:pPr>
      <w:r w:rsidRPr="00087A72">
        <w:rPr>
          <w:rFonts w:cstheme="majorHAnsi"/>
          <w:sz w:val="16"/>
        </w:rPr>
        <w:t xml:space="preserve">The settler society commitment to immigrant identity is most succinctly expressed in the hyphenation of citizens: </w:t>
      </w:r>
      <w:r w:rsidRPr="00087A72">
        <w:rPr>
          <w:rFonts w:cstheme="majorHAnsi"/>
          <w:b/>
          <w:u w:val="single"/>
        </w:rPr>
        <w:t>Italian-Americans, Chinese- Canadians, Greek-Australians, and so on</w:t>
      </w:r>
      <w:r w:rsidRPr="00087A72">
        <w:rPr>
          <w:rFonts w:cstheme="majorHAnsi"/>
          <w:sz w:val="16"/>
        </w:rPr>
        <w:t xml:space="preserve">. These monikers pair the Old World with the New; an identity </w:t>
      </w:r>
      <w:r w:rsidRPr="00087A72">
        <w:rPr>
          <w:rFonts w:cstheme="majorHAnsi"/>
          <w:b/>
          <w:u w:val="single"/>
        </w:rPr>
        <w:t>embedded in national history and an idea of ethnicity</w:t>
      </w:r>
      <w:r w:rsidRPr="00087A72">
        <w:rPr>
          <w:rFonts w:cstheme="majorHAnsi"/>
          <w:sz w:val="16"/>
        </w:rPr>
        <w:t xml:space="preserve"> (or an aspiration to national history, such as Kurdish-Australian or Palestinian-Canadian), </w:t>
      </w:r>
      <w:r w:rsidRPr="00087A72">
        <w:rPr>
          <w:rFonts w:cstheme="majorHAnsi"/>
          <w:b/>
          <w:u w:val="single"/>
        </w:rPr>
        <w:t>with a New World citizenship that defies ethnic understanding.</w:t>
      </w:r>
      <w:r w:rsidRPr="00087A72">
        <w:rPr>
          <w:rFonts w:cstheme="majorHAnsi"/>
          <w:sz w:val="16"/>
        </w:rPr>
        <w:t xml:space="preserve"> When I tell people that I identify myself on the Australian census as ethnically Canadian, they think I am joking, as they do when I refer to Canada as the Old Country. </w:t>
      </w:r>
      <w:r w:rsidRPr="00087A72">
        <w:rPr>
          <w:rStyle w:val="Emphasis"/>
          <w:rFonts w:cstheme="majorHAnsi"/>
        </w:rPr>
        <w:t>Settler society membership is expressed</w:t>
      </w:r>
      <w:r w:rsidRPr="00087A72">
        <w:rPr>
          <w:rFonts w:cstheme="majorHAnsi"/>
          <w:sz w:val="16"/>
        </w:rPr>
        <w:t xml:space="preserve"> this way, </w:t>
      </w:r>
      <w:r w:rsidRPr="00087A72">
        <w:rPr>
          <w:rStyle w:val="Emphasis"/>
          <w:rFonts w:cstheme="majorHAnsi"/>
        </w:rPr>
        <w:t>as being often partial and never “ethnic.”</w:t>
      </w:r>
      <w:r w:rsidRPr="00087A72">
        <w:rPr>
          <w:rFonts w:cstheme="majorHAnsi"/>
          <w:sz w:val="16"/>
        </w:rPr>
        <w:t xml:space="preserve"> Even those of us who might be non-hyphenated </w:t>
      </w:r>
      <w:r w:rsidRPr="00087A72">
        <w:rPr>
          <w:rFonts w:cstheme="majorHAnsi"/>
          <w:b/>
          <w:u w:val="single"/>
        </w:rPr>
        <w:t>citizens in everyday parlance in former settler states, are offered</w:t>
      </w:r>
      <w:r w:rsidRPr="00087A72">
        <w:rPr>
          <w:rFonts w:cstheme="majorHAnsi"/>
          <w:sz w:val="16"/>
        </w:rPr>
        <w:t xml:space="preserve"> at census time </w:t>
      </w:r>
      <w:r w:rsidRPr="00087A72">
        <w:rPr>
          <w:rFonts w:cstheme="majorHAnsi"/>
          <w:b/>
          <w:u w:val="single"/>
        </w:rPr>
        <w:t xml:space="preserve">the opportunity </w:t>
      </w:r>
      <w:r w:rsidRPr="00087A72">
        <w:rPr>
          <w:rStyle w:val="Emphasis"/>
          <w:rFonts w:cstheme="majorHAnsi"/>
        </w:rPr>
        <w:t>to identify ourselves as “coming from” somewhere else, having an ethnicity different from our citizenship.</w:t>
      </w:r>
      <w:r w:rsidRPr="00087A72">
        <w:rPr>
          <w:rFonts w:cstheme="majorHAnsi"/>
          <w:b/>
          <w:u w:val="single"/>
        </w:rPr>
        <w:t xml:space="preserve">7 This </w:t>
      </w:r>
      <w:r w:rsidRPr="00087A72">
        <w:rPr>
          <w:rStyle w:val="Emphasis"/>
          <w:rFonts w:cstheme="majorHAnsi"/>
        </w:rPr>
        <w:t>is the commitment</w:t>
      </w:r>
      <w:r w:rsidRPr="00087A72">
        <w:rPr>
          <w:rFonts w:cstheme="majorHAnsi"/>
          <w:sz w:val="16"/>
        </w:rPr>
        <w:t xml:space="preserve"> of the settler society: </w:t>
      </w:r>
      <w:r w:rsidRPr="00087A72">
        <w:rPr>
          <w:rStyle w:val="Emphasis"/>
          <w:rFonts w:cstheme="majorHAnsi"/>
        </w:rPr>
        <w:t>we are all immigrants.</w:t>
      </w:r>
      <w:r w:rsidRPr="00087A72">
        <w:rPr>
          <w:rFonts w:cstheme="majorHAnsi"/>
          <w:sz w:val="16"/>
        </w:rPr>
        <w:t xml:space="preserve"> This is reinforced by </w:t>
      </w:r>
      <w:r w:rsidRPr="00087A72">
        <w:rPr>
          <w:rFonts w:cstheme="majorHAnsi"/>
          <w:b/>
          <w:u w:val="single"/>
        </w:rPr>
        <w:t>the perpetual “hyphenation” of indigenous members</w:t>
      </w:r>
      <w:r w:rsidRPr="00087A72">
        <w:rPr>
          <w:rFonts w:cstheme="majorHAnsi"/>
          <w:sz w:val="16"/>
        </w:rPr>
        <w:t xml:space="preserve">. Indigenous peoples in settler societies are </w:t>
      </w:r>
      <w:r w:rsidRPr="00087A72">
        <w:rPr>
          <w:rFonts w:cstheme="majorHAnsi"/>
          <w:b/>
          <w:u w:val="single"/>
        </w:rPr>
        <w:t>never signified by the mere omission of an adjectival modifier. The simple words</w:t>
      </w:r>
      <w:r w:rsidRPr="00087A72">
        <w:rPr>
          <w:rFonts w:cstheme="majorHAnsi"/>
          <w:sz w:val="16"/>
        </w:rPr>
        <w:t xml:space="preserve"> Canadian or </w:t>
      </w:r>
      <w:r w:rsidRPr="00087A72">
        <w:rPr>
          <w:rFonts w:cstheme="majorHAnsi"/>
          <w:b/>
          <w:u w:val="single"/>
        </w:rPr>
        <w:t>American</w:t>
      </w:r>
      <w:r w:rsidRPr="00087A72">
        <w:rPr>
          <w:rFonts w:cstheme="majorHAnsi"/>
          <w:sz w:val="16"/>
        </w:rPr>
        <w:t xml:space="preserve"> postdate and </w:t>
      </w:r>
      <w:r w:rsidRPr="00087A72">
        <w:rPr>
          <w:rFonts w:cstheme="majorHAnsi"/>
          <w:b/>
          <w:u w:val="single"/>
        </w:rPr>
        <w:t>erase indigeneity so completely that it must be re-signified in some other fashion with labels that vary over time and place</w:t>
      </w:r>
      <w:r w:rsidRPr="00087A72">
        <w:rPr>
          <w:rFonts w:cstheme="majorHAnsi"/>
          <w:sz w:val="16"/>
        </w:rPr>
        <w:t xml:space="preserve"> – </w:t>
      </w:r>
      <w:r w:rsidRPr="00087A72">
        <w:rPr>
          <w:rFonts w:cstheme="majorHAnsi"/>
          <w:b/>
          <w:u w:val="single"/>
        </w:rPr>
        <w:t xml:space="preserve">Indian, First Nations, Aborigine, Maori. </w:t>
      </w:r>
      <w:r w:rsidRPr="00087A72">
        <w:rPr>
          <w:rFonts w:cstheme="majorHAnsi"/>
          <w:sz w:val="16"/>
        </w:rPr>
        <w:t xml:space="preserve">For several years, when he was the Australian Minister of Immigration at the close of the twentieth century, Phillip Ruddock had a go at extending the “we are all immigrants” mantra to include the Australian Aborigines who had “migrated” to contemporary Australia some 50,000 years earlier during the last ice age when the sea crossing to Asia was con- siderably smaller. This conceit aimed to confront the emerging cracks in the settler society ethos brought about by the strengthening land rights claims of indigenous peoples in all settler societies at that time. But it was transparent political posturing. </w:t>
      </w:r>
      <w:r w:rsidRPr="00087A72">
        <w:rPr>
          <w:rFonts w:cstheme="majorHAnsi"/>
          <w:b/>
          <w:u w:val="single"/>
        </w:rPr>
        <w:t>The effects of the first wave of British colonists on the Aboriginal population</w:t>
      </w:r>
      <w:r w:rsidRPr="00087A72">
        <w:rPr>
          <w:rFonts w:cstheme="majorHAnsi"/>
          <w:sz w:val="16"/>
        </w:rPr>
        <w:t xml:space="preserve"> of the Australian continent </w:t>
      </w:r>
      <w:r w:rsidRPr="00087A72">
        <w:rPr>
          <w:rFonts w:cstheme="majorHAnsi"/>
          <w:b/>
          <w:u w:val="single"/>
        </w:rPr>
        <w:t>are simply not comparable to the effect of subsequent waves of Europeans on the society established by those first settlers. To draw the comparison is beyond insult. We are not all immigrants, but</w:t>
      </w:r>
      <w:r w:rsidRPr="00087A72">
        <w:rPr>
          <w:rFonts w:cstheme="majorHAnsi"/>
          <w:sz w:val="16"/>
        </w:rPr>
        <w:t xml:space="preserve"> the </w:t>
      </w:r>
      <w:r w:rsidRPr="00087A72">
        <w:rPr>
          <w:rFonts w:cstheme="majorHAnsi"/>
          <w:b/>
          <w:u w:val="single"/>
        </w:rPr>
        <w:t>mythology of settler society eases our ignorance of this.</w:t>
      </w:r>
      <w:r w:rsidRPr="00087A72">
        <w:rPr>
          <w:rFonts w:cstheme="majorHAnsi"/>
          <w:sz w:val="16"/>
        </w:rPr>
        <w:t xml:space="preserve"> For many years, settler societies were contrasted with ethnic nations. In this analysis, settler societies were not true nations because they did not share a core of ethnic and historical identity. This analysis traveled particularly well in Canada where the “two nations” thesis was articulated to explain the roles of French and English settlers in Canadian history and politics, and where political heft was accorded to indigenous peoples by re-naming them as “First Nations.”8 </w:t>
      </w:r>
      <w:r w:rsidRPr="00087A72">
        <w:rPr>
          <w:rFonts w:cstheme="majorHAnsi"/>
          <w:b/>
          <w:u w:val="single"/>
        </w:rPr>
        <w:t>Under this analysis</w:t>
      </w:r>
      <w:r w:rsidRPr="00087A72">
        <w:rPr>
          <w:rFonts w:cstheme="majorHAnsi"/>
          <w:sz w:val="16"/>
        </w:rPr>
        <w:t xml:space="preserve">, of course, </w:t>
      </w:r>
      <w:r w:rsidRPr="00087A72">
        <w:rPr>
          <w:rFonts w:cstheme="majorHAnsi"/>
          <w:b/>
          <w:u w:val="single"/>
        </w:rPr>
        <w:t>a settler society cannot</w:t>
      </w:r>
      <w:r w:rsidRPr="00087A72">
        <w:rPr>
          <w:rFonts w:cstheme="majorHAnsi"/>
          <w:sz w:val="16"/>
        </w:rPr>
        <w:t xml:space="preserve">, by definition, </w:t>
      </w:r>
      <w:r w:rsidRPr="00087A72">
        <w:rPr>
          <w:rFonts w:cstheme="majorHAnsi"/>
          <w:b/>
          <w:u w:val="single"/>
        </w:rPr>
        <w:t>be a nation</w:t>
      </w:r>
      <w:r w:rsidRPr="00087A72">
        <w:rPr>
          <w:rFonts w:cstheme="majorHAnsi"/>
          <w:sz w:val="16"/>
        </w:rPr>
        <w:t xml:space="preserve">. And </w:t>
      </w:r>
      <w:r w:rsidRPr="00087A72">
        <w:rPr>
          <w:rFonts w:cstheme="majorHAnsi"/>
          <w:b/>
          <w:u w:val="single"/>
        </w:rPr>
        <w:t>much has been made of the search for national identity in settler societies</w:t>
      </w:r>
      <w:r w:rsidRPr="00087A72">
        <w:rPr>
          <w:rFonts w:cstheme="majorHAnsi"/>
          <w:sz w:val="16"/>
        </w:rPr>
        <w:t xml:space="preserve">. But </w:t>
      </w:r>
      <w:r w:rsidRPr="00087A72">
        <w:rPr>
          <w:rFonts w:cstheme="majorHAnsi"/>
          <w:b/>
          <w:u w:val="single"/>
        </w:rPr>
        <w:t>this trend</w:t>
      </w:r>
      <w:r w:rsidRPr="00087A72">
        <w:rPr>
          <w:rFonts w:cstheme="majorHAnsi"/>
          <w:sz w:val="16"/>
        </w:rPr>
        <w:t xml:space="preserve"> in scholarship </w:t>
      </w:r>
      <w:r w:rsidRPr="00087A72">
        <w:rPr>
          <w:rFonts w:cstheme="majorHAnsi"/>
          <w:b/>
          <w:u w:val="single"/>
        </w:rPr>
        <w:t>and everyday political discourse has dissipated.</w:t>
      </w:r>
      <w:r w:rsidRPr="00087A72">
        <w:rPr>
          <w:rFonts w:cstheme="majorHAnsi"/>
          <w:sz w:val="16"/>
        </w:rPr>
        <w:t xml:space="preserve"> Benedict Anderson’s 1983 seminal work Imagined Communities, arguing that all nations are both constructed and imagined and thus not ethnic and organic, is an important marker in this regard for scholars. It is certainly not a coincidence that Anderson drew the primary evidence for his argument from the “settler societies” of South America, demonstrating that the emergence of nationalism (and thus “nations”) was tied to institutional structures and practices, rather than heredity. Anderson focused on Spanish America without using the term settler society, and this choice shows again that the settler society rubric is important to the extent that it is useful, but that no scholarly category can or ought ever to be more than that. However influential Anderson’s work has been, it cannot be the sole explanation for a shift in popular and political discourse over the past quarter century toward thinking more easily of Canada, Australia, and New Zealand as “nations.” Furthermore, </w:t>
      </w:r>
      <w:r w:rsidRPr="00087A72">
        <w:rPr>
          <w:rFonts w:cstheme="majorHAnsi"/>
          <w:b/>
          <w:u w:val="single"/>
        </w:rPr>
        <w:t>it would be unimaginable to suggest that the United States ever lacked a strong claim to the full cluster of related attributes: nationhood, national identity, and nationalism.</w:t>
      </w:r>
      <w:r w:rsidRPr="00087A72">
        <w:rPr>
          <w:rFonts w:cstheme="majorHAnsi"/>
          <w:sz w:val="16"/>
        </w:rPr>
        <w:t xml:space="preserve"> This is one reason that the United States is sometimes set outside the conversation about settler states: it has lacked this sense of national angst. But in many vital ways, </w:t>
      </w:r>
      <w:r w:rsidRPr="00087A72">
        <w:rPr>
          <w:rFonts w:cstheme="majorHAnsi"/>
          <w:b/>
          <w:u w:val="single"/>
        </w:rPr>
        <w:t>the United States is a more complete settler state than any of the others.</w:t>
      </w:r>
      <w:r w:rsidRPr="00087A72">
        <w:rPr>
          <w:rFonts w:cstheme="majorHAnsi"/>
          <w:sz w:val="16"/>
        </w:rPr>
        <w:t xml:space="preserve"> The path marked by the United States in emerging as “nation” is now being followed by Canada, Australia, and New Zealand. </w:t>
      </w:r>
      <w:r w:rsidRPr="00087A72">
        <w:rPr>
          <w:rStyle w:val="Emphasis"/>
          <w:rFonts w:cstheme="majorHAnsi"/>
        </w:rPr>
        <w:t>Immigrant identity and hyphenated memberships</w:t>
      </w:r>
      <w:r w:rsidRPr="00087A72">
        <w:rPr>
          <w:rFonts w:cstheme="majorHAnsi"/>
          <w:sz w:val="16"/>
        </w:rPr>
        <w:t xml:space="preserve"> no longer have traction in suggesting that these settler societies are not properly considered nations. This </w:t>
      </w:r>
      <w:r w:rsidRPr="00087A72">
        <w:rPr>
          <w:rStyle w:val="Emphasis"/>
          <w:rFonts w:cstheme="majorHAnsi"/>
        </w:rPr>
        <w:t>can be seen</w:t>
      </w:r>
      <w:r w:rsidRPr="00087A72">
        <w:rPr>
          <w:rFonts w:cstheme="majorHAnsi"/>
          <w:sz w:val="16"/>
        </w:rPr>
        <w:t xml:space="preserve">, partially, </w:t>
      </w:r>
      <w:r w:rsidRPr="00087A72">
        <w:rPr>
          <w:rStyle w:val="Emphasis"/>
          <w:rFonts w:cstheme="majorHAnsi"/>
        </w:rPr>
        <w:t>as</w:t>
      </w:r>
      <w:r w:rsidRPr="00087A72">
        <w:rPr>
          <w:rFonts w:cstheme="majorHAnsi"/>
          <w:sz w:val="16"/>
        </w:rPr>
        <w:t xml:space="preserve"> an ascendency of formalism, but it is also more than that. A </w:t>
      </w:r>
      <w:r w:rsidRPr="00087A72">
        <w:rPr>
          <w:rStyle w:val="Emphasis"/>
          <w:rFonts w:cstheme="majorHAnsi"/>
        </w:rPr>
        <w:t>shift</w:t>
      </w:r>
      <w:r w:rsidRPr="00087A72">
        <w:rPr>
          <w:rFonts w:cstheme="majorHAnsi"/>
          <w:b/>
          <w:u w:val="single"/>
        </w:rPr>
        <w:t xml:space="preserve"> away </w:t>
      </w:r>
      <w:r w:rsidRPr="00087A72">
        <w:rPr>
          <w:rStyle w:val="Emphasis"/>
          <w:rFonts w:cstheme="majorHAnsi"/>
        </w:rPr>
        <w:t>from uncertainty</w:t>
      </w:r>
      <w:r w:rsidRPr="00087A72">
        <w:rPr>
          <w:rFonts w:cstheme="majorHAnsi"/>
          <w:sz w:val="16"/>
        </w:rPr>
        <w:t xml:space="preserve"> is </w:t>
      </w:r>
      <w:r w:rsidRPr="00087A72">
        <w:rPr>
          <w:rFonts w:cstheme="majorHAnsi"/>
          <w:b/>
          <w:u w:val="single"/>
        </w:rPr>
        <w:t>linked with</w:t>
      </w:r>
      <w:r w:rsidRPr="00087A72">
        <w:rPr>
          <w:rFonts w:cstheme="majorHAnsi"/>
          <w:sz w:val="16"/>
        </w:rPr>
        <w:t xml:space="preserve"> the </w:t>
      </w:r>
      <w:r w:rsidRPr="00087A72">
        <w:rPr>
          <w:rFonts w:cstheme="majorHAnsi"/>
          <w:b/>
          <w:u w:val="single"/>
        </w:rPr>
        <w:t xml:space="preserve">move away from settler society status as </w:t>
      </w:r>
      <w:r w:rsidRPr="00087A72">
        <w:rPr>
          <w:rStyle w:val="Emphasis"/>
          <w:rFonts w:cstheme="majorHAnsi"/>
        </w:rPr>
        <w:t>an organizing category for immigration policy and politics.</w:t>
      </w:r>
      <w:r w:rsidRPr="00087A72">
        <w:rPr>
          <w:rFonts w:cstheme="majorHAnsi"/>
          <w:b/>
          <w:u w:val="single"/>
        </w:rPr>
        <w:t xml:space="preserve"> Immigrant identity</w:t>
      </w:r>
      <w:r w:rsidRPr="00087A72">
        <w:rPr>
          <w:rFonts w:cstheme="majorHAnsi"/>
          <w:sz w:val="16"/>
        </w:rPr>
        <w:t xml:space="preserve"> is key to understanding settler societies, but it </w:t>
      </w:r>
      <w:r w:rsidRPr="00087A72">
        <w:rPr>
          <w:rFonts w:cstheme="majorHAnsi"/>
          <w:b/>
          <w:u w:val="single"/>
        </w:rPr>
        <w:t>is only the first ingredient.</w:t>
      </w:r>
      <w:r w:rsidRPr="00087A72">
        <w:rPr>
          <w:rFonts w:cstheme="majorHAnsi"/>
          <w:sz w:val="16"/>
        </w:rPr>
        <w:t xml:space="preserve"> The contours of this identity are comparable at a finer level of detail as well. The first Europeans to come to these New World lands with an intent to remain (rather than discover and return) can be seen as successive waves of people for whom Europe was or had become an uncomfortable home. Major waves of migration, whether English, French, German, Italian, or other-speaking, included religious minorities and those who could not get enough to eat, or certainly not enough to get ahead. The sense of being a vast empty space in which Europe’s “others” could find a new home was nowhere more evident than in Australia. There, convicts transported beyond the edge of the earth did the backbreaking labour of carving European-style settlement into sandstone cliffs, and were rewarded through this ritual purification with a place amongst the landed gentry of the New World. The surveyors’ markers for these paradigmatic settler societies were in place before migration regulation brought a sense of closure to the New World.9 The early migrants arrived at a time when these societies were a place of promise for “huddled masses yearning to breathe free.”10 In this sense, settler societies were a place of refuge. But the story of openness and refuge introduces the darker notes of the narrative as well. Settler societies have been predominantly white. The early European arrivals were from Northern Europe, and with the exception of what is now the Canadian province of Quebec, the early colonies of the paradigmatic settler states were British. Whiteness and the settler society paradigm go hand-in-hand, and many of those nations that fit less directly into the framework, Brazil, South Africa, or Mexico, for example, are decidedly less white. While Spanish America fits the definition of a settler society in most ways, its states rarely jump to mind as the first exemplars. The story of how immigration hierarchy quickly became racialized hierarchy is well known. The Irish, who were the once the poor outsiders in the United States’ immigration hierarchy, paled with the arrival of Greeks and Italians from Southern Europe. The first immigration restrictions in many settler societies were directed against East and South Asians. Each of the four paradigmatic nations has experienced significant social, political, and economic racialized divides. Each has been home to an ongoing conversation about the significance of race to immigration policy, a troubling undercurrent that persists well past the historic turn toward formal racial neutrality in the 1960s and 1970s. The narratives of settler societies have been shot through with racialization and exclusion for as long as there have been meaningful borders. Indeed these narratives are key to making borders meaningful. The question of refuge is similarly fraught. </w:t>
      </w:r>
      <w:r w:rsidRPr="00087A72">
        <w:rPr>
          <w:rFonts w:cstheme="majorHAnsi"/>
          <w:b/>
          <w:u w:val="single"/>
        </w:rPr>
        <w:t>The story of immigration as a nation-building project is intertwined with the idea of providing a safe haven for people in flight.</w:t>
      </w:r>
      <w:r w:rsidRPr="00087A72">
        <w:rPr>
          <w:rFonts w:cstheme="majorHAnsi"/>
          <w:sz w:val="16"/>
        </w:rPr>
        <w:t xml:space="preserve"> In the first great wave of global migration beginning late in the nineteenth century, it was impossible and unnecessary to distinguish newcomers on the basis of their motive for flight. Migration to the New World was open to those who wanted to move, whether starving, persecuted, or adventuresome, or even all three. </w:t>
      </w:r>
      <w:r w:rsidRPr="00087A72">
        <w:rPr>
          <w:rFonts w:cstheme="majorHAnsi"/>
          <w:b/>
          <w:u w:val="single"/>
        </w:rPr>
        <w:t>Since that time</w:t>
      </w:r>
      <w:r w:rsidRPr="00087A72">
        <w:rPr>
          <w:rFonts w:cstheme="majorHAnsi"/>
          <w:sz w:val="16"/>
        </w:rPr>
        <w:t xml:space="preserve">, however, </w:t>
      </w:r>
      <w:r w:rsidRPr="00087A72">
        <w:rPr>
          <w:rFonts w:cstheme="majorHAnsi"/>
          <w:b/>
          <w:u w:val="single"/>
        </w:rPr>
        <w:t>the relationship between settler states and those seeking the shelter of a new home has been marked by</w:t>
      </w:r>
      <w:r w:rsidRPr="00087A72">
        <w:rPr>
          <w:rFonts w:cstheme="majorHAnsi"/>
          <w:sz w:val="16"/>
        </w:rPr>
        <w:t xml:space="preserve"> the same </w:t>
      </w:r>
      <w:r w:rsidRPr="00087A72">
        <w:rPr>
          <w:rFonts w:cstheme="majorHAnsi"/>
          <w:b/>
          <w:u w:val="single"/>
        </w:rPr>
        <w:t>exclusionary tensions seen in regard to all types of immigration.</w:t>
      </w:r>
      <w:r w:rsidRPr="00087A72">
        <w:rPr>
          <w:rFonts w:cstheme="majorHAnsi"/>
          <w:sz w:val="16"/>
        </w:rPr>
        <w:t xml:space="preserve"> That is, </w:t>
      </w:r>
      <w:r w:rsidRPr="00087A72">
        <w:rPr>
          <w:rFonts w:cstheme="majorHAnsi"/>
          <w:b/>
          <w:u w:val="single"/>
        </w:rPr>
        <w:t>while the United States</w:t>
      </w:r>
      <w:r w:rsidRPr="00087A72">
        <w:rPr>
          <w:rFonts w:cstheme="majorHAnsi"/>
          <w:sz w:val="16"/>
        </w:rPr>
        <w:t xml:space="preserve">, Canada, Australia, and, again to a lesser extent, New Zealand, have </w:t>
      </w:r>
      <w:r w:rsidRPr="00087A72">
        <w:rPr>
          <w:rFonts w:cstheme="majorHAnsi"/>
          <w:b/>
          <w:u w:val="single"/>
        </w:rPr>
        <w:t>welcomed high numbers of refugees in (some) globally comparative terms, they have excluded even more.</w:t>
      </w:r>
      <w:r w:rsidRPr="00087A72">
        <w:rPr>
          <w:rFonts w:cstheme="majorHAnsi"/>
          <w:sz w:val="16"/>
        </w:rPr>
        <w:t xml:space="preserve"> Canada and the United States, to their enduring shame, both turned away Jews fleeing the Nazi regime in the late 1930s. While these settler societies have been leaders in resettling refugees ever since World War II, it remains the case that only a tiny fraction, less than 1 percent, of refugees worldwide are resettled each year at the outset of the twenty-first century.11 For most of the past century, </w:t>
      </w:r>
      <w:r w:rsidRPr="00087A72">
        <w:rPr>
          <w:rFonts w:cstheme="majorHAnsi"/>
          <w:b/>
          <w:u w:val="single"/>
        </w:rPr>
        <w:t>refugee admissions have been viewed by these states as an immigration question, despite a carefully constructed international legal framework emphasizing</w:t>
      </w:r>
      <w:r w:rsidRPr="00087A72">
        <w:rPr>
          <w:rFonts w:cstheme="majorHAnsi"/>
          <w:sz w:val="16"/>
        </w:rPr>
        <w:t xml:space="preserve"> that </w:t>
      </w:r>
      <w:r w:rsidRPr="00087A72">
        <w:rPr>
          <w:rFonts w:cstheme="majorHAnsi"/>
          <w:b/>
          <w:u w:val="single"/>
        </w:rPr>
        <w:t>refugees are not immigrants.</w:t>
      </w:r>
      <w:r w:rsidRPr="00087A72">
        <w:rPr>
          <w:rFonts w:cstheme="majorHAnsi"/>
          <w:sz w:val="16"/>
        </w:rPr>
        <w:t xml:space="preserve"> Here </w:t>
      </w:r>
      <w:r w:rsidRPr="00087A72">
        <w:rPr>
          <w:rStyle w:val="Emphasis"/>
          <w:rFonts w:cstheme="majorHAnsi"/>
        </w:rPr>
        <w:t>the mythology of immigration is stronger than the law: refugees are immigrants because they come and they stay.</w:t>
      </w:r>
      <w:r w:rsidRPr="00087A72">
        <w:rPr>
          <w:rFonts w:cstheme="majorHAnsi"/>
        </w:rPr>
        <w:t xml:space="preserve"> </w:t>
      </w:r>
      <w:r w:rsidRPr="00087A72">
        <w:rPr>
          <w:rFonts w:cstheme="majorHAnsi"/>
          <w:sz w:val="16"/>
        </w:rPr>
        <w:t xml:space="preserve">Our expectations of them are, in the end, no different than those of other newcomers. </w:t>
      </w:r>
      <w:r w:rsidRPr="00087A72">
        <w:rPr>
          <w:rFonts w:cstheme="majorHAnsi"/>
          <w:b/>
          <w:u w:val="single"/>
        </w:rPr>
        <w:t xml:space="preserve">We align them to the nation-building enterprise, expecting them to settle, to make new lives, to become us, all the while providing a testimony by </w:t>
      </w:r>
      <w:r w:rsidRPr="00087A72">
        <w:rPr>
          <w:rFonts w:cstheme="majorHAnsi"/>
          <w:sz w:val="16"/>
        </w:rPr>
        <w:t xml:space="preserve">their </w:t>
      </w:r>
      <w:r w:rsidRPr="00087A72">
        <w:rPr>
          <w:rFonts w:cstheme="majorHAnsi"/>
          <w:b/>
          <w:u w:val="single"/>
        </w:rPr>
        <w:t>mere presence to our enduring generosity and goodness. The quiet backdrop of exclusion</w:t>
      </w:r>
      <w:r w:rsidRPr="00087A72">
        <w:rPr>
          <w:rFonts w:cstheme="majorHAnsi"/>
          <w:sz w:val="16"/>
        </w:rPr>
        <w:t xml:space="preserve"> subtly </w:t>
      </w:r>
      <w:r w:rsidRPr="00087A72">
        <w:rPr>
          <w:rFonts w:cstheme="majorHAnsi"/>
          <w:b/>
          <w:u w:val="single"/>
        </w:rPr>
        <w:t>serves to strengthen the mythology of immigrant identity in the settler society. Exclusion is one more barrier to overcome.</w:t>
      </w:r>
      <w:r w:rsidRPr="00087A72">
        <w:rPr>
          <w:rFonts w:cstheme="majorHAnsi"/>
          <w:sz w:val="16"/>
        </w:rPr>
        <w:t xml:space="preserve"> The </w:t>
      </w:r>
      <w:r w:rsidRPr="00087A72">
        <w:rPr>
          <w:rFonts w:cstheme="majorHAnsi"/>
          <w:b/>
          <w:u w:val="single"/>
        </w:rPr>
        <w:t>paradigmatic immigrant</w:t>
      </w:r>
      <w:r w:rsidRPr="00087A72">
        <w:rPr>
          <w:rFonts w:cstheme="majorHAnsi"/>
          <w:sz w:val="16"/>
        </w:rPr>
        <w:t xml:space="preserve">, whether starving, persecuted, or adventuresome, </w:t>
      </w:r>
      <w:r w:rsidRPr="00087A72">
        <w:rPr>
          <w:rFonts w:cstheme="majorHAnsi"/>
          <w:b/>
          <w:u w:val="single"/>
        </w:rPr>
        <w:t>fits the society’s story. Immigrants strive for a better life</w:t>
      </w:r>
      <w:r w:rsidRPr="00087A72">
        <w:rPr>
          <w:rFonts w:cstheme="majorHAnsi"/>
          <w:sz w:val="16"/>
        </w:rPr>
        <w:t xml:space="preserve">, successive waves of migrants sacrifice to put their children on an equal footing in a new homeland. </w:t>
      </w:r>
      <w:r w:rsidRPr="00087A72">
        <w:rPr>
          <w:rFonts w:cstheme="majorHAnsi"/>
          <w:b/>
          <w:u w:val="single"/>
        </w:rPr>
        <w:t>Life is tough, and social exclusion is part of that toughness, but it is at any price</w:t>
      </w:r>
      <w:r w:rsidRPr="00087A72">
        <w:rPr>
          <w:rFonts w:cstheme="majorHAnsi"/>
          <w:sz w:val="16"/>
        </w:rPr>
        <w:t xml:space="preserve"> better than the Old Country, and a secure and prosperous future for one’s children brings the perseverance required to carry one through the punishing work in the field, sweatshop, or perpetually marginal corner store. This </w:t>
      </w:r>
      <w:r w:rsidRPr="00087A72">
        <w:rPr>
          <w:rStyle w:val="Emphasis"/>
          <w:rFonts w:cstheme="majorHAnsi"/>
        </w:rPr>
        <w:t xml:space="preserve">openness and meritocracy is also part of the story. </w:t>
      </w:r>
      <w:r w:rsidRPr="00087A72">
        <w:rPr>
          <w:rFonts w:cstheme="majorHAnsi"/>
          <w:sz w:val="16"/>
        </w:rPr>
        <w:t xml:space="preserve">In my long-ago childhood we were taught that Canada was a cultural mosaic, in contrast to the American melting pot. But even as school children we could see that one metaphor was not necessarily better than the other; melting had a beautiful fluid freedom to it. Between the mosaic and the melting pot runs the gamut of immigrant identity. On the one hand is the pastiche of hyphenated citizens, each proudly transplanting their own cultures and customs from elsewhere and forming a new national home that is identifiable through its embrace of this cacophony of difference. On the other hand is the assimilationist vision of looking to the future based on shared values. Of course neither image tells us anything about lived experience. Rather, each expresses a vision of how individual immigrant experiences aggregate to national identity. What they share is the idea that such individual experiences do in fact aggregate to national identity. And this is a fulcrum point. </w:t>
      </w:r>
      <w:r w:rsidRPr="00087A72">
        <w:rPr>
          <w:rFonts w:cstheme="majorHAnsi"/>
          <w:b/>
          <w:u w:val="single"/>
        </w:rPr>
        <w:t xml:space="preserve">For settler societies </w:t>
      </w:r>
      <w:r w:rsidRPr="00087A72">
        <w:rPr>
          <w:rStyle w:val="Emphasis"/>
          <w:rFonts w:cstheme="majorHAnsi"/>
        </w:rPr>
        <w:t>the belief that individual immigrant experiences accrete to national identity is foundational.</w:t>
      </w:r>
      <w:r w:rsidRPr="00087A72">
        <w:rPr>
          <w:rFonts w:cstheme="majorHAnsi"/>
          <w:sz w:val="16"/>
        </w:rPr>
        <w:t xml:space="preserve"> National identity is what </w:t>
      </w:r>
      <w:r w:rsidRPr="00087A72">
        <w:rPr>
          <w:rStyle w:val="Emphasis"/>
          <w:rFonts w:cstheme="majorHAnsi"/>
        </w:rPr>
        <w:t>some “we” group shares</w:t>
      </w:r>
      <w:r w:rsidRPr="00087A72">
        <w:rPr>
          <w:rFonts w:cstheme="majorHAnsi"/>
          <w:b/>
          <w:u w:val="single"/>
        </w:rPr>
        <w:t xml:space="preserve"> when </w:t>
      </w:r>
      <w:r w:rsidRPr="00087A72">
        <w:rPr>
          <w:rStyle w:val="Emphasis"/>
          <w:rFonts w:cstheme="majorHAnsi"/>
        </w:rPr>
        <w:t>it</w:t>
      </w:r>
      <w:r w:rsidRPr="00087A72">
        <w:rPr>
          <w:rFonts w:cstheme="majorHAnsi"/>
          <w:b/>
          <w:u w:val="single"/>
        </w:rPr>
        <w:t xml:space="preserve"> cannot share race or religion or ethnicity or history.</w:t>
      </w:r>
      <w:r w:rsidRPr="00087A72">
        <w:rPr>
          <w:rFonts w:cstheme="majorHAnsi"/>
          <w:sz w:val="16"/>
        </w:rPr>
        <w:t xml:space="preserve"> It is no wonder that fitting the traditional definition of “nation” onto these places has been such a squeeze. Conversely, </w:t>
      </w:r>
      <w:r w:rsidRPr="00087A72">
        <w:rPr>
          <w:rFonts w:cstheme="majorHAnsi"/>
          <w:b/>
          <w:u w:val="single"/>
        </w:rPr>
        <w:t>it cannot surprise us that settler societies have been the birth- place of multiculturalism.</w:t>
      </w:r>
      <w:r w:rsidRPr="00087A72">
        <w:rPr>
          <w:rFonts w:cstheme="majorHAnsi"/>
          <w:sz w:val="16"/>
        </w:rPr>
        <w:t xml:space="preserve"> All of </w:t>
      </w:r>
      <w:r w:rsidRPr="00087A72">
        <w:rPr>
          <w:rFonts w:cstheme="majorHAnsi"/>
          <w:b/>
          <w:u w:val="single"/>
        </w:rPr>
        <w:t>this</w:t>
      </w:r>
      <w:r w:rsidRPr="00087A72">
        <w:rPr>
          <w:rFonts w:cstheme="majorHAnsi"/>
          <w:sz w:val="16"/>
        </w:rPr>
        <w:t xml:space="preserve">, then, </w:t>
      </w:r>
      <w:r w:rsidRPr="00087A72">
        <w:rPr>
          <w:rFonts w:cstheme="majorHAnsi"/>
          <w:b/>
          <w:u w:val="single"/>
        </w:rPr>
        <w:t>is the stock story of the settler society.</w:t>
      </w:r>
      <w:r w:rsidRPr="00087A72">
        <w:rPr>
          <w:rFonts w:cstheme="majorHAnsi"/>
          <w:sz w:val="16"/>
        </w:rPr>
        <w:t xml:space="preserve"> Fractured </w:t>
      </w:r>
      <w:r w:rsidRPr="00087A72">
        <w:rPr>
          <w:rFonts w:cstheme="majorHAnsi"/>
          <w:b/>
          <w:u w:val="single"/>
        </w:rPr>
        <w:t>identities, families spanning borders, progressive exclusions, racialized transformations, fledgling national identities.</w:t>
      </w:r>
      <w:r w:rsidRPr="00087A72">
        <w:rPr>
          <w:rFonts w:cstheme="majorHAnsi"/>
          <w:sz w:val="16"/>
        </w:rPr>
        <w:t xml:space="preserve"> This collage is as familiar as </w:t>
      </w:r>
      <w:r w:rsidRPr="00087A72">
        <w:rPr>
          <w:rFonts w:cstheme="majorHAnsi"/>
          <w:b/>
          <w:u w:val="single"/>
        </w:rPr>
        <w:t>a recurring dream to those of us who study migration.</w:t>
      </w:r>
      <w:r w:rsidRPr="00087A72">
        <w:rPr>
          <w:rFonts w:cstheme="majorHAnsi"/>
          <w:sz w:val="16"/>
        </w:rPr>
        <w:t xml:space="preserve"> The four nations that became the paradigmatic settler societies embraced this story most fully. It is no coincidence that it is in the United States, Canada, Australia, and New Zealand, that the indigenous populations were almost completely destroyed. It is also no coincidence either that all four inherited British traditions and British law. The British imperial approach to immigration and the incredible adaptability of the common law are part of the story of settler societies. They also play a role in accounting for how these societies come to an end. But that story is not quite yet. This chapter turns now to the legal architecture of settler states.</w:t>
      </w:r>
    </w:p>
    <w:p w:rsidR="00030ACD" w:rsidRPr="00087A72" w:rsidRDefault="00030ACD" w:rsidP="00030ACD">
      <w:pPr>
        <w:pStyle w:val="Heading4"/>
        <w:rPr>
          <w:rFonts w:cstheme="majorHAnsi"/>
        </w:rPr>
      </w:pPr>
      <w:r w:rsidRPr="00087A72">
        <w:rPr>
          <w:rFonts w:cstheme="majorHAnsi"/>
        </w:rPr>
        <w:t xml:space="preserve">Affirmations of the US as a nation of immigrants constitutes a discursive mythology of </w:t>
      </w:r>
      <w:r w:rsidRPr="00087A72">
        <w:rPr>
          <w:rStyle w:val="Style13ptBold"/>
          <w:rFonts w:cstheme="majorHAnsi"/>
          <w:b/>
        </w:rPr>
        <w:t>immigration</w:t>
      </w:r>
      <w:r w:rsidRPr="00087A72">
        <w:rPr>
          <w:rFonts w:cstheme="majorHAnsi"/>
        </w:rPr>
        <w:t xml:space="preserve"> which renders the erasure of the indigenous savage inevitable – immigrant social justice cannot be fused with indigenous struggle</w:t>
      </w:r>
    </w:p>
    <w:p w:rsidR="00030ACD" w:rsidRPr="00087A72" w:rsidRDefault="00030ACD" w:rsidP="00030ACD">
      <w:pPr>
        <w:rPr>
          <w:rFonts w:cstheme="majorHAnsi"/>
        </w:rPr>
      </w:pPr>
      <w:r w:rsidRPr="00087A72">
        <w:rPr>
          <w:rStyle w:val="Style13ptBold"/>
          <w:rFonts w:cstheme="majorHAnsi"/>
        </w:rPr>
        <w:t>Dauvergne 16</w:t>
      </w:r>
      <w:r w:rsidRPr="00087A72">
        <w:rPr>
          <w:rFonts w:cstheme="majorHAnsi"/>
        </w:rPr>
        <w:t xml:space="preserve"> (Catherine, She is the eighth dean of the Peter A. Allard School of Law. Professor Dauvergne has been working in the area of refugee, immigration, and citizenship law over the past quarter of a century, “Immigration and the End of Settler Societies”,</w:t>
      </w:r>
      <w:r w:rsidRPr="00087A72">
        <w:rPr>
          <w:rFonts w:cstheme="majorHAnsi"/>
          <w:i/>
        </w:rPr>
        <w:t xml:space="preserve"> Cambridge University Press</w:t>
      </w:r>
      <w:r w:rsidRPr="00087A72">
        <w:rPr>
          <w:rFonts w:cstheme="majorHAnsi"/>
        </w:rPr>
        <w:t>, pp. 10-13)//vikas</w:t>
      </w:r>
    </w:p>
    <w:p w:rsidR="00ED0FAD" w:rsidRPr="00087A72" w:rsidRDefault="00030ACD" w:rsidP="00ED0FAD">
      <w:pPr>
        <w:rPr>
          <w:rFonts w:cstheme="majorHAnsi"/>
          <w:sz w:val="16"/>
        </w:rPr>
      </w:pPr>
      <w:r w:rsidRPr="00087A72">
        <w:rPr>
          <w:rFonts w:cstheme="majorHAnsi"/>
          <w:sz w:val="16"/>
        </w:rPr>
        <w:t xml:space="preserve">Throughout the entire first century of global migration regulation, from the early 1900s to the present, a distinction between settler societies and others has informed and predicted patterns of migration and migration regulation. This distinction served as a guide to strategies of recruitment and reception, to global alliances around migration questions, to approaches to asylum, and to citizenship. This era has now come to a close. The work of this book is to demonstrate how and why this is so, and to outline what new predictors or patterns of migration and migration regulation may now be valuable. </w:t>
      </w:r>
      <w:r w:rsidRPr="00087A72">
        <w:rPr>
          <w:rStyle w:val="Emphasis"/>
          <w:rFonts w:cstheme="majorHAnsi"/>
        </w:rPr>
        <w:t>Global migration regulation first developed in</w:t>
      </w:r>
      <w:r w:rsidRPr="00087A72">
        <w:rPr>
          <w:rFonts w:cstheme="majorHAnsi"/>
          <w:sz w:val="16"/>
        </w:rPr>
        <w:t xml:space="preserve"> the context of </w:t>
      </w:r>
      <w:r w:rsidRPr="00087A72">
        <w:rPr>
          <w:rStyle w:val="Emphasis"/>
          <w:rFonts w:cstheme="majorHAnsi"/>
        </w:rPr>
        <w:t>settler societies</w:t>
      </w:r>
      <w:r w:rsidRPr="00087A72">
        <w:rPr>
          <w:rFonts w:cstheme="majorHAnsi"/>
          <w:b/>
          <w:u w:val="single"/>
        </w:rPr>
        <w:t>, and their demise contains key markers</w:t>
      </w:r>
      <w:r w:rsidRPr="00087A72">
        <w:rPr>
          <w:rFonts w:cstheme="majorHAnsi"/>
          <w:sz w:val="16"/>
        </w:rPr>
        <w:t xml:space="preserve"> for the future. To understand why any of this matters, however, it is first crucial to understand how </w:t>
      </w:r>
      <w:r w:rsidRPr="00087A72">
        <w:rPr>
          <w:rFonts w:cstheme="majorHAnsi"/>
          <w:b/>
          <w:u w:val="single"/>
        </w:rPr>
        <w:t>the concept of a settler society ordered global migration for more than a century</w:t>
      </w:r>
      <w:r w:rsidRPr="00087A72">
        <w:rPr>
          <w:rFonts w:cstheme="majorHAnsi"/>
          <w:sz w:val="16"/>
        </w:rPr>
        <w:t xml:space="preserve">. This chapter begins with unraveling this ordering, and then examines the legal architecture of migration in the settler society and considers the insights of critiques of the settler society concept. </w:t>
      </w:r>
      <w:r w:rsidRPr="00087A72">
        <w:rPr>
          <w:rFonts w:cstheme="majorHAnsi"/>
          <w:b/>
          <w:u w:val="single"/>
        </w:rPr>
        <w:t>Settler society</w:t>
      </w:r>
      <w:r w:rsidRPr="00087A72">
        <w:rPr>
          <w:rFonts w:cstheme="majorHAnsi"/>
          <w:sz w:val="16"/>
        </w:rPr>
        <w:t xml:space="preserve"> is not a scientific category. It </w:t>
      </w:r>
      <w:r w:rsidRPr="00087A72">
        <w:rPr>
          <w:rFonts w:cstheme="majorHAnsi"/>
          <w:b/>
          <w:u w:val="single"/>
        </w:rPr>
        <w:t>is an idea with a core of meaning, and considerable slippage around the edges.</w:t>
      </w:r>
      <w:r w:rsidRPr="00087A72">
        <w:rPr>
          <w:rFonts w:cstheme="majorHAnsi"/>
          <w:sz w:val="16"/>
        </w:rPr>
        <w:t xml:space="preserve"> One is just as likely to see the term used by social commentators and politicians as by academics. This low-key omnipresence is part of its importance – it has slipped into everyday discourse. A rigorous definition is not helpful, as my purpose is not to stake out and police boundaries of a certain category. Indeed, some of the work of this book depends on a degree of wobbliness in the concept, on its ability to mean different things at different times or for different people. But it is important to set out the broad parameters of the idea. When a journalist, a politician, or a geographer talks about a settler society, we do know what they mean.1 </w:t>
      </w:r>
      <w:r w:rsidRPr="00087A72">
        <w:rPr>
          <w:rStyle w:val="Emphasis"/>
          <w:rFonts w:cstheme="majorHAnsi"/>
        </w:rPr>
        <w:t>A mythology of immigration is the core of the settler society.</w:t>
      </w:r>
      <w:r w:rsidRPr="00087A72">
        <w:rPr>
          <w:rFonts w:cstheme="majorHAnsi"/>
          <w:b/>
          <w:u w:val="single"/>
        </w:rPr>
        <w:t xml:space="preserve"> Settler societies were built from</w:t>
      </w:r>
      <w:r w:rsidRPr="00087A72">
        <w:rPr>
          <w:rFonts w:cstheme="majorHAnsi"/>
          <w:sz w:val="16"/>
        </w:rPr>
        <w:t xml:space="preserve"> the ground up by </w:t>
      </w:r>
      <w:r w:rsidRPr="00087A72">
        <w:rPr>
          <w:rFonts w:cstheme="majorHAnsi"/>
          <w:b/>
          <w:u w:val="single"/>
        </w:rPr>
        <w:t>people who left European nations and sought</w:t>
      </w:r>
      <w:r w:rsidRPr="00087A72">
        <w:rPr>
          <w:rFonts w:cstheme="majorHAnsi"/>
          <w:sz w:val="16"/>
        </w:rPr>
        <w:t xml:space="preserve"> permanent </w:t>
      </w:r>
      <w:r w:rsidRPr="00087A72">
        <w:rPr>
          <w:rFonts w:cstheme="majorHAnsi"/>
          <w:b/>
          <w:u w:val="single"/>
        </w:rPr>
        <w:t>homes in the New World.</w:t>
      </w:r>
      <w:r w:rsidRPr="00087A72">
        <w:rPr>
          <w:rFonts w:cstheme="majorHAnsi"/>
          <w:sz w:val="16"/>
        </w:rPr>
        <w:t xml:space="preserve"> In an era of colonial empires, settler societies were a distinct chapter in the dominant colonizing narrative. While these were, of course, colonies of European empires, their ostensible “emptiness” distinguished them from colonies in Africa, Asia, and the Indian subcontinent. </w:t>
      </w:r>
      <w:r w:rsidRPr="00087A72">
        <w:rPr>
          <w:rStyle w:val="Emphasis"/>
          <w:rFonts w:cstheme="majorHAnsi"/>
        </w:rPr>
        <w:t>Settler societies were not simply colonized; they were populated</w:t>
      </w:r>
      <w:r w:rsidRPr="00087A72">
        <w:rPr>
          <w:rFonts w:cstheme="majorHAnsi"/>
          <w:sz w:val="16"/>
        </w:rPr>
        <w:t xml:space="preserve"> by Europeans. So complete were these acts of population that the societies came to regard themselves as somehow European. For the settler society, immigration was a nation-building imperative. One of the imprecisions in understanding settler societies turns on whether to draw a distinction between those places where European settlement came to completely dominate and define, and those places where resistance to settlement was more robust, and thus by the early twenty-first century they are no longer completely defined by their settlers. For this reason, Australia, Canada, the United States, and New Zealand are the paradigmatic settler societies. South Africa, Zimbabwe, Mexico, Peru, Israel, Algeria, and others fit more awkwardly into the box. One way to capture this distinction is to consider how the settler society emerges from colonial status. The processes bringing independence to settler societies do not belong to the late-twentieth-century story of decolonization. In the case of the United States, independence was staked out well before the first era of massive global migration. For the other three exemplars, independence was an incremental and amiable process. The ongoing struggles of decolonization are not part of the narrative in either case, and most of the rubric of the post-colonial is inapt. The centrality of immigration mythology has several vital consequences. First among these is that </w:t>
      </w:r>
      <w:r w:rsidRPr="00087A72">
        <w:rPr>
          <w:rFonts w:cstheme="majorHAnsi"/>
          <w:b/>
          <w:u w:val="single"/>
        </w:rPr>
        <w:t>the paradigmatic settler societies</w:t>
      </w:r>
      <w:r w:rsidRPr="00087A72">
        <w:rPr>
          <w:rFonts w:cstheme="majorHAnsi"/>
          <w:sz w:val="16"/>
        </w:rPr>
        <w:t xml:space="preserve">, Canada, Australia, New Zealand, and the United States, </w:t>
      </w:r>
      <w:r w:rsidRPr="00087A72">
        <w:rPr>
          <w:rFonts w:cstheme="majorHAnsi"/>
          <w:b/>
          <w:u w:val="single"/>
        </w:rPr>
        <w:t xml:space="preserve">understand themselves as being nations built through migration. </w:t>
      </w:r>
      <w:r w:rsidRPr="00087A72">
        <w:rPr>
          <w:rFonts w:cstheme="majorHAnsi"/>
          <w:sz w:val="16"/>
        </w:rPr>
        <w:t xml:space="preserve">While this story plays out differently in each of these places, the </w:t>
      </w:r>
      <w:r w:rsidRPr="00087A72">
        <w:rPr>
          <w:rFonts w:cstheme="majorHAnsi"/>
          <w:b/>
          <w:u w:val="single"/>
        </w:rPr>
        <w:t>variations do not disrupt a strong migration core to the story of national identity.</w:t>
      </w:r>
      <w:r w:rsidRPr="00087A72">
        <w:rPr>
          <w:rFonts w:cstheme="majorHAnsi"/>
          <w:sz w:val="16"/>
        </w:rPr>
        <w:t xml:space="preserve"> In the United States the War of Independence and the Civil War are foundational moments but the founders themselves are from else- where. Canada cogitates on the French fact in Quebec, and Australia in its maturity embraces the convict stain. Possibly the greatest variation of the narrative is heard in New Zealand, where the indigenous Maori have been more persistent than original inhabitants in the other three, and thus the mythology of immigration as foundational has been more persistently disrupted. Perhaps this is why, of these four countries, only New Zealand does not have a major national immigration museum.2 There is a certain irony here, of course, as the contemporary prominence of the Maori as compared to indigenous populations elsewhere is partially related to New Zealand’s measured approach to immigration in the early settler colonial period. Aiming to build a “better Britain,” New Zealand focused on migrant purity and thus reduced migrant numbers, and this is a contributing factor to somewhat less complete dominance over the indigenous population.3 Within this group, Canada, Australia, and New Zealand are often selected as the comparator group, and the United States is considered to be the outlier.4 This grouping places the emphasis on colonial history. From my perspective, however, the United States fits squarely in the frame, as my focus is on the place of immigration in national institutions and the contemporary shape of immigration policies and politics. Excluding the United States from this picture amounts to excluding the most powerful example of all. The inter- twining of migration and national identity is part of the settler ethos, and reaches all aspects of the national imagination. </w:t>
      </w:r>
      <w:r w:rsidRPr="00087A72">
        <w:rPr>
          <w:rFonts w:cstheme="majorHAnsi"/>
          <w:b/>
          <w:u w:val="single"/>
        </w:rPr>
        <w:t>This is a key aspect of national identity in the United States</w:t>
      </w:r>
      <w:r w:rsidRPr="00087A72">
        <w:rPr>
          <w:rFonts w:cstheme="majorHAnsi"/>
          <w:sz w:val="16"/>
        </w:rPr>
        <w:t xml:space="preserve">, possibly more strongly embraced than anywhere else on Earth. In each state, </w:t>
      </w:r>
      <w:r w:rsidRPr="00087A72">
        <w:rPr>
          <w:rFonts w:cstheme="majorHAnsi"/>
          <w:b/>
          <w:u w:val="single"/>
        </w:rPr>
        <w:t>this intertwining continues to shape migration policy and politics</w:t>
      </w:r>
      <w:r w:rsidRPr="00087A72">
        <w:rPr>
          <w:rFonts w:cstheme="majorHAnsi"/>
          <w:sz w:val="16"/>
        </w:rPr>
        <w:t xml:space="preserve">. The United States examples of the </w:t>
      </w:r>
      <w:r w:rsidRPr="00087A72">
        <w:rPr>
          <w:rStyle w:val="Emphasis"/>
          <w:rFonts w:cstheme="majorHAnsi"/>
        </w:rPr>
        <w:t>green card lottery and contemporary DREAM Act activism</w:t>
      </w:r>
      <w:r w:rsidRPr="00087A72">
        <w:rPr>
          <w:rFonts w:cstheme="majorHAnsi"/>
          <w:b/>
          <w:u w:val="single"/>
        </w:rPr>
        <w:t xml:space="preserve"> are</w:t>
      </w:r>
      <w:r w:rsidRPr="00087A72">
        <w:rPr>
          <w:rFonts w:cstheme="majorHAnsi"/>
          <w:sz w:val="16"/>
        </w:rPr>
        <w:t xml:space="preserve"> among the most poignant </w:t>
      </w:r>
      <w:r w:rsidRPr="00087A72">
        <w:rPr>
          <w:rFonts w:cstheme="majorHAnsi"/>
          <w:b/>
          <w:u w:val="single"/>
        </w:rPr>
        <w:t>examples.</w:t>
      </w:r>
      <w:r w:rsidRPr="00087A72">
        <w:rPr>
          <w:rFonts w:cstheme="majorHAnsi"/>
          <w:sz w:val="16"/>
        </w:rPr>
        <w:t xml:space="preserve"> Another distinguishing feature of the settler society is that </w:t>
      </w:r>
      <w:r w:rsidRPr="00087A72">
        <w:rPr>
          <w:rFonts w:cstheme="majorHAnsi"/>
          <w:b/>
          <w:u w:val="single"/>
        </w:rPr>
        <w:t xml:space="preserve">the </w:t>
      </w:r>
      <w:r w:rsidRPr="00087A72">
        <w:rPr>
          <w:rStyle w:val="Emphasis"/>
          <w:rFonts w:cstheme="majorHAnsi"/>
        </w:rPr>
        <w:t>mythology of migration has been</w:t>
      </w:r>
      <w:r w:rsidRPr="00087A72">
        <w:rPr>
          <w:rFonts w:cstheme="majorHAnsi"/>
          <w:sz w:val="16"/>
        </w:rPr>
        <w:t xml:space="preserve">, throughout most of these nations’ histories, </w:t>
      </w:r>
      <w:r w:rsidRPr="00087A72">
        <w:rPr>
          <w:rStyle w:val="Emphasis"/>
          <w:rFonts w:cstheme="majorHAnsi"/>
        </w:rPr>
        <w:t xml:space="preserve">translated into a contemporary commitment to ongoing migration. </w:t>
      </w:r>
      <w:r w:rsidRPr="00087A72">
        <w:rPr>
          <w:rFonts w:cstheme="majorHAnsi"/>
          <w:b/>
          <w:u w:val="single"/>
        </w:rPr>
        <w:t>These</w:t>
      </w:r>
      <w:r w:rsidRPr="00087A72">
        <w:rPr>
          <w:rFonts w:cstheme="majorHAnsi"/>
          <w:sz w:val="16"/>
        </w:rPr>
        <w:t xml:space="preserve"> countries </w:t>
      </w:r>
      <w:r w:rsidRPr="00087A72">
        <w:rPr>
          <w:rFonts w:cstheme="majorHAnsi"/>
          <w:b/>
          <w:u w:val="single"/>
        </w:rPr>
        <w:t>were</w:t>
      </w:r>
      <w:r w:rsidRPr="00087A72">
        <w:rPr>
          <w:rFonts w:cstheme="majorHAnsi"/>
          <w:sz w:val="16"/>
        </w:rPr>
        <w:t xml:space="preserve"> the </w:t>
      </w:r>
      <w:r w:rsidRPr="00087A72">
        <w:rPr>
          <w:rFonts w:cstheme="majorHAnsi"/>
          <w:b/>
          <w:u w:val="single"/>
        </w:rPr>
        <w:t xml:space="preserve">predominant recipients of much of the great wave of global migration </w:t>
      </w:r>
      <w:r w:rsidRPr="00087A72">
        <w:rPr>
          <w:rFonts w:cstheme="majorHAnsi"/>
          <w:sz w:val="16"/>
        </w:rPr>
        <w:t xml:space="preserve">that took place </w:t>
      </w:r>
      <w:r w:rsidRPr="00087A72">
        <w:rPr>
          <w:rFonts w:cstheme="majorHAnsi"/>
          <w:b/>
          <w:u w:val="single"/>
        </w:rPr>
        <w:t>between the late 1880s and early 1920s.</w:t>
      </w:r>
      <w:r w:rsidRPr="00087A72">
        <w:rPr>
          <w:rFonts w:cstheme="majorHAnsi"/>
          <w:sz w:val="16"/>
        </w:rPr>
        <w:t xml:space="preserve"> David Held and his co-authors published an analysis comparing the intensity and effects of various phases of global migration and concluded that what they termed the “trans- atlantic surge of 1880 to 1920” was the most intense phase of global migration up to their 1999 publication date. Whether current conditions would exceed that surge on Held’s measurement is unclear.5 While widespread immigration restriction began in earnest in the early decades of the twentieth century, </w:t>
      </w:r>
      <w:r w:rsidRPr="00087A72">
        <w:rPr>
          <w:rFonts w:cstheme="majorHAnsi"/>
          <w:b/>
          <w:u w:val="single"/>
        </w:rPr>
        <w:t xml:space="preserve">these </w:t>
      </w:r>
      <w:r w:rsidRPr="00087A72">
        <w:rPr>
          <w:rStyle w:val="Emphasis"/>
          <w:rFonts w:cstheme="majorHAnsi"/>
        </w:rPr>
        <w:t>states continued to welcome many categories of migrants</w:t>
      </w:r>
      <w:r w:rsidRPr="00087A72">
        <w:rPr>
          <w:rFonts w:cstheme="majorHAnsi"/>
          <w:sz w:val="16"/>
        </w:rPr>
        <w:t xml:space="preserve">. Rather than closing their doors completely, </w:t>
      </w:r>
      <w:r w:rsidRPr="00087A72">
        <w:rPr>
          <w:rFonts w:cstheme="majorHAnsi"/>
          <w:b/>
          <w:u w:val="single"/>
        </w:rPr>
        <w:t xml:space="preserve">they sought </w:t>
      </w:r>
      <w:r w:rsidRPr="00087A72">
        <w:rPr>
          <w:rStyle w:val="Emphasis"/>
          <w:rFonts w:cstheme="majorHAnsi"/>
        </w:rPr>
        <w:t>to organize and control who would enter</w:t>
      </w:r>
      <w:r w:rsidRPr="00087A72">
        <w:rPr>
          <w:rFonts w:cstheme="majorHAnsi"/>
          <w:sz w:val="16"/>
        </w:rPr>
        <w:t xml:space="preserve">. And throughout the twentieth century, at varying points, each sought out particular groups of migrants as a remedy for some social or economic ill. Indeed, even into the second decade of the twenty-first century, Canada, Australia, and New Zealand are actively recruiting migrants in specified categories, and </w:t>
      </w:r>
      <w:r w:rsidRPr="00087A72">
        <w:rPr>
          <w:rFonts w:cstheme="majorHAnsi"/>
          <w:b/>
          <w:u w:val="single"/>
        </w:rPr>
        <w:t>the United States continues to be home to more permanent and temporary migrants than any other nation on earth.</w:t>
      </w:r>
      <w:r w:rsidRPr="00087A72">
        <w:rPr>
          <w:rFonts w:cstheme="majorHAnsi"/>
          <w:sz w:val="16"/>
        </w:rPr>
        <w:t xml:space="preserve">6 The </w:t>
      </w:r>
      <w:r w:rsidRPr="00087A72">
        <w:rPr>
          <w:rFonts w:cstheme="majorHAnsi"/>
          <w:b/>
          <w:u w:val="single"/>
        </w:rPr>
        <w:t>commitment to migration in these states has been deep and ongoing.</w:t>
      </w:r>
      <w:r w:rsidRPr="00087A72">
        <w:rPr>
          <w:rFonts w:cstheme="majorHAnsi"/>
          <w:sz w:val="16"/>
        </w:rPr>
        <w:t xml:space="preserve"> The shared </w:t>
      </w:r>
      <w:r w:rsidRPr="00087A72">
        <w:rPr>
          <w:rStyle w:val="Emphasis"/>
          <w:rFonts w:cstheme="majorHAnsi"/>
        </w:rPr>
        <w:t>mythology of immigration</w:t>
      </w:r>
      <w:r w:rsidRPr="00087A72">
        <w:rPr>
          <w:rFonts w:cstheme="majorHAnsi"/>
          <w:sz w:val="16"/>
        </w:rPr>
        <w:t xml:space="preserve"> also </w:t>
      </w:r>
      <w:r w:rsidRPr="00087A72">
        <w:rPr>
          <w:rStyle w:val="Emphasis"/>
          <w:rFonts w:cstheme="majorHAnsi"/>
        </w:rPr>
        <w:t>serves to mask the savage destruction of indigenous peoples</w:t>
      </w:r>
      <w:r w:rsidRPr="00087A72">
        <w:rPr>
          <w:rFonts w:cstheme="majorHAnsi"/>
          <w:b/>
          <w:u w:val="single"/>
        </w:rPr>
        <w:t xml:space="preserve"> and ways of life that is</w:t>
      </w:r>
      <w:r w:rsidRPr="00087A72">
        <w:rPr>
          <w:rFonts w:cstheme="majorHAnsi"/>
          <w:sz w:val="16"/>
        </w:rPr>
        <w:t xml:space="preserve"> also </w:t>
      </w:r>
      <w:r w:rsidRPr="00087A72">
        <w:rPr>
          <w:rFonts w:cstheme="majorHAnsi"/>
          <w:b/>
          <w:u w:val="single"/>
        </w:rPr>
        <w:t>shared across these nations. The</w:t>
      </w:r>
      <w:r w:rsidRPr="00087A72">
        <w:rPr>
          <w:rFonts w:cstheme="majorHAnsi"/>
          <w:sz w:val="16"/>
        </w:rPr>
        <w:t xml:space="preserve"> very </w:t>
      </w:r>
      <w:r w:rsidRPr="00087A72">
        <w:rPr>
          <w:rFonts w:cstheme="majorHAnsi"/>
          <w:b/>
          <w:u w:val="single"/>
        </w:rPr>
        <w:t>idea of “settlers” suggests that there was a wild land in need of taming</w:t>
      </w:r>
      <w:r w:rsidRPr="00087A72">
        <w:rPr>
          <w:rFonts w:cstheme="majorHAnsi"/>
          <w:sz w:val="16"/>
        </w:rPr>
        <w:t xml:space="preserve">, of settlement. And thus in each of these places </w:t>
      </w:r>
      <w:r w:rsidRPr="00087A72">
        <w:rPr>
          <w:rFonts w:cstheme="majorHAnsi"/>
          <w:b/>
          <w:u w:val="single"/>
        </w:rPr>
        <w:t xml:space="preserve">the </w:t>
      </w:r>
      <w:r w:rsidRPr="00087A72">
        <w:rPr>
          <w:rStyle w:val="Emphasis"/>
          <w:rFonts w:cstheme="majorHAnsi"/>
        </w:rPr>
        <w:t xml:space="preserve">founding mythology has included the intrepid frontiersman battling </w:t>
      </w:r>
      <w:r w:rsidRPr="00087A72">
        <w:rPr>
          <w:rFonts w:cstheme="majorHAnsi"/>
          <w:b/>
          <w:u w:val="single"/>
        </w:rPr>
        <w:t xml:space="preserve">the </w:t>
      </w:r>
      <w:r w:rsidRPr="00087A72">
        <w:rPr>
          <w:rStyle w:val="Emphasis"/>
          <w:rFonts w:cstheme="majorHAnsi"/>
        </w:rPr>
        <w:t>savagery</w:t>
      </w:r>
      <w:r w:rsidRPr="00087A72">
        <w:rPr>
          <w:rFonts w:cstheme="majorHAnsi"/>
          <w:b/>
          <w:u w:val="single"/>
        </w:rPr>
        <w:t xml:space="preserve"> of land and people to transform the place</w:t>
      </w:r>
      <w:r w:rsidRPr="00087A72">
        <w:rPr>
          <w:rFonts w:cstheme="majorHAnsi"/>
          <w:sz w:val="16"/>
        </w:rPr>
        <w:t xml:space="preserve"> into a terrain of fences and measures. And law. The idea of Canada, Australia, or </w:t>
      </w:r>
      <w:r w:rsidRPr="00087A72">
        <w:rPr>
          <w:rStyle w:val="Emphasis"/>
          <w:rFonts w:cstheme="majorHAnsi"/>
        </w:rPr>
        <w:t>the United States being a nation of migration is</w:t>
      </w:r>
      <w:r w:rsidRPr="00087A72">
        <w:rPr>
          <w:rFonts w:cstheme="majorHAnsi"/>
          <w:sz w:val="16"/>
        </w:rPr>
        <w:t xml:space="preserve"> such </w:t>
      </w:r>
      <w:r w:rsidRPr="00087A72">
        <w:rPr>
          <w:rStyle w:val="Emphasis"/>
          <w:rFonts w:cstheme="majorHAnsi"/>
        </w:rPr>
        <w:t>a profound</w:t>
      </w:r>
      <w:r w:rsidRPr="00087A72">
        <w:rPr>
          <w:rFonts w:cstheme="majorHAnsi"/>
          <w:sz w:val="16"/>
        </w:rPr>
        <w:t xml:space="preserve"> and effective </w:t>
      </w:r>
      <w:r w:rsidRPr="00087A72">
        <w:rPr>
          <w:rStyle w:val="Emphasis"/>
          <w:rFonts w:cstheme="majorHAnsi"/>
        </w:rPr>
        <w:t>silencer of the trajectory of indigenous life</w:t>
      </w:r>
      <w:r w:rsidRPr="00087A72">
        <w:rPr>
          <w:rFonts w:cstheme="majorHAnsi"/>
          <w:b/>
          <w:u w:val="single"/>
        </w:rPr>
        <w:t xml:space="preserve"> that it is deeply challenging to bring indigenous peoples into a story</w:t>
      </w:r>
      <w:r w:rsidRPr="00087A72">
        <w:rPr>
          <w:rFonts w:cstheme="majorHAnsi"/>
          <w:sz w:val="16"/>
        </w:rPr>
        <w:t xml:space="preserve"> of the immigrant nation. </w:t>
      </w:r>
      <w:r w:rsidRPr="00087A72">
        <w:rPr>
          <w:rFonts w:cstheme="majorHAnsi"/>
          <w:b/>
          <w:u w:val="single"/>
        </w:rPr>
        <w:t>While contemporary social justice politics</w:t>
      </w:r>
      <w:r w:rsidRPr="00087A72">
        <w:rPr>
          <w:rFonts w:cstheme="majorHAnsi"/>
          <w:sz w:val="16"/>
        </w:rPr>
        <w:t xml:space="preserve"> often </w:t>
      </w:r>
      <w:r w:rsidRPr="00087A72">
        <w:rPr>
          <w:rFonts w:cstheme="majorHAnsi"/>
          <w:b/>
          <w:u w:val="single"/>
        </w:rPr>
        <w:t>sees allegiances between</w:t>
      </w:r>
      <w:r w:rsidRPr="00087A72">
        <w:rPr>
          <w:rFonts w:cstheme="majorHAnsi"/>
          <w:sz w:val="16"/>
        </w:rPr>
        <w:t xml:space="preserve"> new </w:t>
      </w:r>
      <w:r w:rsidRPr="00087A72">
        <w:rPr>
          <w:rFonts w:cstheme="majorHAnsi"/>
          <w:b/>
          <w:u w:val="single"/>
        </w:rPr>
        <w:t>migrants and indigenous peoples</w:t>
      </w:r>
      <w:r w:rsidRPr="00087A72">
        <w:rPr>
          <w:rFonts w:cstheme="majorHAnsi"/>
          <w:sz w:val="16"/>
        </w:rPr>
        <w:t xml:space="preserve"> as those at the margins of these societies, the </w:t>
      </w:r>
      <w:r w:rsidRPr="00087A72">
        <w:rPr>
          <w:rFonts w:cstheme="majorHAnsi"/>
          <w:b/>
          <w:u w:val="single"/>
        </w:rPr>
        <w:t xml:space="preserve">claims of these groups are not articulated in the same terms, and </w:t>
      </w:r>
      <w:r w:rsidRPr="00087A72">
        <w:rPr>
          <w:rFonts w:cstheme="majorHAnsi"/>
          <w:sz w:val="16"/>
        </w:rPr>
        <w:t xml:space="preserve">the </w:t>
      </w:r>
      <w:r w:rsidRPr="00087A72">
        <w:rPr>
          <w:rFonts w:cstheme="majorHAnsi"/>
          <w:b/>
          <w:u w:val="single"/>
        </w:rPr>
        <w:t>allegiance rarely reaches the level of shared demands or joint manifestos</w:t>
      </w:r>
      <w:r w:rsidRPr="00087A72">
        <w:rPr>
          <w:rFonts w:cstheme="majorHAnsi"/>
          <w:sz w:val="16"/>
        </w:rPr>
        <w:t xml:space="preserve">. Indeed, it is the reality that these states are nations of immigrants that is the most damaging fact to be overcome in the struggle for indigenous justice and social inclusion. </w:t>
      </w:r>
      <w:r w:rsidRPr="00087A72">
        <w:rPr>
          <w:rFonts w:cstheme="majorHAnsi"/>
          <w:b/>
          <w:u w:val="single"/>
        </w:rPr>
        <w:t>Settler societies share this past and present trajectory.</w:t>
      </w:r>
      <w:r w:rsidRPr="00087A72">
        <w:rPr>
          <w:rFonts w:cstheme="majorHAnsi"/>
          <w:sz w:val="16"/>
        </w:rPr>
        <w:t xml:space="preserve"> The idea that there can be such a thing as </w:t>
      </w:r>
      <w:r w:rsidRPr="00087A72">
        <w:rPr>
          <w:rStyle w:val="Emphasis"/>
          <w:rFonts w:cstheme="majorHAnsi"/>
        </w:rPr>
        <w:t>a “nation of immigration” has become commonplace</w:t>
      </w:r>
      <w:r w:rsidRPr="00087A72">
        <w:rPr>
          <w:rFonts w:cstheme="majorHAnsi"/>
          <w:sz w:val="16"/>
        </w:rPr>
        <w:t>. It structures the way we think about immigration, the way we regulate it, and the way we study it. Understanding how this is so is, therefore, key to seeing why the end of settler societies matters. This chapter now takes up each of these ideas in turn, situating the settler society in immigration thought, regulation, and critique.</w:t>
      </w:r>
    </w:p>
    <w:p w:rsidR="00030ACD" w:rsidRPr="00087A72" w:rsidRDefault="00030ACD" w:rsidP="00030ACD">
      <w:pPr>
        <w:keepNext/>
        <w:keepLines/>
        <w:spacing w:before="40" w:after="0"/>
        <w:outlineLvl w:val="3"/>
        <w:rPr>
          <w:rFonts w:eastAsiaTheme="majorEastAsia" w:cstheme="majorBidi"/>
          <w:b/>
          <w:iCs/>
          <w:sz w:val="24"/>
        </w:rPr>
      </w:pPr>
      <w:r w:rsidRPr="00087A72">
        <w:rPr>
          <w:rFonts w:eastAsiaTheme="majorEastAsia" w:cstheme="majorBidi"/>
          <w:b/>
          <w:iCs/>
          <w:sz w:val="24"/>
        </w:rPr>
        <w:t>The Indian gives coherence to the political time of the nation – trapped in a death driven cycle of genocide, the time of the Indian does not progress, but rather remains as the quilting point for savagery and non-being. The national move towards reformation and multiculturalism, rather than end this cycle, re-invests in the cannibalistic consumption of Indigenous death.</w:t>
      </w:r>
    </w:p>
    <w:p w:rsidR="00030ACD" w:rsidRPr="00087A72" w:rsidRDefault="00030ACD" w:rsidP="00030ACD">
      <w:r w:rsidRPr="00087A72">
        <w:rPr>
          <w:b/>
          <w:bCs/>
          <w:sz w:val="24"/>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95-100) NIJ</w:t>
      </w:r>
    </w:p>
    <w:p w:rsidR="00030ACD" w:rsidRPr="00087A72" w:rsidRDefault="00030ACD" w:rsidP="00030ACD">
      <w:pPr>
        <w:rPr>
          <w:u w:val="single"/>
        </w:rPr>
      </w:pPr>
      <w:r w:rsidRPr="00087A72">
        <w:rPr>
          <w:sz w:val="12"/>
        </w:rPr>
        <w:t xml:space="preserve">Bodies Out of Time: The IRS as Time-Zone and the Production of Bare Life </w:t>
      </w:r>
      <w:r w:rsidRPr="00087A72">
        <w:rPr>
          <w:u w:val="single"/>
        </w:rPr>
        <w:t>The history of settler-colonialism and the biopolitical violence it instantiated is a history of loss</w:t>
      </w:r>
      <w:r w:rsidRPr="00087A72">
        <w:rPr>
          <w:sz w:val="12"/>
        </w:rPr>
        <w:t xml:space="preserve">, and the history of residential schools in Canada is one of its many archives. </w:t>
      </w:r>
      <w:r w:rsidRPr="00087A72">
        <w:rPr>
          <w:u w:val="single"/>
        </w:rPr>
        <w:t>The interpellative call to die</w:t>
      </w:r>
      <w:r w:rsidRPr="00087A72">
        <w:rPr>
          <w:sz w:val="12"/>
        </w:rPr>
        <w:t xml:space="preserve"> with which the Canadian Indian Residential School System announces itself </w:t>
      </w:r>
      <w:r w:rsidRPr="00087A72">
        <w:rPr>
          <w:u w:val="single"/>
        </w:rPr>
        <w:t>recapitulates a subjectivity that has been trapped, already, by and within the field of signification, and the dense network of intersubjective relations it sutures/renders legible. It is the task of our moment to think beyond the understanding of Indigeneity as that which is outside teleology, as the absolute outside of history and politics, as that which has always been dead/extinct, which positions Indigenous subjects as calculable sums that can be erased to complete a fantasy of national wholeness and completeness.</w:t>
      </w:r>
      <w:r w:rsidRPr="00087A72">
        <w:rPr>
          <w:sz w:val="12"/>
        </w:rPr>
        <w:t xml:space="preserve"> To do so, I argue, </w:t>
      </w:r>
      <w:r w:rsidRPr="00087A72">
        <w:rPr>
          <w:u w:val="single"/>
        </w:rPr>
        <w:t>we must take seriously not only the materializing force of language as it is embodied in entities such as the law, but also the uneven effect of language in carving bodies and contouring subjectivities, the effect of language as structure itself. Such analysis</w:t>
      </w:r>
      <w:r w:rsidRPr="00087A72">
        <w:rPr>
          <w:sz w:val="12"/>
        </w:rPr>
        <w:t xml:space="preserve"> not only helps us place into question the grounds for political struggle, but </w:t>
      </w:r>
      <w:r w:rsidRPr="00087A72">
        <w:rPr>
          <w:u w:val="single"/>
        </w:rPr>
        <w:t>gives us the tools to critique the all too often uninterrogated differences</w:t>
      </w:r>
      <w:r w:rsidRPr="00087A72">
        <w:rPr>
          <w:sz w:val="12"/>
        </w:rPr>
        <w:t xml:space="preserve">, which are so often constructed as the oppositions and exclusions upon which the very existence of the political as such can be thought. </w:t>
      </w:r>
      <w:r w:rsidRPr="00087A72">
        <w:rPr>
          <w:u w:val="single"/>
        </w:rPr>
        <w:t>These differences</w:t>
      </w:r>
      <w:r w:rsidRPr="00087A72">
        <w:rPr>
          <w:sz w:val="12"/>
        </w:rPr>
        <w:t xml:space="preserve"> (or, oppositions and exclusions) </w:t>
      </w:r>
      <w:r w:rsidRPr="00087A72">
        <w:rPr>
          <w:u w:val="single"/>
        </w:rPr>
        <w:t>include oppositions of temporality from spatiality temporality, apolitical “Indian time” from the political time of the body politic, as well as the body politic from its limits, what biopolitical thinker Giorgio Agamben calls zone(s) of exclusion. The zone of exclusion is central to the organization of biopolitics</w:t>
      </w:r>
      <w:r w:rsidRPr="00087A72">
        <w:rPr>
          <w:sz w:val="12"/>
        </w:rPr>
        <w:t>, which has been taken up most famously by Agamben as spatial in its logics—</w:t>
      </w:r>
      <w:r w:rsidRPr="00087A72">
        <w:rPr>
          <w:u w:val="single"/>
        </w:rPr>
        <w:t xml:space="preserve">Agamben argues that the concentration camp is, “the hidden paradigm of the political space of modernity” </w:t>
      </w:r>
      <w:r w:rsidRPr="00087A72">
        <w:rPr>
          <w:sz w:val="12"/>
        </w:rPr>
        <w:t xml:space="preserve">(Homo Sacer 123). </w:t>
      </w:r>
      <w:r w:rsidRPr="00087A72">
        <w:rPr>
          <w:u w:val="single"/>
        </w:rPr>
        <w:t>The metaphors at the center of biopolitical theories, even in instances that are explicitly spatial, are (also) distinctly temporal.</w:t>
      </w:r>
      <w:r w:rsidRPr="00087A72">
        <w:rPr>
          <w:sz w:val="12"/>
        </w:rPr>
        <w:t xml:space="preserve"> Indeed, even for Agamben, </w:t>
      </w:r>
      <w:r w:rsidRPr="00087A72">
        <w:rPr>
          <w:u w:val="single"/>
        </w:rPr>
        <w:t>the concentration camp does not designate a concrete historical place of a defined spatial unity. Instead, it symbolizes and fixes the border between what Agamben calls “bare life,” and political existence.</w:t>
      </w:r>
      <w:r w:rsidRPr="00087A72">
        <w:rPr>
          <w:sz w:val="12"/>
        </w:rPr>
        <w:t xml:space="preserve"> Accordingly, for Agamben, </w:t>
      </w:r>
      <w:r w:rsidRPr="00087A72">
        <w:rPr>
          <w:u w:val="single"/>
        </w:rPr>
        <w:t>the spatial metaphor of the concentration camp does not refer only to the Nazi death camps or contemporary and historical sites of detention, but rather any space in which “bare life” is systematically produced. Yet, what is “bare life,” if not a state of suspended animation outside the designated boundaries of the political?</w:t>
      </w:r>
      <w:r w:rsidRPr="00087A72">
        <w:rPr>
          <w:sz w:val="12"/>
        </w:rPr>
        <w:t xml:space="preserve"> I argue that in </w:t>
      </w:r>
      <w:r w:rsidRPr="00087A72">
        <w:rPr>
          <w:b/>
          <w:iCs/>
          <w:sz w:val="26"/>
          <w:u w:val="single"/>
        </w:rPr>
        <w:t>Agamben’s writings on sovereign power and “bare life,” the spatial metaphor that designates the camp as that which organizes the production of “bare life” is stretched to the point of becoming untenable by the way in which, in the modern era of politics, “bare life,” formerly on the margins of political life, shifts to its center.</w:t>
      </w:r>
      <w:r w:rsidRPr="00087A72">
        <w:rPr>
          <w:u w:val="single"/>
        </w:rPr>
        <w:t xml:space="preserve"> “Bare life” as a strictly spatial designation does not make sense in this configuration, but requires a chronological supplement. </w:t>
      </w:r>
      <w:r w:rsidRPr="00087A72">
        <w:rPr>
          <w:sz w:val="12"/>
        </w:rPr>
        <w:t xml:space="preserve">For, although its position has shifted, </w:t>
      </w:r>
      <w:r w:rsidRPr="00087A72">
        <w:rPr>
          <w:u w:val="single"/>
        </w:rPr>
        <w:t>Agamben still means “bare life” to indicate a threshold, the limit that bars homo sacer from the political. This configuration is less</w:t>
      </w:r>
      <w:r w:rsidRPr="00087A72">
        <w:rPr>
          <w:sz w:val="12"/>
        </w:rPr>
        <w:t xml:space="preserve">, I argue, </w:t>
      </w:r>
      <w:r w:rsidRPr="00087A72">
        <w:rPr>
          <w:u w:val="single"/>
        </w:rPr>
        <w:t>a spatial relationship than a temporal one, a chronopolitical one. The time of the homo sacer hangs suspended at the center of political time, thereby proving its limits.</w:t>
      </w:r>
      <w:r w:rsidRPr="00087A72">
        <w:rPr>
          <w:sz w:val="12"/>
        </w:rPr>
        <w:t xml:space="preserve"> In other words, </w:t>
      </w:r>
      <w:r w:rsidRPr="00087A72">
        <w:rPr>
          <w:u w:val="single"/>
        </w:rPr>
        <w:t>the time of the zone of exception is measured out in its difference to the time of the political—for example, the temporality of slow death in distinction to the forward-moving temporality of the body politic; the (a)political time of the Indian, versus the political time of nation.</w:t>
      </w:r>
      <w:r w:rsidRPr="00087A72">
        <w:rPr>
          <w:sz w:val="12"/>
        </w:rPr>
        <w:t xml:space="preserve"> I find it significant that even within Agamben’s explicitly spatial figuration of the political and its limits, </w:t>
      </w:r>
      <w:r w:rsidRPr="00087A72">
        <w:rPr>
          <w:u w:val="single"/>
        </w:rPr>
        <w:t xml:space="preserve">there is a register of time that undergirds both positions: the forward moving, cohesive, temporal structure of the political, and the apolitical, ahistorical circular time of the homo sacer, whose relationship to death is a continued exposure unto death, a hanging possibility that effectively freezes him in time. </w:t>
      </w:r>
      <w:r w:rsidRPr="00087A72">
        <w:rPr>
          <w:sz w:val="12"/>
        </w:rPr>
        <w:t xml:space="preserve">Let us now circle back to New Year’s Day in 1937, to a kind of death I would argue is arrested between singular and plural (four deaths becoming one, and then a part standing in for a larger whole: all of the children who died in the Canadian Indian Residential Schools). One thing a story like this does— about the boys and their flight across the frozen lake, their death(s), the way their names look on the page next to their ages, and the fact of the missing boot and sock, the rough specificity of those twenty-five meters of distance—is introduce into contemporary political thought not a single theory of “the body,” or some programmatic questions about bodies, but the singularity of the absence of these and other similarly marked child bodies from a conversation on biopolitics and colonial violence and governmentality; an intrusion that insists that this kind of disappearance is more than an instantiation of an early Canadian liberalist game of fort-da. </w:t>
      </w:r>
      <w:r w:rsidRPr="00087A72">
        <w:rPr>
          <w:u w:val="single"/>
        </w:rPr>
        <w:t>What we see so clearly demarcated in the empty spaces within (colonial) memory and archives surrounding</w:t>
      </w:r>
      <w:r w:rsidRPr="00087A72">
        <w:rPr>
          <w:sz w:val="12"/>
        </w:rPr>
        <w:t xml:space="preserve"> these </w:t>
      </w:r>
      <w:r w:rsidRPr="00087A72">
        <w:rPr>
          <w:u w:val="single"/>
        </w:rPr>
        <w:t>deaths, within the politics and practices of cruelty, violence, and excessive neglect that conditioned their possibilities, is the spaces between</w:t>
      </w:r>
      <w:r w:rsidRPr="00087A72">
        <w:rPr>
          <w:sz w:val="12"/>
        </w:rPr>
        <w:t xml:space="preserve"> the boys from </w:t>
      </w:r>
      <w:r w:rsidRPr="00087A72">
        <w:rPr>
          <w:u w:val="single"/>
        </w:rPr>
        <w:t>one another, between</w:t>
      </w:r>
      <w:r w:rsidRPr="00087A72">
        <w:rPr>
          <w:sz w:val="12"/>
        </w:rPr>
        <w:t xml:space="preserve"> their </w:t>
      </w:r>
      <w:r w:rsidRPr="00087A72">
        <w:rPr>
          <w:u w:val="single"/>
        </w:rPr>
        <w:t>bodies and home</w:t>
      </w:r>
      <w:r w:rsidRPr="00087A72">
        <w:rPr>
          <w:sz w:val="12"/>
        </w:rPr>
        <w:t xml:space="preserve">, from the absence of a sock and a boot, of appropriate winter clothing, of mittens or scarves. </w:t>
      </w:r>
      <w:r w:rsidRPr="00087A72">
        <w:rPr>
          <w:u w:val="single"/>
        </w:rPr>
        <w:t>What we come to know through the material and semiotic remains</w:t>
      </w:r>
      <w:r w:rsidRPr="00087A72">
        <w:rPr>
          <w:sz w:val="12"/>
        </w:rPr>
        <w:t xml:space="preserve"> of these boys </w:t>
      </w:r>
      <w:r w:rsidRPr="00087A72">
        <w:rPr>
          <w:u w:val="single"/>
        </w:rPr>
        <w:t>is that their bodies</w:t>
      </w:r>
      <w:r w:rsidRPr="00087A72">
        <w:rPr>
          <w:sz w:val="12"/>
        </w:rPr>
        <w:t xml:space="preserve"> (and perhaps the others whose deaths these deaths followed, the ones that followed after) </w:t>
      </w:r>
      <w:r w:rsidRPr="00087A72">
        <w:rPr>
          <w:u w:val="single"/>
        </w:rPr>
        <w:t>had already been disprized as loss itself.</w:t>
      </w:r>
      <w:r w:rsidRPr="00087A72">
        <w:rPr>
          <w:sz w:val="12"/>
        </w:rPr>
        <w:t xml:space="preserve"> Further, dying in the perpetual liminality between one home and the other, in their march across the frozen surface of Fraser Lake, the boys—Maurice Justa, Allen Willie, John Jack, and Andrew Paul—performed a traversing of the distance, in signification, that separated “Indian” and “child,” freezing to death in the impossible distance between. I have argued that </w:t>
      </w:r>
      <w:r w:rsidRPr="00087A72">
        <w:rPr>
          <w:u w:val="single"/>
        </w:rPr>
        <w:t>the temporal structure of “the child” and “the Indian,” the zone of exception within which they are partitioned away from participation, or even legibility, within the political, tells a compelling story about the rise of liberal political thought and its inflection onto—and reliance upon—settler-colonialism and the logics of empire. This conjuncture, rather than evincing a radical break between liberalism and contemporary neoliberal aggregates of sovereignty and citizenship, provides a narrative of exclusion present in the current moment and the way</w:t>
      </w:r>
      <w:r w:rsidRPr="00087A72">
        <w:rPr>
          <w:sz w:val="12"/>
        </w:rPr>
        <w:t xml:space="preserve">, particularly in Canada, </w:t>
      </w:r>
      <w:r w:rsidRPr="00087A72">
        <w:rPr>
          <w:u w:val="single"/>
        </w:rPr>
        <w:t>we continue to think about multiculturalism at the expense of interrogating the cuts and exclusions that inform the ways in which we think (about) difference.</w:t>
      </w:r>
      <w:r w:rsidRPr="00087A72">
        <w:rPr>
          <w:sz w:val="12"/>
        </w:rPr>
        <w:t xml:space="preserve"> Indeed, </w:t>
      </w:r>
      <w:r w:rsidRPr="00087A72">
        <w:rPr>
          <w:u w:val="single"/>
        </w:rPr>
        <w:t>on the logics of multiculturalism, and the exclusions and violence it perpetuates on the bodies and cultural practices conscripted to be its other, Žižek writes, “multiculturalism is a racism which empties its own position of all positive content … but nonetheless retains this position as the privileged empty point of universality from which one is able to appreciate (and depreciate) properly other particular cultures”</w:t>
      </w:r>
      <w:r w:rsidRPr="00087A72">
        <w:rPr>
          <w:sz w:val="12"/>
        </w:rPr>
        <w:t xml:space="preserve"> (The Universal Exception 171). For Žižek, “</w:t>
      </w:r>
      <w:r w:rsidRPr="00087A72">
        <w:rPr>
          <w:u w:val="single"/>
        </w:rPr>
        <w:t>the multiculturalist respect for “the Other’s specificity”</w:t>
      </w:r>
      <w:r w:rsidRPr="00087A72">
        <w:rPr>
          <w:sz w:val="12"/>
        </w:rPr>
        <w:t xml:space="preserve"> (ibid.) </w:t>
      </w:r>
      <w:r w:rsidRPr="00087A72">
        <w:rPr>
          <w:u w:val="single"/>
        </w:rPr>
        <w:t>is the very form of asserting his/her own superiority. What is provocative about this passage is that the multiculturalist occupies a temporality of universal timelessness. Others are assigned temporalities and corresponding practices, which the multiculturalist, from his/her position of smooth space-time, appreciates—in so doing, bolstering his/her own claim to universal, modern time. This is perhaps an intensification of colonial chronopolitics, an increased efficiency due at least in part to technological advances that allow the multiculturalist privileged access to consumption, to ownership over the gaze, to the kind of increased mobility that make his/her experience of time and space seem smooth and non-specific</w:t>
      </w:r>
      <w:r w:rsidRPr="00087A72">
        <w:rPr>
          <w:sz w:val="12"/>
        </w:rPr>
        <w:t xml:space="preserve"> (i.e. one airport looks like all the others; one “exotic” cultural practice seems indistinguishable for another). In this way, </w:t>
      </w:r>
      <w:r w:rsidRPr="00087A72">
        <w:rPr>
          <w:b/>
          <w:iCs/>
          <w:sz w:val="26"/>
          <w:u w:val="single"/>
        </w:rPr>
        <w:t>indigeneity is a category that adheres, coming to stand in for diverse peoples and practices, so indelibly laminated to terms like “primitive” or “anachronistic” the postcolonial imagination can barely distinguish the difference.</w:t>
      </w:r>
      <w:r w:rsidRPr="00087A72">
        <w:rPr>
          <w:sz w:val="12"/>
        </w:rPr>
        <w:t xml:space="preserve"> Indigeneity: performatively renewed in signification over and over, frozen in time, like a child who is never allowed to grow up. </w:t>
      </w:r>
      <w:r w:rsidRPr="00087A72">
        <w:rPr>
          <w:u w:val="single"/>
        </w:rPr>
        <w:t>The temporal structure of empire is a future that is never fully realized, but rather that unfolds as an ever-burgeoning newness mobilized toward the imagined horizon of a unified citizenry. This is a temporality that carries its history with it, dramatizing the story of its own genesis, and the conditions of its continuing possibility, on the corporeal and figurative stage of Aboriginal bodies. My claim is that these deaths are suggestive of the violence held at the center of contemporary</w:t>
      </w:r>
      <w:r w:rsidRPr="00087A72">
        <w:rPr>
          <w:sz w:val="12"/>
        </w:rPr>
        <w:t xml:space="preserve"> Canadian </w:t>
      </w:r>
      <w:r w:rsidRPr="00087A72">
        <w:rPr>
          <w:u w:val="single"/>
        </w:rPr>
        <w:t>liberalism, the (ongoing) racial violence through which the</w:t>
      </w:r>
      <w:r w:rsidRPr="00087A72">
        <w:rPr>
          <w:sz w:val="12"/>
        </w:rPr>
        <w:t xml:space="preserve"> Canadian </w:t>
      </w:r>
      <w:r w:rsidRPr="00087A72">
        <w:rPr>
          <w:u w:val="single"/>
        </w:rPr>
        <w:t>social-political imaginary of multiculturalism and post-racial politics is predicated. Foundational to these politics</w:t>
      </w:r>
      <w:r w:rsidRPr="00087A72">
        <w:rPr>
          <w:sz w:val="12"/>
        </w:rPr>
        <w:t xml:space="preserve">, I further contend, </w:t>
      </w:r>
      <w:r w:rsidRPr="00087A72">
        <w:rPr>
          <w:u w:val="single"/>
        </w:rPr>
        <w:t>is a dramatization of the social contract overcoming the state of nature as the enactment of the New World. This is a repetition that acts to conceal the pernicious and persisting kernel of originary injustice around which the liberal democracies of empire constitute themselves—a centrifugal motion so tropologically powerful and durable it is as if things could never be (imagined) any other way. As if the spaces between bodies on the snow were “just the way it is,” as if this kind of death was/is all there ever could be, a kind of death so recognizable it seems always to have been there.</w:t>
      </w:r>
    </w:p>
    <w:p w:rsidR="00ED0FAD" w:rsidRPr="00087A72" w:rsidRDefault="00ED0FAD" w:rsidP="00ED0FAD">
      <w:pPr>
        <w:pStyle w:val="Heading4"/>
      </w:pPr>
      <w:r w:rsidRPr="00087A72">
        <w:t>Settler colonialism turns any impact calculus because how you understand value and ethical calculus are all ontologically dependent on Native genocide. The genocide of the Native clears the way for intra-Settler discussions of ethical value. To be alive is to stand upon this Indian burial ground we call the world—to be alive is to be unethical.</w:t>
      </w:r>
    </w:p>
    <w:p w:rsidR="00ED0FAD" w:rsidRPr="00087A72" w:rsidRDefault="00ED0FAD" w:rsidP="00ED0FAD">
      <w:r w:rsidRPr="00087A72">
        <w:rPr>
          <w:rStyle w:val="Style13ptBold"/>
        </w:rPr>
        <w:t>Wilderson 10</w:t>
      </w:r>
      <w:r w:rsidRPr="00087A72">
        <w:t xml:space="preserve"> (Frank, Full Professor of Drama and African American studies at the University of California, Irvine </w:t>
      </w:r>
      <w:r w:rsidRPr="00087A72">
        <w:rPr>
          <w:i/>
        </w:rPr>
        <w:t>Red, White, and Black: Cinema and the Structure of U.S. Antagonisms</w:t>
      </w:r>
      <w:r w:rsidRPr="00087A72">
        <w:t xml:space="preserve"> pp. 214-220) NIJ</w:t>
      </w:r>
    </w:p>
    <w:p w:rsidR="00ED0FAD" w:rsidRPr="00087A72" w:rsidRDefault="00ED0FAD" w:rsidP="00ED0FAD">
      <w:pPr>
        <w:rPr>
          <w:sz w:val="12"/>
        </w:rPr>
      </w:pPr>
      <w:r w:rsidRPr="00087A72">
        <w:rPr>
          <w:rStyle w:val="StyleUnderline"/>
        </w:rPr>
        <w:t>Mogie’s surrealist demand, “send me a big…fat woman …[to] cover up all the cracks in my shack,” goes to the heart of the matter.</w:t>
      </w:r>
      <w:r w:rsidRPr="00087A72">
        <w:rPr>
          <w:sz w:val="12"/>
        </w:rPr>
        <w:t xml:space="preserve"> </w:t>
      </w:r>
      <w:r w:rsidRPr="00087A72">
        <w:rPr>
          <w:rStyle w:val="Emphasis"/>
        </w:rPr>
        <w:t xml:space="preserve">Red flesh can only be restored, ethically, through the destruction of White bodies, because the corporeality of the indigenous has been consumed by and gone into the making of the Settler’s corporeality. Mogie wants what he has lost; not just his labor power, not just his language or land, but the raw material of his flesh. And, like most “grassroots Indians,” he knows precisely where it went—into the Settler’s “body”—and thus he knows precisely from where to repossess it. </w:t>
      </w:r>
      <w:r w:rsidRPr="00087A72">
        <w:rPr>
          <w:sz w:val="12"/>
        </w:rPr>
        <w:t xml:space="preserve">Though Mogie’s shack is small, we know from earlier scenes that it has at least two rooms. Therefore, </w:t>
      </w:r>
      <w:r w:rsidRPr="00087A72">
        <w:rPr>
          <w:rStyle w:val="StyleUnderline"/>
        </w:rPr>
        <w:t>to stretch a White woman across its interior, window-to-window, wall-to-wall, corner-to-corner, and then stretch her across the door, would be to reconfigure her body into grotesque and unrecognizable dimensions. There are serious doubts as to whether a White woman</w:t>
      </w:r>
      <w:r w:rsidRPr="00087A72">
        <w:rPr>
          <w:sz w:val="12"/>
        </w:rPr>
        <w:t xml:space="preserve">, even as large a White woman as Mogie Yellow Lodge is demanding from the President, “the Great White Father in Washington,” </w:t>
      </w:r>
      <w:r w:rsidRPr="00087A72">
        <w:rPr>
          <w:rStyle w:val="StyleUnderline"/>
        </w:rPr>
        <w:t>would survive such an ordeal. Imagine such a demand being made, such wallpapering taking place, en mass</w:t>
      </w:r>
      <w:r w:rsidRPr="00087A72">
        <w:rPr>
          <w:sz w:val="12"/>
        </w:rPr>
        <w:t xml:space="preserve">, on a scale which even Mogie’s inebriated imagination has not yet grasped. [General Andrew Jackson] instructed his troops to cut the noses of the corpses so that no one would be able to challenge the body count. They had bushel baskets full of noses that they brought back. This [practice] got him elected President. [He] campaigned on the basis that he had never met a recalcitrant Indian that he had not killed and never killed an Indian that he had not scalped and that anybody who wanted to question the validity of what he was saying was invited to tea in his parlor that evening so he could display the scalps and prove his point. [He] rode with a saddle bridle made out of the skin of an opposing Indian leader. This is the President of the United States. (Churchill: Book Tour Speech July 31, 2004) </w:t>
      </w:r>
      <w:r w:rsidRPr="00087A72">
        <w:rPr>
          <w:rStyle w:val="StyleUnderline"/>
        </w:rPr>
        <w:t>One begins to see how wallpapering or insulating one’s room not with “bushel baskets” of White female skin but with even one White woman is simply out of the question. Mogie’s demand, then, is laughed off—managed, constrained, marginalized—by the script.</w:t>
      </w:r>
      <w:r w:rsidRPr="00087A72">
        <w:rPr>
          <w:sz w:val="12"/>
        </w:rPr>
        <w:t xml:space="preserve"> “Hey, ya wanna see me piss in my pants?” are the words he is made to utter next. Words portrayed as the surreal ruminations of an Indian who has reached the end of his inebriated tether, and not as the wisdom of a man who could lead his people. </w:t>
      </w:r>
      <w:r w:rsidRPr="00087A72">
        <w:rPr>
          <w:rStyle w:val="Emphasis"/>
        </w:rPr>
        <w:t xml:space="preserve">The film is nervous in the face of Mogie’s demand not because of its absurdity but because of its authority. But Mogie is demanding no more of the Great White Father, no more of civil society, than he has already given. In fact, he is demanding less. </w:t>
      </w:r>
      <w:r w:rsidRPr="00087A72">
        <w:rPr>
          <w:sz w:val="12"/>
        </w:rPr>
        <w:t xml:space="preserve">His surrealism indicates a qualitatively similar ontological relationship between the Red and the White as exists between the Black and the White. The Middle Passage turns, for example, Ashanti spatial and temporal capacity into spatial and temporal incapacity—a body into flesh. This process begins as early as the 1200s for the Slave. lxxvi </w:t>
      </w:r>
      <w:r w:rsidRPr="00087A72">
        <w:rPr>
          <w:rStyle w:val="StyleUnderline"/>
        </w:rPr>
        <w:t>By the 1530s, Modernity is more self-conscious of its coordinates, and Whiteness begins its ontological consolidation and negative knowledge of itself by turning</w:t>
      </w:r>
      <w:r w:rsidRPr="00087A72">
        <w:rPr>
          <w:sz w:val="12"/>
        </w:rPr>
        <w:t xml:space="preserve"> (part of) </w:t>
      </w:r>
      <w:r w:rsidRPr="00087A72">
        <w:rPr>
          <w:rStyle w:val="StyleUnderline"/>
        </w:rPr>
        <w:t>the Aztec body</w:t>
      </w:r>
      <w:r w:rsidRPr="00087A72">
        <w:rPr>
          <w:sz w:val="12"/>
        </w:rPr>
        <w:t xml:space="preserve">, for example, </w:t>
      </w:r>
      <w:r w:rsidRPr="00087A72">
        <w:rPr>
          <w:rStyle w:val="StyleUnderline"/>
        </w:rPr>
        <w:t>into Indian flesh</w:t>
      </w:r>
      <w:r w:rsidRPr="00087A72">
        <w:rPr>
          <w:sz w:val="12"/>
        </w:rPr>
        <w:t xml:space="preserve"> (Judy (Dis)Forming the American Canon 81). </w:t>
      </w:r>
      <w:r w:rsidRPr="00087A72">
        <w:rPr>
          <w:rStyle w:val="StyleUnderline"/>
        </w:rPr>
        <w:t xml:space="preserve">In this moment the White body completes itself and proceeds to lay the groundwork for the intra-Settler ensemble of questions foundational to its ethical dilemmas (i.e., Marxism, feminism, psychoanalysis). In the final analysis, Settler ontology is guaranteed by way of a negative knowledge of what it is not, rather than by way of its positive claims of what it is. Ontological Whiteness is secured not through its cultural, economic, or gendered identities; but by the fact that it cannot be known (positioned) by genocide </w:t>
      </w:r>
      <w:r w:rsidRPr="00087A72">
        <w:rPr>
          <w:sz w:val="12"/>
        </w:rPr>
        <w:t xml:space="preserve">(or by Accumulation and Fungibility). </w:t>
      </w:r>
      <w:r w:rsidRPr="00087A72">
        <w:rPr>
          <w:rStyle w:val="StyleUnderline"/>
        </w:rPr>
        <w:t xml:space="preserve">This negative knowledge has its pleasures… </w:t>
      </w:r>
      <w:r w:rsidRPr="00087A72">
        <w:rPr>
          <w:sz w:val="12"/>
        </w:rPr>
        <w:t xml:space="preserve">[Unlike Jackson’s army of the early 19 th century, the 16 th century Dutch] didn’t take the noses and they didn’t take the scalps. They took whole heads because they wanted to identify the fact that they had eradicated the entire leadership of the opposition. They brought the heads back to the central square in New Amsterdam [now Manhattan] where the citizenry began to celebrate. They turned it into a sport. People who had participated in the expedition had themselves a jolly game of kick ball using the heads and the citizenry sat around and cheered…(Churchill 7/31/04) </w:t>
      </w:r>
      <w:r w:rsidRPr="00087A72">
        <w:rPr>
          <w:rStyle w:val="StyleUnderline"/>
        </w:rPr>
        <w:t xml:space="preserve">…has a sense of affilial inclusion and filial longevity… </w:t>
      </w:r>
      <w:r w:rsidRPr="00087A72">
        <w:rPr>
          <w:sz w:val="12"/>
        </w:rPr>
        <w:t xml:space="preserve">[In 1864, the 3 rd Regiment of the U.S. Calvary] returned to Denver [Colorado] with their trophies [the vaginas of Native American women stapled to the front of their hats] and held a triumphal parade. [They] proceeded down Larimore Street…and the good citizenry stood up and cheered wildly...[T]he Rocky Mountain News [described it as] “an unparalleled feat of martial prowess that would live forever in the annals of the history and nobility of the race.” (7/31/04) </w:t>
      </w:r>
      <w:r w:rsidRPr="00087A72">
        <w:rPr>
          <w:rStyle w:val="StyleUnderline"/>
        </w:rPr>
        <w:t xml:space="preserve">…has a capacity for territorial integrity… </w:t>
      </w:r>
      <w:r w:rsidRPr="00087A72">
        <w:rPr>
          <w:sz w:val="12"/>
        </w:rPr>
        <w:t xml:space="preserve">Scalp bounties…were officially claimed bounties that were placed on Indians in every antecedent colony in the Eastern Seaboard—French, English, and Spanish. I don’t know about the Dutch. They killed all the Indians around before they had the chance to need a bounty. But from the antecedent colonies this law transferred to every state and territory in forty-eight contiguous states. (7/31/04) </w:t>
      </w:r>
      <w:r w:rsidRPr="00087A72">
        <w:rPr>
          <w:rStyle w:val="StyleUnderline"/>
        </w:rPr>
        <w:t xml:space="preserve">…that is, it has the capacity to transform Clearing from a verb into Clearing as a noun… </w:t>
      </w:r>
      <w:r w:rsidRPr="00087A72">
        <w:rPr>
          <w:sz w:val="12"/>
        </w:rPr>
        <w:t xml:space="preserve">Every [state in the union] placed a bounty on Indians, any Indians, all Indians. [For example in the] Pennsylvania colony in the 1740s, the bounty [was] forty pounds sterling for proof of death of an adult male Indian. That proof of death being in the form of a scalp or a bloody red skin…Proof of death in that form got the bearer of the proof forty pounds sterling. Forty pounds sterling in the 1740s was equivalent to the annual wage of your average farmer. This is big business. Twenty pounds sterling would be paid for proof of death in the same form of an adult female. Ten pounds sterling for proof of death of a child, a child being defined as human being of either sex under ten years of age down to and, yes, including the fetus…In Texas this law was not rescinded until 1887, [when] the debate in the Texas legislature concluded that there was no reason to continue because there was no long sufficient numbers of living Indians in the entire state of Texas to warrant the continuation of it. It had accomplished its purpose. (7/31/04) </w:t>
      </w:r>
      <w:r w:rsidRPr="00087A72">
        <w:rPr>
          <w:rStyle w:val="StyleUnderline"/>
        </w:rPr>
        <w:t>…and just like that, Little Baby Civil Society was walking on its own two feet. To Grown-up Civil Society</w:t>
      </w:r>
      <w:r w:rsidRPr="00087A72">
        <w:rPr>
          <w:sz w:val="12"/>
        </w:rPr>
        <w:t xml:space="preserve"> (Mogie’s “Great White Father in Washington”) </w:t>
      </w:r>
      <w:r w:rsidRPr="00087A72">
        <w:rPr>
          <w:rStyle w:val="StyleUnderline"/>
        </w:rPr>
        <w:t xml:space="preserve">Mogie Yellow Lodge submits his own “personal” genocide reparations bill. A bill that accounts for the perfect symmetry through which Whiteness has formed a body (from the genitals to the body politic) out of “Savage” flesh. The symmetry’s perfection becomes clear when one realizes that today’s 1.6%-to-80.6%, “Savage”-to-Settler ratio is a pure inversion of the sixteenth century’s “Savage” to Settler ratio. </w:t>
      </w:r>
      <w:r w:rsidRPr="00087A72">
        <w:rPr>
          <w:sz w:val="12"/>
        </w:rPr>
        <w:t xml:space="preserve">lxxvii </w:t>
      </w:r>
      <w:r w:rsidRPr="00087A72">
        <w:rPr>
          <w:rStyle w:val="StyleUnderline"/>
        </w:rPr>
        <w:t>“Send me a big woman. A fat woman! So that when I sleep with her she’ll cover up all the cracks in my shack and stop the wind from blowing through” is a demand so ethically pure that the film finds it unbearable and, as such, is unable (unwilling?) to let Mogie state it without irony.</w:t>
      </w:r>
      <w:r w:rsidRPr="00087A72">
        <w:rPr>
          <w:sz w:val="12"/>
        </w:rPr>
        <w:t xml:space="preserve"> And yet, Mogie’s outbursts like this—“outbursts” because they are generally infrequent and contained by pity or humor—are the few moments when the film engages the ethical dilemmas of the Settler/“Savage” antagonism (genocide and its impossible semiotics) instead of the ethical dilemmas of the Settler/“Savage” conflict (sovereignty and its semiotics of loss). Again, </w:t>
      </w:r>
      <w:r w:rsidRPr="00087A72">
        <w:rPr>
          <w:rStyle w:val="Emphasis"/>
        </w:rPr>
        <w:t>it is not that Mogie’s demand is absurd and unethical, but rather that it is a demand so pure in its ethicality that it threatens the quotidian prohibitions which, in Modernity, constrain ethics. The demand is far too ethical</w:t>
      </w:r>
      <w:r w:rsidRPr="00087A72">
        <w:rPr>
          <w:sz w:val="12"/>
        </w:rPr>
        <w:t xml:space="preserve"> for the film to embrace and elaborate at the level of narrative. It is a demand that must be policed by sovereign powers. Exploring Skins’ cinematic strategies reveals this containment as an effort to manage the spectator’s interpellation by the dilemmas of Mogie’s ruination and by they demand that ushers forth from his “flesh.” </w:t>
      </w:r>
      <w:r w:rsidRPr="00087A72">
        <w:rPr>
          <w:rStyle w:val="StyleUnderline"/>
        </w:rPr>
        <w:t>Mogie’s surrealism seeks to cull power directly from the subjectivity of the Settler, what Ward Churchill calls the “imperial integrity of the US itself”</w:t>
      </w:r>
      <w:r w:rsidRPr="00087A72">
        <w:rPr>
          <w:sz w:val="12"/>
        </w:rPr>
        <w:t xml:space="preserve"> (Marxism and Native Americans 202). </w:t>
      </w:r>
      <w:r w:rsidRPr="00087A72">
        <w:rPr>
          <w:rStyle w:val="StyleUnderline"/>
        </w:rPr>
        <w:t>This idea of culling power, resources, and Human life directly from the imperial integrity of the US, especially when we think that imperial integrity through the banality of White bodies</w:t>
      </w:r>
      <w:r w:rsidRPr="00087A72">
        <w:rPr>
          <w:sz w:val="12"/>
        </w:rPr>
        <w:t xml:space="preserve"> (in other words, through the “innocence” of today’s citizen), is indicative of the kind of unflinching paradigmatic analyses which allowed Ward Churchill to embrace the 9/11 attack on the World Trade Center within forty-eight hours of its occurrence, a moment in time when Settler Marxists and Settler progressives either suddenly became mute, or stumbled over their own tongues in half-hearted attempts to simultaneously condemn the attack and explain its political and historical rationale. Churchill’s embrace of the event is not synonymous with either celebration or condemnation. It goes without saying that Churchill also refused to be interpellated by the pageantry of mourning that followed in the wake of 9-1-1. But Settler radicals and progressives assailed him for meditating on the attack from within the questions of the genocided “Savage,” rather than from within an ensemble of questions allied with Settler’s grammar of suffering, exploitation and alienation. </w:t>
      </w:r>
      <w:r w:rsidRPr="00087A72">
        <w:rPr>
          <w:rStyle w:val="StyleUnderline"/>
        </w:rPr>
        <w:t xml:space="preserve">People on the Left tried to shame Churchill for embracing incoherent terror </w:t>
      </w:r>
      <w:r w:rsidRPr="00087A72">
        <w:rPr>
          <w:sz w:val="12"/>
        </w:rPr>
        <w:t xml:space="preserve">(suicide bombers) </w:t>
      </w:r>
      <w:r w:rsidRPr="00087A72">
        <w:rPr>
          <w:rStyle w:val="StyleUnderline"/>
        </w:rPr>
        <w:t>instead of morally and politically sanctioned revolutionary action</w:t>
      </w:r>
      <w:r w:rsidRPr="00087A72">
        <w:rPr>
          <w:sz w:val="12"/>
        </w:rPr>
        <w:t xml:space="preserve"> (like the Zapatistas or the Sandanistas). </w:t>
      </w:r>
      <w:r w:rsidRPr="00087A72">
        <w:rPr>
          <w:rStyle w:val="StyleUnderline"/>
        </w:rPr>
        <w:t>Others chided him for advocating violence in any form.</w:t>
      </w:r>
      <w:r w:rsidRPr="00087A72">
        <w:rPr>
          <w:sz w:val="12"/>
        </w:rPr>
        <w:t xml:space="preserve"> Many said that now is not the time for a scathing critique; “our” nation is in mourning. And there were those who wagged their finger and reminded him that there were members of the working class (not just police agents and investment bankers) who died in the Twin Towers. These nay-sayers all made their arguments at the level of experience, and Churchill, rather handily, answered them at the level as well. But I am neither interested in his interlocutors’ chiding nor in his response. </w:t>
      </w:r>
      <w:r w:rsidRPr="00087A72">
        <w:rPr>
          <w:rStyle w:val="StyleUnderline"/>
        </w:rPr>
        <w:t>The Left’s attack on Churchill’s embrace of the 9-1-1 attacks is important not for the social issues it raises, the myriad of things it claims it is concerned about, but rather for the grammar of suffering shared across the board, those building blocks through which loss is conceptualized in such a way that makes it impossible for the “Savage” to function, grammatically, as their paradigm of suffering, and even less as its paradigmatic agent for change. Had Churchill’s interlocutors been more honest, they would have used fewer words—not draped their rejoinders with the veil of issues from the realm of experience</w:t>
      </w:r>
      <w:r w:rsidRPr="00087A72">
        <w:rPr>
          <w:sz w:val="12"/>
        </w:rPr>
        <w:t xml:space="preserve"> (i.e., tactics) —</w:t>
      </w:r>
      <w:r w:rsidRPr="00087A72">
        <w:rPr>
          <w:rStyle w:val="StyleUnderline"/>
        </w:rPr>
        <w:t xml:space="preserve">and said, quite simply, </w:t>
      </w:r>
      <w:r w:rsidRPr="00087A72">
        <w:rPr>
          <w:rStyle w:val="Emphasis"/>
        </w:rPr>
        <w:t xml:space="preserve">“We will not be led by the ‘Savage;’ death is not an element constituent of our ontology.” </w:t>
      </w:r>
      <w:r w:rsidRPr="00087A72">
        <w:rPr>
          <w:sz w:val="12"/>
        </w:rPr>
        <w:t xml:space="preserve">Unlike the narrative and cinematic strategies of Skins, Churchill’s meditation on 9-1-1 embraces, rather than contains, Mogie Yellow Lodge’s demand. </w:t>
      </w:r>
      <w:r w:rsidRPr="00087A72">
        <w:rPr>
          <w:rStyle w:val="StyleUnderline"/>
        </w:rPr>
        <w:t>Churchill’s work is authorized by Mogie Yellow Lodge’s grammar of suffering which, inter alia, forecloses upon Churchill’s passing judgment on the tactical ethics of either the attack on the World Trade Center or, for that matter, Mogie’s attack on the body of White femininity. Churchill accepts this foreclosure and works off of it. He does not feel constrained by it but finds it enabling of a quality of reflection that would be otherwise inconceivable: There can be no defensible suggestion that those who attacked the Pentagon and the WTC on 9-1-1 were seeking to get even with the U.S. Still less is there a basis for claims that they “started” something, or that the U.S. has anything to get even with them for. Quite the contrary. For the attackers to have arguably “evened the score” for Iraqi’s dead children alone, it would have been necessary for them to have killed a hundred times the number of Americans who actually died. This in itself, however would have allowed them to attain parity in terms of real numbers. The U.S. population is about fifteen times the size of Iraq’s. Hence, for the attackers to have achieved a proportionally equivalent impact, it would have been necessary that they kill some 7.5 million Americans</w:t>
      </w:r>
      <w:r w:rsidRPr="00087A72">
        <w:rPr>
          <w:sz w:val="12"/>
        </w:rPr>
        <w:t xml:space="preserve">. (On the Justice of Roosting Chickens: Reflections on the Consequences of U.S. Imperial Arrogance and Criminality 14) Churchill reflects upon the event of 9-1-1 in such a way as to make it impossible to talk about it as an event. This is a marker of the philosophical brilliance and rhetorical dexterity foundational to Churchill’s thirty-odd books, articles, and recorded speeches. This dexterity allows the work to be conversant with the actual details and “facts” of the event (as presented and cathedralized by White civil society). </w:t>
      </w:r>
      <w:r w:rsidRPr="00087A72">
        <w:rPr>
          <w:rStyle w:val="StyleUnderline"/>
        </w:rPr>
        <w:t>Yet instead of becoming mired in the bog of concerns which makes the event as “event”</w:t>
      </w:r>
      <w:r w:rsidRPr="00087A72">
        <w:rPr>
          <w:sz w:val="12"/>
        </w:rPr>
        <w:t xml:space="preserve"> (details and common sense ethics) </w:t>
      </w:r>
      <w:r w:rsidRPr="00087A72">
        <w:rPr>
          <w:rStyle w:val="StyleUnderline"/>
        </w:rPr>
        <w:t>Churchill jettisons common sense and presses the details into service of an ensemble of questions animated by the ethical dilemmas of “Savage,” and not Settler, ontology.</w:t>
      </w:r>
      <w:r w:rsidRPr="00087A72">
        <w:rPr>
          <w:sz w:val="12"/>
        </w:rPr>
        <w:t xml:space="preserve"> He can do this on behalf of those who are not even Native Americans (in this passage, Iraqis) because he provides them with the “Savage” as a lens through which they can do ethnographic and political work on the Settler as specimen. In other words, </w:t>
      </w:r>
      <w:r w:rsidRPr="00087A72">
        <w:rPr>
          <w:rStyle w:val="StyleUnderline"/>
        </w:rPr>
        <w:t>in his chapter on 9-1-1, his argument is made in such a way that, to be interpellated, the reader must adjust the logic of his/her political experience to fit the logic of “Savage” genocidal ontology—and not vice versa.</w:t>
      </w:r>
      <w:r w:rsidRPr="00087A72">
        <w:rPr>
          <w:sz w:val="12"/>
        </w:rPr>
        <w:t xml:space="preserve"> The reader must be subordinated to, and incorporated by, Redness, or else the reader will experience the piece in the same way that the viewer is meant to experience Mogie Yellow Lodge: as a scandal, as a problem in need of fixing. </w:t>
      </w:r>
      <w:r w:rsidRPr="00087A72">
        <w:rPr>
          <w:rStyle w:val="StyleUnderline"/>
        </w:rPr>
        <w:t>Churchill continues to subordinate the “facts” of 9-1-1 to an ethical examination of Settlerism by reminding the reader that the U.S. is “fifteen times the size” of Iraq, therefore 9-1-1 would have had to have had a death toll of “7.5 million Americans” in order to have “achieved a proportionately equivalent impact”</w:t>
      </w:r>
      <w:r w:rsidRPr="00087A72">
        <w:rPr>
          <w:sz w:val="12"/>
        </w:rPr>
        <w:t xml:space="preserve"> (14). </w:t>
      </w:r>
      <w:r w:rsidRPr="00087A72">
        <w:rPr>
          <w:rStyle w:val="StyleUnderline"/>
        </w:rPr>
        <w:t>In the very next paragraph, Churchill corrects himself and insists that 7.5 million is the number of American children the attackers would have had to have killed in order to achieve parity. This is followed by a list of even more corrections, in which Churchill recalculates the meaning of parity based solely on the U.S.’s deracination of Iraq since 1990 (further down the correctives will lead him to the “Savage” and to the Slave). True parity would result in 7.5 million dead American children, 15 million dead American adults, the obliteration of “sewage, water sanitation and electrical plants, food production/storage capacity, hospitals, pharmaceutical production facilities, communication centers and much more.” The effects of which would mean not just mass death but “a surviving population wracked by malnutrition an endemic disease”</w:t>
      </w:r>
      <w:r w:rsidRPr="00087A72">
        <w:rPr>
          <w:sz w:val="12"/>
        </w:rPr>
        <w:t xml:space="preserve"> (14). </w:t>
      </w:r>
      <w:r w:rsidRPr="00087A72">
        <w:rPr>
          <w:rStyle w:val="StyleUnderline"/>
        </w:rPr>
        <w:t>“Indeed, applying such standards of ‘pay back’ vis-à-vis American Indians alone would require a lethal reduction in the U.S. population…of between 96 and 99 percent”</w:t>
      </w:r>
      <w:r w:rsidRPr="00087A72">
        <w:rPr>
          <w:sz w:val="12"/>
        </w:rPr>
        <w:t xml:space="preserve"> (15). </w:t>
      </w:r>
      <w:r w:rsidRPr="00087A72">
        <w:rPr>
          <w:rStyle w:val="Emphasis"/>
        </w:rPr>
        <w:t>Suddenly, Mogie Yellow Lodge’s demand for parity (just one big fat White woman to cover up the cracks in his shack) sounds downright generous. Mogie is demanding one Settler, a far cry from demanding parity for ontological death. Were he to demand parity the U.S. “would run out of people long before it ran out of compensatory obligation”</w:t>
      </w:r>
      <w:r w:rsidRPr="00087A72">
        <w:rPr>
          <w:sz w:val="12"/>
        </w:rPr>
        <w:t xml:space="preserve"> (Churchill Roosting Chickens 14-15).</w:t>
      </w:r>
    </w:p>
    <w:p w:rsidR="00ED0FAD" w:rsidRPr="00087A72" w:rsidRDefault="00ED0FAD" w:rsidP="00ED0FAD">
      <w:pPr>
        <w:pStyle w:val="Heading4"/>
      </w:pPr>
      <w:r w:rsidRPr="00087A72">
        <w:t xml:space="preserve">You misdiagnose the root cause of your problem, not matter what is done the ideas of the settler and the non-native are entrenched through your method – instead we must embrace the alt </w:t>
      </w:r>
    </w:p>
    <w:p w:rsidR="00ED0FAD" w:rsidRPr="00087A72" w:rsidRDefault="00ED0FAD" w:rsidP="00ED0FAD">
      <w:pPr>
        <w:rPr>
          <w:sz w:val="16"/>
          <w:szCs w:val="16"/>
        </w:rPr>
      </w:pPr>
      <w:r w:rsidRPr="00087A72">
        <w:rPr>
          <w:rStyle w:val="Style13ptBold"/>
        </w:rPr>
        <w:t xml:space="preserve">Rifkin 2013 </w:t>
      </w:r>
      <w:r w:rsidRPr="00087A72">
        <w:rPr>
          <w:rStyle w:val="Style13ptBold"/>
          <w:b w:val="0"/>
          <w:sz w:val="16"/>
          <w:szCs w:val="16"/>
        </w:rPr>
        <w:t xml:space="preserve">(Mark Rifkin, Professor. US Ethnic Literature University of North Carolina – Greensboro research primarily focuses on Native American writing and politics from the eighteenth century onward, exploring the ways that Indigenous peoples have negotiated U.S. racial and imperial formations.  “Settler common sense” </w:t>
      </w:r>
      <w:r w:rsidRPr="00087A72">
        <w:rPr>
          <w:rStyle w:val="Style13ptBold"/>
          <w:b w:val="0"/>
          <w:i/>
          <w:sz w:val="16"/>
          <w:szCs w:val="16"/>
        </w:rPr>
        <w:t>Settler Colonial Studies</w:t>
      </w:r>
      <w:r w:rsidRPr="00087A72">
        <w:rPr>
          <w:rStyle w:val="Style13ptBold"/>
          <w:b w:val="0"/>
          <w:sz w:val="16"/>
          <w:szCs w:val="16"/>
        </w:rPr>
        <w:t xml:space="preserve">, 2013, Vol. 3, pp. 324-326) [JS] </w:t>
      </w:r>
    </w:p>
    <w:p w:rsidR="00ED0FAD" w:rsidRPr="00087A72" w:rsidRDefault="00ED0FAD" w:rsidP="00ED0FAD">
      <w:pPr>
        <w:rPr>
          <w:sz w:val="16"/>
        </w:rPr>
      </w:pPr>
      <w:r w:rsidRPr="00087A72">
        <w:rPr>
          <w:sz w:val="16"/>
        </w:rPr>
        <w:t>In Settler Colonialism and the Transformation of Anthropology, Patrick Wolfe argues, “</w:t>
      </w:r>
      <w:r w:rsidRPr="00087A72">
        <w:rPr>
          <w:rStyle w:val="StyleUnderline"/>
        </w:rPr>
        <w:t>Settler colonies were (are) premised on the elimination of native societies. The split tensing reflects a determinate feature of settler colonization</w:t>
      </w:r>
      <w:r w:rsidRPr="00087A72">
        <w:rPr>
          <w:sz w:val="16"/>
        </w:rPr>
        <w:t xml:space="preserve">. The colonizers come to stay – invasion is a structure not an event.”5 Offering perhaps the most prominent definition of </w:t>
      </w:r>
      <w:r w:rsidRPr="00087A72">
        <w:rPr>
          <w:rStyle w:val="StyleUnderline"/>
        </w:rPr>
        <w:t>settler colonialism</w:t>
      </w:r>
      <w:r w:rsidRPr="00087A72">
        <w:rPr>
          <w:sz w:val="16"/>
        </w:rPr>
        <w:t xml:space="preserve">, Wolfe’s formulation emphasizes the fact that </w:t>
      </w:r>
      <w:r w:rsidRPr="00087A72">
        <w:rPr>
          <w:rStyle w:val="StyleUnderline"/>
        </w:rPr>
        <w:t>it cannot be localized within a specific period of removal or extermination</w:t>
      </w:r>
      <w:r w:rsidRPr="00087A72">
        <w:rPr>
          <w:sz w:val="16"/>
        </w:rPr>
        <w:t xml:space="preserve"> </w:t>
      </w:r>
      <w:r w:rsidRPr="00087A72">
        <w:rPr>
          <w:rStyle w:val="StyleUnderline"/>
        </w:rPr>
        <w:t>and that it persists as a determinative feature of national territoriality and identity</w:t>
      </w:r>
      <w:r w:rsidRPr="00087A72">
        <w:rPr>
          <w:sz w:val="16"/>
        </w:rPr>
        <w:t>. He argues that</w:t>
      </w:r>
      <w:r w:rsidRPr="00087A72">
        <w:rPr>
          <w:rStyle w:val="StyleUnderline"/>
        </w:rPr>
        <w:t xml:space="preserve"> a “logic of elimination” drives settler governance and sociality, describing “the settler-colonial will” as “a historical force that ultimately derives from the primal drive to expansion that is generally glossed as capitalism</w:t>
      </w:r>
      <w:r w:rsidRPr="00087A72">
        <w:rPr>
          <w:sz w:val="16"/>
        </w:rPr>
        <w:t>” (167), and in “Settler Colonialism and the Elimination of the Native,” he observes that “elimination is an organizing principle of settler-colonial society rather than a one-off (and superceded) occurrence”, adding, “</w:t>
      </w:r>
      <w:r w:rsidRPr="00087A72">
        <w:rPr>
          <w:rStyle w:val="StyleUnderline"/>
        </w:rPr>
        <w:t>Settler colonialism destroys to replace</w:t>
      </w:r>
      <w:r w:rsidRPr="00087A72">
        <w:rPr>
          <w:sz w:val="16"/>
        </w:rPr>
        <w:t>.”6 Rather than being superseded after an initial moment/period of conquest, however, colonization persists since “</w:t>
      </w:r>
      <w:r w:rsidRPr="00087A72">
        <w:rPr>
          <w:rStyle w:val="StyleUnderline"/>
        </w:rPr>
        <w:t>the logic of elimination marks a return whereby the native repressed continues to structure settler-colonial society</w:t>
      </w:r>
      <w:r w:rsidRPr="00087A72">
        <w:rPr>
          <w:sz w:val="16"/>
        </w:rPr>
        <w:t xml:space="preserve">” (390), and “the process of replacement maintains the refractory imprint of the native counter-claim” (389). Yet, when and how do projects of elimination and replacement become geographies of everyday non-Native occupancy that do not understand themselves as predicated on colonial occupation or on a history of settler-Indigenous relation (even though they are), and what are the contours and effects of such experiences of inhabitance and belonging? In characterizing settlement as a “structure”, “logic”, and a “will”, Wolfe seeks to integrate the multivalent aspects of ongoing processes of non-Native expropriation and superintendence, but doing so potentially sidesteps the question of how official governmental initiatives and framings become normalized as the setting for everyday non-Native being and action in ways that cannot be captured solely by reference to “the murderous activities of the frontier rabble” (392–3). In Aileen Moreton-Robinson’s work, </w:t>
      </w:r>
      <w:r w:rsidRPr="00087A72">
        <w:rPr>
          <w:rStyle w:val="StyleUnderline"/>
        </w:rPr>
        <w:t>whiteness functions as the central way of understanding the domination and displacement of Indigenous peoples by non-Natives</w:t>
      </w:r>
      <w:r w:rsidRPr="00087A72">
        <w:rPr>
          <w:sz w:val="16"/>
        </w:rPr>
        <w:t>.7 In “Writing Off Indigenous Sovereignty,” she argues, “</w:t>
      </w:r>
      <w:r w:rsidRPr="00087A72">
        <w:rPr>
          <w:rStyle w:val="Emphasis"/>
        </w:rPr>
        <w:t>As a regime of power, patriarchal White sovereignty operates ideologically, materially and discursively to reproduce and maintain its investment in the nation as a white possession</w:t>
      </w:r>
      <w:r w:rsidRPr="00087A72">
        <w:rPr>
          <w:sz w:val="16"/>
        </w:rPr>
        <w:t>”, and in “Writing Off Treaties”, she suggests, “</w:t>
      </w:r>
      <w:r w:rsidRPr="00087A72">
        <w:rPr>
          <w:rStyle w:val="StyleUnderline"/>
        </w:rPr>
        <w:t>At an ontological level the structure of subjective possession occurs through the imposition of one’s will-to-be on the thing which is perceived to lack will, thus it is open to being possessed</w:t>
      </w:r>
      <w:r w:rsidRPr="00087A72">
        <w:rPr>
          <w:sz w:val="16"/>
        </w:rPr>
        <w:t xml:space="preserve">,” such that “possession ... </w:t>
      </w:r>
      <w:r w:rsidRPr="00087A72">
        <w:rPr>
          <w:rStyle w:val="StyleUnderline"/>
        </w:rPr>
        <w:t>forms part of the ontological structure of white subjectivity</w:t>
      </w:r>
      <w:r w:rsidRPr="00087A72">
        <w:rPr>
          <w:sz w:val="16"/>
        </w:rPr>
        <w:t xml:space="preserve">”.8 </w:t>
      </w:r>
      <w:r w:rsidRPr="00087A72">
        <w:rPr>
          <w:rStyle w:val="Emphasis"/>
        </w:rPr>
        <w:t>Whiteness, then, instantiates a property logic in which subjectivity, placemaking, and political belonging turn on the exertion of a right to untrammelled ownership</w:t>
      </w:r>
      <w:r w:rsidRPr="00087A72">
        <w:rPr>
          <w:sz w:val="16"/>
        </w:rPr>
        <w:t xml:space="preserve"> and in which </w:t>
      </w:r>
      <w:r w:rsidRPr="00087A72">
        <w:rPr>
          <w:rStyle w:val="Emphasis"/>
        </w:rPr>
        <w:t>that process of manufacturing legitimacy for non-Native occupation appears as a self-evident, unquestionable, and invisible frame through which to assess Indigenous voices, claims, and presence</w:t>
      </w:r>
      <w:r w:rsidRPr="00087A72">
        <w:rPr>
          <w:sz w:val="16"/>
        </w:rPr>
        <w:t>. She further observes, “</w:t>
      </w:r>
      <w:r w:rsidRPr="00087A72">
        <w:rPr>
          <w:rStyle w:val="StyleUnderline"/>
        </w:rPr>
        <w:t>it is the legally defined and asserted territorial sovereignty [of the settler nation] that provides the context for national identifications of whiteness” while “one benefits everyday from being tied to a nation that has and continues to constitute itself as a white possession”</w:t>
      </w:r>
      <w:r w:rsidRPr="00087A72">
        <w:rPr>
          <w:sz w:val="16"/>
        </w:rPr>
        <w:t xml:space="preserve"> (85). Tracing a dialectical relation between policy and the everyday, she notes in “Writing Off Indigenous Sovereignty” that the “possessive investment in patriarchal white sovereignty is enhanced through private property ownership. This security produces affect that is encapsulated in a sense of home and place, mobilising an affirmation of a white national identity” (95). Thus, her work raises the issue of how the legal discourses that sustain the settler-state’s “territorial sovereignty” become ordinary through the “affect” of belonging and emplacement generated by “private property”, which reciprocally reinvests in the “white national identity” as its condition of possibility. Yet, “whiteness” names the juridical assertion of authority over Indigenous peoples and lands, the quotidian experience of selfhood and embodiment as a settler subject, and </w:t>
      </w:r>
      <w:r w:rsidRPr="00087A72">
        <w:rPr>
          <w:rStyle w:val="StyleUnderline"/>
        </w:rPr>
        <w:t>the movement(s) between them in ways that can cast settler affect as merely the passive vehicle for a pre-constituted set of state initiatives which settler subjects, in their investment in whiteness (as identity and/or identification), inherently extend and realize.</w:t>
      </w:r>
      <w:r w:rsidRPr="00087A72">
        <w:rPr>
          <w:sz w:val="16"/>
        </w:rPr>
        <w:t xml:space="preserve">9 </w:t>
      </w:r>
      <w:r w:rsidRPr="00087A72">
        <w:rPr>
          <w:rStyle w:val="StyleUnderline"/>
        </w:rPr>
        <w:t>The processes by which legislative and administrative agendas come to function as an animating part of daily life, the differences such realization and localization make in the terms and trajectories of those explicit projects, and the possibilities for forms of disjuncture between the state apparatus and everyday experience are bracketed by the positing of a clear, direct, and inevitable relation characterized as “ontological”.</w:t>
      </w:r>
      <w:r w:rsidRPr="00087A72">
        <w:rPr>
          <w:sz w:val="16"/>
        </w:rPr>
        <w:t xml:space="preserve"> For Jodi Byrd, the deployment of Indianness as a mobile figure works as the principal mode of US settler colonialism. She observes that “colonization and racialization ... have often been conflated”, in ways that “tend to be sited along the axis of inclusion/exclusion”.10 </w:t>
      </w:r>
      <w:r w:rsidRPr="00087A72">
        <w:rPr>
          <w:rStyle w:val="StyleUnderline"/>
        </w:rPr>
        <w:t>Doing so places emphasis on the belonging of citizenship as remediation for past and present violence, thereby “mask[ing] the territoriality of conquest by assigning colonization to the racialized body, which is then policed in its degrees from whiteness</w:t>
      </w:r>
      <w:r w:rsidRPr="00087A72">
        <w:rPr>
          <w:sz w:val="16"/>
        </w:rPr>
        <w:t>” (xxiv). Suggesting that the “</w:t>
      </w:r>
      <w:r w:rsidRPr="00087A72">
        <w:rPr>
          <w:rStyle w:val="StyleUnderline"/>
        </w:rPr>
        <w:t>cacophony of competing struggles for hegemony ... misdirect and cloud attention from the underlying structures of settler colonialism”</w:t>
      </w:r>
      <w:r w:rsidRPr="00087A72">
        <w:rPr>
          <w:sz w:val="16"/>
        </w:rPr>
        <w:t xml:space="preserve"> (xvii), s</w:t>
      </w:r>
      <w:r w:rsidRPr="00087A72">
        <w:rPr>
          <w:rStyle w:val="StyleUnderline"/>
        </w:rPr>
        <w:t>he argues that the latter work through translating indigeneity as Indianness, casting place-based political collectivities as (racialized) populations subject to US jurisdiction and management</w:t>
      </w:r>
      <w:r w:rsidRPr="00087A72">
        <w:rPr>
          <w:sz w:val="16"/>
        </w:rPr>
        <w:t>: “</w:t>
      </w:r>
      <w:r w:rsidRPr="00087A72">
        <w:rPr>
          <w:rStyle w:val="Emphasis"/>
        </w:rPr>
        <w:t>the Indian is left nowhere and everywhere within the ontological premises through which U.S. empire orients, imagines, and critiques itself</w:t>
      </w:r>
      <w:r w:rsidRPr="00087A72">
        <w:rPr>
          <w:sz w:val="16"/>
        </w:rPr>
        <w:t>”; “</w:t>
      </w:r>
      <w:r w:rsidRPr="00087A72">
        <w:rPr>
          <w:rStyle w:val="Emphasis"/>
        </w:rPr>
        <w:t>ideas of Indians and Indianness have served as the ontological ground through which U.S. settler colonialism enacts itself</w:t>
      </w:r>
      <w:r w:rsidRPr="00087A72">
        <w:rPr>
          <w:sz w:val="16"/>
        </w:rPr>
        <w:t xml:space="preserve">” (xix).11 </w:t>
      </w:r>
      <w:r w:rsidRPr="00087A72">
        <w:rPr>
          <w:rStyle w:val="Emphasis"/>
        </w:rPr>
        <w:t>In presenting Indianization as providing the “ontological premises” and serving as the “ontological ground” for US identity and policy,</w:t>
      </w:r>
      <w:r w:rsidRPr="00087A72">
        <w:rPr>
          <w:sz w:val="16"/>
        </w:rPr>
        <w:t xml:space="preserve"> Byrd powerfully links the (re)production of Indianness to a range of political and critical projects and the displacement of the geopolitics of Indigenous sovereignty. She observes that </w:t>
      </w:r>
      <w:r w:rsidRPr="00087A72">
        <w:rPr>
          <w:rStyle w:val="StyleUnderline"/>
        </w:rPr>
        <w:t xml:space="preserve">“imperialism has forced settlers and arrivants </w:t>
      </w:r>
      <w:r w:rsidRPr="00087A72">
        <w:rPr>
          <w:sz w:val="16"/>
        </w:rPr>
        <w:t xml:space="preserve">[her term for non-White non-Natives] </w:t>
      </w:r>
      <w:r w:rsidRPr="00087A72">
        <w:rPr>
          <w:rStyle w:val="StyleUnderline"/>
        </w:rPr>
        <w:t>to cathect the space of the native as their home</w:t>
      </w:r>
      <w:r w:rsidRPr="00087A72">
        <w:rPr>
          <w:sz w:val="16"/>
        </w:rPr>
        <w:t>” (xxxix), but how is such cathexis contingently engendered in everyday ways? Although Byrd gestures in this direction, her focus on the foundationality and historical continuity of the dynamics she addresses emphasizes their role as a coherent and consistent “underlying structure” rather than how they gain scope, motion, and force through reiterative yet shifting formations, practices, and inclinations.</w:t>
      </w:r>
    </w:p>
    <w:p w:rsidR="00ED0FAD" w:rsidRPr="00087A72" w:rsidRDefault="00ED0FAD" w:rsidP="00ED0FAD">
      <w:pPr>
        <w:pStyle w:val="Heading4"/>
        <w:rPr>
          <w:rFonts w:cstheme="majorHAnsi"/>
        </w:rPr>
      </w:pPr>
      <w:r w:rsidRPr="00087A72">
        <w:rPr>
          <w:rFonts w:cstheme="majorHAnsi"/>
        </w:rPr>
        <w:t>Thus, refuse the affirmative as an ethical confrontation with catastrophe that functions as an affirmation of the affective vulnerability of the present. Only through confronting genocide not as a historical event or one impact amongst others, but as ongoing catastrophe imminent to settler subjectivity can disrupt the arborescent form of the Settler scaled from the world down to the individual.</w:t>
      </w:r>
    </w:p>
    <w:p w:rsidR="00ED0FAD" w:rsidRPr="00087A72" w:rsidRDefault="00ED0FAD" w:rsidP="00ED0FAD">
      <w:pPr>
        <w:rPr>
          <w:rFonts w:cstheme="majorHAnsi"/>
        </w:rPr>
      </w:pPr>
      <w:r w:rsidRPr="00087A72">
        <w:rPr>
          <w:rStyle w:val="Style13ptBold"/>
          <w:rFonts w:cstheme="majorHAnsi"/>
        </w:rPr>
        <w:t>Kouri and Skott-Myhre 15</w:t>
      </w:r>
      <w:r w:rsidRPr="00087A72">
        <w:rPr>
          <w:rFonts w:cstheme="majorHAnsi"/>
        </w:rPr>
        <w:t xml:space="preserve"> (Scott and Hans, “Catastrophe: a transversal mapping of colonialism and settler subjectivity,” Settler Colonial Studies, Issue Number, No. 3, pp. 12-13)//vikas</w:t>
      </w:r>
    </w:p>
    <w:p w:rsidR="00ED0FAD" w:rsidRPr="00087A72" w:rsidRDefault="00ED0FAD" w:rsidP="00ED0FAD">
      <w:pPr>
        <w:rPr>
          <w:rFonts w:cstheme="majorHAnsi"/>
          <w:sz w:val="16"/>
        </w:rPr>
      </w:pPr>
      <w:r w:rsidRPr="00087A72">
        <w:rPr>
          <w:rFonts w:cstheme="majorHAnsi"/>
          <w:sz w:val="16"/>
        </w:rPr>
        <w:t xml:space="preserve">Deleuze and Guattari’s conceptualization of catastrophe juxtaposes two senses of the word, the representational and the actual. </w:t>
      </w:r>
      <w:r w:rsidRPr="00087A72">
        <w:rPr>
          <w:rFonts w:cstheme="majorHAnsi"/>
          <w:b/>
          <w:u w:val="single"/>
        </w:rPr>
        <w:t>Representing catastrophe as an abstract or historic occurrence distances us from its effects, while recreating ourselves as expressions of catastrophe allows it to function as an actual present.</w:t>
      </w:r>
      <w:r w:rsidRPr="00087A72">
        <w:rPr>
          <w:rFonts w:cstheme="majorHAnsi"/>
          <w:sz w:val="16"/>
        </w:rPr>
        <w:t xml:space="preserve"> It is </w:t>
      </w:r>
      <w:r w:rsidRPr="00087A72">
        <w:rPr>
          <w:rFonts w:cstheme="majorHAnsi"/>
          <w:b/>
          <w:u w:val="single"/>
        </w:rPr>
        <w:t>through a sobering acknowledgment of the present as a state of catastrophe</w:t>
      </w:r>
      <w:r w:rsidRPr="00087A72">
        <w:rPr>
          <w:rFonts w:cstheme="majorHAnsi"/>
          <w:sz w:val="16"/>
        </w:rPr>
        <w:t xml:space="preserve"> – an admission that takes up history in our current spatial, corporeal, and conceptual makeup – </w:t>
      </w:r>
      <w:r w:rsidRPr="00087A72">
        <w:rPr>
          <w:rFonts w:cstheme="majorHAnsi"/>
          <w:b/>
          <w:u w:val="single"/>
        </w:rPr>
        <w:t>and an endurance of the shame and anger that accompanies such</w:t>
      </w:r>
      <w:r w:rsidRPr="00087A72">
        <w:rPr>
          <w:rFonts w:cstheme="majorHAnsi"/>
          <w:sz w:val="16"/>
        </w:rPr>
        <w:t xml:space="preserve"> a revulsive </w:t>
      </w:r>
      <w:r w:rsidRPr="00087A72">
        <w:rPr>
          <w:rFonts w:cstheme="majorHAnsi"/>
          <w:b/>
          <w:u w:val="single"/>
        </w:rPr>
        <w:t>analysis that new ethical subjectivities can be forged.</w:t>
      </w:r>
      <w:r w:rsidRPr="00087A72">
        <w:rPr>
          <w:rFonts w:cstheme="majorHAnsi"/>
          <w:sz w:val="16"/>
        </w:rPr>
        <w:t xml:space="preserve"> A </w:t>
      </w:r>
      <w:r w:rsidRPr="00087A72">
        <w:rPr>
          <w:rFonts w:cstheme="majorHAnsi"/>
          <w:b/>
          <w:u w:val="single"/>
        </w:rPr>
        <w:t>yes-saying to the present</w:t>
      </w:r>
      <w:r w:rsidRPr="00087A72">
        <w:rPr>
          <w:rFonts w:cstheme="majorHAnsi"/>
          <w:sz w:val="16"/>
        </w:rPr>
        <w:t xml:space="preserve">, to </w:t>
      </w:r>
      <w:r w:rsidRPr="00087A72">
        <w:rPr>
          <w:rFonts w:cstheme="majorHAnsi"/>
          <w:b/>
          <w:u w:val="single"/>
        </w:rPr>
        <w:t>all of the present</w:t>
      </w:r>
      <w:r w:rsidRPr="00087A72">
        <w:rPr>
          <w:rFonts w:cstheme="majorHAnsi"/>
          <w:sz w:val="16"/>
        </w:rPr>
        <w:t xml:space="preserve">, </w:t>
      </w:r>
      <w:r w:rsidRPr="00087A72">
        <w:rPr>
          <w:rFonts w:cstheme="majorHAnsi"/>
          <w:b/>
          <w:u w:val="single"/>
        </w:rPr>
        <w:t>moves beyond</w:t>
      </w:r>
      <w:r w:rsidRPr="00087A72">
        <w:rPr>
          <w:rFonts w:cstheme="majorHAnsi"/>
          <w:sz w:val="16"/>
        </w:rPr>
        <w:t xml:space="preserve"> an </w:t>
      </w:r>
      <w:r w:rsidRPr="00087A72">
        <w:rPr>
          <w:rFonts w:cstheme="majorHAnsi"/>
          <w:b/>
          <w:u w:val="single"/>
        </w:rPr>
        <w:t>acceptance of things as they are and affirms all that could be</w:t>
      </w:r>
      <w:r w:rsidRPr="00087A72">
        <w:rPr>
          <w:rFonts w:cstheme="majorHAnsi"/>
          <w:sz w:val="16"/>
        </w:rPr>
        <w:t xml:space="preserve">, since </w:t>
      </w:r>
      <w:r w:rsidRPr="00087A72">
        <w:rPr>
          <w:rFonts w:cstheme="majorHAnsi"/>
          <w:b/>
          <w:u w:val="single"/>
        </w:rPr>
        <w:t>the actual is not what we are but</w:t>
      </w:r>
      <w:r w:rsidRPr="00087A72">
        <w:rPr>
          <w:rFonts w:cstheme="majorHAnsi"/>
          <w:sz w:val="16"/>
        </w:rPr>
        <w:t xml:space="preserve">, rather, </w:t>
      </w:r>
      <w:r w:rsidRPr="00087A72">
        <w:rPr>
          <w:rFonts w:cstheme="majorHAnsi"/>
          <w:b/>
          <w:u w:val="single"/>
        </w:rPr>
        <w:t>what we become</w:t>
      </w:r>
      <w:r w:rsidRPr="00087A72">
        <w:rPr>
          <w:rFonts w:cstheme="majorHAnsi"/>
          <w:sz w:val="16"/>
        </w:rPr>
        <w:t xml:space="preserve">, </w:t>
      </w:r>
      <w:r w:rsidRPr="00087A72">
        <w:rPr>
          <w:rFonts w:cstheme="majorHAnsi"/>
          <w:b/>
          <w:u w:val="single"/>
        </w:rPr>
        <w:t>what we are in the process of becoming</w:t>
      </w:r>
      <w:r w:rsidRPr="00087A72">
        <w:rPr>
          <w:rFonts w:cstheme="majorHAnsi"/>
          <w:sz w:val="16"/>
        </w:rPr>
        <w:t xml:space="preserve"> – that is to say, the Other, our becoming-other. </w:t>
      </w:r>
      <w:r w:rsidRPr="00087A72">
        <w:rPr>
          <w:rFonts w:cstheme="majorHAnsi"/>
          <w:b/>
          <w:u w:val="single"/>
        </w:rPr>
        <w:t>The present</w:t>
      </w:r>
      <w:r w:rsidRPr="00087A72">
        <w:rPr>
          <w:rFonts w:cstheme="majorHAnsi"/>
          <w:sz w:val="16"/>
        </w:rPr>
        <w:t xml:space="preserve">, on the contrary, </w:t>
      </w:r>
      <w:r w:rsidRPr="00087A72">
        <w:rPr>
          <w:rFonts w:cstheme="majorHAnsi"/>
          <w:b/>
          <w:u w:val="single"/>
        </w:rPr>
        <w:t>is what we are and, thereby, what already we are ceasing to be.</w:t>
      </w:r>
      <w:r w:rsidRPr="00087A72">
        <w:rPr>
          <w:rFonts w:cstheme="majorHAnsi"/>
          <w:sz w:val="16"/>
        </w:rPr>
        <w:t xml:space="preserve">58 To be clear, </w:t>
      </w:r>
      <w:r w:rsidRPr="00087A72">
        <w:rPr>
          <w:rStyle w:val="Emphasis"/>
          <w:rFonts w:cstheme="majorHAnsi"/>
        </w:rPr>
        <w:t>affirmation is not an acceptance of the way things are nor a hopeful projection of a future predicated on growth-oriented investments</w:t>
      </w:r>
      <w:r w:rsidRPr="00087A72">
        <w:rPr>
          <w:rFonts w:cstheme="majorHAnsi"/>
          <w:sz w:val="16"/>
        </w:rPr>
        <w:t xml:space="preserve"> in security, accumulation, and comfort, </w:t>
      </w:r>
      <w:r w:rsidRPr="00087A72">
        <w:rPr>
          <w:rStyle w:val="Emphasis"/>
          <w:rFonts w:cstheme="majorHAnsi"/>
        </w:rPr>
        <w:t>but a view of temporality as dynamic dependency and affective and corporeal vulnerability.</w:t>
      </w:r>
      <w:r w:rsidRPr="00087A72">
        <w:rPr>
          <w:rFonts w:cstheme="majorHAnsi"/>
          <w:sz w:val="16"/>
        </w:rPr>
        <w:t xml:space="preserve"> Our </w:t>
      </w:r>
      <w:r w:rsidRPr="00087A72">
        <w:rPr>
          <w:rFonts w:cstheme="majorHAnsi"/>
          <w:b/>
          <w:u w:val="single"/>
        </w:rPr>
        <w:t>present</w:t>
      </w:r>
      <w:r w:rsidRPr="00087A72">
        <w:rPr>
          <w:rFonts w:cstheme="majorHAnsi"/>
          <w:sz w:val="16"/>
        </w:rPr>
        <w:t xml:space="preserve"> is here </w:t>
      </w:r>
      <w:r w:rsidRPr="00087A72">
        <w:rPr>
          <w:rFonts w:cstheme="majorHAnsi"/>
          <w:b/>
          <w:u w:val="single"/>
        </w:rPr>
        <w:t>recast as our very undoing</w:t>
      </w:r>
      <w:r w:rsidRPr="00087A72">
        <w:rPr>
          <w:rFonts w:cstheme="majorHAnsi"/>
          <w:sz w:val="16"/>
        </w:rPr>
        <w:t xml:space="preserve">; it is </w:t>
      </w:r>
      <w:r w:rsidRPr="00087A72">
        <w:rPr>
          <w:rFonts w:cstheme="majorHAnsi"/>
          <w:b/>
          <w:u w:val="single"/>
        </w:rPr>
        <w:t>a present of living relations that is in a perpetual state of change.</w:t>
      </w:r>
      <w:r w:rsidRPr="00087A72">
        <w:rPr>
          <w:rFonts w:cstheme="majorHAnsi"/>
          <w:sz w:val="16"/>
        </w:rPr>
        <w:t xml:space="preserve"> The present is a ceaseless flow of becoming that </w:t>
      </w:r>
      <w:r w:rsidRPr="00087A72">
        <w:rPr>
          <w:rFonts w:cstheme="majorHAnsi"/>
          <w:b/>
          <w:u w:val="single"/>
        </w:rPr>
        <w:t>undermines a settled identity.</w:t>
      </w:r>
      <w:r w:rsidRPr="00087A72">
        <w:rPr>
          <w:rFonts w:cstheme="majorHAnsi"/>
          <w:sz w:val="16"/>
        </w:rPr>
        <w:t xml:space="preserve"> Concerns with settler subjectivity as an abstract entity continue to withdraw us from the living present in which we are composed through our relationships. What this means for us is that </w:t>
      </w:r>
      <w:r w:rsidRPr="00087A72">
        <w:rPr>
          <w:rFonts w:cstheme="majorHAnsi"/>
          <w:b/>
          <w:u w:val="single"/>
        </w:rPr>
        <w:t>rather than ask who or what we are, we must ask about our capacities and relationships. What has been foreclosed through</w:t>
      </w:r>
      <w:r w:rsidRPr="00087A72">
        <w:rPr>
          <w:rFonts w:cstheme="majorHAnsi"/>
          <w:sz w:val="16"/>
        </w:rPr>
        <w:t xml:space="preserve"> the </w:t>
      </w:r>
      <w:r w:rsidRPr="00087A72">
        <w:rPr>
          <w:rFonts w:cstheme="majorHAnsi"/>
          <w:b/>
          <w:u w:val="single"/>
        </w:rPr>
        <w:t>separations, closures, and biopolitics</w:t>
      </w:r>
      <w:r w:rsidRPr="00087A72">
        <w:rPr>
          <w:rFonts w:cstheme="majorHAnsi"/>
          <w:sz w:val="16"/>
        </w:rPr>
        <w:t xml:space="preserve"> of settler colonialism? What might still be extractable through vulnerability, endurance, sobriety, and confrontation with catastrophe? Who do we become when representations, repressions, and negative affects are transformed into positive affects and action? </w:t>
      </w:r>
      <w:r w:rsidRPr="00087A72">
        <w:rPr>
          <w:rFonts w:cstheme="majorHAnsi"/>
          <w:b/>
          <w:u w:val="single"/>
        </w:rPr>
        <w:t>The violence of settler colonialism</w:t>
      </w:r>
      <w:r w:rsidRPr="00087A72">
        <w:rPr>
          <w:rFonts w:cstheme="majorHAnsi"/>
          <w:sz w:val="16"/>
        </w:rPr>
        <w:t>, as Tuck and Yang insist, ‘</w:t>
      </w:r>
      <w:r w:rsidRPr="00087A72">
        <w:rPr>
          <w:rFonts w:cstheme="majorHAnsi"/>
          <w:b/>
          <w:u w:val="single"/>
        </w:rPr>
        <w:t>is not temporally contained in the arrival of the settler but</w:t>
      </w:r>
      <w:r w:rsidRPr="00087A72">
        <w:rPr>
          <w:rFonts w:cstheme="majorHAnsi"/>
          <w:sz w:val="16"/>
        </w:rPr>
        <w:t xml:space="preserve"> is </w:t>
      </w:r>
      <w:r w:rsidRPr="00087A72">
        <w:rPr>
          <w:rFonts w:cstheme="majorHAnsi"/>
          <w:b/>
          <w:u w:val="single"/>
        </w:rPr>
        <w:t>reasserted each day of occupation</w:t>
      </w:r>
      <w:r w:rsidRPr="00087A72">
        <w:rPr>
          <w:rFonts w:cstheme="majorHAnsi"/>
          <w:sz w:val="16"/>
        </w:rPr>
        <w:t xml:space="preserve">’, 59 </w:t>
      </w:r>
      <w:r w:rsidRPr="00087A72">
        <w:rPr>
          <w:rStyle w:val="Emphasis"/>
          <w:rFonts w:cstheme="majorHAnsi"/>
        </w:rPr>
        <w:t>yet we argue that we have to resist the belief that the current state of affairs and its</w:t>
      </w:r>
      <w:r w:rsidRPr="00087A72">
        <w:rPr>
          <w:rFonts w:cstheme="majorHAnsi"/>
          <w:sz w:val="16"/>
        </w:rPr>
        <w:t xml:space="preserve"> sets of </w:t>
      </w:r>
      <w:r w:rsidRPr="00087A72">
        <w:rPr>
          <w:rStyle w:val="Emphasis"/>
          <w:rFonts w:cstheme="majorHAnsi"/>
        </w:rPr>
        <w:t>relations are the only possible ones.</w:t>
      </w:r>
      <w:r w:rsidRPr="00087A72">
        <w:rPr>
          <w:rFonts w:cstheme="majorHAnsi"/>
          <w:sz w:val="16"/>
        </w:rPr>
        <w:t xml:space="preserve"> While acknowledging that decolonization is specifically about the restitution of Indigenous lands,60 </w:t>
      </w:r>
      <w:r w:rsidRPr="00087A72">
        <w:rPr>
          <w:rFonts w:cstheme="majorHAnsi"/>
          <w:b/>
          <w:u w:val="single"/>
        </w:rPr>
        <w:t>we persist in considering that undoing the colonial mind and its apparatus is important in reconfiguring</w:t>
      </w:r>
      <w:r w:rsidRPr="00087A72">
        <w:rPr>
          <w:rFonts w:cstheme="majorHAnsi"/>
          <w:sz w:val="16"/>
        </w:rPr>
        <w:t xml:space="preserve"> contemporary </w:t>
      </w:r>
      <w:r w:rsidRPr="00087A72">
        <w:rPr>
          <w:rFonts w:cstheme="majorHAnsi"/>
          <w:b/>
          <w:u w:val="single"/>
        </w:rPr>
        <w:t>relations and developing a new society. We are</w:t>
      </w:r>
      <w:r w:rsidRPr="00087A72">
        <w:rPr>
          <w:rFonts w:cstheme="majorHAnsi"/>
          <w:sz w:val="16"/>
        </w:rPr>
        <w:t xml:space="preserve"> not asking our fellow settlers to leave their homes to join the anticolonial revolution, but </w:t>
      </w:r>
      <w:r w:rsidRPr="00087A72">
        <w:rPr>
          <w:rFonts w:cstheme="majorHAnsi"/>
          <w:b/>
          <w:u w:val="single"/>
        </w:rPr>
        <w:t>suggesting</w:t>
      </w:r>
      <w:r w:rsidRPr="00087A72">
        <w:rPr>
          <w:rFonts w:cstheme="majorHAnsi"/>
          <w:sz w:val="16"/>
        </w:rPr>
        <w:t xml:space="preserve"> precisely </w:t>
      </w:r>
      <w:r w:rsidRPr="00087A72">
        <w:rPr>
          <w:rFonts w:cstheme="majorHAnsi"/>
          <w:b/>
          <w:u w:val="single"/>
        </w:rPr>
        <w:t xml:space="preserve">the opposite: </w:t>
      </w:r>
      <w:r w:rsidRPr="00087A72">
        <w:rPr>
          <w:rStyle w:val="Emphasis"/>
          <w:rFonts w:cstheme="majorHAnsi"/>
        </w:rPr>
        <w:t>to make your home and life the revolution itself.</w:t>
      </w:r>
      <w:r w:rsidRPr="00087A72">
        <w:rPr>
          <w:rFonts w:cstheme="majorHAnsi"/>
          <w:sz w:val="16"/>
        </w:rPr>
        <w:t xml:space="preserve"> We are seeking </w:t>
      </w:r>
      <w:r w:rsidRPr="00087A72">
        <w:rPr>
          <w:rFonts w:cstheme="majorHAnsi"/>
          <w:b/>
          <w:u w:val="single"/>
        </w:rPr>
        <w:t>ways of being radically present on Indigenous territory, a radicality that undermines the state, Western identity formations, and settler futures.</w:t>
      </w:r>
      <w:r w:rsidRPr="00087A72">
        <w:rPr>
          <w:rFonts w:cstheme="majorHAnsi"/>
          <w:sz w:val="16"/>
        </w:rPr>
        <w:t xml:space="preserve"> And because colonialism and capitalism have always been at least partially successful of recuperating revolutionary modes of production this process must be ongoing and specific to circumstance. We are interested in the production of </w:t>
      </w:r>
      <w:r w:rsidRPr="00087A72">
        <w:rPr>
          <w:rFonts w:cstheme="majorHAnsi"/>
          <w:b/>
          <w:u w:val="single"/>
        </w:rPr>
        <w:t>subjectivities that are not founded on binaries between who we are and who we are not</w:t>
      </w:r>
      <w:r w:rsidRPr="00087A72">
        <w:rPr>
          <w:rFonts w:cstheme="majorHAnsi"/>
          <w:sz w:val="16"/>
        </w:rPr>
        <w:t xml:space="preserve"> – </w:t>
      </w:r>
      <w:r w:rsidRPr="00087A72">
        <w:rPr>
          <w:rStyle w:val="Emphasis"/>
          <w:rFonts w:cstheme="majorHAnsi"/>
        </w:rPr>
        <w:t>without</w:t>
      </w:r>
      <w:r w:rsidRPr="00087A72">
        <w:rPr>
          <w:rFonts w:cstheme="majorHAnsi"/>
          <w:sz w:val="16"/>
        </w:rPr>
        <w:t xml:space="preserve">, of course, </w:t>
      </w:r>
      <w:r w:rsidRPr="00087A72">
        <w:rPr>
          <w:rStyle w:val="Emphasis"/>
          <w:rFonts w:cstheme="majorHAnsi"/>
        </w:rPr>
        <w:t>interfering with Indigenous politics of identity or ignoring differential distributions of injustice</w:t>
      </w:r>
      <w:r w:rsidRPr="00087A72">
        <w:rPr>
          <w:rFonts w:cstheme="majorHAnsi"/>
          <w:sz w:val="16"/>
        </w:rPr>
        <w:t xml:space="preserve"> and violence </w:t>
      </w:r>
      <w:r w:rsidRPr="00087A72">
        <w:rPr>
          <w:rStyle w:val="Emphasis"/>
          <w:rFonts w:cstheme="majorHAnsi"/>
        </w:rPr>
        <w:t>based on identity.</w:t>
      </w:r>
      <w:r w:rsidRPr="00087A72">
        <w:rPr>
          <w:rFonts w:cstheme="majorHAnsi"/>
          <w:sz w:val="16"/>
        </w:rPr>
        <w:t xml:space="preserve"> We want to move </w:t>
      </w:r>
      <w:r w:rsidRPr="00087A72">
        <w:rPr>
          <w:rFonts w:cstheme="majorHAnsi"/>
          <w:b/>
          <w:u w:val="single"/>
        </w:rPr>
        <w:t xml:space="preserve">from rigid settler identities toward processes of </w:t>
      </w:r>
      <w:r w:rsidRPr="00087A72">
        <w:rPr>
          <w:rStyle w:val="Emphasis"/>
          <w:rFonts w:cstheme="majorHAnsi"/>
        </w:rPr>
        <w:t>subjectification based on who and what we are related to, including humans, plants, minerals, waters, and stars</w:t>
      </w:r>
      <w:r w:rsidRPr="00087A72">
        <w:rPr>
          <w:rFonts w:cstheme="majorHAnsi"/>
          <w:b/>
          <w:u w:val="single"/>
        </w:rPr>
        <w:t>. We seek to undo dialectical thinking and recognize the singularity of every existent outside state taxonomy and organizational</w:t>
      </w:r>
      <w:r w:rsidRPr="00087A72">
        <w:rPr>
          <w:rFonts w:cstheme="majorHAnsi"/>
          <w:sz w:val="16"/>
        </w:rPr>
        <w:t xml:space="preserve"> system. As Deleuze writes, the Spinozan principle asserts that </w:t>
      </w:r>
      <w:r w:rsidRPr="00087A72">
        <w:rPr>
          <w:rFonts w:cstheme="majorHAnsi"/>
          <w:b/>
          <w:u w:val="single"/>
        </w:rPr>
        <w:t xml:space="preserve">negation is nothing, because </w:t>
      </w:r>
      <w:r w:rsidRPr="00087A72">
        <w:rPr>
          <w:rFonts w:cstheme="majorHAnsi"/>
          <w:sz w:val="16"/>
        </w:rPr>
        <w:t xml:space="preserve">absolutely </w:t>
      </w:r>
      <w:r w:rsidRPr="00087A72">
        <w:rPr>
          <w:rFonts w:cstheme="majorHAnsi"/>
          <w:b/>
          <w:u w:val="single"/>
        </w:rPr>
        <w:t>nothing</w:t>
      </w:r>
      <w:r w:rsidRPr="00087A72">
        <w:rPr>
          <w:rFonts w:cstheme="majorHAnsi"/>
          <w:sz w:val="16"/>
        </w:rPr>
        <w:t xml:space="preserve"> ever </w:t>
      </w:r>
      <w:r w:rsidRPr="00087A72">
        <w:rPr>
          <w:rFonts w:cstheme="majorHAnsi"/>
          <w:b/>
          <w:u w:val="single"/>
        </w:rPr>
        <w:t>lacks anything. Negation is a being of reason</w:t>
      </w:r>
      <w:r w:rsidRPr="00087A72">
        <w:rPr>
          <w:rFonts w:cstheme="majorHAnsi"/>
          <w:sz w:val="16"/>
        </w:rPr>
        <w:t xml:space="preserve">, or rather of comparison, </w:t>
      </w:r>
      <w:r w:rsidRPr="00087A72">
        <w:rPr>
          <w:rFonts w:cstheme="majorHAnsi"/>
          <w:b/>
          <w:u w:val="single"/>
        </w:rPr>
        <w:t>which results from our grouping together</w:t>
      </w:r>
      <w:r w:rsidRPr="00087A72">
        <w:rPr>
          <w:rFonts w:cstheme="majorHAnsi"/>
          <w:sz w:val="16"/>
        </w:rPr>
        <w:t xml:space="preserve"> all sorts </w:t>
      </w:r>
      <w:r w:rsidRPr="00087A72">
        <w:rPr>
          <w:rFonts w:cstheme="majorHAnsi"/>
          <w:b/>
          <w:u w:val="single"/>
        </w:rPr>
        <w:t>of distinct beings so as to refer them to one and the same fictitious ideal</w:t>
      </w:r>
      <w:r w:rsidRPr="00087A72">
        <w:rPr>
          <w:rFonts w:cstheme="majorHAnsi"/>
          <w:sz w:val="16"/>
        </w:rPr>
        <w:t xml:space="preserve">, in the name of which we say that one or another of them falls short of the ideal.61 The concepts of identity and lack in the colonial project are used to organize difference and diversity into dichotomies or taxonomies. </w:t>
      </w:r>
      <w:r w:rsidRPr="00087A72">
        <w:rPr>
          <w:rFonts w:cstheme="majorHAnsi"/>
          <w:b/>
          <w:u w:val="single"/>
        </w:rPr>
        <w:t>Categories and subcategories of difference are</w:t>
      </w:r>
      <w:r w:rsidRPr="00087A72">
        <w:rPr>
          <w:rFonts w:cstheme="majorHAnsi"/>
          <w:sz w:val="16"/>
        </w:rPr>
        <w:t xml:space="preserve">, without exception, </w:t>
      </w:r>
      <w:r w:rsidRPr="00087A72">
        <w:rPr>
          <w:rFonts w:cstheme="majorHAnsi"/>
          <w:b/>
          <w:u w:val="single"/>
        </w:rPr>
        <w:t>hierarchical and saturated in power relations</w:t>
      </w:r>
      <w:r w:rsidRPr="00087A72">
        <w:rPr>
          <w:rFonts w:cstheme="majorHAnsi"/>
          <w:sz w:val="16"/>
        </w:rPr>
        <w:t xml:space="preserve">, where to be </w:t>
      </w:r>
      <w:r w:rsidRPr="00087A72">
        <w:rPr>
          <w:rFonts w:cstheme="majorHAnsi"/>
          <w:b/>
          <w:u w:val="single"/>
        </w:rPr>
        <w:t>identified with</w:t>
      </w:r>
      <w:r w:rsidRPr="00087A72">
        <w:rPr>
          <w:rFonts w:cstheme="majorHAnsi"/>
          <w:sz w:val="16"/>
        </w:rPr>
        <w:t xml:space="preserve"> or different from is inextricably tied to </w:t>
      </w:r>
      <w:r w:rsidRPr="00087A72">
        <w:rPr>
          <w:rFonts w:cstheme="majorHAnsi"/>
          <w:b/>
          <w:u w:val="single"/>
        </w:rPr>
        <w:t>access, affordances, and annulments.</w:t>
      </w:r>
      <w:r w:rsidRPr="00087A72">
        <w:rPr>
          <w:rFonts w:cstheme="majorHAnsi"/>
          <w:sz w:val="16"/>
        </w:rPr>
        <w:t xml:space="preserve"> In Spinoza and Deleuze, </w:t>
      </w:r>
      <w:r w:rsidRPr="00087A72">
        <w:rPr>
          <w:rStyle w:val="Emphasis"/>
          <w:rFonts w:cstheme="majorHAnsi"/>
        </w:rPr>
        <w:t>alternatively, difference is immanent to life and</w:t>
      </w:r>
      <w:r w:rsidRPr="00087A72">
        <w:rPr>
          <w:rFonts w:cstheme="majorHAnsi"/>
          <w:sz w:val="16"/>
        </w:rPr>
        <w:t xml:space="preserve"> the </w:t>
      </w:r>
      <w:r w:rsidRPr="00087A72">
        <w:rPr>
          <w:rStyle w:val="Emphasis"/>
          <w:rFonts w:cstheme="majorHAnsi"/>
        </w:rPr>
        <w:t>affirmation of distinctiveness and singularity have the capacity to break up transcendent systems of organization.</w:t>
      </w:r>
      <w:r w:rsidRPr="00087A72">
        <w:rPr>
          <w:rFonts w:cstheme="majorHAnsi"/>
          <w:sz w:val="16"/>
        </w:rPr>
        <w:t xml:space="preserve"> Deleuze proposes that </w:t>
      </w:r>
      <w:r w:rsidRPr="00087A72">
        <w:rPr>
          <w:rFonts w:cstheme="majorHAnsi"/>
          <w:b/>
          <w:u w:val="single"/>
        </w:rPr>
        <w:t>catastrophe offers a new right to thought that can open up transcendence in such a way that one can actually apprehend</w:t>
      </w:r>
      <w:r w:rsidRPr="00087A72">
        <w:rPr>
          <w:rFonts w:cstheme="majorHAnsi"/>
          <w:sz w:val="16"/>
        </w:rPr>
        <w:t xml:space="preserve">, in at least an instance, </w:t>
      </w:r>
      <w:r w:rsidRPr="00087A72">
        <w:rPr>
          <w:rFonts w:cstheme="majorHAnsi"/>
          <w:b/>
          <w:u w:val="single"/>
        </w:rPr>
        <w:t>the whole of life as a system of interconnected forces and flows</w:t>
      </w:r>
      <w:r w:rsidRPr="00087A72">
        <w:rPr>
          <w:rFonts w:cstheme="majorHAnsi"/>
          <w:sz w:val="16"/>
        </w:rPr>
        <w:t xml:space="preserve">. This thought of </w:t>
      </w:r>
      <w:r w:rsidRPr="00087A72">
        <w:rPr>
          <w:rFonts w:cstheme="majorHAnsi"/>
          <w:b/>
          <w:u w:val="single"/>
        </w:rPr>
        <w:t xml:space="preserve">immanence is particularly useful to apprehend how colonialism naturalizes hierarchy and attempts to repress </w:t>
      </w:r>
      <w:r w:rsidRPr="00087A72">
        <w:rPr>
          <w:rFonts w:cstheme="majorHAnsi"/>
          <w:sz w:val="16"/>
        </w:rPr>
        <w:t xml:space="preserve">the infinitely </w:t>
      </w:r>
      <w:r w:rsidRPr="00087A72">
        <w:rPr>
          <w:rFonts w:cstheme="majorHAnsi"/>
          <w:b/>
          <w:u w:val="single"/>
        </w:rPr>
        <w:t>diverse</w:t>
      </w:r>
      <w:r w:rsidRPr="00087A72">
        <w:rPr>
          <w:rFonts w:cstheme="majorHAnsi"/>
          <w:sz w:val="16"/>
        </w:rPr>
        <w:t xml:space="preserve"> ways that the flows and </w:t>
      </w:r>
      <w:r w:rsidRPr="00087A72">
        <w:rPr>
          <w:rFonts w:cstheme="majorHAnsi"/>
          <w:b/>
          <w:u w:val="single"/>
        </w:rPr>
        <w:t>forces of life</w:t>
      </w:r>
      <w:r w:rsidRPr="00087A72">
        <w:rPr>
          <w:rFonts w:cstheme="majorHAnsi"/>
          <w:sz w:val="16"/>
        </w:rPr>
        <w:t xml:space="preserve"> continually reassemble. </w:t>
      </w:r>
      <w:r w:rsidRPr="00087A72">
        <w:rPr>
          <w:rStyle w:val="Emphasis"/>
          <w:rFonts w:cstheme="majorHAnsi"/>
        </w:rPr>
        <w:t>The quest is not to see any difference, but to see difference in itself – the complete singularity of an existent without reference to what it is not</w:t>
      </w:r>
      <w:r w:rsidRPr="00087A72">
        <w:rPr>
          <w:rFonts w:cstheme="majorHAnsi"/>
          <w:sz w:val="16"/>
        </w:rPr>
        <w:t xml:space="preserve">, what it lacks, </w:t>
      </w:r>
      <w:r w:rsidRPr="00087A72">
        <w:rPr>
          <w:rStyle w:val="Emphasis"/>
          <w:rFonts w:cstheme="majorHAnsi"/>
        </w:rPr>
        <w:t>or to any other set of abstract codes.</w:t>
      </w:r>
      <w:r w:rsidRPr="00087A72">
        <w:rPr>
          <w:rFonts w:cstheme="majorHAnsi"/>
          <w:b/>
          <w:sz w:val="16"/>
        </w:rPr>
        <w:t xml:space="preserve"> </w:t>
      </w:r>
      <w:r w:rsidRPr="00087A72">
        <w:rPr>
          <w:rFonts w:cstheme="majorHAnsi"/>
          <w:b/>
          <w:u w:val="single"/>
        </w:rPr>
        <w:t>Such a thought better sensitizes us to apprehending how current social structures and rationality work</w:t>
      </w:r>
      <w:r w:rsidRPr="00087A72">
        <w:rPr>
          <w:rFonts w:cstheme="majorHAnsi"/>
          <w:sz w:val="16"/>
        </w:rPr>
        <w:t xml:space="preserve"> to organize, prevent, extract, and control the living flows. Furthermore, </w:t>
      </w:r>
      <w:r w:rsidRPr="00087A72">
        <w:rPr>
          <w:rFonts w:cstheme="majorHAnsi"/>
          <w:b/>
          <w:u w:val="single"/>
        </w:rPr>
        <w:t>it allows us to glimpse the processes at work in the formation of our own subjectivities. We are not proposing</w:t>
      </w:r>
      <w:r w:rsidRPr="00087A72">
        <w:rPr>
          <w:rFonts w:cstheme="majorHAnsi"/>
          <w:sz w:val="16"/>
        </w:rPr>
        <w:t xml:space="preserve"> here that </w:t>
      </w:r>
      <w:r w:rsidRPr="00087A72">
        <w:rPr>
          <w:rFonts w:cstheme="majorHAnsi"/>
          <w:b/>
          <w:u w:val="single"/>
        </w:rPr>
        <w:t>living in immanence is an option.</w:t>
      </w:r>
      <w:r w:rsidRPr="00087A72">
        <w:rPr>
          <w:rFonts w:cstheme="majorHAnsi"/>
          <w:sz w:val="16"/>
        </w:rPr>
        <w:t xml:space="preserve"> </w:t>
      </w:r>
      <w:r w:rsidRPr="00087A72">
        <w:rPr>
          <w:rStyle w:val="Emphasis"/>
          <w:rFonts w:cstheme="majorHAnsi"/>
        </w:rPr>
        <w:t>We are proposing that life is immanence and that recognizing that fact can help us to map how the state, Western rationality, and settler subjects disfigure life</w:t>
      </w:r>
      <w:r w:rsidRPr="00087A72">
        <w:rPr>
          <w:rFonts w:cstheme="majorHAnsi"/>
          <w:sz w:val="16"/>
        </w:rPr>
        <w:t xml:space="preserve"> in order </w:t>
      </w:r>
      <w:r w:rsidRPr="00087A72">
        <w:rPr>
          <w:rStyle w:val="Emphasis"/>
          <w:rFonts w:cstheme="majorHAnsi"/>
        </w:rPr>
        <w:t>to extract from it what they need to extend themselves.</w:t>
      </w:r>
      <w:r w:rsidRPr="00087A72">
        <w:rPr>
          <w:rFonts w:cstheme="majorHAnsi"/>
          <w:sz w:val="16"/>
        </w:rPr>
        <w:t xml:space="preserve"> All transcendental, categorical, or universal settler principles are anathema to the immanent subjectivity that we are mapping here as their alternative. We therefore entirely reject the set of universal standards instituted, yet betrayed, in settler colonies by the state, church, and educational systems. We understand that the moralisms of the church, </w:t>
      </w:r>
      <w:r w:rsidRPr="00087A72">
        <w:rPr>
          <w:rFonts w:cstheme="majorHAnsi"/>
          <w:b/>
          <w:u w:val="single"/>
        </w:rPr>
        <w:t>the democratic promise of equality issued by the state</w:t>
      </w:r>
      <w:r w:rsidRPr="00087A72">
        <w:rPr>
          <w:rFonts w:cstheme="majorHAnsi"/>
          <w:sz w:val="16"/>
        </w:rPr>
        <w:t xml:space="preserve">, and the pseudo-science of the fields of anthropology, history, and psychiatry </w:t>
      </w:r>
      <w:r w:rsidRPr="00087A72">
        <w:rPr>
          <w:rFonts w:cstheme="majorHAnsi"/>
          <w:b/>
          <w:u w:val="single"/>
        </w:rPr>
        <w:t>are all founded on a transcendental image that has undermined Indigenous lives</w:t>
      </w:r>
      <w:r w:rsidRPr="00087A72">
        <w:rPr>
          <w:rFonts w:cstheme="majorHAnsi"/>
          <w:sz w:val="16"/>
        </w:rPr>
        <w:t xml:space="preserve"> and worldviews and marginalized immanent and revolutionary subjectivities. </w:t>
      </w:r>
      <w:r w:rsidRPr="00087A72">
        <w:rPr>
          <w:rStyle w:val="Emphasis"/>
          <w:rFonts w:cstheme="majorHAnsi"/>
        </w:rPr>
        <w:t>A new immanent settler subjectivity that rejects the dictates of a transcendental god, state, or knowledge moves toward an ethics of accountability</w:t>
      </w:r>
      <w:r w:rsidRPr="00087A72">
        <w:rPr>
          <w:rFonts w:cstheme="majorHAnsi"/>
          <w:sz w:val="16"/>
        </w:rPr>
        <w:t xml:space="preserve"> to the immanent relations that constitute it. </w:t>
      </w:r>
      <w:r w:rsidRPr="00087A72">
        <w:rPr>
          <w:rFonts w:cstheme="majorHAnsi"/>
          <w:b/>
          <w:u w:val="single"/>
        </w:rPr>
        <w:t xml:space="preserve">We seek to dislodge ourselves from the dominant power and change the effects of that power toward a collective community building and immanent auto-productivity. </w:t>
      </w:r>
      <w:r w:rsidRPr="00087A72">
        <w:rPr>
          <w:rStyle w:val="Emphasis"/>
          <w:rFonts w:cstheme="majorHAnsi"/>
        </w:rPr>
        <w:t>Such relationships</w:t>
      </w:r>
      <w:r w:rsidRPr="00087A72">
        <w:rPr>
          <w:rFonts w:cstheme="majorHAnsi"/>
          <w:sz w:val="16"/>
        </w:rPr>
        <w:t xml:space="preserve"> move alongside recognition politics by the state through laws and rights, but more critically </w:t>
      </w:r>
      <w:r w:rsidRPr="00087A72">
        <w:rPr>
          <w:rStyle w:val="Emphasis"/>
          <w:rFonts w:cstheme="majorHAnsi"/>
        </w:rPr>
        <w:t>act to undo the state’s power to subject others to rights and laws.</w:t>
      </w:r>
      <w:r w:rsidRPr="00087A72">
        <w:rPr>
          <w:rFonts w:cstheme="majorHAnsi"/>
          <w:sz w:val="16"/>
        </w:rPr>
        <w:t xml:space="preserve"> It is a call </w:t>
      </w:r>
      <w:r w:rsidRPr="00087A72">
        <w:rPr>
          <w:rStyle w:val="Emphasis"/>
          <w:rFonts w:cstheme="majorHAnsi"/>
        </w:rPr>
        <w:t>to rethink power, agency, and freedom through a situated accountability based on responsibility, allegiance, and affiliation.</w:t>
      </w:r>
      <w:r w:rsidRPr="00087A72">
        <w:rPr>
          <w:rFonts w:cstheme="majorHAnsi"/>
          <w:sz w:val="16"/>
        </w:rPr>
        <w:t xml:space="preserve"> Ethics here is about active forces and increasing relationality, affect, and capacity to act. It therefore calls for singularized mappings of power and responsible negotiations en route to a different world.</w:t>
      </w:r>
    </w:p>
    <w:p w:rsidR="00ED0FAD" w:rsidRPr="00087A72" w:rsidRDefault="00ED0FAD" w:rsidP="00ED0FAD">
      <w:pPr>
        <w:pStyle w:val="Heading4"/>
      </w:pPr>
      <w:r w:rsidRPr="00087A72">
        <w:t>Settler colonialism maintains itself through the everyday, repetitive acts of practices, presences, and speech acts. Loyalty to an ethic of decolonization requires a refusal of the affirmative as a repudiation of the Settler subject’s ongoing attempt to achieve the end of Indigenous life. Only by an iterative process of refusal can cultivate cracks in the Settler psyche.</w:t>
      </w:r>
    </w:p>
    <w:p w:rsidR="00ED0FAD" w:rsidRPr="00087A72" w:rsidRDefault="00ED0FAD" w:rsidP="00ED0FAD">
      <w:r w:rsidRPr="00087A72">
        <w:rPr>
          <w:rStyle w:val="Style13ptBold"/>
        </w:rPr>
        <w:t>Henderson 15</w:t>
      </w:r>
      <w:r w:rsidRPr="00087A72">
        <w:t xml:space="preserve"> (Phil, Doctoral Student at the University of Victoria "Imagoed communities: the psychosocial space of settler colonialism" Settler Colonial Studies DOI: 10.1080/2201473X.2015.1092194, pp. 10-14) NIJ</w:t>
      </w:r>
    </w:p>
    <w:p w:rsidR="00ED0FAD" w:rsidRPr="00087A72" w:rsidRDefault="00ED0FAD" w:rsidP="00ED0FAD">
      <w:pPr>
        <w:rPr>
          <w:sz w:val="12"/>
        </w:rPr>
      </w:pPr>
      <w:r w:rsidRPr="00087A72">
        <w:rPr>
          <w:sz w:val="12"/>
        </w:rPr>
        <w:t xml:space="preserve">Facing assertive indigenous presences within settler colonial spaces, </w:t>
      </w:r>
      <w:r w:rsidRPr="00087A72">
        <w:rPr>
          <w:rStyle w:val="Emphasis"/>
        </w:rPr>
        <w:t>settlers must answer the legitimate charge that their daily life – in all its banality – is predicated upon the privileges produced by ongoing genocide.</w:t>
      </w:r>
      <w:r w:rsidRPr="00087A72">
        <w:rPr>
          <w:sz w:val="12"/>
        </w:rPr>
        <w:t xml:space="preserve"> </w:t>
      </w:r>
      <w:r w:rsidRPr="00087A72">
        <w:rPr>
          <w:rStyle w:val="StyleUnderline"/>
        </w:rPr>
        <w:t>The jarring nature of such charges offers an irreconcilable challenge to settlers qua settlers.</w:t>
      </w:r>
      <w:r w:rsidRPr="00087A72">
        <w:rPr>
          <w:sz w:val="12"/>
        </w:rPr>
        <w:t xml:space="preserve">64 </w:t>
      </w:r>
      <w:r w:rsidRPr="00087A72">
        <w:rPr>
          <w:rStyle w:val="StyleUnderline"/>
        </w:rPr>
        <w:t>Should these charges become impossible to ignore, they threaten to explode the imago of settler colonialism, which had hitherto operated within the settler psyche in a relatively smooth and benign manner. This explosion is potentiated by the revelation of even a portion of the violence that is required to make settler life possible. If, for example, settlers are forced to see ‘their’ beach as a site of murder and ongoing colonization, it becomes more difficult to sustain it within the imaginary as a site of frivolity.</w:t>
      </w:r>
      <w:r w:rsidRPr="00087A72">
        <w:rPr>
          <w:sz w:val="12"/>
        </w:rPr>
        <w:t xml:space="preserve">65 As Brown writes, in the ‘loss of horizons, order, and identity’ the subject experiences a sense of enormous vulnerability.66 Threatened with this ‘loss of containment’, the settler subject embarks down the road to psychosis.67 Thus, to parlay Brown’s thesis to the settler colonial context, </w:t>
      </w:r>
      <w:r w:rsidRPr="00087A72">
        <w:rPr>
          <w:rStyle w:val="StyleUnderline"/>
        </w:rPr>
        <w:t>the uncontrollable rage that indigenous presences induce within the settler is not evidence of the strength of settlers, but rather of a subject lashing out on the brink of its own dissolution. This panic – this rabid and insatiable anger – is always already at the core of the settler as a subject.</w:t>
      </w:r>
      <w:r w:rsidRPr="00087A72">
        <w:rPr>
          <w:sz w:val="12"/>
        </w:rPr>
        <w:t xml:space="preserve"> As Lorenzo Veracini observes, </w:t>
      </w:r>
      <w:r w:rsidRPr="00087A72">
        <w:rPr>
          <w:rStyle w:val="StyleUnderline"/>
        </w:rPr>
        <w:t xml:space="preserve">the settler necessarily remains in a disposition of aggression ‘even after indigenous alterities have ceased to be threatening’. </w:t>
      </w:r>
      <w:r w:rsidRPr="00087A72">
        <w:rPr>
          <w:sz w:val="12"/>
        </w:rPr>
        <w:t xml:space="preserve">68 </w:t>
      </w:r>
      <w:r w:rsidRPr="00087A72">
        <w:rPr>
          <w:rStyle w:val="StyleUnderline"/>
        </w:rPr>
        <w:t>This disposition results from the precarity inherent in the maintenance of settler colonialism’s imago, wherein any and all indigenous presences threaten subjective dissolution of the settler as such.</w:t>
      </w:r>
      <w:r w:rsidRPr="00087A72">
        <w:rPr>
          <w:sz w:val="12"/>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w:t>
      </w:r>
      <w:r w:rsidRPr="00087A72">
        <w:rPr>
          <w:rStyle w:val="StyleUnderline"/>
        </w:rPr>
        <w:t>Their desire to produce a firm imago means that settlers are also always already in a psychically defensive position – that is, the settler’s offensive position</w:t>
      </w:r>
      <w:r w:rsidRPr="00087A72">
        <w:rPr>
          <w:sz w:val="12"/>
        </w:rPr>
        <w:t xml:space="preserve"> on occupied land </w:t>
      </w:r>
      <w:r w:rsidRPr="00087A72">
        <w:rPr>
          <w:rStyle w:val="StyleUnderline"/>
        </w:rPr>
        <w:t>is sustained through a defensive posture. For while settlers desire the total erasure of indigenous populations, the attendant desire to disappear their own identity as settlers necessitates the suppression of both desires, if the subject’s reliance on settler colonial power structure is to be psychically naturalized. Settlers’ reactions to indigenous peoples fit, almost universally, with the two ego defense responses</w:t>
      </w:r>
      <w:r w:rsidRPr="00087A72">
        <w:rPr>
          <w:sz w:val="12"/>
        </w:rPr>
        <w:t xml:space="preserve"> that Sigmund Freud observed. </w:t>
      </w:r>
      <w:r w:rsidRPr="00087A72">
        <w:rPr>
          <w:rStyle w:val="StyleUnderline"/>
        </w:rPr>
        <w:t>The first of these defenses is to attempt a complete conversion of the suppressed desire into a new idea.</w:t>
      </w:r>
      <w:r w:rsidRPr="00087A72">
        <w:rPr>
          <w:sz w:val="12"/>
        </w:rPr>
        <w:t xml:space="preserve"> In settler colonial contexts, </w:t>
      </w:r>
      <w:r w:rsidRPr="00087A72">
        <w:rPr>
          <w:rStyle w:val="StyleUnderline"/>
        </w:rPr>
        <w:t xml:space="preserve">this requires averting attention from the violence of dispossession; as such, settlers often suggest that they aim to create a ‘city on the hill’. </w:t>
      </w:r>
      <w:r w:rsidRPr="00087A72">
        <w:rPr>
          <w:sz w:val="12"/>
        </w:rPr>
        <w:t xml:space="preserve">70 Freud noted that </w:t>
      </w:r>
      <w:r w:rsidRPr="00087A72">
        <w:rPr>
          <w:rStyle w:val="StyleUnderline"/>
        </w:rPr>
        <w:t>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w:t>
      </w:r>
      <w:r w:rsidRPr="00087A72">
        <w:rPr>
          <w:sz w:val="12"/>
        </w:rPr>
        <w:t xml:space="preserve">71 As we have already seen, </w:t>
      </w:r>
      <w:r w:rsidRPr="00087A72">
        <w:rPr>
          <w:rStyle w:val="StyleUnderline"/>
        </w:rPr>
        <w:t>this obsession at once solidifies the power of the settler state, thereby naturalizing the settler and simultaneously perpetuating the processes of erasing indigenous peoples.</w:t>
      </w:r>
      <w:r w:rsidRPr="00087A72">
        <w:rPr>
          <w:sz w:val="12"/>
        </w:rPr>
        <w:t xml:space="preserve"> Psychic defenses are intended to secure the subject from pain, and whether that pain originates inside or outside the psyche is inconsequential. Because of the threat that indigeneity presents to the phantasmatic wholeness of settler colonialism, settlers must always remain suspended in a state of arrested development between these defensive positions. Despite any pretensions to the contrary, </w:t>
      </w:r>
      <w:r w:rsidRPr="00087A72">
        <w:rPr>
          <w:rStyle w:val="StyleUnderline"/>
        </w:rPr>
        <w:t>the settler is necessarily a parochial subject who continuously coils, reacts, disavows, and lashes out, when confronted with his dependency on indigenous peoples and their territory.</w:t>
      </w:r>
      <w:r w:rsidRPr="00087A72">
        <w:rPr>
          <w:sz w:val="12"/>
        </w:rPr>
        <w:t xml:space="preserve">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w:t>
      </w:r>
      <w:r w:rsidRPr="00087A72">
        <w:rPr>
          <w:rStyle w:val="StyleUnderline"/>
        </w:rPr>
        <w:t xml:space="preserve"> </w:t>
      </w:r>
      <w:r w:rsidRPr="00087A72">
        <w:rPr>
          <w:rStyle w:val="Emphasis"/>
        </w:rPr>
        <w:t xml:space="preserve">decolonization must include an analysis of the dominant ‘self-disciplining colonial subject’. </w:t>
      </w:r>
      <w:r w:rsidRPr="00087A72">
        <w:rPr>
          <w:sz w:val="12"/>
        </w:rPr>
        <w:t xml:space="preserve">73 However, as this discussion of subjective precarity demonstrates, the degree of to which these disciplinary or phenomenological processes are complete should not be overstated. For settler-allies must also examine and cultivate the ways in which settler subjects fail to be totally disciplined. Evidence of this incompletion is apparent in the subject’s arrested state of development. </w:t>
      </w:r>
      <w:r w:rsidRPr="00087A72">
        <w:rPr>
          <w:rStyle w:val="StyleUnderline"/>
        </w:rPr>
        <w:t xml:space="preserve">Discovering the instability at the core of the settler subject, indeed of all subjects, is the central conceit of psychoanalysis. </w:t>
      </w:r>
      <w:r w:rsidRPr="00087A72">
        <w:rPr>
          <w:sz w:val="12"/>
        </w:rPr>
        <w:t xml:space="preserve">This exception of at least partial failure to fully subjectivize the settler is also what sets my account apart from Rifkin’s. His phenomenology falls into the trap that Jacqueline Rose observes within many sociological accounts of the subject: that of assuming a successful internalization of norms. From the psychoanalytical perspective, </w:t>
      </w:r>
      <w:r w:rsidRPr="00087A72">
        <w:rPr>
          <w:rStyle w:val="StyleUnderline"/>
        </w:rPr>
        <w:t>the ‘unconscious constantly reveals the “failure”’ of internalization.</w:t>
      </w:r>
      <w:r w:rsidRPr="00087A72">
        <w:rPr>
          <w:sz w:val="12"/>
        </w:rPr>
        <w:t xml:space="preserve">74 As we have seen, </w:t>
      </w:r>
      <w:r w:rsidRPr="00087A72">
        <w:rPr>
          <w:rStyle w:val="StyleUnderline"/>
        </w:rPr>
        <w:t>within settler subjects this can be expressed as an irrational anxiety that expresses itself whenever a settler is confronted with the facts regarding their colonizing status. Under conditions of total subjectification, such charges ought to be unintelligible to the settler.</w:t>
      </w:r>
      <w:r w:rsidRPr="00087A72">
        <w:rPr>
          <w:sz w:val="12"/>
        </w:rPr>
        <w:t xml:space="preserve"> Thus, </w:t>
      </w:r>
      <w:r w:rsidRPr="00087A72">
        <w:rPr>
          <w:rStyle w:val="StyleUnderline"/>
        </w:rPr>
        <w:t>the process of subject formation is always in slippage and never totalized as others might suggest.</w:t>
      </w:r>
      <w:r w:rsidRPr="00087A72">
        <w:rPr>
          <w:sz w:val="12"/>
        </w:rPr>
        <w:t xml:space="preserve">75 </w:t>
      </w:r>
      <w:r w:rsidRPr="00087A72">
        <w:rPr>
          <w:rStyle w:val="Emphasis"/>
        </w:rPr>
        <w:t>Because of this precarity, the settler subject is prone to violence and lashing out; but the subject in slippage also provides an avenue by which the process of settler colonialism can be subverted – creating cracks in a phantasmatic wholeness which can be opened wider.</w:t>
      </w:r>
      <w:r w:rsidRPr="00087A72">
        <w:rPr>
          <w:sz w:val="12"/>
        </w:rPr>
        <w:t xml:space="preserve"> Breakages of this sort offer an opportunity to pursue what Paulette Regan calls a ‘restorying’ of settler colonial history and culture, to decanter settler mythologies built upon and within the dispossession of indigenous peoples.76 </w:t>
      </w:r>
      <w:r w:rsidRPr="00087A72">
        <w:rPr>
          <w:rStyle w:val="Emphasis"/>
        </w:rPr>
        <w:t>The cultivation of these cracks is a necessary part of decolonizing work, as it continues to panic and thus to destabilize settler subjects. Resistance to settler colonialism</w:t>
      </w:r>
      <w:r w:rsidRPr="00087A72">
        <w:rPr>
          <w:sz w:val="12"/>
        </w:rPr>
        <w:t xml:space="preserve"> does not occur only in highly visible moments like the famous conflict at Kanesatake and Kahnawake,77 it also </w:t>
      </w:r>
      <w:r w:rsidRPr="00087A72">
        <w:rPr>
          <w:rStyle w:val="Emphasis"/>
        </w:rPr>
        <w:t>occurs in reiterative and disruptive practices, presences, and speech acts.</w:t>
      </w:r>
      <w:r w:rsidRPr="00087A72">
        <w:rPr>
          <w:sz w:val="12"/>
        </w:rPr>
        <w:t xml:space="preserve"> Goeman correctly observes that </w:t>
      </w:r>
      <w:r w:rsidRPr="00087A72">
        <w:rPr>
          <w:rStyle w:val="Emphasis"/>
        </w:rPr>
        <w:t>the ‘repetitive practices of everyday life’ are what give settler spaces their meaning, as they provide a degree of naturalness to the settler imago and its psychic investments.</w:t>
      </w:r>
      <w:r w:rsidRPr="00087A72">
        <w:rPr>
          <w:sz w:val="12"/>
        </w:rPr>
        <w:t xml:space="preserve">78 As such, </w:t>
      </w:r>
      <w:r w:rsidRPr="00087A72">
        <w:rPr>
          <w:rStyle w:val="StyleUnderline"/>
        </w:rPr>
        <w:t xml:space="preserve">to disrupt the ease of these repetitions is at once to striate radically the otherwise smooth spaces of settler colonialism and also to disrupt the easy (re)production of the settler subject. </w:t>
      </w:r>
      <w:r w:rsidRPr="00087A72">
        <w:rPr>
          <w:sz w:val="12"/>
        </w:rPr>
        <w:t xml:space="preserve">Goeman calls these subversive acts the ‘micro-politics of resistance’, which historically took the form of ‘moving fences, not cooperating with census enumerators, sometimes disrupting survey parties’ amongst other process.79 These acts panic the subject that is disciplined as a product of settler colonial power, by forcing encounters with the sovereign indigenous peoples that were imagined to be gone. This reveals to the settler, if only fleetingly, the violence that founds and sustains the settler colonial relationship. While such practices may not overthrow the settler colonial system, they do subvert its logics by insistently drawing attention to the ongoing presence of indigenous peoples who refuse erasure. 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Island.80 The micro-politics of the movement strengthen indigenous subjects and their spatialities, while leaving an indelible imprint in the settler psyche. Predictably, rage and resentment were provoked in some settlers;81 however, Idle No More also drew thousands of settler-allies into the streets and renewed conversations about the necessity of nation-to-nation relationships. With settler colonial spaces disrupted and a relationship of domination made impossible to ignore, in the tradition of centuries of indigenous resistance, Idle No More put the settler subject into serious flux once more. Conclusion Settler colonialism has been distinguished from colonialism proper by what Wolfe calls its ‘logic of elimination’, which requires the erasure of indigenous peoples from the colonized territory. This is accomplished through a variety of mechanisms that range from outright violence to policies of gradual elimination. Ultimately, </w:t>
      </w:r>
      <w:r w:rsidRPr="00087A72">
        <w:rPr>
          <w:rStyle w:val="StyleUnderline"/>
        </w:rPr>
        <w:t xml:space="preserve">settler colonialism is perpetuated through a double move: to erase indigenous peoples and then to disappear settlers by naturalizing the violence inherent their existence in colonized territory. </w:t>
      </w:r>
      <w:r w:rsidRPr="00087A72">
        <w:rPr>
          <w:sz w:val="12"/>
        </w:rPr>
        <w:t xml:space="preserve">This is accomplished through the production of spatialities bereft of indigeneity. Out of this spatial logic, an imago of settler society is produced that binds settlers both psychically and socially to each other and to the colonized spaces. </w:t>
      </w:r>
      <w:r w:rsidRPr="00087A72">
        <w:rPr>
          <w:rStyle w:val="StyleUnderline"/>
        </w:rPr>
        <w:t>The continual (re)production of a settler colonial imago is necessary to secure the psychic horizons of the settler subject; it is also inextricably bound up with an insatiable need to constantly renew the erasure of indigenous peoples.</w:t>
      </w:r>
      <w:r w:rsidRPr="00087A72">
        <w:rPr>
          <w:sz w:val="12"/>
        </w:rPr>
        <w:t xml:space="preserve"> Thus, in order to secure its continued survival as a subject, the settler must always strive to maintain the conditions of settler colonialism. </w:t>
      </w:r>
      <w:r w:rsidRPr="00087A72">
        <w:rPr>
          <w:rStyle w:val="Emphasis"/>
        </w:rPr>
        <w:t>Total erasure of indigeneity is the grotesque desire of the settler that must be constantly disrupted.</w:t>
      </w:r>
      <w:r w:rsidRPr="00087A72">
        <w:rPr>
          <w:sz w:val="12"/>
        </w:rPr>
        <w:t xml:space="preserve"> Where indigenous peoples have persisted as an insurgent presence in the settler imago, they are always already threatening this disruption of the settler subject at its very core. </w:t>
      </w:r>
      <w:r w:rsidRPr="00087A72">
        <w:rPr>
          <w:rStyle w:val="StyleUnderline"/>
        </w:rPr>
        <w:t>For while the affirmation of indigeneity can induce panic, and subsequently rage, in the settler, it also opens a crack within the imago – that is, within the settler subject itself – through which an ethic of decolonization can emerge.</w:t>
      </w:r>
      <w:r w:rsidRPr="00087A72">
        <w:rPr>
          <w:sz w:val="12"/>
        </w:rPr>
        <w:t xml:space="preserve"> While it seems that settler colonialism is propelled by a tightly circuitous movement of subject formation, projection, and (re)formation, the presence of indigenous peoples in ongoing and sovereign relationship with the land serves as a powerful blockage of to the smoothness of this process.</w:t>
      </w:r>
    </w:p>
    <w:p w:rsidR="009556BB" w:rsidRPr="00087A72" w:rsidRDefault="009556BB" w:rsidP="009556BB">
      <w:pPr>
        <w:pStyle w:val="Heading3"/>
      </w:pPr>
      <w:r w:rsidRPr="00087A72">
        <w:t>1NC – SP3 (No Borders)</w:t>
      </w:r>
    </w:p>
    <w:p w:rsidR="00030ACD" w:rsidRPr="00087A72" w:rsidRDefault="00030ACD" w:rsidP="00030ACD">
      <w:pPr>
        <w:pStyle w:val="Heading4"/>
      </w:pPr>
      <w:r w:rsidRPr="00087A72">
        <w:t>The genocide of the Native is the quilting point for the signifiers “politics” and “subjectivity” to adhere itself to meaning. However, unable to obtain perfect completion—that more perfect union—the Political becomes an accelerating cycle of death driven violence against the Native.</w:t>
      </w:r>
    </w:p>
    <w:p w:rsidR="00030ACD" w:rsidRPr="00087A72" w:rsidRDefault="00030ACD" w:rsidP="00030ACD">
      <w:r w:rsidRPr="00087A72">
        <w:rPr>
          <w:rStyle w:val="Style13ptBold"/>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95-100) NIJ</w:t>
      </w:r>
    </w:p>
    <w:p w:rsidR="00030ACD" w:rsidRPr="00087A72" w:rsidRDefault="00030ACD" w:rsidP="00030ACD">
      <w:pPr>
        <w:rPr>
          <w:sz w:val="12"/>
        </w:rPr>
      </w:pPr>
      <w:r w:rsidRPr="00087A72">
        <w:rPr>
          <w:sz w:val="12"/>
        </w:rPr>
        <w:t xml:space="preserve">Whiteness, the Child, and the Logics of Futurity Against the politicized topographies and temporalities of indigeneity and race, I now move into a consideration of the contributions of psychoanalytic theory to the questions of politics and time presented thus far. </w:t>
      </w:r>
      <w:r w:rsidRPr="00087A72">
        <w:rPr>
          <w:rStyle w:val="StyleUnderline"/>
        </w:rPr>
        <w:t>The kinds of questions psychoanalysis is interested in asking, the registers upon which it performs analysis, and its unique emphasis on temporality, language, and difference provide an excellent conceptual apparatus through which we might begin to trouble/problematize stable, taken-for-granted oppositions between psychic and social, personal and political, self and other.</w:t>
      </w:r>
      <w:r w:rsidRPr="00087A72">
        <w:rPr>
          <w:sz w:val="12"/>
        </w:rPr>
        <w:t xml:space="preserve"> Freud’s interest in time is evident in his work on the uncanny, and in his inaugural work on what we might now call trauma studies and conditions we now call post-traumatic stress disorder (PTSD). For Freud, this theory of hysteria introduces a provocative temporality in which traumatic events reoccur, flashing up in perfect replication of themselves, as though happening again and again. In his diagnosis of so-called shell-shocked soldiers returning from World War I, Freud was keenly aware that time did not always progress along an even plane. Though Freud’s analysis of trauma is captivating and critically rich, it is not within my purview here to take on the full extent of this scholarship. Instead, what is most salient to my analysis are the capacities of psychoanalytic theory to move critique outside and beyond prevailing notions of time and narratives of progress that only mean moving forward. This chapter writes from a stance that views it as imperative that scholarship reaches beyond, and thinks outside, the paradigms that invented it. </w:t>
      </w:r>
      <w:r w:rsidRPr="00087A72">
        <w:rPr>
          <w:rStyle w:val="StyleUnderline"/>
        </w:rPr>
        <w:t>Psychoanalytic theory, with its idiosyncratic temporal logics</w:t>
      </w:r>
      <w:r w:rsidRPr="00087A72">
        <w:rPr>
          <w:sz w:val="12"/>
        </w:rPr>
        <w:t>—particularly in conjunction with Foucauldian theory—</w:t>
      </w:r>
      <w:r w:rsidRPr="00087A72">
        <w:rPr>
          <w:rStyle w:val="StyleUnderline"/>
        </w:rPr>
        <w:t>offers a productive and robust way to critique the continuing primacy of normative disciplines whose chronologics have historically warranted a politics that kills in the name of life. Such an approach allows us to hold in productive tension any definition of “the political” as stable and finite, with—as in the case of liberal political philosophy—the legally constructed “person” as its primary epistemological unit. This conceptual capacity of psychoanalysis</w:t>
      </w:r>
      <w:r w:rsidRPr="00087A72">
        <w:rPr>
          <w:sz w:val="12"/>
        </w:rPr>
        <w:t xml:space="preserve">, in turn, </w:t>
      </w:r>
      <w:r w:rsidRPr="00087A72">
        <w:rPr>
          <w:rStyle w:val="StyleUnderline"/>
        </w:rPr>
        <w:t>allows us to politicize a form of life and modality of corporeal personhood hitherto constructed as what</w:t>
      </w:r>
      <w:r w:rsidRPr="00087A72">
        <w:rPr>
          <w:sz w:val="12"/>
        </w:rPr>
        <w:t xml:space="preserve">, in Bataillean parlance, </w:t>
      </w:r>
      <w:r w:rsidRPr="00087A72">
        <w:rPr>
          <w:rStyle w:val="StyleUnderline"/>
        </w:rPr>
        <w:t>we might call colonialism’s accursed share—colonialism’s pure waste.</w:t>
      </w:r>
      <w:r w:rsidRPr="00087A72">
        <w:rPr>
          <w:sz w:val="12"/>
        </w:rPr>
        <w:t xml:space="preserve"> Additionally, </w:t>
      </w:r>
      <w:r w:rsidRPr="00087A72">
        <w:rPr>
          <w:rStyle w:val="StyleUnderline"/>
        </w:rPr>
        <w:t>psychoanalytic notions of the death drive, whose proper movement is explicitly circular, allows us to begin to locate the child within logics of futurity, onto which is laminated a kind of indelible whiteness.</w:t>
      </w:r>
      <w:r w:rsidRPr="00087A72">
        <w:rPr>
          <w:sz w:val="12"/>
        </w:rPr>
        <w:t xml:space="preserve"> For the purpose of my analysis I engage Lacanian psychoanalysis, limiting myself to a consideration of the structure of the drives and to a Lacanian conceptualization of language, and its role in the formation of self and the suturing of the psyche to sociality. Freud, as Teresa De Lauretis (2008) emphasizes, elaborated the death drive between the First and Second World Wars, in a Europe living “under the shadow of death and the threat of biological and cultural genocide” (1). Situating her analysis of the death drive in the contemporary moment, De Lauretis points to this contextual, historical darkening, writing: “I wonder whether our epistemologies can sustain the impact of the real … If I return to Freud’s notion of an unconscious death drive, it is because it conveys the sense and the force of something in human reality that resists discursive articulation as well as political diplomacy, an otherness that haunts the dream of a common world” (9). Using psychoanalysis as reading practice, Freud’s suspicion that human life, both individual and social, is compromised from the beginning by something that undermines it, works against it, is (darkly?) generative. </w:t>
      </w:r>
      <w:r w:rsidRPr="00087A72">
        <w:rPr>
          <w:rStyle w:val="StyleUnderline"/>
        </w:rPr>
        <w:t>The death drive indicates a tension bordering psychic and libidinal relations, which marks Freud’s radical break with Cartesian rationality and points to a negativity that counteracts the optimistic affirmations of human perfectability. This dimension of radical negativity cannot be reduced to an expression of alienated social conditions, nor is it entirely something the body does on its own.</w:t>
      </w:r>
      <w:r w:rsidRPr="00087A72">
        <w:rPr>
          <w:sz w:val="12"/>
        </w:rPr>
        <w:t xml:space="preserve"> Theorized as the destruction drive, the antagonism drive, or sometimes, simply “the drive,” </w:t>
      </w:r>
      <w:r w:rsidRPr="00087A72">
        <w:rPr>
          <w:rStyle w:val="StyleUnderline"/>
        </w:rPr>
        <w:t>it is impossible to escape.</w:t>
      </w:r>
      <w:r w:rsidRPr="00087A72">
        <w:rPr>
          <w:sz w:val="12"/>
        </w:rPr>
        <w:t xml:space="preserve"> In psychoanalytic theory, therefore, particularly in the clinical setting, </w:t>
      </w:r>
      <w:r w:rsidRPr="00087A72">
        <w:rPr>
          <w:rStyle w:val="StyleUnderline"/>
        </w:rPr>
        <w:t>the objective is not to overcome the drive, but rather to come to terms with it, in</w:t>
      </w:r>
      <w:r w:rsidRPr="00087A72">
        <w:rPr>
          <w:sz w:val="12"/>
        </w:rPr>
        <w:t xml:space="preserve"> what Slovenian Lacanian psychoanalytic theorist Slavoj Žižek (1989) calls </w:t>
      </w:r>
      <w:r w:rsidRPr="00087A72">
        <w:rPr>
          <w:rStyle w:val="StyleUnderline"/>
        </w:rPr>
        <w:t xml:space="preserve">“its terrifying dimension” </w:t>
      </w:r>
      <w:r w:rsidRPr="00087A72">
        <w:rPr>
          <w:sz w:val="12"/>
        </w:rPr>
        <w:t xml:space="preserve">(4). </w:t>
      </w:r>
      <w:r w:rsidRPr="00087A72">
        <w:rPr>
          <w:rStyle w:val="StyleUnderline"/>
        </w:rPr>
        <w:t>It is a fundamental axiom of Lacanian psychoanalytic theory that attempts to abolish the drive antagonism are precisely the source of totalitarian temptation.</w:t>
      </w:r>
      <w:r w:rsidRPr="00087A72">
        <w:rPr>
          <w:sz w:val="12"/>
        </w:rPr>
        <w:t xml:space="preserve"> Žižek writes: </w:t>
      </w:r>
      <w:r w:rsidRPr="00087A72">
        <w:rPr>
          <w:rStyle w:val="StyleUnderline"/>
        </w:rPr>
        <w:t>“The greatest mass murders and holocausts have always been perpetrated in the name of man as harmonious being, of a New Man without antagonistic tension”</w:t>
      </w:r>
      <w:r w:rsidRPr="00087A72">
        <w:rPr>
          <w:sz w:val="12"/>
        </w:rPr>
        <w:t xml:space="preserve"> (5). </w:t>
      </w:r>
      <w:r w:rsidRPr="00087A72">
        <w:rPr>
          <w:rStyle w:val="StyleUnderline"/>
        </w:rPr>
        <w:t>So it is that</w:t>
      </w:r>
      <w:r w:rsidRPr="00087A72">
        <w:rPr>
          <w:sz w:val="12"/>
        </w:rPr>
        <w:t xml:space="preserve"> one of Canada’s greatest atrocities— </w:t>
      </w:r>
      <w:r w:rsidRPr="00087A72">
        <w:rPr>
          <w:rStyle w:val="StyleUnderline"/>
        </w:rPr>
        <w:t>the genocide of its First Peoples—took place in the name o</w:t>
      </w:r>
      <w:r w:rsidRPr="00087A72">
        <w:rPr>
          <w:sz w:val="12"/>
        </w:rPr>
        <w:t xml:space="preserve">f Canada itself, that sought </w:t>
      </w:r>
      <w:r w:rsidRPr="00087A72">
        <w:rPr>
          <w:rStyle w:val="StyleUnderline"/>
        </w:rPr>
        <w:t>progress and unification as a single body politic with claims on a shared futurity.</w:t>
      </w:r>
      <w:r w:rsidRPr="00087A72">
        <w:rPr>
          <w:sz w:val="12"/>
        </w:rPr>
        <w:t xml:space="preserve"> The fulfillment of this destiny relied upon the negation of the other, the bad race, the dangerous race, the race that stood outside the purview of the norm and had no share in its time-zone, the ones called to live in the between space—as nobody. </w:t>
      </w:r>
      <w:r w:rsidRPr="00087A72">
        <w:rPr>
          <w:rStyle w:val="StyleUnderline"/>
        </w:rPr>
        <w:t>As the relatively more benign civilization policies failed to convert Aboriginal forms of life into separate but civilized</w:t>
      </w:r>
      <w:r w:rsidRPr="00087A72">
        <w:rPr>
          <w:sz w:val="12"/>
        </w:rPr>
        <w:t xml:space="preserve">, Christian communities on reserves, </w:t>
      </w:r>
      <w:r w:rsidRPr="00087A72">
        <w:rPr>
          <w:rStyle w:val="StyleUnderline"/>
        </w:rPr>
        <w:t>the federal government intensified its tactics. Policies became more aggressive. As these more aggressive policies</w:t>
      </w:r>
      <w:r w:rsidRPr="00087A72">
        <w:rPr>
          <w:sz w:val="12"/>
        </w:rPr>
        <w:t xml:space="preserve"> (such as enfranchisement) </w:t>
      </w:r>
      <w:r w:rsidRPr="00087A72">
        <w:rPr>
          <w:rStyle w:val="StyleUnderline"/>
        </w:rPr>
        <w:t>also failed, the federal government intensified its tactics once again, escalating the stakes and the strategies towards the horizon of assimilation. This ‘doubling down’ in the face of failure is a primary trace effect of the death drive, and indeed, it is not unreasonable to argue that the federal government Indian policy has, since confederation, been death driven. Because the aim of fully eradicating the otherness of the other can only fail</w:t>
      </w:r>
      <w:r w:rsidRPr="00087A72">
        <w:rPr>
          <w:sz w:val="12"/>
        </w:rPr>
        <w:t>—in Freudian parlance, it cannot be mastered—</w:t>
      </w:r>
      <w:r w:rsidRPr="00087A72">
        <w:rPr>
          <w:rStyle w:val="StyleUnderline"/>
        </w:rPr>
        <w:t>the trajectory of the aiming turns in a circularity, orbiting around that which can never be had: perfection. Caught in death drive circularity, the aiming towards the objective</w:t>
      </w:r>
      <w:r w:rsidRPr="00087A72">
        <w:rPr>
          <w:sz w:val="12"/>
        </w:rPr>
        <w:t xml:space="preserve"> (i.e. a unified body politic) </w:t>
      </w:r>
      <w:r w:rsidRPr="00087A72">
        <w:rPr>
          <w:rStyle w:val="StyleUnderline"/>
        </w:rPr>
        <w:t>authorizes, and indeed recruits, escalating violence in the interest of—finally—closing the open.</w:t>
      </w:r>
      <w:r w:rsidRPr="00087A72">
        <w:rPr>
          <w:sz w:val="12"/>
        </w:rPr>
        <w:t xml:space="preserve"> For Žižek, </w:t>
      </w:r>
      <w:r w:rsidRPr="00087A72">
        <w:rPr>
          <w:rStyle w:val="StyleUnderline"/>
        </w:rPr>
        <w:t>this compulsive ‘doubling-down’ in the face of failure to arrive at the impossible horizon of perfection tips towards totalitarian temptation, which</w:t>
      </w:r>
      <w:r w:rsidRPr="00087A72">
        <w:rPr>
          <w:sz w:val="12"/>
        </w:rPr>
        <w:t xml:space="preserve">, he tells us, </w:t>
      </w:r>
      <w:r w:rsidRPr="00087A72">
        <w:rPr>
          <w:rStyle w:val="StyleUnderline"/>
        </w:rPr>
        <w:t>is implicated in the drive to unify a singular body politic, a new man without antagonistic tension. The drive aims for the return to a moment of unity before the intrusion of language and the entrance of the subject into what Lacan calls the Symbolic—the universe of symbols in which all human subjects share. Because this economy of signifiers operates through a modality of difference by association, on the premise that language does not reflect or carry within it universal a priori meaning, spirit, or Truth, signifiers are always and already sliding along a chain of signification that is never truly fixed.</w:t>
      </w:r>
      <w:r w:rsidRPr="00087A72">
        <w:rPr>
          <w:sz w:val="12"/>
        </w:rPr>
        <w:t xml:space="preserve"> Rather, for Lacan, </w:t>
      </w:r>
      <w:r w:rsidRPr="00087A72">
        <w:rPr>
          <w:rStyle w:val="StyleUnderline"/>
        </w:rPr>
        <w:t>meaning is constructed through quilting points, durable concepts that affix ideas to their signifiers and which, in their durability, structure entire fields of meaning.</w:t>
      </w:r>
      <w:r w:rsidRPr="00087A72">
        <w:rPr>
          <w:sz w:val="12"/>
        </w:rPr>
        <w:t xml:space="preserve"> For Lacan, </w:t>
      </w:r>
      <w:r w:rsidRPr="00087A72">
        <w:rPr>
          <w:rStyle w:val="StyleUnderline"/>
        </w:rPr>
        <w:t>subjects are formed by their entrance into this system of sliding difference from a pre-linguistic state retroactively constructed through nostalgic affective associations with unity, perfection, and completion. The loss or lack occurs in the imaginary, the order of presence and absence, and is formalized in the symbolic. This is experienced by the subject as a loss of that to which she/he can never again return, but for which she/he perpetually yearns, and toward which she/he perpetually moves. The circularity of movement toward this impossible horizon is precisely the movement of the drive.</w:t>
      </w:r>
      <w:r w:rsidRPr="00087A72">
        <w:rPr>
          <w:sz w:val="12"/>
        </w:rPr>
        <w:t xml:space="preserve"> It is my argument that the concept of </w:t>
      </w:r>
      <w:r w:rsidRPr="00087A72">
        <w:rPr>
          <w:rStyle w:val="Emphasis"/>
        </w:rPr>
        <w:t>“the Indian” is a quilting point through which the field of politics</w:t>
      </w:r>
      <w:r w:rsidRPr="00087A72">
        <w:rPr>
          <w:sz w:val="12"/>
        </w:rPr>
        <w:t xml:space="preserve"> in Canada </w:t>
      </w:r>
      <w:r w:rsidRPr="00087A72">
        <w:rPr>
          <w:rStyle w:val="Emphasis"/>
        </w:rPr>
        <w:t>is sutured into signification, a durable concept that organizes the meaning of nation, citizen, sovereignty, and subjecthood.</w:t>
      </w:r>
      <w:r w:rsidRPr="00087A72">
        <w:rPr>
          <w:sz w:val="12"/>
        </w:rPr>
        <w:t xml:space="preserve"> Further, </w:t>
      </w:r>
      <w:r w:rsidRPr="00087A72">
        <w:rPr>
          <w:rStyle w:val="StyleUnderline"/>
        </w:rPr>
        <w:t>the hypoxic vision of national unity and a harmonious white(ned) citizenry is a movement propelled by the drive, a circularity impelled by the belief that what is lacking in the present can be made good in the future—an imaginary that activates/harnesses a kind of libidinal energy that is, by its very nature, inexhaustible. It matters, in the instance of the</w:t>
      </w:r>
      <w:r w:rsidRPr="00087A72">
        <w:rPr>
          <w:sz w:val="12"/>
        </w:rPr>
        <w:t xml:space="preserve"> Canadian </w:t>
      </w:r>
      <w:r w:rsidRPr="00087A72">
        <w:rPr>
          <w:rStyle w:val="StyleUnderline"/>
        </w:rPr>
        <w:t>Indian Residential Schools</w:t>
      </w:r>
      <w:r w:rsidRPr="00087A72">
        <w:rPr>
          <w:sz w:val="12"/>
        </w:rPr>
        <w:t xml:space="preserve"> and their mandate, </w:t>
      </w:r>
      <w:r w:rsidRPr="00087A72">
        <w:rPr>
          <w:rStyle w:val="StyleUnderline"/>
        </w:rPr>
        <w:t>that before child subjects enter into the structuration of language/the Symbolic, their bodies are already marked as disprized, abject, inscribed into the signification for, and</w:t>
      </w:r>
      <w:r w:rsidRPr="00087A72">
        <w:rPr>
          <w:sz w:val="12"/>
        </w:rPr>
        <w:t xml:space="preserve">, I argue, </w:t>
      </w:r>
      <w:r w:rsidRPr="00087A72">
        <w:rPr>
          <w:rStyle w:val="StyleUnderline"/>
        </w:rPr>
        <w:t>as, loss itself.</w:t>
      </w:r>
      <w:r w:rsidRPr="00087A72">
        <w:rPr>
          <w:sz w:val="12"/>
        </w:rPr>
        <w:t xml:space="preserve"> As I have argued above, reading through psychoanalytic theory facilitates a conceptualization of subject-formation that includes the role of signification in the contouring of subject/ivities. This analytic rubric is importantly brought to bear in my analysis of “the child” the Canadian Indian Residential School System announces into presence: </w:t>
      </w:r>
      <w:r w:rsidRPr="00087A72">
        <w:rPr>
          <w:rStyle w:val="StyleUnderline"/>
        </w:rPr>
        <w:t>a child fundamentally and constitutively tied to a death whose temporal structure is always deferred, always impartial, always unfolding, and yet always still to be.</w:t>
      </w:r>
      <w:r w:rsidRPr="00087A72">
        <w:rPr>
          <w:sz w:val="12"/>
        </w:rPr>
        <w:t xml:space="preserve"> Indeed, </w:t>
      </w:r>
      <w:r w:rsidRPr="00087A72">
        <w:rPr>
          <w:rStyle w:val="StyleUnderline"/>
        </w:rPr>
        <w:t>even in circumstances in which her/his mode of being in the world is not a deliberate practice of making- spectral, “the child” remains a notoriously ambivalent, slippery signifier. This plasticity</w:t>
      </w:r>
      <w:r w:rsidRPr="00087A72">
        <w:rPr>
          <w:sz w:val="12"/>
        </w:rPr>
        <w:t>—differently stated, this over-abundant availability of “the child” as concept—</w:t>
      </w:r>
      <w:r w:rsidRPr="00087A72">
        <w:rPr>
          <w:rStyle w:val="StyleUnderline"/>
        </w:rPr>
        <w:t>takes on an interesting significance within political thought, functioning not as that which is politicized, but as the signifier in whose name the political mobilizes itself.</w:t>
      </w:r>
      <w:r w:rsidRPr="00087A72">
        <w:rPr>
          <w:sz w:val="12"/>
        </w:rPr>
        <w:t xml:space="preserve"> In this way, </w:t>
      </w:r>
      <w:r w:rsidRPr="00087A72">
        <w:rPr>
          <w:rStyle w:val="StyleUnderline"/>
        </w:rPr>
        <w:t>the child functions as the absolute outside to political thought and the logics of its temporality, functioning instead to condition its possibilities and organize, from beyond its borders, its spatial and temporal limits.</w:t>
      </w:r>
      <w:r w:rsidRPr="00087A72">
        <w:rPr>
          <w:sz w:val="12"/>
        </w:rPr>
        <w:t xml:space="preserve"> An example of this conceptualization of the child as signifier—and certainly one of the more provocative articulations of this phenomena in the contemporary neoliberal moment—is the polemic Lee develops in his monograph No Future: Queer Theory and the Death Drive. For Edelman, the Child—in its conflation with the kind of futurity toward which the teleology of (neo)liberal discourse is mobilized—is not simply important to contemporary politics, but is that which “serves to regulate political discourse [itself]” (ii). Indeed, as Edelman points out, “the figural Child alone embodies the citizen as ideal, entitled to claim full rights to its future share in the nation’s good, though always at the cost of limiting the rights ‘real’ citizens are allowed. For the social exists to preserve for this universalized subject, this fantasmatic Child, a national freedom more highly valued than the actuality of freedom itself” (ii). In Edelman’s polemic, </w:t>
      </w:r>
      <w:r w:rsidRPr="00087A72">
        <w:rPr>
          <w:rStyle w:val="Emphasis"/>
        </w:rPr>
        <w:t>it goes without saying that the figural child is a white child</w:t>
      </w:r>
      <w:r w:rsidRPr="00087A72">
        <w:rPr>
          <w:sz w:val="12"/>
        </w:rPr>
        <w:t xml:space="preserve"> and that children of colour, children of mixed heritage, </w:t>
      </w:r>
      <w:r w:rsidRPr="00087A72">
        <w:rPr>
          <w:rStyle w:val="StyleUnderline"/>
        </w:rPr>
        <w:t>Indian children</w:t>
      </w:r>
      <w:r w:rsidRPr="00087A72">
        <w:rPr>
          <w:sz w:val="12"/>
        </w:rPr>
        <w:t xml:space="preserve">—within the Ideological State Apparatus of the Indian Residential Schools—far from carrying the over-abundant significance Edelman so adeptly parses, signify on only the most spectral of registers. This child, I argue, as a kind of spectral(ized) partial subject, </w:t>
      </w:r>
      <w:r w:rsidRPr="00087A72">
        <w:rPr>
          <w:rStyle w:val="StyleUnderline"/>
        </w:rPr>
        <w:t>instantiates a subjectivity simultaneously over-exposed to the political and over-determined by the word of the law, while barely accorded even the status of bare life. This is a subject that is hailed into a circularity of misrecognition in a relationship with death that is virtually inescapable. This relationship with death is the suture that connects this subject to the social.</w:t>
      </w:r>
      <w:r w:rsidRPr="00087A72">
        <w:rPr>
          <w:sz w:val="12"/>
        </w:rPr>
        <w:t xml:space="preserve"> Edelman’s argument does not address racialized formations of self-hood, but is no less relevant to the argument I seek to develop here. Indeed, it is perhaps all the keener in what it omits—which is the child of color. This omission points to the level of signification and the way in which the whitened child is effortlessly lifted from the problematically raced body—the body whose racialized status is found problematic. This fantasy of purification through signification speaks, in ways that are eloquent and disturbing in equal measure, precisely the fantasy of the Canadian Indian Residential School System: that the body of the Indian could be left behind in a transcendent movement away from the vexatious quagmire posed by the Indian body toward the realm of what Kantian philosophy calls pure spirit, the realm of whiteness, purity, and hypoxic visions of what Edelman calls, “a national freedom more highly valued than the actuality of freedom itself” (ii). This fantasy of corporeal abandonment points to the latent desire of Western philosophical thought that seeks, through the disavowal of bodily finitude and a fetishization of the logos, access to purity of form, a fantasy that relegates, leaves trapped, the sometimes racialized, sometimes feminized other, mired in flesh and finitude from which it is allowed no escape. </w:t>
      </w:r>
      <w:r w:rsidRPr="00087A72">
        <w:rPr>
          <w:rStyle w:val="StyleUnderline"/>
        </w:rPr>
        <w:t>The Indigenous person</w:t>
      </w:r>
      <w:r w:rsidRPr="00087A72">
        <w:rPr>
          <w:sz w:val="12"/>
        </w:rPr>
        <w:t xml:space="preserve">, we remember from Hegel’s Lectures on the Philosophy of World History, </w:t>
      </w:r>
      <w:r w:rsidRPr="00087A72">
        <w:rPr>
          <w:rStyle w:val="StyleUnderline"/>
        </w:rPr>
        <w:t>is imagined as always already outside the teleology of history, already extinct. This way of understanding difference, through the rubric of historical progress, remains central to liberal and neoliberal political thought, economic practices, and policies in the current moment.</w:t>
      </w:r>
      <w:r w:rsidRPr="00087A72">
        <w:rPr>
          <w:sz w:val="12"/>
        </w:rPr>
        <w:t xml:space="preserve"> Prising the child away from the Indian, meanwhile, continues to have important implications in the way we imagine colonial forms, not only of life, but also of death.</w:t>
      </w:r>
    </w:p>
    <w:p w:rsidR="00030ACD" w:rsidRPr="00087A72" w:rsidRDefault="00030ACD" w:rsidP="00030ACD">
      <w:pPr>
        <w:pStyle w:val="Heading4"/>
      </w:pPr>
      <w:r w:rsidRPr="00087A72">
        <w:t>Biopolitics fails to grasp the category of the Indian which perverts the difference between life and death. The Indian—brought into being by the very call to die—is not a subject of the law, but rather genocided object which grants the law—and life itself—coherence.</w:t>
      </w:r>
    </w:p>
    <w:p w:rsidR="00030ACD" w:rsidRPr="00087A72" w:rsidRDefault="00030ACD" w:rsidP="00030ACD">
      <w:r w:rsidRPr="00087A72">
        <w:rPr>
          <w:rStyle w:val="Style13ptBold"/>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20-26) NIJ</w:t>
      </w:r>
    </w:p>
    <w:p w:rsidR="00030ACD" w:rsidRPr="00087A72" w:rsidRDefault="00030ACD" w:rsidP="00030ACD">
      <w:pPr>
        <w:rPr>
          <w:u w:val="single"/>
        </w:rPr>
      </w:pPr>
      <w:r w:rsidRPr="00087A72">
        <w:rPr>
          <w:sz w:val="12"/>
        </w:rPr>
        <w:t xml:space="preserve">Biopolitics What initially drew me to the site of the IRS was the provocative coupling of politics with life/death instantiated in the IRS quo animo. First and foremost, </w:t>
      </w:r>
      <w:r w:rsidRPr="00087A72">
        <w:rPr>
          <w:rStyle w:val="StyleUnderline"/>
        </w:rPr>
        <w:t>I wanted to understand the commonsense that made the injunction to kill in the name of preserving life make sense.</w:t>
      </w:r>
      <w:r w:rsidRPr="00087A72">
        <w:rPr>
          <w:sz w:val="12"/>
        </w:rPr>
        <w:t xml:space="preserve"> In so doing, my analysis of the IRS and its peculiar mandate needed to consider the political commonsense that bore it out. My dissertation makes a unique contribution to scholarship surrounding the IRS by arguing that </w:t>
      </w:r>
      <w:r w:rsidRPr="00087A72">
        <w:rPr>
          <w:rStyle w:val="StyleUnderline"/>
        </w:rPr>
        <w:t>the logic of killing in the name of life</w:t>
      </w:r>
      <w:r w:rsidRPr="00087A72">
        <w:rPr>
          <w:sz w:val="12"/>
        </w:rPr>
        <w:t xml:space="preserve"> (killing in order to save), an edict made quite literal in the IRS, </w:t>
      </w:r>
      <w:r w:rsidRPr="00087A72">
        <w:rPr>
          <w:rStyle w:val="StyleUnderline"/>
        </w:rPr>
        <w:t>was both produced by, and productive of, a new form of politics.</w:t>
      </w:r>
      <w:r w:rsidRPr="00087A72">
        <w:rPr>
          <w:sz w:val="12"/>
        </w:rPr>
        <w:t xml:space="preserve"> In contrast to traditional forms of governance, </w:t>
      </w:r>
      <w:r w:rsidRPr="00087A72">
        <w:rPr>
          <w:rStyle w:val="StyleUnderline"/>
        </w:rPr>
        <w:t>this new form shifted the objective from the management of singular human beings to the regulation of their characteristics.</w:t>
      </w:r>
      <w:r w:rsidRPr="00087A72">
        <w:rPr>
          <w:sz w:val="12"/>
        </w:rPr>
        <w:t xml:space="preserve"> In other words, </w:t>
      </w:r>
      <w:r w:rsidRPr="00087A72">
        <w:rPr>
          <w:rStyle w:val="StyleUnderline"/>
        </w:rPr>
        <w:t>governmental authority transferred its focus from the governing of individual legal subjects to the management of populations.</w:t>
      </w:r>
      <w:r w:rsidRPr="00087A72">
        <w:rPr>
          <w:sz w:val="12"/>
        </w:rPr>
        <w:t xml:space="preserve"> This political paradigm, which Michel Foucault terms </w:t>
      </w:r>
      <w:r w:rsidRPr="00087A72">
        <w:rPr>
          <w:rStyle w:val="StyleUnderline"/>
        </w:rPr>
        <w:t>‘biopolitics,’ understands life to be an objective and measurable factor, a collective reality that can be conceptually and practically separated from concrete beings and the singularity of individual experience. ‘Life itself,’</w:t>
      </w:r>
      <w:r w:rsidRPr="00087A72">
        <w:rPr>
          <w:sz w:val="12"/>
        </w:rPr>
        <w:t xml:space="preserve"> in this paradigm, </w:t>
      </w:r>
      <w:r w:rsidRPr="00087A72">
        <w:rPr>
          <w:rStyle w:val="StyleUnderline"/>
        </w:rPr>
        <w:t>is unfixed from the individual and instead aggregated on the level of population.</w:t>
      </w:r>
      <w:r w:rsidRPr="00087A72">
        <w:rPr>
          <w:sz w:val="12"/>
        </w:rPr>
        <w:t xml:space="preserve"> In this way, </w:t>
      </w:r>
      <w:r w:rsidRPr="00087A72">
        <w:rPr>
          <w:rStyle w:val="StyleUnderline"/>
        </w:rPr>
        <w:t>the materiality of death becomes a more abstracted matter of demography. It is the aim of demography to establish and monitor the norm, the average, and to trace any deviations from it. The threshold logic of the norm, who falls inside and who does not, is a tightly controlled border. It is policed by the management of features and characteristics viewed as unique traits essential to particular groups of people. The recognition of these particular groups, and the hierarchies that determine the value of their lives, is not believed to be ideological, though, of course, it is. Characteristics, morphological similarities, and behavioral traits are understood and treated as if they are ‘facts’ rooted in biology.</w:t>
      </w:r>
      <w:r w:rsidRPr="00087A72">
        <w:rPr>
          <w:sz w:val="12"/>
        </w:rPr>
        <w:t xml:space="preserve"> For instance, </w:t>
      </w:r>
      <w:r w:rsidRPr="00087A72">
        <w:rPr>
          <w:rStyle w:val="StyleUnderline"/>
        </w:rPr>
        <w:t>the characteristics of “the Indian” as “shiftless, indolent, and inert” were understood as inherent traits of the “Indian race”—traits that needed to be regulated, managed, and stamped out for the good of the “greater” (i.e. white, Euro-Canadian) population. By the biopolitical calculus of relative value, the lives of First Nations were simply viewed as less valuable than the lives of the white mainstream/norm.</w:t>
      </w:r>
      <w:r w:rsidRPr="00087A72">
        <w:rPr>
          <w:sz w:val="12"/>
        </w:rPr>
        <w:t xml:space="preserve"> My argument is that </w:t>
      </w:r>
      <w:r w:rsidRPr="00087A72">
        <w:rPr>
          <w:rStyle w:val="StyleUnderline"/>
        </w:rPr>
        <w:t>the IRS is not an instantiation of Indigenous lives just simply not mattering. As institutional forms, they are complicit in the internal racism of permanent purification that</w:t>
      </w:r>
      <w:r w:rsidRPr="00087A72">
        <w:rPr>
          <w:sz w:val="12"/>
        </w:rPr>
        <w:t xml:space="preserve"> Foucault (2003) tells us </w:t>
      </w:r>
      <w:r w:rsidRPr="00087A72">
        <w:rPr>
          <w:rStyle w:val="StyleUnderline"/>
        </w:rPr>
        <w:t>“will become one of the basic dimensions of social normalization”</w:t>
      </w:r>
      <w:r w:rsidRPr="00087A72">
        <w:rPr>
          <w:sz w:val="12"/>
        </w:rPr>
        <w:t xml:space="preserve"> (62). </w:t>
      </w:r>
      <w:r w:rsidRPr="00087A72">
        <w:rPr>
          <w:rStyle w:val="StyleUnderline"/>
        </w:rPr>
        <w:t>This normalizing function of racism does not limit itself to establishing a dividing line between healthy and sick, worthy of living or not worthy of living. Rather it searches for “the establishment of a positive relation of this type: The very fact that you let more die will allow you to live more”</w:t>
      </w:r>
      <w:r w:rsidRPr="00087A72">
        <w:rPr>
          <w:sz w:val="12"/>
        </w:rPr>
        <w:t xml:space="preserve"> (255). Racism and the norm work in co-purpose, facilitating a dynamic relation between the life of one person and the death of another. As Thomas Lemke (2011) has it, </w:t>
      </w:r>
      <w:r w:rsidRPr="00087A72">
        <w:rPr>
          <w:rStyle w:val="Emphasis"/>
        </w:rPr>
        <w:t>this conjoining “not only allows for a hierarchization of ‘those who are worthy of living’ but also situates the health of one person in a direct relationship with the disappearance of another”</w:t>
      </w:r>
      <w:r w:rsidRPr="00087A72">
        <w:rPr>
          <w:sz w:val="12"/>
        </w:rPr>
        <w:t xml:space="preserve"> (emph. added 42). </w:t>
      </w:r>
      <w:r w:rsidRPr="00087A72">
        <w:rPr>
          <w:rStyle w:val="StyleUnderline"/>
        </w:rPr>
        <w:t xml:space="preserve">The imperatives to die more, to disappear more, while remaining markedly present as a racially legible body, converge upon Aboriginal children, generations of children whose libidinal energies were seized upon by disorienting, reorienting imperatives: annihilate and assimilate, eradicate and civilize, sacrifice and save. </w:t>
      </w:r>
      <w:r w:rsidRPr="00087A72">
        <w:rPr>
          <w:sz w:val="12"/>
        </w:rPr>
        <w:t xml:space="preserve">My research indicates that the biopolitical attunement to population manifest in the IRS quo animo emerged alongside the rising prominence of the normative disciplines (e.g., statistics, sociology, demography, epidemiology) for which population was the primary epistemological unit of analysis. By the height of the IRS, at the start of the 1930’s, the normative disciplines had become powerfully influential on paradigms of political thought, philosophies on governance, and corresponding aggregates of citizenship and society, alongside structures of valuation for assessing whose lives were worth protecting and whose were not. Within the ideology through which they were inaugurated, </w:t>
      </w:r>
      <w:r w:rsidRPr="00087A72">
        <w:rPr>
          <w:rStyle w:val="StyleUnderline"/>
        </w:rPr>
        <w:t xml:space="preserve">the disciplining of recalcitrant “Indian” children through physical intervention (e.g., submitting them to practices meant to re-order their bodily configurations, such as electro-shock) were natural extensions of a logic that sought to protect the norm by regulating and removing undesirable, or deviant, characteristics. </w:t>
      </w:r>
      <w:r w:rsidRPr="00087A72">
        <w:rPr>
          <w:sz w:val="12"/>
        </w:rPr>
        <w:t xml:space="preserve">Homo Sacer and Bare Life Still speaking through the register of the political, the kind(s) of death into which the IRS hailed the Indigenous child, </w:t>
      </w:r>
      <w:r w:rsidRPr="00087A72">
        <w:rPr>
          <w:rStyle w:val="StyleUnderline"/>
        </w:rPr>
        <w:t>the paradoxical call to embody both saving and sacrifice, is immediately evocative of</w:t>
      </w:r>
      <w:r w:rsidRPr="00087A72">
        <w:rPr>
          <w:sz w:val="12"/>
        </w:rPr>
        <w:t xml:space="preserve"> Giorgio Agamben’s </w:t>
      </w:r>
      <w:r w:rsidRPr="00087A72">
        <w:rPr>
          <w:rStyle w:val="StyleUnderline"/>
        </w:rPr>
        <w:t>homo sacer. This figure</w:t>
      </w:r>
      <w:r w:rsidRPr="00087A72">
        <w:rPr>
          <w:sz w:val="12"/>
        </w:rPr>
        <w:t xml:space="preserve">, for Agamben, </w:t>
      </w:r>
      <w:r w:rsidRPr="00087A72">
        <w:rPr>
          <w:rStyle w:val="StyleUnderline"/>
        </w:rPr>
        <w:t>embodies the threshold of the political: killable but impossible to sacrifice.</w:t>
      </w:r>
      <w:r w:rsidRPr="00087A72">
        <w:rPr>
          <w:sz w:val="12"/>
        </w:rPr>
        <w:t xml:space="preserve"> In his book Homo Sacer: Sovereign Power and Bare Life, Agamben (1995) asserts what he calls, “the inner solidarity between democracy and totalitarianism,” (10) and defines the concentration camp as “the biopolitical paradigm of the West (181). For Agamben, biopolitics forms the inner core of sovereign power. In contrast to Foucault who views biopower as an historical caesura signaled by the advent of biopolitical mechanisms in the 17 th and 18 th Centuries, for Agamben the modern era does not signify a radical break, but rather a generalization and radicalization of that which has always been there. According to Agamben, the constitution of sovereign power assumes the creation of a biopolitical body. Inclusion in political society, he argues, is only possible through the simultaneous exclusion of human beings who are denied legal status. For Agamben, in contrast to Carl Schmitt’s seminal formulation (in his book The Concept of the Political, published in 1932), the fundamental oppositional relationship of the political is not friend/enemy, but rather the separation of bare life (zoé) and political existence (bíos): in other words, the distinction between natural being and legal existence. For Agamben (1998), the beginning of all politics is the establishment of a borderline and the inauguration of a space that is deprived of the protection of the law: “the original juridicio-political relationship,” he writes, “is the ban” (181). </w:t>
      </w:r>
      <w:r w:rsidRPr="00087A72">
        <w:rPr>
          <w:rStyle w:val="StyleUnderline"/>
        </w:rPr>
        <w:t xml:space="preserve">This description of the inauguration of a space deprived of the protection of the law seems to speak directly into the material conditions of the IRS. Typically, these were isolated outposts, as the mandate for Indian schooling clearly intended Indigenous children to be kept as far away from the Reserve and white settlement as possible. The schools were certainly zones in which law did not extend its sheltering auspices to the children within them, whose mode of being in the world certainly dramatizes, with acute poignancy, life under the ban. </w:t>
      </w:r>
      <w:r w:rsidRPr="00087A72">
        <w:rPr>
          <w:sz w:val="12"/>
        </w:rPr>
        <w:t xml:space="preserve">Agamben outlines this hidden foundation of sovereignty through a figure from archaic Roman law: homo sacer. He writes: “This is a person whom one could kill with impunity, since he was banned from the politico-legal community and reduced to the status of physical existence” (59). For Agamben, homo sacer represents the other side of the logic of sovereignty. </w:t>
      </w:r>
      <w:r w:rsidRPr="00087A72">
        <w:rPr>
          <w:rStyle w:val="StyleUnderline"/>
        </w:rPr>
        <w:t>“Bare life,” which is considered to be furthest from the political, proves to be the basis of a political body, which makes life and death of a human being the object of sovereignty, the object of a sovereign decision.</w:t>
      </w:r>
      <w:r w:rsidRPr="00087A72">
        <w:rPr>
          <w:sz w:val="12"/>
        </w:rPr>
        <w:t xml:space="preserve"> Agamben’s argument is that in this way, </w:t>
      </w:r>
      <w:r w:rsidRPr="00087A72">
        <w:rPr>
          <w:rStyle w:val="StyleUnderline"/>
        </w:rPr>
        <w:t>the production of homines sacri presents a renounced, yet fundamental, even constitutive part of Western history.</w:t>
      </w:r>
      <w:r w:rsidRPr="00087A72">
        <w:rPr>
          <w:sz w:val="12"/>
        </w:rPr>
        <w:t xml:space="preserve"> One of Agamben’s (1998) most infamous arguments is his claim that the concentration camp is “the hidden paradigm of the political space of modernity” (123). The camp, in this context, functions for Agamben, not so much as a concrete site in time and space, but as a symbolic border that fixes the limit between “bare life” and political existence. While critics (e.g., Thomas Lemke) maintain that Agamben’s analysis remains “in thrall of the law” (Lemke: 2011 60) and owes more to Schmitt than Foucault (and more to Heidegger than to Schmitt) his focus on the two registers of life that converge in the same body, a notion that likewise implicates/activates at least two registers of death, remains profitable to the work at hand. I do agree with Lemke (2011) who points out that </w:t>
      </w:r>
      <w:r w:rsidRPr="00087A72">
        <w:rPr>
          <w:rStyle w:val="StyleUnderline"/>
        </w:rPr>
        <w:t>Agamben fails to recognize that “biopolitics is essentially a political economy of life”</w:t>
      </w:r>
      <w:r w:rsidRPr="00087A72">
        <w:rPr>
          <w:sz w:val="12"/>
        </w:rPr>
        <w:t xml:space="preserve"> (ibid) </w:t>
      </w:r>
      <w:r w:rsidRPr="00087A72">
        <w:rPr>
          <w:rStyle w:val="StyleUnderline"/>
        </w:rPr>
        <w:t>and</w:t>
      </w:r>
      <w:r w:rsidRPr="00087A72">
        <w:rPr>
          <w:sz w:val="12"/>
        </w:rPr>
        <w:t xml:space="preserve"> that </w:t>
      </w:r>
      <w:r w:rsidRPr="00087A72">
        <w:rPr>
          <w:rStyle w:val="StyleUnderline"/>
        </w:rPr>
        <w:t>Agamben’s analysis remains “under the spell of sovereign power and blind to all mechanisms that operate outside the law”</w:t>
      </w:r>
      <w:r w:rsidRPr="00087A72">
        <w:rPr>
          <w:sz w:val="12"/>
        </w:rPr>
        <w:t xml:space="preserve"> (ibid). </w:t>
      </w:r>
      <w:r w:rsidRPr="00087A72">
        <w:rPr>
          <w:rStyle w:val="StyleUnderline"/>
        </w:rPr>
        <w:t>Certainly, in the IRS, the child residents were captive to the carceral institutions that unhomed them.</w:t>
      </w:r>
      <w:r w:rsidRPr="00087A72">
        <w:rPr>
          <w:sz w:val="12"/>
        </w:rPr>
        <w:t xml:space="preserve"> This was a programmatic orphaning that severed them from their families, languages, and cultures of origin. Within the IRS, </w:t>
      </w:r>
      <w:r w:rsidRPr="00087A72">
        <w:rPr>
          <w:rStyle w:val="StyleUnderline"/>
        </w:rPr>
        <w:t xml:space="preserve">they were subject to the law but not, it would seem, protected by it. Both the juridical and broader political pouvoir and puissance have inscriptive power to make meaning for and of the child, to write her/his bodies in different ways, yet neither are zones that the child can fully enter as subject. </w:t>
      </w:r>
      <w:r w:rsidRPr="00087A72">
        <w:rPr>
          <w:rStyle w:val="Emphasis"/>
        </w:rPr>
        <w:t>Because the Aboriginal child never possessed what we might today call the civil rights that were subject to removal by sovereign power (thereby exposing her/him to bare life), the conditions of extreme precariousness in which the Aboriginal child circulated proximal to the IRS cannot, properly speaking, be considered bare life.</w:t>
      </w:r>
      <w:r w:rsidRPr="00087A72">
        <w:rPr>
          <w:sz w:val="12"/>
        </w:rPr>
        <w:t xml:space="preserve"> I would argue that </w:t>
      </w:r>
      <w:r w:rsidRPr="00087A72">
        <w:rPr>
          <w:rStyle w:val="Emphasis"/>
        </w:rPr>
        <w:t>rather than embodying bare life in a fixed sense, the Aboriginal child resident of the IRS bears the trace of bare life, contains within his/her child body, some shattered (shattering) fragments of the homo sacer.</w:t>
      </w:r>
      <w:r w:rsidRPr="00087A72">
        <w:rPr>
          <w:sz w:val="12"/>
        </w:rPr>
        <w:t xml:space="preserve"> 17 </w:t>
      </w:r>
      <w:r w:rsidRPr="00087A72">
        <w:rPr>
          <w:rStyle w:val="StyleUnderline"/>
        </w:rPr>
        <w:t>Agamben himself did not understand the child to ever embody bare life.</w:t>
      </w:r>
      <w:r w:rsidRPr="00087A72">
        <w:rPr>
          <w:sz w:val="12"/>
        </w:rPr>
        <w:t xml:space="preserve"> In an essay Infancy and History, </w:t>
      </w:r>
      <w:r w:rsidRPr="00087A72">
        <w:rPr>
          <w:rStyle w:val="StyleUnderline"/>
        </w:rPr>
        <w:t>he</w:t>
      </w:r>
      <w:r w:rsidRPr="00087A72">
        <w:rPr>
          <w:sz w:val="12"/>
        </w:rPr>
        <w:t xml:space="preserve"> (1996) w</w:t>
      </w:r>
      <w:r w:rsidRPr="00087A72">
        <w:rPr>
          <w:rStyle w:val="StyleUnderline"/>
        </w:rPr>
        <w:t>rites: “the child is a paradigm of life that is absolutely inseperable from its form, an absolute form-of-life</w:t>
      </w:r>
      <w:r w:rsidRPr="00087A72">
        <w:rPr>
          <w:sz w:val="12"/>
        </w:rPr>
        <w:t xml:space="preserve"> [forma-di-vita] </w:t>
      </w:r>
      <w:r w:rsidRPr="00087A72">
        <w:rPr>
          <w:rStyle w:val="StyleUnderline"/>
        </w:rPr>
        <w:t>without remainder. What does ‘form of life’ mean in this case? It means that the child is never bare life</w:t>
      </w:r>
      <w:r w:rsidRPr="00087A72">
        <w:rPr>
          <w:sz w:val="12"/>
        </w:rPr>
        <w:t xml:space="preserve"> [nuda vita], </w:t>
      </w:r>
      <w:r w:rsidRPr="00087A72">
        <w:rPr>
          <w:rStyle w:val="StyleUnderline"/>
        </w:rPr>
        <w:t>that it is never possible to isolate in the child something like bare life or biological life.”</w:t>
      </w:r>
      <w:r w:rsidRPr="00087A72">
        <w:rPr>
          <w:sz w:val="12"/>
        </w:rPr>
        <w:t xml:space="preserve"> (122) His logic in making this claim is as follows: The politics we are familiar with (characterized by his distinction between zoé and bíos) increasingly and ever more profoundly enters the political sphere which, in the end, turns into the incessant deciding on life as such. If the child seems to escape this structure and never allows, in its self, the differentiation of mere life, it is not, as is maintained too often, because the child has an unreal and mysterious life, one made of fantasy and games. (ibid) For Agamben, it is the very opposite that characterizes the child. He writes: It adheres so closely to its physiological life that it becomes indiscernible from it … the life of a child is ungraspable, not because it transcends towards an other world, but because it adheres to this world and to its body in a way that adults find intolerable … The life of the child, as a result, instead of seeming completely scattered into small facts and episodes lacking meaning and history (like the lives of the primitives), remains unforgettable, the cipher of a higher history.” (emph. in original 122) </w:t>
      </w:r>
      <w:r w:rsidRPr="00087A72">
        <w:rPr>
          <w:rStyle w:val="StyleUnderline"/>
        </w:rPr>
        <w:t>Agamben is saying that the child cannot be separated from its biological life far enough for political life to insert itself and take hold: the child embodies the force of life with such intensity that she/he belongs utterly to life, a belonging in which the child is not an object of life but rather manifests life as possibility, a potentiality that never exhausts itself in biographical facts and events</w:t>
      </w:r>
      <w:r w:rsidRPr="00087A72">
        <w:rPr>
          <w:sz w:val="12"/>
        </w:rPr>
        <w:t xml:space="preserve">, since, as Agamben writes, </w:t>
      </w:r>
      <w:r w:rsidRPr="00087A72">
        <w:rPr>
          <w:rStyle w:val="StyleUnderline"/>
        </w:rPr>
        <w:t>“it has no other object than itself … It is an absolute immanence that moves and lives”</w:t>
      </w:r>
      <w:r w:rsidRPr="00087A72">
        <w:rPr>
          <w:sz w:val="12"/>
        </w:rPr>
        <w:t xml:space="preserve"> (emph. in original ibid). From a promising account of the imbrication of two different valences of life contained within the same body, both tied to the political (in which the severing of one—bíos—is over-exposure to the other—zoé), </w:t>
      </w:r>
      <w:r w:rsidRPr="00087A72">
        <w:rPr>
          <w:rStyle w:val="StyleUnderline"/>
        </w:rPr>
        <w:t>the utility of Agamben’s philosophy of life in the context of the IRS seems to stall out: the child is never bare life.</w:t>
      </w:r>
      <w:r w:rsidRPr="00087A72">
        <w:rPr>
          <w:sz w:val="12"/>
        </w:rPr>
        <w:t xml:space="preserve"> The quagmire this ‘stalling out’ presents, compels me to ask: </w:t>
      </w:r>
      <w:r w:rsidRPr="00087A72">
        <w:rPr>
          <w:rStyle w:val="Emphasis"/>
        </w:rPr>
        <w:t>What in fact (or figure) is a child?</w:t>
      </w:r>
      <w:r w:rsidRPr="00087A72">
        <w:rPr>
          <w:rStyle w:val="StyleUnderline"/>
        </w:rPr>
        <w:t xml:space="preserve"> </w:t>
      </w:r>
      <w:r w:rsidRPr="00087A72">
        <w:rPr>
          <w:sz w:val="12"/>
        </w:rPr>
        <w:t xml:space="preserve">Without letting go of the useful and intriguing offerings of both Foucault and Agamben, where might a more nuanced and generative account of the child be found? As the project at hand developed, it did so in such a way as to require a theoretical site more capable of speaking to the register of violence that existed in the IRS beyond thresholds that could be explained through the account that certain bodies are not afforded the protection of the law (i.e. Agamben’s theory of the ban). </w:t>
      </w:r>
      <w:r w:rsidRPr="00087A72">
        <w:rPr>
          <w:rStyle w:val="StyleUnderline"/>
        </w:rPr>
        <w:t>Certainly Indigenous child bodies in the IRS were not protected by the law, but that very juridical-level observation does not seem up to the task of accounting for the very extreme forms of aggressivity meted out onto Indigenous child bodies in the IRS: the use of torture as in the opening example of the use of the electric chair at the St. Anne School</w:t>
      </w:r>
      <w:r w:rsidRPr="00087A72">
        <w:rPr>
          <w:sz w:val="12"/>
        </w:rPr>
        <w:t xml:space="preserve"> for example, </w:t>
      </w:r>
      <w:r w:rsidRPr="00087A72">
        <w:rPr>
          <w:rStyle w:val="StyleUnderline"/>
        </w:rPr>
        <w:t>and the absolutely rampant culture of sexual abuse that characterizes life in the IRS.</w:t>
      </w:r>
      <w:r w:rsidRPr="00087A72">
        <w:rPr>
          <w:sz w:val="12"/>
        </w:rPr>
        <w:t xml:space="preserve"> Further, </w:t>
      </w:r>
      <w:r w:rsidRPr="00087A72">
        <w:rPr>
          <w:rStyle w:val="StyleUnderline"/>
        </w:rPr>
        <w:t>as provocative and interesting as Agamben’s juridical position is, it does not help to understand the widespread ‘cycles of sexual abuse’ in the IRS whereby victims of sexual assault so often recapitulated the sexually abject position held by the Indigenous child by abusing other children.</w:t>
      </w:r>
    </w:p>
    <w:p w:rsidR="00030ACD" w:rsidRPr="00087A72" w:rsidRDefault="00E82B76" w:rsidP="00030ACD">
      <w:pPr>
        <w:pStyle w:val="Heading4"/>
      </w:pPr>
      <w:r w:rsidRPr="00087A72">
        <w:t xml:space="preserve">No borders is an affirmation of fluidity and mobility that </w:t>
      </w:r>
      <w:r w:rsidR="00030ACD" w:rsidRPr="00087A72">
        <w:t xml:space="preserve">is complicit </w:t>
      </w:r>
      <w:r w:rsidRPr="00087A72">
        <w:t>in</w:t>
      </w:r>
      <w:r w:rsidR="00030ACD" w:rsidRPr="00087A72">
        <w:t xml:space="preserve"> the lexicon of Western imperialism – authorizing the asportation of the native</w:t>
      </w:r>
      <w:r w:rsidRPr="00087A72">
        <w:t>.</w:t>
      </w:r>
    </w:p>
    <w:p w:rsidR="00030ACD" w:rsidRPr="00087A72" w:rsidRDefault="00030ACD" w:rsidP="00030ACD">
      <w:r w:rsidRPr="00087A72">
        <w:rPr>
          <w:rStyle w:val="Style13ptBold"/>
        </w:rPr>
        <w:t>Grande 2K</w:t>
      </w:r>
      <w:r w:rsidRPr="00087A72">
        <w:t xml:space="preserve"> (</w:t>
      </w:r>
      <w:r w:rsidRPr="00087A72">
        <w:rPr>
          <w:rStyle w:val="Style13ptBold"/>
          <w:rFonts w:cstheme="minorHAnsi"/>
          <w:b w:val="0"/>
          <w:sz w:val="22"/>
        </w:rPr>
        <w:t xml:space="preserve">Sandy, Associate Professor of Education at UConnecticut, “American Indian geographies of identity and power: At the crossroads of indigena and mestizaje,” </w:t>
      </w:r>
      <w:r w:rsidRPr="00087A72">
        <w:rPr>
          <w:rStyle w:val="Style13ptBold"/>
          <w:rFonts w:cstheme="minorHAnsi"/>
          <w:b w:val="0"/>
          <w:i/>
          <w:sz w:val="22"/>
        </w:rPr>
        <w:t>Harvard Education Review</w:t>
      </w:r>
      <w:r w:rsidRPr="00087A72">
        <w:rPr>
          <w:rStyle w:val="Style13ptBold"/>
          <w:rFonts w:cstheme="minorHAnsi"/>
          <w:b w:val="0"/>
          <w:sz w:val="22"/>
        </w:rPr>
        <w:t>, Issue Number, No. 4, pp. 492-493)//vikas</w:t>
      </w:r>
    </w:p>
    <w:p w:rsidR="00030ACD" w:rsidRPr="00087A72" w:rsidRDefault="00030ACD" w:rsidP="00030ACD">
      <w:pPr>
        <w:rPr>
          <w:rFonts w:cstheme="minorHAnsi"/>
          <w:sz w:val="14"/>
        </w:rPr>
      </w:pPr>
      <w:r w:rsidRPr="00087A72">
        <w:rPr>
          <w:rFonts w:cstheme="minorHAnsi"/>
          <w:sz w:val="14"/>
        </w:rPr>
        <w:t xml:space="preserve">Discussion </w:t>
      </w:r>
      <w:r w:rsidRPr="00087A72">
        <w:rPr>
          <w:rStyle w:val="Emphasis"/>
        </w:rPr>
        <w:t>The forces of identity appropriation, cultural encroachment, and corporate commodification pressure American Indian communities to employ essetialist tactics and construct relatively fixed notions of identity</w:t>
      </w:r>
      <w:r w:rsidRPr="00087A72">
        <w:rPr>
          <w:rStyle w:val="StyleUnderline"/>
          <w:rFonts w:cstheme="minorHAnsi"/>
        </w:rPr>
        <w:t xml:space="preserve">, and to render the concepts of fluidity and transgression highly problematic. </w:t>
      </w:r>
      <w:r w:rsidRPr="00087A72">
        <w:rPr>
          <w:rFonts w:cstheme="minorHAnsi"/>
          <w:sz w:val="14"/>
        </w:rPr>
        <w:t xml:space="preserve">It is evident from the examples above that the notion of fluid boundaries has never worked to the advantage of Indigenous peoples: </w:t>
      </w:r>
      <w:r w:rsidRPr="00087A72">
        <w:rPr>
          <w:rStyle w:val="StyleUnderline"/>
          <w:rFonts w:cstheme="minorHAnsi"/>
        </w:rPr>
        <w:t>federal agencies have invoked the language of fluid or unstable identities as the rationale for disman-tling the structures of tribal life and creating greater dependency on the U.S. government</w:t>
      </w:r>
      <w:r w:rsidRPr="00087A72">
        <w:rPr>
          <w:rFonts w:cstheme="minorHAnsi"/>
          <w:sz w:val="14"/>
        </w:rPr>
        <w:t xml:space="preserve">; Whitestream </w:t>
      </w:r>
      <w:r w:rsidRPr="00087A72">
        <w:rPr>
          <w:sz w:val="14"/>
        </w:rPr>
        <w:t xml:space="preserve">America has seized its message to declare open season on Indians, thereby appropriating Native lands, culture, spiritual practices. history, and literature; and Whitestream academics have now eployed the language of </w:t>
      </w:r>
      <w:r w:rsidRPr="00087A72">
        <w:rPr>
          <w:rStyle w:val="StyleUnderline"/>
          <w:rFonts w:cstheme="minorHAnsi"/>
        </w:rPr>
        <w:t>postmodern fluidity to unwittingly transmute centu-ries of war between Indigenous peoples and their respective nation-states into a "genetic and cultural dialogue"</w:t>
      </w:r>
      <w:r w:rsidRPr="00087A72">
        <w:rPr>
          <w:rFonts w:cstheme="minorHAnsi"/>
          <w:sz w:val="14"/>
        </w:rPr>
        <w:t xml:space="preserve"> (Valle &amp;Torres, 1995, p. 141). </w:t>
      </w:r>
      <w:r w:rsidRPr="00087A72">
        <w:rPr>
          <w:rStyle w:val="StyleUnderline"/>
          <w:rFonts w:cstheme="minorHAnsi"/>
        </w:rPr>
        <w:t>Thus, in spite of its aspirations to social justice, the notion of a new cultural democ-racy based on the ideal of mestizaje represents a rather ominous threat to American Indian communities.</w:t>
      </w:r>
      <w:r w:rsidRPr="00087A72">
        <w:rPr>
          <w:rFonts w:cstheme="minorHAnsi"/>
          <w:sz w:val="14"/>
        </w:rPr>
        <w:t xml:space="preserve"> In addition, </w:t>
      </w:r>
      <w:r w:rsidRPr="00087A72">
        <w:rPr>
          <w:rStyle w:val="StyleUnderline"/>
          <w:rFonts w:cstheme="minorHAnsi"/>
        </w:rPr>
        <w:t>the undercurrent of fluidity and sense of displacedness that permeates</w:t>
      </w:r>
      <w:r w:rsidRPr="00087A72">
        <w:rPr>
          <w:rFonts w:cstheme="minorHAnsi"/>
          <w:sz w:val="14"/>
        </w:rPr>
        <w:t xml:space="preserve">, if not defines, </w:t>
      </w:r>
      <w:r w:rsidRPr="00087A72">
        <w:rPr>
          <w:rStyle w:val="StyleUnderline"/>
          <w:rFonts w:cstheme="minorHAnsi"/>
        </w:rPr>
        <w:t>mestizaje runs contrary to American Indian sensi-bilities of connection to place, land, and the Earth itself.</w:t>
      </w:r>
      <w:r w:rsidRPr="00087A72">
        <w:rPr>
          <w:rFonts w:cstheme="minorHAnsi"/>
          <w:sz w:val="14"/>
        </w:rPr>
        <w:t xml:space="preserve"> Consider, for exam-ple, the following statement on the nature of critical subjectivity by Peter Mc-Laren: </w:t>
      </w:r>
      <w:r w:rsidRPr="00087A72">
        <w:t>The struggle for critical subjectivity is the struggle to occupy a space of hope</w:t>
      </w:r>
      <w:r w:rsidRPr="00087A72">
        <w:rPr>
          <w:rFonts w:cstheme="minorHAnsi"/>
          <w:sz w:val="14"/>
        </w:rPr>
        <w:t xml:space="preserve"> — a liminal space, an intimation of the anti-structure, of </w:t>
      </w:r>
      <w:r w:rsidRPr="00087A72">
        <w:rPr>
          <w:rStyle w:val="StyleUnderline"/>
          <w:rFonts w:cstheme="minorHAnsi"/>
        </w:rPr>
        <w:t>what lives in the in-between zone of undecidedability — in which one can work toward a praxis of redemp-tion.... A sense of atopy has always been with me, a resplendent placelessness, a feeling of living in germinal formlessness</w:t>
      </w:r>
      <w:r w:rsidRPr="00087A72">
        <w:rPr>
          <w:rFonts w:cstheme="minorHAnsi"/>
          <w:sz w:val="14"/>
        </w:rPr>
        <w:t xml:space="preserve">.... I cannot find words to express what this border identity means to me. All I have are what Georgres Bastille (1988) calls mots glissants (slippery words). (1997, pp. 18-14) McLaren speaks passionately and directly about the crisis of modern society and the need for a "praxis of redemption." As he perceives it, </w:t>
      </w:r>
      <w:r w:rsidRPr="00087A72">
        <w:rPr>
          <w:rStyle w:val="StyleUnderline"/>
          <w:rFonts w:cstheme="minorHAnsi"/>
        </w:rPr>
        <w:t>the very possi-bility of redemption is situated in our willingness not only to accept but to flourish in the "liminal" spaces, border identities, and postcolonial hybrid-ities that are inherent in postmodern life and subjectivity.</w:t>
      </w:r>
      <w:r w:rsidRPr="00087A72">
        <w:rPr>
          <w:rFonts w:cstheme="minorHAnsi"/>
          <w:sz w:val="14"/>
        </w:rPr>
        <w:t xml:space="preserve"> In fact, McLaren perceives the fostering of a "resplendent placelessness" itself as the gateway to a more just, democratic society. While American Indian intellectuals also seek to embrace the notion of transcendent subjectivities, they seek a notion of transcendence that remains rooted in historical place and the sacred connection to land. Consider, for example, the following commentary by Deloria (1992) on the centrality of place and land in the construction of American Indian subjectivity: </w:t>
      </w:r>
      <w:r w:rsidRPr="00087A72">
        <w:rPr>
          <w:rStyle w:val="Emphasis"/>
          <w:rFonts w:cstheme="minorHAnsi"/>
        </w:rPr>
        <w:t>Recognizing the sacredness of lands on which previous generations have lived and died is the foundation of all other sentiment.</w:t>
      </w:r>
      <w:r w:rsidRPr="00087A72">
        <w:rPr>
          <w:rFonts w:cstheme="minorHAnsi"/>
          <w:sz w:val="14"/>
        </w:rPr>
        <w:t xml:space="preserve"> </w:t>
      </w:r>
      <w:r w:rsidRPr="00087A72">
        <w:rPr>
          <w:rStyle w:val="StyleUnderline"/>
          <w:rFonts w:cstheme="minorHAnsi"/>
        </w:rPr>
        <w:t>Instead of denying this di-mension of our emotional lives, we should be setting aside additional places that have transcendent meaning.</w:t>
      </w:r>
      <w:r w:rsidRPr="00087A72">
        <w:rPr>
          <w:rFonts w:cstheme="minorHAnsi"/>
          <w:sz w:val="14"/>
        </w:rPr>
        <w:t xml:space="preserve"> Sacred sites that higher spiritual powers have chosen for manifestation enable us to focus our concerns on the specific form of our lives.... </w:t>
      </w:r>
      <w:r w:rsidRPr="00087A72">
        <w:rPr>
          <w:rStyle w:val="StyleUnderline"/>
          <w:rFonts w:cstheme="minorHAnsi"/>
        </w:rPr>
        <w:t xml:space="preserve">Sacred places are the foundation of all other beliefs and prac-tices because they represent the presence of the sacred in our lives. </w:t>
      </w:r>
      <w:r w:rsidRPr="00087A72">
        <w:rPr>
          <w:rFonts w:cstheme="minorHAnsi"/>
          <w:sz w:val="14"/>
        </w:rPr>
        <w:t xml:space="preserve">They prop-erly inform us that we arc not larger than nature and that we have responsibili-ties to the rest of the natural world that transcend our own personal desires and wishes. This lesson must be learned by each generation. (pp. 278, 281) </w:t>
      </w:r>
      <w:r w:rsidRPr="00087A72">
        <w:rPr>
          <w:rStyle w:val="Emphasis"/>
        </w:rPr>
        <w:t>Gross misunderstanding of this connection between American Indian subjectivity and land,</w:t>
      </w:r>
      <w:r w:rsidRPr="00087A72">
        <w:rPr>
          <w:rFonts w:cstheme="minorHAnsi"/>
          <w:sz w:val="14"/>
        </w:rPr>
        <w:t xml:space="preserve"> and, more importantly, </w:t>
      </w:r>
      <w:r w:rsidRPr="00087A72">
        <w:rPr>
          <w:rStyle w:val="StyleUnderline"/>
          <w:rFonts w:cstheme="minorHAnsi"/>
        </w:rPr>
        <w:t>between sovereignty and land has been the source of numerous injustices in Indian country</w:t>
      </w:r>
      <w:r w:rsidRPr="00087A72">
        <w:rPr>
          <w:rFonts w:cstheme="minorHAnsi"/>
          <w:sz w:val="14"/>
        </w:rPr>
        <w:t xml:space="preserve">. For instance, I be-lieve there was little understanding on the part of government officials that passage of the Indian Religious Freedom Act (1978) would open a Pandora's box of discord over land, setting up an intractable conflict between property rights and religious freedom. American Indians, on the other hand, viewed the act as a invitation to return to their sacred sites, several of which were on government lands and were being damaged by commercial use. As a result, a flurry of lawsuits alleging mismanagement and destruction of sacred sites was filed by numerous tribes. </w:t>
      </w:r>
      <w:r w:rsidRPr="00087A72">
        <w:rPr>
          <w:rStyle w:val="StyleUnderline"/>
          <w:rFonts w:cstheme="minorHAnsi"/>
        </w:rPr>
        <w:t xml:space="preserve">Similarly, corporations, tourists, and even rock climbers filed suits accusing land managers of unlawfully restricting access CO public places by implementing policies that violate the constitutional separa-tion between church and state. </w:t>
      </w:r>
      <w:r w:rsidRPr="00087A72">
        <w:rPr>
          <w:rFonts w:cstheme="minorHAnsi"/>
          <w:sz w:val="14"/>
        </w:rPr>
        <w:t xml:space="preserve">All of this is to point out that the critical pro-ject of mestizaje continues to operate on the same assumption made by the U.S. government in this instance, that in a democratic society, human subjec-tivity — and liberation for that matter — is conceived of as inherently rights-based as opposed to land-based. To be fair, </w:t>
      </w:r>
      <w:r w:rsidRPr="00087A72">
        <w:rPr>
          <w:rStyle w:val="Emphasis"/>
          <w:rFonts w:cstheme="minorHAnsi"/>
        </w:rPr>
        <w:t>I believe that both American Indian intellectuals and critical theorists share a similar vision — a time, place. and space free of the compulsions of Whitestream, global capitalism and the racism, sexism, classism, and xenophobia it engenders. But where critical scholars ground their vision in Western conceptions of democracy and justice that presume a "liberated" self.</w:t>
      </w:r>
      <w:r w:rsidRPr="00087A72">
        <w:rPr>
          <w:rFonts w:cstheme="minorHAnsi"/>
          <w:sz w:val="14"/>
        </w:rPr>
        <w:t xml:space="preserve"> </w:t>
      </w:r>
      <w:r w:rsidRPr="00087A72">
        <w:rPr>
          <w:rStyle w:val="StyleUnderline"/>
          <w:rFonts w:cstheme="minorHAnsi"/>
        </w:rPr>
        <w:t>American Indian intellectuals ground their vision in conceptions of sov-ereignty that presume a sacred connection to place and land.</w:t>
      </w:r>
      <w:r w:rsidRPr="00087A72">
        <w:rPr>
          <w:rFonts w:cstheme="minorHAnsi"/>
          <w:sz w:val="14"/>
        </w:rPr>
        <w:t xml:space="preserve"> Thus, to a large degree, </w:t>
      </w:r>
      <w:r w:rsidRPr="00087A72">
        <w:rPr>
          <w:rStyle w:val="Emphasis"/>
          <w:rFonts w:cstheme="minorHAnsi"/>
        </w:rPr>
        <w:t>the seemingly liberatory constructs of fluidity, mobility, and trangression are</w:t>
      </w:r>
      <w:r w:rsidRPr="00087A72">
        <w:rPr>
          <w:rFonts w:cstheme="minorHAnsi"/>
          <w:sz w:val="14"/>
        </w:rPr>
        <w:t xml:space="preserve"> perceived </w:t>
      </w:r>
      <w:r w:rsidRPr="00087A72">
        <w:rPr>
          <w:rStyle w:val="Emphasis"/>
          <w:rFonts w:cstheme="minorHAnsi"/>
        </w:rPr>
        <w:t>not only</w:t>
      </w:r>
      <w:r w:rsidRPr="00087A72">
        <w:rPr>
          <w:rFonts w:cstheme="minorHAnsi"/>
          <w:sz w:val="14"/>
        </w:rPr>
        <w:t xml:space="preserve"> as </w:t>
      </w:r>
      <w:r w:rsidRPr="00087A72">
        <w:rPr>
          <w:rStyle w:val="Emphasis"/>
          <w:rFonts w:cstheme="minorHAnsi"/>
        </w:rPr>
        <w:t xml:space="preserve">the language of critical subjectivity, but </w:t>
      </w:r>
      <w:r w:rsidRPr="00087A72">
        <w:rPr>
          <w:rFonts w:cstheme="minorHAnsi"/>
          <w:sz w:val="14"/>
        </w:rPr>
        <w:t xml:space="preserve">also as </w:t>
      </w:r>
      <w:r w:rsidRPr="00087A72">
        <w:rPr>
          <w:rStyle w:val="Emphasis"/>
          <w:rFonts w:cstheme="minorHAnsi"/>
        </w:rPr>
        <w:t>part of the fundamental lexicon of Western imperialism.</w:t>
      </w:r>
      <w:r w:rsidRPr="00087A72">
        <w:rPr>
          <w:rFonts w:cstheme="minorHAnsi"/>
          <w:sz w:val="14"/>
        </w:rPr>
        <w:t xml:space="preserve"> Deloria (1999) writes: </w:t>
      </w:r>
      <w:r w:rsidRPr="00087A72">
        <w:rPr>
          <w:rStyle w:val="StyleUnderline"/>
          <w:rFonts w:cstheme="minorHAnsi"/>
        </w:rPr>
        <w:t>Although the loss of land must be seen as a political and economic disaster of the first magnitude, the real exile of the tribes occurred with the d6struction of ceremonial life</w:t>
      </w:r>
      <w:r w:rsidRPr="00087A72">
        <w:rPr>
          <w:rFonts w:cstheme="minorHAnsi"/>
          <w:sz w:val="14"/>
        </w:rPr>
        <w:t xml:space="preserve"> (associated with the loss of land) and the failure or inability of white society to offer a sensible and cohesive alternative to the traditions which Indians remembered. People became disoriented with respect to the world in which they lived. </w:t>
      </w:r>
      <w:r w:rsidRPr="00087A72">
        <w:rPr>
          <w:rStyle w:val="StyleUnderline"/>
          <w:rFonts w:cstheme="minorHAnsi"/>
        </w:rPr>
        <w:t>They could not practice their old ways, and the new ways which they were expected to learn were in a constant state of change because they were not a cohesive view of the world but simply adjustments which whites were making to the technology they had invented.</w:t>
      </w:r>
      <w:r w:rsidRPr="00087A72">
        <w:rPr>
          <w:rFonts w:cstheme="minorHAnsi"/>
          <w:sz w:val="14"/>
        </w:rPr>
        <w:t xml:space="preserve"> (p. 247). In summary, </w:t>
      </w:r>
      <w:r w:rsidRPr="00087A72">
        <w:rPr>
          <w:rStyle w:val="StyleUnderline"/>
          <w:rFonts w:cstheme="minorHAnsi"/>
        </w:rPr>
        <w:t xml:space="preserve">insofar as </w:t>
      </w:r>
      <w:r w:rsidRPr="00087A72">
        <w:rPr>
          <w:rStyle w:val="Emphasis"/>
        </w:rPr>
        <w:t>American Indian identities continue to be defined and shaped in interdependence with place</w:t>
      </w:r>
      <w:r w:rsidRPr="00087A72">
        <w:rPr>
          <w:rStyle w:val="StyleUnderline"/>
          <w:rFonts w:cstheme="minorHAnsi"/>
        </w:rPr>
        <w:t xml:space="preserve">, the </w:t>
      </w:r>
      <w:r w:rsidRPr="00087A72">
        <w:rPr>
          <w:rStyle w:val="Emphasis"/>
        </w:rPr>
        <w:t>transgressive</w:t>
      </w:r>
      <w:r w:rsidRPr="00087A72">
        <w:rPr>
          <w:rFonts w:cstheme="minorHAnsi"/>
          <w:sz w:val="14"/>
        </w:rPr>
        <w:t xml:space="preserve"> mestizaje </w:t>
      </w:r>
      <w:r w:rsidRPr="00087A72">
        <w:rPr>
          <w:rStyle w:val="Emphasis"/>
        </w:rPr>
        <w:t>functions as a potentially homogenizing force that presumes</w:t>
      </w:r>
      <w:r w:rsidRPr="00087A72">
        <w:rPr>
          <w:rStyle w:val="StyleUnderline"/>
          <w:rFonts w:cstheme="minorHAnsi"/>
        </w:rPr>
        <w:t xml:space="preserve"> the </w:t>
      </w:r>
      <w:r w:rsidRPr="00087A72">
        <w:rPr>
          <w:rStyle w:val="Emphasis"/>
        </w:rPr>
        <w:t>continued exile of tribal peoples and</w:t>
      </w:r>
      <w:r w:rsidRPr="00087A72">
        <w:rPr>
          <w:rStyle w:val="StyleUnderline"/>
          <w:rFonts w:cstheme="minorHAnsi"/>
        </w:rPr>
        <w:t xml:space="preserve"> their </w:t>
      </w:r>
      <w:r w:rsidRPr="00087A72">
        <w:rPr>
          <w:rStyle w:val="Emphasis"/>
        </w:rPr>
        <w:t>enduring absorption into the American "democratic" Whitestream.</w:t>
      </w:r>
      <w:r w:rsidRPr="00087A72">
        <w:rPr>
          <w:rFonts w:cstheme="minorHAnsi"/>
          <w:sz w:val="14"/>
        </w:rPr>
        <w:t xml:space="preserve"> The notion of mestizaje as absorption is particularly problematic for the Indigenous peoples of Central and South America, where the myth of the mestizaje (belief that the continent's original cultures and inhabitants no longer exist) has been used for centuries to force the in-tegration of Indigenous communities into the national mestizo model (Van Cott, 1994). According to Rodolfo Stavenhagen (1992), the myth of mestiza-je has provided the ideological pretext for numerous South American gov-ernmental laws and policies expressly designed to strengthen the nation-state through incorporation of all "non-national" (read "Indigenous") ele-ments into the mainstream. Thus, what Valle and Torres (1995) previously describe as "the continent's unfinished business of cultural hybridization" (p. 141), Indigenous peoples view as the continents' long and bloody battle to absorb their existence into the master narrative of the mestizo. While critical scholars do construct a very different kind of democratic solidarity that disrupts the sociopolitical and economic hegemony of the dominant culture around a transformed notion of mestizaje (one committed to the destabilization of the isolationist narratives of nationalism and cul-tural chauvinism), </w:t>
      </w:r>
      <w:r w:rsidRPr="00087A72">
        <w:rPr>
          <w:rStyle w:val="StyleUnderline"/>
          <w:rFonts w:cstheme="minorHAnsi"/>
        </w:rPr>
        <w:t>I argue that any liberatory project that does not begin with a clear understanding of the difference of American lndianness will</w:t>
      </w:r>
      <w:r w:rsidRPr="00087A72">
        <w:rPr>
          <w:rFonts w:cstheme="minorHAnsi"/>
          <w:sz w:val="14"/>
        </w:rPr>
        <w:t xml:space="preserve">, in the end, </w:t>
      </w:r>
      <w:r w:rsidRPr="00087A72">
        <w:rPr>
          <w:rStyle w:val="StyleUnderline"/>
          <w:rFonts w:cstheme="minorHAnsi"/>
        </w:rPr>
        <w:t>work to undermine tribal life</w:t>
      </w:r>
      <w:r w:rsidRPr="00087A72">
        <w:rPr>
          <w:rFonts w:cstheme="minorHAnsi"/>
          <w:sz w:val="14"/>
        </w:rPr>
        <w:t xml:space="preserve">. </w:t>
      </w:r>
      <w:r w:rsidRPr="00087A72">
        <w:rPr>
          <w:rStyle w:val="StyleUnderline"/>
          <w:rFonts w:cstheme="minorHAnsi"/>
        </w:rPr>
        <w:t xml:space="preserve">Moreover, there is a potential danger that the ostensibly "new" cultural democracy based upon the radical </w:t>
      </w:r>
      <w:r w:rsidRPr="00087A72">
        <w:rPr>
          <w:rFonts w:cstheme="minorHAnsi"/>
          <w:sz w:val="14"/>
        </w:rPr>
        <w:t xml:space="preserve">mes-tizaje </w:t>
      </w:r>
      <w:r w:rsidRPr="00087A72">
        <w:rPr>
          <w:rStyle w:val="StyleUnderline"/>
          <w:rFonts w:cstheme="minorHAnsi"/>
        </w:rPr>
        <w:t>will continue to mute tribal differences and erase distinctive Indian identities</w:t>
      </w:r>
      <w:r w:rsidRPr="00087A72">
        <w:rPr>
          <w:rFonts w:cstheme="minorHAnsi"/>
          <w:sz w:val="14"/>
        </w:rPr>
        <w:t xml:space="preserve">. Therefore, as </w:t>
      </w:r>
      <w:r w:rsidRPr="00087A72">
        <w:rPr>
          <w:rStyle w:val="Emphasis"/>
          <w:rFonts w:cstheme="minorHAnsi"/>
        </w:rPr>
        <w:t>the physical and metaphysical borders of the post-modern world become increasingly fluid, the desire of American Indian communities to protect geographic borders and employ "essentialist" tactics also increases. Though such tactics may be viewed by critical scholars as highly problematic, they are viewed by American Indian intellectuals as a last line of defense against the steady erosion of tribal culture, political sover-eignty, Native resources, and Native lands.</w:t>
      </w:r>
      <w:r w:rsidRPr="00087A72">
        <w:rPr>
          <w:rFonts w:cstheme="minorHAnsi"/>
          <w:sz w:val="14"/>
        </w:rPr>
        <w:t xml:space="preserve"> The tensions described above indicate the dire need for an Indigenous, revolutionary theory that maintains the distinctiveness of American Indians as tribal peoples of sovereign nations (border patrolling) and also encour-ages the building of coalitions and political solidarity (border crossing). In contrast to critical scholars McLaren and Kris Gutierrez (1997), </w:t>
      </w:r>
      <w:r w:rsidRPr="00087A72">
        <w:rPr>
          <w:rStyle w:val="StyleUnderline"/>
          <w:rFonts w:cstheme="minorHAnsi"/>
        </w:rPr>
        <w:t>who admon-ish educators to develop a concept of unity and difference as political mobili-zation rather than cultural authenticity</w:t>
      </w:r>
      <w:r w:rsidRPr="00087A72">
        <w:rPr>
          <w:rFonts w:cstheme="minorHAnsi"/>
          <w:sz w:val="14"/>
        </w:rPr>
        <w:t xml:space="preserve">, I urge American Indian intellectuals to develop a language that operates at the crossroads of unity and difference and defines this space in terms of political mobilization and cultural authen-ticity, thus expressing both the interdependence and distinctiveness of tribal peoples. </w:t>
      </w:r>
    </w:p>
    <w:p w:rsidR="00030ACD" w:rsidRPr="00087A72" w:rsidRDefault="00030ACD" w:rsidP="00030ACD">
      <w:pPr>
        <w:pStyle w:val="Heading4"/>
      </w:pPr>
      <w:r w:rsidRPr="00087A72">
        <w:t>The capacity for mobility—at both the geospatial and sociolibidinal level—is the terrain of the Settler which invests in mobility as its ontological capacity par excellence. However, every path the Settler wanders down is an Indian burial ground—the condition of possibility for the metaphysics of mobility.</w:t>
      </w:r>
    </w:p>
    <w:p w:rsidR="00030ACD" w:rsidRPr="00087A72" w:rsidRDefault="00030ACD" w:rsidP="00030ACD">
      <w:r w:rsidRPr="00087A72">
        <w:rPr>
          <w:rStyle w:val="Style13ptBold"/>
        </w:rPr>
        <w:t>Wilderson 10</w:t>
      </w:r>
      <w:r w:rsidRPr="00087A72">
        <w:t xml:space="preserve"> (Frank, Full Professor of Drama and African American studies at the University of California, Irvine </w:t>
      </w:r>
      <w:r w:rsidRPr="00087A72">
        <w:rPr>
          <w:i/>
        </w:rPr>
        <w:t>Red, White, and Black: Cinema and the Structure of U.S. Antagonisms</w:t>
      </w:r>
      <w:r w:rsidRPr="00087A72">
        <w:t xml:space="preserve"> pp. 153-155) NIJ</w:t>
      </w:r>
    </w:p>
    <w:p w:rsidR="00030ACD" w:rsidRPr="00087A72" w:rsidRDefault="00030ACD" w:rsidP="00030ACD">
      <w:pPr>
        <w:rPr>
          <w:sz w:val="12"/>
        </w:rPr>
      </w:pPr>
      <w:r w:rsidRPr="00087A72">
        <w:rPr>
          <w:sz w:val="12"/>
        </w:rPr>
        <w:t xml:space="preserve">The films of Chris Eyre (Smoke Signals and Skins) are among the most socially engaged and politically emphatic films on the cinematic landscape of the forty-eight contiguous states (whether Red, White, or Black). He is also acknowledged as the most widely distributed Native American director working today. Despite his films’ plotline variations, they are noted for the attention they pay—whether humorously, sullenly, sardonically, or enraged—to the intractable dichotomy between civil society and the “rez” (the reservation). </w:t>
      </w:r>
      <w:r w:rsidRPr="00087A72">
        <w:rPr>
          <w:rStyle w:val="StyleUnderline"/>
        </w:rPr>
        <w:t xml:space="preserve">In Smoke Signals, two Native women who live on the reservation drive their car only in reverse, never forward. They sip Coca-Cola, their recent substitute for beer, as they drive, in reverse, through the reservation’s mise en scène of poverty. </w:t>
      </w:r>
      <w:r w:rsidRPr="00087A72">
        <w:rPr>
          <w:rStyle w:val="Emphasis"/>
        </w:rPr>
        <w:t>This is interesting for what it signifies with respect to how genocide re-territorializes space and how the reservation is a space beyond civil society.</w:t>
      </w:r>
      <w:r w:rsidRPr="00087A72">
        <w:rPr>
          <w:rStyle w:val="StyleUnderline"/>
        </w:rPr>
        <w:t xml:space="preserve"> If the automobile is one of the Settler’s most emblematic icons of mobility and progress, and one of his/her most profound and egoic monuments, then two Native women driving backward in this icon of mobility, across the cartography of terra nullius (the reservation), is a cinematic moment that compels the spectator to meditate, albeit humorously, on the antagonism between the “somewhere” of civil society—that place where cars drive forward as opposed to in reverse—and the “nowhere” of the reservation. The American automobile is so malleable and transpositional within the multitude of narrative combinations of Settler cinema that it can animate the pleasures of both White masculinity</w:t>
      </w:r>
      <w:r w:rsidRPr="00087A72">
        <w:rPr>
          <w:sz w:val="12"/>
        </w:rPr>
        <w:t xml:space="preserve">, which Kaja Silverman refers to as the “coherence of the male ego” (63), </w:t>
      </w:r>
      <w:r w:rsidRPr="00087A72">
        <w:rPr>
          <w:rStyle w:val="StyleUnderline"/>
        </w:rPr>
        <w:t>as well as White feminist gestures of resistance to that consolidation</w:t>
      </w:r>
      <w:r w:rsidRPr="00087A72">
        <w:rPr>
          <w:sz w:val="12"/>
        </w:rPr>
        <w:t xml:space="preserve">, as the most cursory comparison of “male” and “female” road films like Fear and Loathing in Las Vegas and Thelma and Louise, respectively, will bear out. </w:t>
      </w:r>
      <w:r w:rsidRPr="00087A72">
        <w:rPr>
          <w:rStyle w:val="StyleUnderline"/>
        </w:rPr>
        <w:t xml:space="preserve">In Chris Eyre’s Smoke Signals, however, the American automobile is reconfigured as a medium, not of civic aggrandizement, but as a lens through which “Savage” ontology can be illuminated and through which (tangentially) the Settler is reconfigured from a subject of agency into an object, a specimen of the “Savage” gaze. This occurs despite the Settler’s actual absence from the film during the reservation-driving-backwards-scenes. </w:t>
      </w:r>
      <w:r w:rsidRPr="00087A72">
        <w:rPr>
          <w:sz w:val="12"/>
        </w:rPr>
        <w:t xml:space="preserve">The (absent) Settler becomes an object of the “Savage” gaze due to the fact that, </w:t>
      </w:r>
      <w:r w:rsidRPr="00087A72">
        <w:rPr>
          <w:rStyle w:val="StyleUnderline"/>
        </w:rPr>
        <w:t>in Smoke Signals, the American automobile</w:t>
      </w:r>
      <w:r w:rsidRPr="00087A72">
        <w:rPr>
          <w:sz w:val="12"/>
        </w:rPr>
        <w:t xml:space="preserve">, with woman from the reservation behind the wheel, is disabled. It </w:t>
      </w:r>
      <w:r w:rsidRPr="00087A72">
        <w:rPr>
          <w:rStyle w:val="StyleUnderline"/>
        </w:rPr>
        <w:t>can signify neither access to, nor mobility across, civil society’s plenitude of promises and discontents. The American automobile is now the “rez” automobile, and as such cannot be pressed into service of an ensemble of questions elaborated by questions of “citizenship,” “freedom,” “autonomy,” or “sexual prowess and/or attraction”—it cannot secure, for the “Savage,” agency within civil society’s touchstones of cohesion.</w:t>
      </w:r>
      <w:r w:rsidRPr="00087A72">
        <w:rPr>
          <w:sz w:val="12"/>
        </w:rPr>
        <w:t xml:space="preserve"> Since this is the case, Smoke Signals stands the icon on its head, makes light of it, and in so doing turns a “Savage” gaze upon the ethics of civil society and its “settled” subjects. </w:t>
      </w:r>
      <w:r w:rsidRPr="00087A72">
        <w:rPr>
          <w:rStyle w:val="StyleUnderline"/>
        </w:rPr>
        <w:t xml:space="preserve">In Smoke Signals the automobile exhibits the raw absurdity of “mobility” as an element constituent of ontology on the reservation: </w:t>
      </w:r>
      <w:r w:rsidRPr="00087A72">
        <w:rPr>
          <w:rStyle w:val="Emphasis"/>
        </w:rPr>
        <w:t>how, indeed, is it possible for the dead to move?</w:t>
      </w:r>
      <w:r w:rsidRPr="00087A72">
        <w:rPr>
          <w:rStyle w:val="StyleUnderline"/>
        </w:rPr>
        <w:t xml:space="preserve"> Where, one could ask, are the dead able to go? If civic “mobility” reveals its absurdity (a car moving backwards across a barren plain) within the constraints of the rez, then </w:t>
      </w:r>
      <w:r w:rsidRPr="00087A72">
        <w:rPr>
          <w:rStyle w:val="Emphasis"/>
        </w:rPr>
        <w:t>“mobility” is ethically bankrupt</w:t>
      </w:r>
      <w:r w:rsidRPr="00087A72">
        <w:rPr>
          <w:rStyle w:val="StyleUnderline"/>
        </w:rPr>
        <w:t>—and so is the Settler in her/his elaboration via its attendant dilemmas. What begins to unfold is an understanding of how the relationship between, on the one hand, two Native women and, on the other hand, two women within civil society</w:t>
      </w:r>
      <w:r w:rsidRPr="00087A72">
        <w:rPr>
          <w:sz w:val="12"/>
        </w:rPr>
        <w:t xml:space="preserve">, my example of Thelma and Louise, </w:t>
      </w:r>
      <w:r w:rsidRPr="00087A72">
        <w:rPr>
          <w:rStyle w:val="StyleUnderline"/>
        </w:rPr>
        <w:t>is an antagonistic relationship rather than a conflictual one. This is because the American automobile</w:t>
      </w:r>
      <w:r w:rsidRPr="00087A72">
        <w:rPr>
          <w:sz w:val="12"/>
        </w:rPr>
        <w:t xml:space="preserve"> in Thelma and Louise </w:t>
      </w:r>
      <w:r w:rsidRPr="00087A72">
        <w:rPr>
          <w:rStyle w:val="StyleUnderline"/>
        </w:rPr>
        <w:t>simultaneously symbolizes the myriad of conflicts that White face within civil society and also carries them forward, thus symbolizing their mobility within civil society—it complicates the push/pull of civic contrariness that Settlers are so fond of calling “change.”</w:t>
      </w:r>
      <w:r w:rsidRPr="00087A72">
        <w:rPr>
          <w:sz w:val="12"/>
        </w:rPr>
        <w:t xml:space="preserve"> In other words, the automobile can be imagined as that which allows Thelma and Louise to struggle with and negotiate their symbolic value within the libidinal economy of civil society, despite the fact that their characters die, physically, at the end of the film. </w:t>
      </w:r>
      <w:r w:rsidRPr="00087A72">
        <w:rPr>
          <w:rStyle w:val="StyleUnderline"/>
        </w:rPr>
        <w:t xml:space="preserve">But a genocided “Savage” cannot negotiate her symbolic value within White civil society precisely because </w:t>
      </w:r>
      <w:r w:rsidRPr="00087A72">
        <w:rPr>
          <w:rStyle w:val="Emphasis"/>
        </w:rPr>
        <w:t>her death was/is one of the preconditions from which value can be contested, negotiated, and/or hierarchized in the first ontological instance.</w:t>
      </w:r>
      <w:r w:rsidRPr="00087A72">
        <w:rPr>
          <w:sz w:val="12"/>
        </w:rPr>
        <w:t xml:space="preserve"> In Smoke Signals, </w:t>
      </w:r>
      <w:r w:rsidRPr="00087A72">
        <w:rPr>
          <w:rStyle w:val="StyleUnderline"/>
        </w:rPr>
        <w:t>the automobile cannot assist the Native women in their negotiation of life as it does White women in Settler cinema because the automobile would have to first bring the two Native women back to life, before it could assist them in their negotiation of life. This,</w:t>
      </w:r>
      <w:r w:rsidRPr="00087A72">
        <w:rPr>
          <w:sz w:val="12"/>
        </w:rPr>
        <w:t xml:space="preserve"> as I have just indicated</w:t>
      </w:r>
      <w:r w:rsidRPr="00087A72">
        <w:rPr>
          <w:rStyle w:val="StyleUnderline"/>
        </w:rPr>
        <w:t xml:space="preserve">, is impossible because the automobile’s symbolic capacity within civil society is, a priori, dependent upon these two Native women’s death. </w:t>
      </w:r>
      <w:r w:rsidRPr="00087A72">
        <w:rPr>
          <w:sz w:val="12"/>
        </w:rPr>
        <w:t>Chris Eyre’s Smoke Signals looks upon this condition with light humor, but the implications are deadly serious.</w:t>
      </w:r>
    </w:p>
    <w:p w:rsidR="00030ACD" w:rsidRPr="00087A72" w:rsidRDefault="00030ACD" w:rsidP="00030ACD">
      <w:pPr>
        <w:pStyle w:val="Heading4"/>
      </w:pPr>
      <w:r w:rsidRPr="00087A72">
        <w:t>Settler colonialism turns any impact calculus because how you understand value and ethical calculus are all ontologically dependent on Native genocide. The genocide of the Native clears the way for intra-Settler discussions of ethical value. To be alive is to stand upon this Indian burial ground we call the world—to be alive is to be unethical.</w:t>
      </w:r>
    </w:p>
    <w:p w:rsidR="00030ACD" w:rsidRPr="00087A72" w:rsidRDefault="00030ACD" w:rsidP="00030ACD">
      <w:r w:rsidRPr="00087A72">
        <w:rPr>
          <w:rStyle w:val="Style13ptBold"/>
        </w:rPr>
        <w:t>Wilderson 10</w:t>
      </w:r>
      <w:r w:rsidRPr="00087A72">
        <w:t xml:space="preserve"> (Frank, Full Professor of Drama and African American studies at the University of California, Irvine </w:t>
      </w:r>
      <w:r w:rsidRPr="00087A72">
        <w:rPr>
          <w:i/>
        </w:rPr>
        <w:t>Red, White, and Black: Cinema and the Structure of U.S. Antagonisms</w:t>
      </w:r>
      <w:r w:rsidRPr="00087A72">
        <w:t xml:space="preserve"> pp. 214-220) NIJ</w:t>
      </w:r>
    </w:p>
    <w:p w:rsidR="00030ACD" w:rsidRPr="00087A72" w:rsidRDefault="00030ACD" w:rsidP="00030ACD">
      <w:pPr>
        <w:rPr>
          <w:sz w:val="12"/>
        </w:rPr>
      </w:pPr>
      <w:r w:rsidRPr="00087A72">
        <w:rPr>
          <w:rStyle w:val="StyleUnderline"/>
        </w:rPr>
        <w:t>Mogie’s surrealist demand, “send me a big…fat woman …[to] cover up all the cracks in my shack,” goes to the heart of the matter.</w:t>
      </w:r>
      <w:r w:rsidRPr="00087A72">
        <w:rPr>
          <w:sz w:val="12"/>
        </w:rPr>
        <w:t xml:space="preserve"> </w:t>
      </w:r>
      <w:r w:rsidRPr="00087A72">
        <w:rPr>
          <w:rStyle w:val="Emphasis"/>
        </w:rPr>
        <w:t xml:space="preserve">Red flesh can only be restored, ethically, through the destruction of White bodies, because the corporeality of the indigenous has been consumed by and gone into the making of the Settler’s corporeality. Mogie wants what he has lost; not just his labor power, not just his language or land, but the raw material of his flesh. And, like most “grassroots Indians,” he knows precisely where it went—into the Settler’s “body”—and thus he knows precisely from where to repossess it. </w:t>
      </w:r>
      <w:r w:rsidRPr="00087A72">
        <w:rPr>
          <w:sz w:val="12"/>
        </w:rPr>
        <w:t xml:space="preserve">Though Mogie’s shack is small, we know from earlier scenes that it has at least two rooms. Therefore, </w:t>
      </w:r>
      <w:r w:rsidRPr="00087A72">
        <w:rPr>
          <w:rStyle w:val="StyleUnderline"/>
        </w:rPr>
        <w:t>to stretch a White woman across its interior, window-to-window, wall-to-wall, corner-to-corner, and then stretch her across the door, would be to reconfigure her body into grotesque and unrecognizable dimensions. There are serious doubts as to whether a White woman</w:t>
      </w:r>
      <w:r w:rsidRPr="00087A72">
        <w:rPr>
          <w:sz w:val="12"/>
        </w:rPr>
        <w:t xml:space="preserve">, even as large a White woman as Mogie Yellow Lodge is demanding from the President, “the Great White Father in Washington,” </w:t>
      </w:r>
      <w:r w:rsidRPr="00087A72">
        <w:rPr>
          <w:rStyle w:val="StyleUnderline"/>
        </w:rPr>
        <w:t>would survive such an ordeal. Imagine such a demand being made, such wallpapering taking place, en mass</w:t>
      </w:r>
      <w:r w:rsidRPr="00087A72">
        <w:rPr>
          <w:sz w:val="12"/>
        </w:rPr>
        <w:t xml:space="preserve">, on a scale which even Mogie’s inebriated imagination has not yet grasped. [General Andrew Jackson] instructed his troops to cut the noses of the corpses so that no one would be able to challenge the body count. They had bushel baskets full of noses that they brought back. This [practice] got him elected President. [He] campaigned on the basis that he had never met a recalcitrant Indian that he had not killed and never killed an Indian that he had not scalped and that anybody who wanted to question the validity of what he was saying was invited to tea in his parlor that evening so he could display the scalps and prove his point. [He] rode with a saddle bridle made out of the skin of an opposing Indian leader. This is the President of the United States. (Churchill: Book Tour Speech July 31, 2004) </w:t>
      </w:r>
      <w:r w:rsidRPr="00087A72">
        <w:rPr>
          <w:rStyle w:val="StyleUnderline"/>
        </w:rPr>
        <w:t>One begins to see how wallpapering or insulating one’s room not with “bushel baskets” of White female skin but with even one White woman is simply out of the question. Mogie’s demand, then, is laughed off—managed, constrained, marginalized—by the script.</w:t>
      </w:r>
      <w:r w:rsidRPr="00087A72">
        <w:rPr>
          <w:sz w:val="12"/>
        </w:rPr>
        <w:t xml:space="preserve"> “Hey, ya wanna see me piss in my pants?” are the words he is made to utter next. Words portrayed as the surreal ruminations of an Indian who has reached the end of his inebriated tether, and not as the wisdom of a man who could lead his people. </w:t>
      </w:r>
      <w:r w:rsidRPr="00087A72">
        <w:rPr>
          <w:rStyle w:val="Emphasis"/>
        </w:rPr>
        <w:t xml:space="preserve">The film is nervous in the face of Mogie’s demand not because of its absurdity but because of its authority. But Mogie is demanding no more of the Great White Father, no more of civil society, than he has already given. In fact, he is demanding less. </w:t>
      </w:r>
      <w:r w:rsidRPr="00087A72">
        <w:rPr>
          <w:sz w:val="12"/>
        </w:rPr>
        <w:t xml:space="preserve">His surrealism indicates a qualitatively similar ontological relationship between the Red and the White as exists between the Black and the White. The Middle Passage turns, for example, Ashanti spatial and temporal capacity into spatial and temporal incapacity—a body into flesh. This process begins as early as the 1200s for the Slave. lxxvi </w:t>
      </w:r>
      <w:r w:rsidRPr="00087A72">
        <w:rPr>
          <w:rStyle w:val="StyleUnderline"/>
        </w:rPr>
        <w:t>By the 1530s, Modernity is more self-conscious of its coordinates, and Whiteness begins its ontological consolidation and negative knowledge of itself by turning</w:t>
      </w:r>
      <w:r w:rsidRPr="00087A72">
        <w:rPr>
          <w:sz w:val="12"/>
        </w:rPr>
        <w:t xml:space="preserve"> (part of) </w:t>
      </w:r>
      <w:r w:rsidRPr="00087A72">
        <w:rPr>
          <w:rStyle w:val="StyleUnderline"/>
        </w:rPr>
        <w:t>the Aztec body</w:t>
      </w:r>
      <w:r w:rsidRPr="00087A72">
        <w:rPr>
          <w:sz w:val="12"/>
        </w:rPr>
        <w:t xml:space="preserve">, for example, </w:t>
      </w:r>
      <w:r w:rsidRPr="00087A72">
        <w:rPr>
          <w:rStyle w:val="StyleUnderline"/>
        </w:rPr>
        <w:t>into Indian flesh</w:t>
      </w:r>
      <w:r w:rsidRPr="00087A72">
        <w:rPr>
          <w:sz w:val="12"/>
        </w:rPr>
        <w:t xml:space="preserve"> (Judy (Dis)Forming the American Canon 81). </w:t>
      </w:r>
      <w:r w:rsidRPr="00087A72">
        <w:rPr>
          <w:rStyle w:val="StyleUnderline"/>
        </w:rPr>
        <w:t xml:space="preserve">In this moment the White body completes itself and proceeds to lay the groundwork for the intra-Settler ensemble of questions foundational to its ethical dilemmas (i.e., Marxism, feminism, psychoanalysis). In the final analysis, Settler ontology is guaranteed by way of a negative knowledge of what it is not, rather than by way of its positive claims of what it is. Ontological Whiteness is secured not through its cultural, economic, or gendered identities; but by the fact that it cannot be known (positioned) by genocide </w:t>
      </w:r>
      <w:r w:rsidRPr="00087A72">
        <w:rPr>
          <w:sz w:val="12"/>
        </w:rPr>
        <w:t xml:space="preserve">(or by Accumulation and Fungibility). </w:t>
      </w:r>
      <w:r w:rsidRPr="00087A72">
        <w:rPr>
          <w:rStyle w:val="StyleUnderline"/>
        </w:rPr>
        <w:t xml:space="preserve">This negative knowledge has its pleasures… </w:t>
      </w:r>
      <w:r w:rsidRPr="00087A72">
        <w:rPr>
          <w:sz w:val="12"/>
        </w:rPr>
        <w:t xml:space="preserve">[Unlike Jackson’s army of the early 19 th century, the 16 th century Dutch] didn’t take the noses and they didn’t take the scalps. They took whole heads because they wanted to identify the fact that they had eradicated the entire leadership of the opposition. They brought the heads back to the central square in New Amsterdam [now Manhattan] where the citizenry began to celebrate. They turned it into a sport. People who had participated in the expedition had themselves a jolly game of kick ball using the heads and the citizenry sat around and cheered…(Churchill 7/31/04) </w:t>
      </w:r>
      <w:r w:rsidRPr="00087A72">
        <w:rPr>
          <w:rStyle w:val="StyleUnderline"/>
        </w:rPr>
        <w:t xml:space="preserve">…has a sense of affilial inclusion and filial longevity… </w:t>
      </w:r>
      <w:r w:rsidRPr="00087A72">
        <w:rPr>
          <w:sz w:val="12"/>
        </w:rPr>
        <w:t xml:space="preserve">[In 1864, the 3 rd Regiment of the U.S. Calvary] returned to Denver [Colorado] with their trophies [the vaginas of Native American women stapled to the front of their hats] and held a triumphal parade. [They] proceeded down Larimore Street…and the good citizenry stood up and cheered wildly...[T]he Rocky Mountain News [described it as] “an unparalleled feat of martial prowess that would live forever in the annals of the history and nobility of the race.” (7/31/04) </w:t>
      </w:r>
      <w:r w:rsidRPr="00087A72">
        <w:rPr>
          <w:rStyle w:val="StyleUnderline"/>
        </w:rPr>
        <w:t xml:space="preserve">…has a capacity for territorial integrity… </w:t>
      </w:r>
      <w:r w:rsidRPr="00087A72">
        <w:rPr>
          <w:sz w:val="12"/>
        </w:rPr>
        <w:t xml:space="preserve">Scalp bounties…were officially claimed bounties that were placed on Indians in every antecedent colony in the Eastern Seaboard—French, English, and Spanish. I don’t know about the Dutch. They killed all the Indians around before they had the chance to need a bounty. But from the antecedent colonies this law transferred to every state and territory in forty-eight contiguous states. (7/31/04) </w:t>
      </w:r>
      <w:r w:rsidRPr="00087A72">
        <w:rPr>
          <w:rStyle w:val="StyleUnderline"/>
        </w:rPr>
        <w:t xml:space="preserve">…that is, it has the capacity to transform Clearing from a verb into Clearing as a noun… </w:t>
      </w:r>
      <w:r w:rsidRPr="00087A72">
        <w:rPr>
          <w:sz w:val="12"/>
        </w:rPr>
        <w:t xml:space="preserve">Every [state in the union] placed a bounty on Indians, any Indians, all Indians. [For example in the] Pennsylvania colony in the 1740s, the bounty [was] forty pounds sterling for proof of death of an adult male Indian. That proof of death being in the form of a scalp or a bloody red skin…Proof of death in that form got the bearer of the proof forty pounds sterling. Forty pounds sterling in the 1740s was equivalent to the annual wage of your average farmer. This is big business. Twenty pounds sterling would be paid for proof of death in the same form of an adult female. Ten pounds sterling for proof of death of a child, a child being defined as human being of either sex under ten years of age down to and, yes, including the fetus…In Texas this law was not rescinded until 1887, [when] the debate in the Texas legislature concluded that there was no reason to continue because there was no long sufficient numbers of living Indians in the entire state of Texas to warrant the continuation of it. It had accomplished its purpose. (7/31/04) </w:t>
      </w:r>
      <w:r w:rsidRPr="00087A72">
        <w:rPr>
          <w:rStyle w:val="StyleUnderline"/>
        </w:rPr>
        <w:t>…and just like that, Little Baby Civil Society was walking on its own two feet. To Grown-up Civil Society</w:t>
      </w:r>
      <w:r w:rsidRPr="00087A72">
        <w:rPr>
          <w:sz w:val="12"/>
        </w:rPr>
        <w:t xml:space="preserve"> (Mogie’s “Great White Father in Washington”) </w:t>
      </w:r>
      <w:r w:rsidRPr="00087A72">
        <w:rPr>
          <w:rStyle w:val="StyleUnderline"/>
        </w:rPr>
        <w:t xml:space="preserve">Mogie Yellow Lodge submits his own “personal” genocide reparations bill. A bill that accounts for the perfect symmetry through which Whiteness has formed a body (from the genitals to the body politic) out of “Savage” flesh. The symmetry’s perfection becomes clear when one realizes that today’s 1.6%-to-80.6%, “Savage”-to-Settler ratio is a pure inversion of the sixteenth century’s “Savage” to Settler ratio. </w:t>
      </w:r>
      <w:r w:rsidRPr="00087A72">
        <w:rPr>
          <w:sz w:val="12"/>
        </w:rPr>
        <w:t xml:space="preserve">lxxvii </w:t>
      </w:r>
      <w:r w:rsidRPr="00087A72">
        <w:rPr>
          <w:rStyle w:val="StyleUnderline"/>
        </w:rPr>
        <w:t>“Send me a big woman. A fat woman! So that when I sleep with her she’ll cover up all the cracks in my shack and stop the wind from blowing through” is a demand so ethically pure that the film finds it unbearable and, as such, is unable (unwilling?) to let Mogie state it without irony.</w:t>
      </w:r>
      <w:r w:rsidRPr="00087A72">
        <w:rPr>
          <w:sz w:val="12"/>
        </w:rPr>
        <w:t xml:space="preserve"> And yet, Mogie’s outbursts like this—“outbursts” because they are generally infrequent and contained by pity or humor—are the few moments when the film engages the ethical dilemmas of the Settler/“Savage” antagonism (genocide and its impossible semiotics) instead of the ethical dilemmas of the Settler/“Savage” conflict (sovereignty and its semiotics of loss). Again, </w:t>
      </w:r>
      <w:r w:rsidRPr="00087A72">
        <w:rPr>
          <w:rStyle w:val="Emphasis"/>
        </w:rPr>
        <w:t>it is not that Mogie’s demand is absurd and unethical, but rather that it is a demand so pure in its ethicality that it threatens the quotidian prohibitions which, in Modernity, constrain ethics. The demand is far too ethical</w:t>
      </w:r>
      <w:r w:rsidRPr="00087A72">
        <w:rPr>
          <w:sz w:val="12"/>
        </w:rPr>
        <w:t xml:space="preserve"> for the film to embrace and elaborate at the level of narrative. It is a demand that must be policed by sovereign powers. Exploring Skins’ cinematic strategies reveals this containment as an effort to manage the spectator’s interpellation by the dilemmas of Mogie’s ruination and by they demand that ushers forth from his “flesh.” </w:t>
      </w:r>
      <w:r w:rsidRPr="00087A72">
        <w:rPr>
          <w:rStyle w:val="StyleUnderline"/>
        </w:rPr>
        <w:t>Mogie’s surrealism seeks to cull power directly from the subjectivity of the Settler, what Ward Churchill calls the “imperial integrity of the US itself”</w:t>
      </w:r>
      <w:r w:rsidRPr="00087A72">
        <w:rPr>
          <w:sz w:val="12"/>
        </w:rPr>
        <w:t xml:space="preserve"> (Marxism and Native Americans 202). </w:t>
      </w:r>
      <w:r w:rsidRPr="00087A72">
        <w:rPr>
          <w:rStyle w:val="StyleUnderline"/>
        </w:rPr>
        <w:t>This idea of culling power, resources, and Human life directly from the imperial integrity of the US, especially when we think that imperial integrity through the banality of White bodies</w:t>
      </w:r>
      <w:r w:rsidRPr="00087A72">
        <w:rPr>
          <w:sz w:val="12"/>
        </w:rPr>
        <w:t xml:space="preserve"> (in other words, through the “innocence” of today’s citizen), is indicative of the kind of unflinching paradigmatic analyses which allowed Ward Churchill to embrace the 9/11 attack on the World Trade Center within forty-eight hours of its occurrence, a moment in time when Settler Marxists and Settler progressives either suddenly became mute, or stumbled over their own tongues in half-hearted attempts to simultaneously condemn the attack and explain its political and historical rationale. Churchill’s embrace of the event is not synonymous with either celebration or condemnation. It goes without saying that Churchill also refused to be interpellated by the pageantry of mourning that followed in the wake of 9-1-1. But Settler radicals and progressives assailed him for meditating on the attack from within the questions of the genocided “Savage,” rather than from within an ensemble of questions allied with Settler’s grammar of suffering, exploitation and alienation. </w:t>
      </w:r>
      <w:r w:rsidRPr="00087A72">
        <w:rPr>
          <w:rStyle w:val="StyleUnderline"/>
        </w:rPr>
        <w:t xml:space="preserve">People on the Left tried to shame Churchill for embracing incoherent terror </w:t>
      </w:r>
      <w:r w:rsidRPr="00087A72">
        <w:rPr>
          <w:sz w:val="12"/>
        </w:rPr>
        <w:t xml:space="preserve">(suicide bombers) </w:t>
      </w:r>
      <w:r w:rsidRPr="00087A72">
        <w:rPr>
          <w:rStyle w:val="StyleUnderline"/>
        </w:rPr>
        <w:t>instead of morally and politically sanctioned revolutionary action</w:t>
      </w:r>
      <w:r w:rsidRPr="00087A72">
        <w:rPr>
          <w:sz w:val="12"/>
        </w:rPr>
        <w:t xml:space="preserve"> (like the Zapatistas or the Sandanistas). </w:t>
      </w:r>
      <w:r w:rsidRPr="00087A72">
        <w:rPr>
          <w:rStyle w:val="StyleUnderline"/>
        </w:rPr>
        <w:t>Others chided him for advocating violence in any form.</w:t>
      </w:r>
      <w:r w:rsidRPr="00087A72">
        <w:rPr>
          <w:sz w:val="12"/>
        </w:rPr>
        <w:t xml:space="preserve"> Many said that now is not the time for a scathing critique; “our” nation is in mourning. And there were those who wagged their finger and reminded him that there were members of the working class (not just police agents and investment bankers) who died in the Twin Towers. These nay-sayers all made their arguments at the level of experience, and Churchill, rather handily, answered them at the level as well. But I am neither interested in his interlocutors’ chiding nor in his response. </w:t>
      </w:r>
      <w:r w:rsidRPr="00087A72">
        <w:rPr>
          <w:rStyle w:val="StyleUnderline"/>
        </w:rPr>
        <w:t>The Left’s attack on Churchill’s embrace of the 9-1-1 attacks is important not for the social issues it raises, the myriad of things it claims it is concerned about, but rather for the grammar of suffering shared across the board, those building blocks through which loss is conceptualized in such a way that makes it impossible for the “Savage” to function, grammatically, as their paradigm of suffering, and even less as its paradigmatic agent for change. Had Churchill’s interlocutors been more honest, they would have used fewer words—not draped their rejoinders with the veil of issues from the realm of experience</w:t>
      </w:r>
      <w:r w:rsidRPr="00087A72">
        <w:rPr>
          <w:sz w:val="12"/>
        </w:rPr>
        <w:t xml:space="preserve"> (i.e., tactics) —</w:t>
      </w:r>
      <w:r w:rsidRPr="00087A72">
        <w:rPr>
          <w:rStyle w:val="StyleUnderline"/>
        </w:rPr>
        <w:t xml:space="preserve">and said, quite simply, </w:t>
      </w:r>
      <w:r w:rsidRPr="00087A72">
        <w:rPr>
          <w:rStyle w:val="Emphasis"/>
        </w:rPr>
        <w:t xml:space="preserve">“We will not be led by the ‘Savage;’ death is not an element constituent of our ontology.” </w:t>
      </w:r>
      <w:r w:rsidRPr="00087A72">
        <w:rPr>
          <w:sz w:val="12"/>
        </w:rPr>
        <w:t xml:space="preserve">Unlike the narrative and cinematic strategies of Skins, Churchill’s meditation on 9-1-1 embraces, rather than contains, Mogie Yellow Lodge’s demand. </w:t>
      </w:r>
      <w:r w:rsidRPr="00087A72">
        <w:rPr>
          <w:rStyle w:val="StyleUnderline"/>
        </w:rPr>
        <w:t>Churchill’s work is authorized by Mogie Yellow Lodge’s grammar of suffering which, inter alia, forecloses upon Churchill’s passing judgment on the tactical ethics of either the attack on the World Trade Center or, for that matter, Mogie’s attack on the body of White femininity. Churchill accepts this foreclosure and works off of it. He does not feel constrained by it but finds it enabling of a quality of reflection that would be otherwise inconceivable: There can be no defensible suggestion that those who attacked the Pentagon and the WTC on 9-1-1 were seeking to get even with the U.S. Still less is there a basis for claims that they “started” something, or that the U.S. has anything to get even with them for. Quite the contrary. For the attackers to have arguably “evened the score” for Iraqi’s dead children alone, it would have been necessary for them to have killed a hundred times the number of Americans who actually died. This in itself, however would have allowed them to attain parity in terms of real numbers. The U.S. population is about fifteen times the size of Iraq’s. Hence, for the attackers to have achieved a proportionally equivalent impact, it would have been necessary that they kill some 7.5 million Americans</w:t>
      </w:r>
      <w:r w:rsidRPr="00087A72">
        <w:rPr>
          <w:sz w:val="12"/>
        </w:rPr>
        <w:t xml:space="preserve">. (On the Justice of Roosting Chickens: Reflections on the Consequences of U.S. Imperial Arrogance and Criminality 14) Churchill reflects upon the event of 9-1-1 in such a way as to make it impossible to talk about it as an event. This is a marker of the philosophical brilliance and rhetorical dexterity foundational to Churchill’s thirty-odd books, articles, and recorded speeches. This dexterity allows the work to be conversant with the actual details and “facts” of the event (as presented and cathedralized by White civil society). </w:t>
      </w:r>
      <w:r w:rsidRPr="00087A72">
        <w:rPr>
          <w:rStyle w:val="StyleUnderline"/>
        </w:rPr>
        <w:t>Yet instead of becoming mired in the bog of concerns which makes the event as “event”</w:t>
      </w:r>
      <w:r w:rsidRPr="00087A72">
        <w:rPr>
          <w:sz w:val="12"/>
        </w:rPr>
        <w:t xml:space="preserve"> (details and common sense ethics) </w:t>
      </w:r>
      <w:r w:rsidRPr="00087A72">
        <w:rPr>
          <w:rStyle w:val="StyleUnderline"/>
        </w:rPr>
        <w:t>Churchill jettisons common sense and presses the details into service of an ensemble of questions animated by the ethical dilemmas of “Savage,” and not Settler, ontology.</w:t>
      </w:r>
      <w:r w:rsidRPr="00087A72">
        <w:rPr>
          <w:sz w:val="12"/>
        </w:rPr>
        <w:t xml:space="preserve"> He can do this on behalf of those who are not even Native Americans (in this passage, Iraqis) because he provides them with the “Savage” as a lens through which they can do ethnographic and political work on the Settler as specimen. In other words, </w:t>
      </w:r>
      <w:r w:rsidRPr="00087A72">
        <w:rPr>
          <w:rStyle w:val="StyleUnderline"/>
        </w:rPr>
        <w:t>in his chapter on 9-1-1, his argument is made in such a way that, to be interpellated, the reader must adjust the logic of his/her political experience to fit the logic of “Savage” genocidal ontology—and not vice versa.</w:t>
      </w:r>
      <w:r w:rsidRPr="00087A72">
        <w:rPr>
          <w:sz w:val="12"/>
        </w:rPr>
        <w:t xml:space="preserve"> The reader must be subordinated to, and incorporated by, Redness, or else the reader will experience the piece in the same way that the viewer is meant to experience Mogie Yellow Lodge: as a scandal, as a problem in need of fixing. </w:t>
      </w:r>
      <w:r w:rsidRPr="00087A72">
        <w:rPr>
          <w:rStyle w:val="StyleUnderline"/>
        </w:rPr>
        <w:t>Churchill continues to subordinate the “facts” of 9-1-1 to an ethical examination of Settlerism by reminding the reader that the U.S. is “fifteen times the size” of Iraq, therefore 9-1-1 would have had to have had a death toll of “7.5 million Americans” in order to have “achieved a proportionately equivalent impact”</w:t>
      </w:r>
      <w:r w:rsidRPr="00087A72">
        <w:rPr>
          <w:sz w:val="12"/>
        </w:rPr>
        <w:t xml:space="preserve"> (14). </w:t>
      </w:r>
      <w:r w:rsidRPr="00087A72">
        <w:rPr>
          <w:rStyle w:val="StyleUnderline"/>
        </w:rPr>
        <w:t>In the very next paragraph, Churchill corrects himself and insists that 7.5 million is the number of American children the attackers would have had to have killed in order to achieve parity. This is followed by a list of even more corrections, in which Churchill recalculates the meaning of parity based solely on the U.S.’s deracination of Iraq since 1990 (further down the correctives will lead him to the “Savage” and to the Slave). True parity would result in 7.5 million dead American children, 15 million dead American adults, the obliteration of “sewage, water sanitation and electrical plants, food production/storage capacity, hospitals, pharmaceutical production facilities, communication centers and much more.” The effects of which would mean not just mass death but “a surviving population wracked by malnutrition an endemic disease”</w:t>
      </w:r>
      <w:r w:rsidRPr="00087A72">
        <w:rPr>
          <w:sz w:val="12"/>
        </w:rPr>
        <w:t xml:space="preserve"> (14). </w:t>
      </w:r>
      <w:r w:rsidRPr="00087A72">
        <w:rPr>
          <w:rStyle w:val="StyleUnderline"/>
        </w:rPr>
        <w:t>“Indeed, applying such standards of ‘pay back’ vis-à-vis American Indians alone would require a lethal reduction in the U.S. population…of between 96 and 99 percent”</w:t>
      </w:r>
      <w:r w:rsidRPr="00087A72">
        <w:rPr>
          <w:sz w:val="12"/>
        </w:rPr>
        <w:t xml:space="preserve"> (15). </w:t>
      </w:r>
      <w:r w:rsidRPr="00087A72">
        <w:rPr>
          <w:rStyle w:val="Emphasis"/>
        </w:rPr>
        <w:t>Suddenly, Mogie Yellow Lodge’s demand for parity (just one big fat White woman to cover up the cracks in his shack) sounds downright generous. Mogie is demanding one Settler, a far cry from demanding parity for ontological death. Were he to demand parity the U.S. “would run out of people long before it ran out of compensatory obligation”</w:t>
      </w:r>
      <w:r w:rsidRPr="00087A72">
        <w:rPr>
          <w:sz w:val="12"/>
        </w:rPr>
        <w:t xml:space="preserve"> (Churchill Roosting Chickens 14-15).</w:t>
      </w:r>
    </w:p>
    <w:p w:rsidR="00030ACD" w:rsidRPr="00087A72" w:rsidRDefault="00030ACD" w:rsidP="00030ACD">
      <w:pPr>
        <w:pStyle w:val="Heading4"/>
      </w:pPr>
      <w:r w:rsidRPr="00087A72">
        <w:t xml:space="preserve">You misdiagnose the root cause of your problem, not matter what is done the ideas of the settler and the non-native are entrenched through your method – instead we must embrace the alt </w:t>
      </w:r>
    </w:p>
    <w:p w:rsidR="00030ACD" w:rsidRPr="00087A72" w:rsidRDefault="00030ACD" w:rsidP="00030ACD">
      <w:pPr>
        <w:rPr>
          <w:sz w:val="16"/>
          <w:szCs w:val="16"/>
        </w:rPr>
      </w:pPr>
      <w:r w:rsidRPr="00087A72">
        <w:rPr>
          <w:rStyle w:val="Style13ptBold"/>
        </w:rPr>
        <w:t xml:space="preserve">Rifkin 2013 </w:t>
      </w:r>
      <w:r w:rsidRPr="00087A72">
        <w:rPr>
          <w:rStyle w:val="Style13ptBold"/>
          <w:b w:val="0"/>
          <w:sz w:val="16"/>
          <w:szCs w:val="16"/>
        </w:rPr>
        <w:t xml:space="preserve">(Mark Rifkin, Professor. US Ethnic Literature University of North Carolina – Greensboro research primarily focuses on Native American writing and politics from the eighteenth century onward, exploring the ways that Indigenous peoples have negotiated U.S. racial and imperial formations.  “Settler common sense” </w:t>
      </w:r>
      <w:r w:rsidRPr="00087A72">
        <w:rPr>
          <w:rStyle w:val="Style13ptBold"/>
          <w:b w:val="0"/>
          <w:i/>
          <w:sz w:val="16"/>
          <w:szCs w:val="16"/>
        </w:rPr>
        <w:t>Settler Colonial Studies</w:t>
      </w:r>
      <w:r w:rsidRPr="00087A72">
        <w:rPr>
          <w:rStyle w:val="Style13ptBold"/>
          <w:b w:val="0"/>
          <w:sz w:val="16"/>
          <w:szCs w:val="16"/>
        </w:rPr>
        <w:t xml:space="preserve">, 2013, Vol. 3, pp. 324-326) [JS] </w:t>
      </w:r>
    </w:p>
    <w:p w:rsidR="00030ACD" w:rsidRPr="00087A72" w:rsidRDefault="00030ACD" w:rsidP="00030ACD">
      <w:pPr>
        <w:rPr>
          <w:sz w:val="16"/>
        </w:rPr>
      </w:pPr>
      <w:r w:rsidRPr="00087A72">
        <w:rPr>
          <w:sz w:val="16"/>
        </w:rPr>
        <w:t>In Settler Colonialism and the Transformation of Anthropology, Patrick Wolfe argues, “</w:t>
      </w:r>
      <w:r w:rsidRPr="00087A72">
        <w:rPr>
          <w:rStyle w:val="StyleUnderline"/>
        </w:rPr>
        <w:t>Settler colonies were (are) premised on the elimination of native societies. The split tensing reflects a determinate feature of settler colonization</w:t>
      </w:r>
      <w:r w:rsidRPr="00087A72">
        <w:rPr>
          <w:sz w:val="16"/>
        </w:rPr>
        <w:t xml:space="preserve">. The colonizers come to stay – invasion is a structure not an event.”5 Offering perhaps the most prominent definition of </w:t>
      </w:r>
      <w:r w:rsidRPr="00087A72">
        <w:rPr>
          <w:rStyle w:val="StyleUnderline"/>
        </w:rPr>
        <w:t>settler colonialism</w:t>
      </w:r>
      <w:r w:rsidRPr="00087A72">
        <w:rPr>
          <w:sz w:val="16"/>
        </w:rPr>
        <w:t xml:space="preserve">, Wolfe’s formulation emphasizes the fact that </w:t>
      </w:r>
      <w:r w:rsidRPr="00087A72">
        <w:rPr>
          <w:rStyle w:val="StyleUnderline"/>
        </w:rPr>
        <w:t>it cannot be localized within a specific period of removal or extermination</w:t>
      </w:r>
      <w:r w:rsidRPr="00087A72">
        <w:rPr>
          <w:sz w:val="16"/>
        </w:rPr>
        <w:t xml:space="preserve"> </w:t>
      </w:r>
      <w:r w:rsidRPr="00087A72">
        <w:rPr>
          <w:rStyle w:val="StyleUnderline"/>
        </w:rPr>
        <w:t>and that it persists as a determinative feature of national territoriality and identity</w:t>
      </w:r>
      <w:r w:rsidRPr="00087A72">
        <w:rPr>
          <w:sz w:val="16"/>
        </w:rPr>
        <w:t>. He argues that</w:t>
      </w:r>
      <w:r w:rsidRPr="00087A72">
        <w:rPr>
          <w:rStyle w:val="StyleUnderline"/>
        </w:rPr>
        <w:t xml:space="preserve"> a “logic of elimination” drives settler governance and sociality, describing “the settler-colonial will” as “a historical force that ultimately derives from the primal drive to expansion that is generally glossed as capitalism</w:t>
      </w:r>
      <w:r w:rsidRPr="00087A72">
        <w:rPr>
          <w:sz w:val="16"/>
        </w:rPr>
        <w:t>” (167), and in “Settler Colonialism and the Elimination of the Native,” he observes that “elimination is an organizing principle of settler-colonial society rather than a one-off (and superceded) occurrence”, adding, “</w:t>
      </w:r>
      <w:r w:rsidRPr="00087A72">
        <w:rPr>
          <w:rStyle w:val="StyleUnderline"/>
        </w:rPr>
        <w:t>Settler colonialism destroys to replace</w:t>
      </w:r>
      <w:r w:rsidRPr="00087A72">
        <w:rPr>
          <w:sz w:val="16"/>
        </w:rPr>
        <w:t>.”6 Rather than being superseded after an initial moment/period of conquest, however, colonization persists since “</w:t>
      </w:r>
      <w:r w:rsidRPr="00087A72">
        <w:rPr>
          <w:rStyle w:val="StyleUnderline"/>
        </w:rPr>
        <w:t>the logic of elimination marks a return whereby the native repressed continues to structure settler-colonial society</w:t>
      </w:r>
      <w:r w:rsidRPr="00087A72">
        <w:rPr>
          <w:sz w:val="16"/>
        </w:rPr>
        <w:t xml:space="preserve">” (390), and “the process of replacement maintains the refractory imprint of the native counter-claim” (389). Yet, when and how do projects of elimination and replacement become geographies of everyday non-Native occupancy that do not understand themselves as predicated on colonial occupation or on a history of settler-Indigenous relation (even though they are), and what are the contours and effects of such experiences of inhabitance and belonging? In characterizing settlement as a “structure”, “logic”, and a “will”, Wolfe seeks to integrate the multivalent aspects of ongoing processes of non-Native expropriation and superintendence, but doing so potentially sidesteps the question of how official governmental initiatives and framings become normalized as the setting for everyday non-Native being and action in ways that cannot be captured solely by reference to “the murderous activities of the frontier rabble” (392–3). In Aileen Moreton-Robinson’s work, </w:t>
      </w:r>
      <w:r w:rsidRPr="00087A72">
        <w:rPr>
          <w:rStyle w:val="StyleUnderline"/>
        </w:rPr>
        <w:t>whiteness functions as the central way of understanding the domination and displacement of Indigenous peoples by non-Natives</w:t>
      </w:r>
      <w:r w:rsidRPr="00087A72">
        <w:rPr>
          <w:sz w:val="16"/>
        </w:rPr>
        <w:t>.7 In “Writing Off Indigenous Sovereignty,” she argues, “</w:t>
      </w:r>
      <w:r w:rsidRPr="00087A72">
        <w:rPr>
          <w:rStyle w:val="Emphasis"/>
        </w:rPr>
        <w:t>As a regime of power, patriarchal White sovereignty operates ideologically, materially and discursively to reproduce and maintain its investment in the nation as a white possession</w:t>
      </w:r>
      <w:r w:rsidRPr="00087A72">
        <w:rPr>
          <w:sz w:val="16"/>
        </w:rPr>
        <w:t>”, and in “Writing Off Treaties”, she suggests, “</w:t>
      </w:r>
      <w:r w:rsidRPr="00087A72">
        <w:rPr>
          <w:rStyle w:val="StyleUnderline"/>
        </w:rPr>
        <w:t>At an ontological level the structure of subjective possession occurs through the imposition of one’s will-to-be on the thing which is perceived to lack will, thus it is open to being possessed</w:t>
      </w:r>
      <w:r w:rsidRPr="00087A72">
        <w:rPr>
          <w:sz w:val="16"/>
        </w:rPr>
        <w:t xml:space="preserve">,” such that “possession ... </w:t>
      </w:r>
      <w:r w:rsidRPr="00087A72">
        <w:rPr>
          <w:rStyle w:val="StyleUnderline"/>
        </w:rPr>
        <w:t>forms part of the ontological structure of white subjectivity</w:t>
      </w:r>
      <w:r w:rsidRPr="00087A72">
        <w:rPr>
          <w:sz w:val="16"/>
        </w:rPr>
        <w:t xml:space="preserve">”.8 </w:t>
      </w:r>
      <w:r w:rsidRPr="00087A72">
        <w:rPr>
          <w:rStyle w:val="Emphasis"/>
        </w:rPr>
        <w:t>Whiteness, then, instantiates a property logic in which subjectivity, placemaking, and political belonging turn on the exertion of a right to untrammelled ownership</w:t>
      </w:r>
      <w:r w:rsidRPr="00087A72">
        <w:rPr>
          <w:sz w:val="16"/>
        </w:rPr>
        <w:t xml:space="preserve"> and in which </w:t>
      </w:r>
      <w:r w:rsidRPr="00087A72">
        <w:rPr>
          <w:rStyle w:val="Emphasis"/>
        </w:rPr>
        <w:t>that process of manufacturing legitimacy for non-Native occupation appears as a self-evident, unquestionable, and invisible frame through which to assess Indigenous voices, claims, and presence</w:t>
      </w:r>
      <w:r w:rsidRPr="00087A72">
        <w:rPr>
          <w:sz w:val="16"/>
        </w:rPr>
        <w:t>. She further observes, “</w:t>
      </w:r>
      <w:r w:rsidRPr="00087A72">
        <w:rPr>
          <w:rStyle w:val="StyleUnderline"/>
        </w:rPr>
        <w:t>it is the legally defined and asserted territorial sovereignty [of the settler nation] that provides the context for national identifications of whiteness” while “one benefits everyday from being tied to a nation that has and continues to constitute itself as a white possession”</w:t>
      </w:r>
      <w:r w:rsidRPr="00087A72">
        <w:rPr>
          <w:sz w:val="16"/>
        </w:rPr>
        <w:t xml:space="preserve"> (85). Tracing a dialectical relation between policy and the everyday, she notes in “Writing Off Indigenous Sovereignty” that the “possessive investment in patriarchal white sovereignty is enhanced through private property ownership. This security produces affect that is encapsulated in a sense of home and place, mobilising an affirmation of a white national identity” (95). Thus, her work raises the issue of how the legal discourses that sustain the settler-state’s “territorial sovereignty” become ordinary through the “affect” of belonging and emplacement generated by “private property”, which reciprocally reinvests in the “white national identity” as its condition of possibility. Yet, “whiteness” names the juridical assertion of authority over Indigenous peoples and lands, the quotidian experience of selfhood and embodiment as a settler subject, and </w:t>
      </w:r>
      <w:r w:rsidRPr="00087A72">
        <w:rPr>
          <w:rStyle w:val="StyleUnderline"/>
        </w:rPr>
        <w:t>the movement(s) between them in ways that can cast settler affect as merely the passive vehicle for a pre-constituted set of state initiatives which settler subjects, in their investment in whiteness (as identity and/or identification), inherently extend and realize.</w:t>
      </w:r>
      <w:r w:rsidRPr="00087A72">
        <w:rPr>
          <w:sz w:val="16"/>
        </w:rPr>
        <w:t xml:space="preserve">9 </w:t>
      </w:r>
      <w:r w:rsidRPr="00087A72">
        <w:rPr>
          <w:rStyle w:val="StyleUnderline"/>
        </w:rPr>
        <w:t>The processes by which legislative and administrative agendas come to function as an animating part of daily life, the differences such realization and localization make in the terms and trajectories of those explicit projects, and the possibilities for forms of disjuncture between the state apparatus and everyday experience are bracketed by the positing of a clear, direct, and inevitable relation characterized as “ontological”.</w:t>
      </w:r>
      <w:r w:rsidRPr="00087A72">
        <w:rPr>
          <w:sz w:val="16"/>
        </w:rPr>
        <w:t xml:space="preserve"> For Jodi Byrd, the deployment of Indianness as a mobile figure works as the principal mode of US settler colonialism. She observes that “colonization and racialization ... have often been conflated”, in ways that “tend to be sited along the axis of inclusion/exclusion”.10 </w:t>
      </w:r>
      <w:r w:rsidRPr="00087A72">
        <w:rPr>
          <w:rStyle w:val="StyleUnderline"/>
        </w:rPr>
        <w:t>Doing so places emphasis on the belonging of citizenship as remediation for past and present violence, thereby “mask[ing] the territoriality of conquest by assigning colonization to the racialized body, which is then policed in its degrees from whiteness</w:t>
      </w:r>
      <w:r w:rsidRPr="00087A72">
        <w:rPr>
          <w:sz w:val="16"/>
        </w:rPr>
        <w:t>” (xxiv). Suggesting that the “</w:t>
      </w:r>
      <w:r w:rsidRPr="00087A72">
        <w:rPr>
          <w:rStyle w:val="StyleUnderline"/>
        </w:rPr>
        <w:t>cacophony of competing struggles for hegemony ... misdirect and cloud attention from the underlying structures of settler colonialism”</w:t>
      </w:r>
      <w:r w:rsidRPr="00087A72">
        <w:rPr>
          <w:sz w:val="16"/>
        </w:rPr>
        <w:t xml:space="preserve"> (xvii), s</w:t>
      </w:r>
      <w:r w:rsidRPr="00087A72">
        <w:rPr>
          <w:rStyle w:val="StyleUnderline"/>
        </w:rPr>
        <w:t>he argues that the latter work through translating indigeneity as Indianness, casting place-based political collectivities as (racialized) populations subject to US jurisdiction and management</w:t>
      </w:r>
      <w:r w:rsidRPr="00087A72">
        <w:rPr>
          <w:sz w:val="16"/>
        </w:rPr>
        <w:t>: “</w:t>
      </w:r>
      <w:r w:rsidRPr="00087A72">
        <w:rPr>
          <w:rStyle w:val="Emphasis"/>
        </w:rPr>
        <w:t>the Indian is left nowhere and everywhere within the ontological premises through which U.S. empire orients, imagines, and critiques itself</w:t>
      </w:r>
      <w:r w:rsidRPr="00087A72">
        <w:rPr>
          <w:sz w:val="16"/>
        </w:rPr>
        <w:t>”; “</w:t>
      </w:r>
      <w:r w:rsidRPr="00087A72">
        <w:rPr>
          <w:rStyle w:val="Emphasis"/>
        </w:rPr>
        <w:t>ideas of Indians and Indianness have served as the ontological ground through which U.S. settler colonialism enacts itself</w:t>
      </w:r>
      <w:r w:rsidRPr="00087A72">
        <w:rPr>
          <w:sz w:val="16"/>
        </w:rPr>
        <w:t xml:space="preserve">” (xix).11 </w:t>
      </w:r>
      <w:r w:rsidRPr="00087A72">
        <w:rPr>
          <w:rStyle w:val="Emphasis"/>
        </w:rPr>
        <w:t>In presenting Indianization as providing the “ontological premises” and serving as the “ontological ground” for US identity and policy,</w:t>
      </w:r>
      <w:r w:rsidRPr="00087A72">
        <w:rPr>
          <w:sz w:val="16"/>
        </w:rPr>
        <w:t xml:space="preserve"> Byrd powerfully links the (re)production of Indianness to a range of political and critical projects and the displacement of the geopolitics of Indigenous sovereignty. She observes that </w:t>
      </w:r>
      <w:r w:rsidRPr="00087A72">
        <w:rPr>
          <w:rStyle w:val="StyleUnderline"/>
        </w:rPr>
        <w:t xml:space="preserve">“imperialism has forced settlers and arrivants </w:t>
      </w:r>
      <w:r w:rsidRPr="00087A72">
        <w:rPr>
          <w:sz w:val="16"/>
        </w:rPr>
        <w:t xml:space="preserve">[her term for non-White non-Natives] </w:t>
      </w:r>
      <w:r w:rsidRPr="00087A72">
        <w:rPr>
          <w:rStyle w:val="StyleUnderline"/>
        </w:rPr>
        <w:t>to cathect the space of the native as their home</w:t>
      </w:r>
      <w:r w:rsidRPr="00087A72">
        <w:rPr>
          <w:sz w:val="16"/>
        </w:rPr>
        <w:t>” (xxxix), but how is such cathexis contingently engendered in everyday ways? Although Byrd gestures in this direction, her focus on the foundationality and historical continuity of the dynamics she addresses emphasizes their role as a coherent and consistent “underlying structure” rather than how they gain scope, motion, and force through reiterative yet shifting formations, practices, and inclinations.</w:t>
      </w:r>
    </w:p>
    <w:p w:rsidR="00030ACD" w:rsidRPr="00087A72" w:rsidRDefault="00030ACD" w:rsidP="00030ACD">
      <w:pPr>
        <w:pStyle w:val="Heading4"/>
        <w:rPr>
          <w:rFonts w:cstheme="majorHAnsi"/>
        </w:rPr>
      </w:pPr>
      <w:r w:rsidRPr="00087A72">
        <w:rPr>
          <w:rFonts w:cstheme="majorHAnsi"/>
        </w:rPr>
        <w:t>Thus, refuse the affirmative as an ethical confrontation with catastrophe that functions as an affirmation of the affective vulnerability of the present. Only through confronting genocide not as a historical event or one impact amongst others, but as ongoing catastrophe imminent to settler subjectivity can disrupt the arborescent form of the Settler scaled from the world down to the individual.</w:t>
      </w:r>
    </w:p>
    <w:p w:rsidR="00030ACD" w:rsidRPr="00087A72" w:rsidRDefault="00030ACD" w:rsidP="00030ACD">
      <w:pPr>
        <w:rPr>
          <w:rFonts w:cstheme="majorHAnsi"/>
        </w:rPr>
      </w:pPr>
      <w:r w:rsidRPr="00087A72">
        <w:rPr>
          <w:rStyle w:val="Style13ptBold"/>
          <w:rFonts w:cstheme="majorHAnsi"/>
        </w:rPr>
        <w:t>Kouri and Skott-Myhre 15</w:t>
      </w:r>
      <w:r w:rsidRPr="00087A72">
        <w:rPr>
          <w:rFonts w:cstheme="majorHAnsi"/>
        </w:rPr>
        <w:t xml:space="preserve"> (Scott and Hans, “Catastrophe: a transversal mapping of colonialism and settler subjectivity,” Settler Colonial Studies, Issue Number, No. 3, pp. 12-13)//vikas</w:t>
      </w:r>
    </w:p>
    <w:p w:rsidR="00030ACD" w:rsidRPr="00087A72" w:rsidRDefault="00030ACD" w:rsidP="00030ACD">
      <w:pPr>
        <w:rPr>
          <w:rFonts w:cstheme="majorHAnsi"/>
          <w:sz w:val="16"/>
        </w:rPr>
      </w:pPr>
      <w:r w:rsidRPr="00087A72">
        <w:rPr>
          <w:rFonts w:cstheme="majorHAnsi"/>
          <w:sz w:val="16"/>
        </w:rPr>
        <w:t xml:space="preserve">Deleuze and Guattari’s conceptualization of catastrophe juxtaposes two senses of the word, the representational and the actual. </w:t>
      </w:r>
      <w:r w:rsidRPr="00087A72">
        <w:rPr>
          <w:rFonts w:cstheme="majorHAnsi"/>
          <w:b/>
          <w:u w:val="single"/>
        </w:rPr>
        <w:t>Representing catastrophe as an abstract or historic occurrence distances us from its effects, while recreating ourselves as expressions of catastrophe allows it to function as an actual present.</w:t>
      </w:r>
      <w:r w:rsidRPr="00087A72">
        <w:rPr>
          <w:rFonts w:cstheme="majorHAnsi"/>
          <w:sz w:val="16"/>
        </w:rPr>
        <w:t xml:space="preserve"> It is </w:t>
      </w:r>
      <w:r w:rsidRPr="00087A72">
        <w:rPr>
          <w:rFonts w:cstheme="majorHAnsi"/>
          <w:b/>
          <w:u w:val="single"/>
        </w:rPr>
        <w:t>through a sobering acknowledgment of the present as a state of catastrophe</w:t>
      </w:r>
      <w:r w:rsidRPr="00087A72">
        <w:rPr>
          <w:rFonts w:cstheme="majorHAnsi"/>
          <w:sz w:val="16"/>
        </w:rPr>
        <w:t xml:space="preserve"> – an admission that takes up history in our current spatial, corporeal, and conceptual makeup – </w:t>
      </w:r>
      <w:r w:rsidRPr="00087A72">
        <w:rPr>
          <w:rFonts w:cstheme="majorHAnsi"/>
          <w:b/>
          <w:u w:val="single"/>
        </w:rPr>
        <w:t>and an endurance of the shame and anger that accompanies such</w:t>
      </w:r>
      <w:r w:rsidRPr="00087A72">
        <w:rPr>
          <w:rFonts w:cstheme="majorHAnsi"/>
          <w:sz w:val="16"/>
        </w:rPr>
        <w:t xml:space="preserve"> a revulsive </w:t>
      </w:r>
      <w:r w:rsidRPr="00087A72">
        <w:rPr>
          <w:rFonts w:cstheme="majorHAnsi"/>
          <w:b/>
          <w:u w:val="single"/>
        </w:rPr>
        <w:t>analysis that new ethical subjectivities can be forged.</w:t>
      </w:r>
      <w:r w:rsidRPr="00087A72">
        <w:rPr>
          <w:rFonts w:cstheme="majorHAnsi"/>
          <w:sz w:val="16"/>
        </w:rPr>
        <w:t xml:space="preserve"> A </w:t>
      </w:r>
      <w:r w:rsidRPr="00087A72">
        <w:rPr>
          <w:rFonts w:cstheme="majorHAnsi"/>
          <w:b/>
          <w:u w:val="single"/>
        </w:rPr>
        <w:t>yes-saying to the present</w:t>
      </w:r>
      <w:r w:rsidRPr="00087A72">
        <w:rPr>
          <w:rFonts w:cstheme="majorHAnsi"/>
          <w:sz w:val="16"/>
        </w:rPr>
        <w:t xml:space="preserve">, to </w:t>
      </w:r>
      <w:r w:rsidRPr="00087A72">
        <w:rPr>
          <w:rFonts w:cstheme="majorHAnsi"/>
          <w:b/>
          <w:u w:val="single"/>
        </w:rPr>
        <w:t>all of the present</w:t>
      </w:r>
      <w:r w:rsidRPr="00087A72">
        <w:rPr>
          <w:rFonts w:cstheme="majorHAnsi"/>
          <w:sz w:val="16"/>
        </w:rPr>
        <w:t xml:space="preserve">, </w:t>
      </w:r>
      <w:r w:rsidRPr="00087A72">
        <w:rPr>
          <w:rFonts w:cstheme="majorHAnsi"/>
          <w:b/>
          <w:u w:val="single"/>
        </w:rPr>
        <w:t>moves beyond</w:t>
      </w:r>
      <w:r w:rsidRPr="00087A72">
        <w:rPr>
          <w:rFonts w:cstheme="majorHAnsi"/>
          <w:sz w:val="16"/>
        </w:rPr>
        <w:t xml:space="preserve"> an </w:t>
      </w:r>
      <w:r w:rsidRPr="00087A72">
        <w:rPr>
          <w:rFonts w:cstheme="majorHAnsi"/>
          <w:b/>
          <w:u w:val="single"/>
        </w:rPr>
        <w:t>acceptance of things as they are and affirms all that could be</w:t>
      </w:r>
      <w:r w:rsidRPr="00087A72">
        <w:rPr>
          <w:rFonts w:cstheme="majorHAnsi"/>
          <w:sz w:val="16"/>
        </w:rPr>
        <w:t xml:space="preserve">, since </w:t>
      </w:r>
      <w:r w:rsidRPr="00087A72">
        <w:rPr>
          <w:rFonts w:cstheme="majorHAnsi"/>
          <w:b/>
          <w:u w:val="single"/>
        </w:rPr>
        <w:t>the actual is not what we are but</w:t>
      </w:r>
      <w:r w:rsidRPr="00087A72">
        <w:rPr>
          <w:rFonts w:cstheme="majorHAnsi"/>
          <w:sz w:val="16"/>
        </w:rPr>
        <w:t xml:space="preserve">, rather, </w:t>
      </w:r>
      <w:r w:rsidRPr="00087A72">
        <w:rPr>
          <w:rFonts w:cstheme="majorHAnsi"/>
          <w:b/>
          <w:u w:val="single"/>
        </w:rPr>
        <w:t>what we become</w:t>
      </w:r>
      <w:r w:rsidRPr="00087A72">
        <w:rPr>
          <w:rFonts w:cstheme="majorHAnsi"/>
          <w:sz w:val="16"/>
        </w:rPr>
        <w:t xml:space="preserve">, </w:t>
      </w:r>
      <w:r w:rsidRPr="00087A72">
        <w:rPr>
          <w:rFonts w:cstheme="majorHAnsi"/>
          <w:b/>
          <w:u w:val="single"/>
        </w:rPr>
        <w:t>what we are in the process of becoming</w:t>
      </w:r>
      <w:r w:rsidRPr="00087A72">
        <w:rPr>
          <w:rFonts w:cstheme="majorHAnsi"/>
          <w:sz w:val="16"/>
        </w:rPr>
        <w:t xml:space="preserve"> – that is to say, the Other, our becoming-other. </w:t>
      </w:r>
      <w:r w:rsidRPr="00087A72">
        <w:rPr>
          <w:rFonts w:cstheme="majorHAnsi"/>
          <w:b/>
          <w:u w:val="single"/>
        </w:rPr>
        <w:t>The present</w:t>
      </w:r>
      <w:r w:rsidRPr="00087A72">
        <w:rPr>
          <w:rFonts w:cstheme="majorHAnsi"/>
          <w:sz w:val="16"/>
        </w:rPr>
        <w:t xml:space="preserve">, on the contrary, </w:t>
      </w:r>
      <w:r w:rsidRPr="00087A72">
        <w:rPr>
          <w:rFonts w:cstheme="majorHAnsi"/>
          <w:b/>
          <w:u w:val="single"/>
        </w:rPr>
        <w:t>is what we are and, thereby, what already we are ceasing to be.</w:t>
      </w:r>
      <w:r w:rsidRPr="00087A72">
        <w:rPr>
          <w:rFonts w:cstheme="majorHAnsi"/>
          <w:sz w:val="16"/>
        </w:rPr>
        <w:t xml:space="preserve">58 To be clear, </w:t>
      </w:r>
      <w:r w:rsidRPr="00087A72">
        <w:rPr>
          <w:rStyle w:val="Emphasis"/>
          <w:rFonts w:cstheme="majorHAnsi"/>
        </w:rPr>
        <w:t>affirmation is not an acceptance of the way things are nor a hopeful projection of a future predicated on growth-oriented investments</w:t>
      </w:r>
      <w:r w:rsidRPr="00087A72">
        <w:rPr>
          <w:rFonts w:cstheme="majorHAnsi"/>
          <w:sz w:val="16"/>
        </w:rPr>
        <w:t xml:space="preserve"> in security, accumulation, and comfort, </w:t>
      </w:r>
      <w:r w:rsidRPr="00087A72">
        <w:rPr>
          <w:rStyle w:val="Emphasis"/>
          <w:rFonts w:cstheme="majorHAnsi"/>
        </w:rPr>
        <w:t>but a view of temporality as dynamic dependency and affective and corporeal vulnerability.</w:t>
      </w:r>
      <w:r w:rsidRPr="00087A72">
        <w:rPr>
          <w:rFonts w:cstheme="majorHAnsi"/>
          <w:sz w:val="16"/>
        </w:rPr>
        <w:t xml:space="preserve"> Our </w:t>
      </w:r>
      <w:r w:rsidRPr="00087A72">
        <w:rPr>
          <w:rFonts w:cstheme="majorHAnsi"/>
          <w:b/>
          <w:u w:val="single"/>
        </w:rPr>
        <w:t>present</w:t>
      </w:r>
      <w:r w:rsidRPr="00087A72">
        <w:rPr>
          <w:rFonts w:cstheme="majorHAnsi"/>
          <w:sz w:val="16"/>
        </w:rPr>
        <w:t xml:space="preserve"> is here </w:t>
      </w:r>
      <w:r w:rsidRPr="00087A72">
        <w:rPr>
          <w:rFonts w:cstheme="majorHAnsi"/>
          <w:b/>
          <w:u w:val="single"/>
        </w:rPr>
        <w:t>recast as our very undoing</w:t>
      </w:r>
      <w:r w:rsidRPr="00087A72">
        <w:rPr>
          <w:rFonts w:cstheme="majorHAnsi"/>
          <w:sz w:val="16"/>
        </w:rPr>
        <w:t xml:space="preserve">; it is </w:t>
      </w:r>
      <w:r w:rsidRPr="00087A72">
        <w:rPr>
          <w:rFonts w:cstheme="majorHAnsi"/>
          <w:b/>
          <w:u w:val="single"/>
        </w:rPr>
        <w:t>a present of living relations that is in a perpetual state of change.</w:t>
      </w:r>
      <w:r w:rsidRPr="00087A72">
        <w:rPr>
          <w:rFonts w:cstheme="majorHAnsi"/>
          <w:sz w:val="16"/>
        </w:rPr>
        <w:t xml:space="preserve"> The present is a ceaseless flow of becoming that </w:t>
      </w:r>
      <w:r w:rsidRPr="00087A72">
        <w:rPr>
          <w:rFonts w:cstheme="majorHAnsi"/>
          <w:b/>
          <w:u w:val="single"/>
        </w:rPr>
        <w:t>undermines a settled identity.</w:t>
      </w:r>
      <w:r w:rsidRPr="00087A72">
        <w:rPr>
          <w:rFonts w:cstheme="majorHAnsi"/>
          <w:sz w:val="16"/>
        </w:rPr>
        <w:t xml:space="preserve"> Concerns with settler subjectivity as an abstract entity continue to withdraw us from the living present in which we are composed through our relationships. What this means for us is that </w:t>
      </w:r>
      <w:r w:rsidRPr="00087A72">
        <w:rPr>
          <w:rFonts w:cstheme="majorHAnsi"/>
          <w:b/>
          <w:u w:val="single"/>
        </w:rPr>
        <w:t>rather than ask who or what we are, we must ask about our capacities and relationships. What has been foreclosed through</w:t>
      </w:r>
      <w:r w:rsidRPr="00087A72">
        <w:rPr>
          <w:rFonts w:cstheme="majorHAnsi"/>
          <w:sz w:val="16"/>
        </w:rPr>
        <w:t xml:space="preserve"> the </w:t>
      </w:r>
      <w:r w:rsidRPr="00087A72">
        <w:rPr>
          <w:rFonts w:cstheme="majorHAnsi"/>
          <w:b/>
          <w:u w:val="single"/>
        </w:rPr>
        <w:t>separations, closures, and biopolitics</w:t>
      </w:r>
      <w:r w:rsidRPr="00087A72">
        <w:rPr>
          <w:rFonts w:cstheme="majorHAnsi"/>
          <w:sz w:val="16"/>
        </w:rPr>
        <w:t xml:space="preserve"> of settler colonialism? What might still be extractable through vulnerability, endurance, sobriety, and confrontation with catastrophe? Who do we become when representations, repressions, and negative affects are transformed into positive affects and action? </w:t>
      </w:r>
      <w:r w:rsidRPr="00087A72">
        <w:rPr>
          <w:rFonts w:cstheme="majorHAnsi"/>
          <w:b/>
          <w:u w:val="single"/>
        </w:rPr>
        <w:t>The violence of settler colonialism</w:t>
      </w:r>
      <w:r w:rsidRPr="00087A72">
        <w:rPr>
          <w:rFonts w:cstheme="majorHAnsi"/>
          <w:sz w:val="16"/>
        </w:rPr>
        <w:t>, as Tuck and Yang insist, ‘</w:t>
      </w:r>
      <w:r w:rsidRPr="00087A72">
        <w:rPr>
          <w:rFonts w:cstheme="majorHAnsi"/>
          <w:b/>
          <w:u w:val="single"/>
        </w:rPr>
        <w:t>is not temporally contained in the arrival of the settler but</w:t>
      </w:r>
      <w:r w:rsidRPr="00087A72">
        <w:rPr>
          <w:rFonts w:cstheme="majorHAnsi"/>
          <w:sz w:val="16"/>
        </w:rPr>
        <w:t xml:space="preserve"> is </w:t>
      </w:r>
      <w:r w:rsidRPr="00087A72">
        <w:rPr>
          <w:rFonts w:cstheme="majorHAnsi"/>
          <w:b/>
          <w:u w:val="single"/>
        </w:rPr>
        <w:t>reasserted each day of occupation</w:t>
      </w:r>
      <w:r w:rsidRPr="00087A72">
        <w:rPr>
          <w:rFonts w:cstheme="majorHAnsi"/>
          <w:sz w:val="16"/>
        </w:rPr>
        <w:t xml:space="preserve">’, 59 </w:t>
      </w:r>
      <w:r w:rsidRPr="00087A72">
        <w:rPr>
          <w:rStyle w:val="Emphasis"/>
          <w:rFonts w:cstheme="majorHAnsi"/>
        </w:rPr>
        <w:t>yet we argue that we have to resist the belief that the current state of affairs and its</w:t>
      </w:r>
      <w:r w:rsidRPr="00087A72">
        <w:rPr>
          <w:rFonts w:cstheme="majorHAnsi"/>
          <w:sz w:val="16"/>
        </w:rPr>
        <w:t xml:space="preserve"> sets of </w:t>
      </w:r>
      <w:r w:rsidRPr="00087A72">
        <w:rPr>
          <w:rStyle w:val="Emphasis"/>
          <w:rFonts w:cstheme="majorHAnsi"/>
        </w:rPr>
        <w:t>relations are the only possible ones.</w:t>
      </w:r>
      <w:r w:rsidRPr="00087A72">
        <w:rPr>
          <w:rFonts w:cstheme="majorHAnsi"/>
          <w:sz w:val="16"/>
        </w:rPr>
        <w:t xml:space="preserve"> While acknowledging that decolonization is specifically about the restitution of Indigenous lands,60 </w:t>
      </w:r>
      <w:r w:rsidRPr="00087A72">
        <w:rPr>
          <w:rFonts w:cstheme="majorHAnsi"/>
          <w:b/>
          <w:u w:val="single"/>
        </w:rPr>
        <w:t>we persist in considering that undoing the colonial mind and its apparatus is important in reconfiguring</w:t>
      </w:r>
      <w:r w:rsidRPr="00087A72">
        <w:rPr>
          <w:rFonts w:cstheme="majorHAnsi"/>
          <w:sz w:val="16"/>
        </w:rPr>
        <w:t xml:space="preserve"> contemporary </w:t>
      </w:r>
      <w:r w:rsidRPr="00087A72">
        <w:rPr>
          <w:rFonts w:cstheme="majorHAnsi"/>
          <w:b/>
          <w:u w:val="single"/>
        </w:rPr>
        <w:t>relations and developing a new society. We are</w:t>
      </w:r>
      <w:r w:rsidRPr="00087A72">
        <w:rPr>
          <w:rFonts w:cstheme="majorHAnsi"/>
          <w:sz w:val="16"/>
        </w:rPr>
        <w:t xml:space="preserve"> not asking our fellow settlers to leave their homes to join the anticolonial revolution, but </w:t>
      </w:r>
      <w:r w:rsidRPr="00087A72">
        <w:rPr>
          <w:rFonts w:cstheme="majorHAnsi"/>
          <w:b/>
          <w:u w:val="single"/>
        </w:rPr>
        <w:t>suggesting</w:t>
      </w:r>
      <w:r w:rsidRPr="00087A72">
        <w:rPr>
          <w:rFonts w:cstheme="majorHAnsi"/>
          <w:sz w:val="16"/>
        </w:rPr>
        <w:t xml:space="preserve"> precisely </w:t>
      </w:r>
      <w:r w:rsidRPr="00087A72">
        <w:rPr>
          <w:rFonts w:cstheme="majorHAnsi"/>
          <w:b/>
          <w:u w:val="single"/>
        </w:rPr>
        <w:t xml:space="preserve">the opposite: </w:t>
      </w:r>
      <w:r w:rsidRPr="00087A72">
        <w:rPr>
          <w:rStyle w:val="Emphasis"/>
          <w:rFonts w:cstheme="majorHAnsi"/>
        </w:rPr>
        <w:t>to make your home and life the revolution itself.</w:t>
      </w:r>
      <w:r w:rsidRPr="00087A72">
        <w:rPr>
          <w:rFonts w:cstheme="majorHAnsi"/>
          <w:sz w:val="16"/>
        </w:rPr>
        <w:t xml:space="preserve"> We are seeking </w:t>
      </w:r>
      <w:r w:rsidRPr="00087A72">
        <w:rPr>
          <w:rFonts w:cstheme="majorHAnsi"/>
          <w:b/>
          <w:u w:val="single"/>
        </w:rPr>
        <w:t>ways of being radically present on Indigenous territory, a radicality that undermines the state, Western identity formations, and settler futures.</w:t>
      </w:r>
      <w:r w:rsidRPr="00087A72">
        <w:rPr>
          <w:rFonts w:cstheme="majorHAnsi"/>
          <w:sz w:val="16"/>
        </w:rPr>
        <w:t xml:space="preserve"> And because colonialism and capitalism have always been at least partially successful of recuperating revolutionary modes of production this process must be ongoing and specific to circumstance. We are interested in the production of </w:t>
      </w:r>
      <w:r w:rsidRPr="00087A72">
        <w:rPr>
          <w:rFonts w:cstheme="majorHAnsi"/>
          <w:b/>
          <w:u w:val="single"/>
        </w:rPr>
        <w:t>subjectivities that are not founded on binaries between who we are and who we are not</w:t>
      </w:r>
      <w:r w:rsidRPr="00087A72">
        <w:rPr>
          <w:rFonts w:cstheme="majorHAnsi"/>
          <w:sz w:val="16"/>
        </w:rPr>
        <w:t xml:space="preserve"> – </w:t>
      </w:r>
      <w:r w:rsidRPr="00087A72">
        <w:rPr>
          <w:rStyle w:val="Emphasis"/>
          <w:rFonts w:cstheme="majorHAnsi"/>
        </w:rPr>
        <w:t>without</w:t>
      </w:r>
      <w:r w:rsidRPr="00087A72">
        <w:rPr>
          <w:rFonts w:cstheme="majorHAnsi"/>
          <w:sz w:val="16"/>
        </w:rPr>
        <w:t xml:space="preserve">, of course, </w:t>
      </w:r>
      <w:r w:rsidRPr="00087A72">
        <w:rPr>
          <w:rStyle w:val="Emphasis"/>
          <w:rFonts w:cstheme="majorHAnsi"/>
        </w:rPr>
        <w:t>interfering with Indigenous politics of identity or ignoring differential distributions of injustice</w:t>
      </w:r>
      <w:r w:rsidRPr="00087A72">
        <w:rPr>
          <w:rFonts w:cstheme="majorHAnsi"/>
          <w:sz w:val="16"/>
        </w:rPr>
        <w:t xml:space="preserve"> and violence </w:t>
      </w:r>
      <w:r w:rsidRPr="00087A72">
        <w:rPr>
          <w:rStyle w:val="Emphasis"/>
          <w:rFonts w:cstheme="majorHAnsi"/>
        </w:rPr>
        <w:t>based on identity.</w:t>
      </w:r>
      <w:r w:rsidRPr="00087A72">
        <w:rPr>
          <w:rFonts w:cstheme="majorHAnsi"/>
          <w:sz w:val="16"/>
        </w:rPr>
        <w:t xml:space="preserve"> We want to move </w:t>
      </w:r>
      <w:r w:rsidRPr="00087A72">
        <w:rPr>
          <w:rFonts w:cstheme="majorHAnsi"/>
          <w:b/>
          <w:u w:val="single"/>
        </w:rPr>
        <w:t xml:space="preserve">from rigid settler identities toward processes of </w:t>
      </w:r>
      <w:r w:rsidRPr="00087A72">
        <w:rPr>
          <w:rStyle w:val="Emphasis"/>
          <w:rFonts w:cstheme="majorHAnsi"/>
        </w:rPr>
        <w:t>subjectification based on who and what we are related to, including humans, plants, minerals, waters, and stars</w:t>
      </w:r>
      <w:r w:rsidRPr="00087A72">
        <w:rPr>
          <w:rFonts w:cstheme="majorHAnsi"/>
          <w:b/>
          <w:u w:val="single"/>
        </w:rPr>
        <w:t>. We seek to undo dialectical thinking and recognize the singularity of every existent outside state taxonomy and organizational</w:t>
      </w:r>
      <w:r w:rsidRPr="00087A72">
        <w:rPr>
          <w:rFonts w:cstheme="majorHAnsi"/>
          <w:sz w:val="16"/>
        </w:rPr>
        <w:t xml:space="preserve"> system. As Deleuze writes, the Spinozan principle asserts that </w:t>
      </w:r>
      <w:r w:rsidRPr="00087A72">
        <w:rPr>
          <w:rFonts w:cstheme="majorHAnsi"/>
          <w:b/>
          <w:u w:val="single"/>
        </w:rPr>
        <w:t xml:space="preserve">negation is nothing, because </w:t>
      </w:r>
      <w:r w:rsidRPr="00087A72">
        <w:rPr>
          <w:rFonts w:cstheme="majorHAnsi"/>
          <w:sz w:val="16"/>
        </w:rPr>
        <w:t xml:space="preserve">absolutely </w:t>
      </w:r>
      <w:r w:rsidRPr="00087A72">
        <w:rPr>
          <w:rFonts w:cstheme="majorHAnsi"/>
          <w:b/>
          <w:u w:val="single"/>
        </w:rPr>
        <w:t>nothing</w:t>
      </w:r>
      <w:r w:rsidRPr="00087A72">
        <w:rPr>
          <w:rFonts w:cstheme="majorHAnsi"/>
          <w:sz w:val="16"/>
        </w:rPr>
        <w:t xml:space="preserve"> ever </w:t>
      </w:r>
      <w:r w:rsidRPr="00087A72">
        <w:rPr>
          <w:rFonts w:cstheme="majorHAnsi"/>
          <w:b/>
          <w:u w:val="single"/>
        </w:rPr>
        <w:t>lacks anything. Negation is a being of reason</w:t>
      </w:r>
      <w:r w:rsidRPr="00087A72">
        <w:rPr>
          <w:rFonts w:cstheme="majorHAnsi"/>
          <w:sz w:val="16"/>
        </w:rPr>
        <w:t xml:space="preserve">, or rather of comparison, </w:t>
      </w:r>
      <w:r w:rsidRPr="00087A72">
        <w:rPr>
          <w:rFonts w:cstheme="majorHAnsi"/>
          <w:b/>
          <w:u w:val="single"/>
        </w:rPr>
        <w:t>which results from our grouping together</w:t>
      </w:r>
      <w:r w:rsidRPr="00087A72">
        <w:rPr>
          <w:rFonts w:cstheme="majorHAnsi"/>
          <w:sz w:val="16"/>
        </w:rPr>
        <w:t xml:space="preserve"> all sorts </w:t>
      </w:r>
      <w:r w:rsidRPr="00087A72">
        <w:rPr>
          <w:rFonts w:cstheme="majorHAnsi"/>
          <w:b/>
          <w:u w:val="single"/>
        </w:rPr>
        <w:t>of distinct beings so as to refer them to one and the same fictitious ideal</w:t>
      </w:r>
      <w:r w:rsidRPr="00087A72">
        <w:rPr>
          <w:rFonts w:cstheme="majorHAnsi"/>
          <w:sz w:val="16"/>
        </w:rPr>
        <w:t xml:space="preserve">, in the name of which we say that one or another of them falls short of the ideal.61 The concepts of identity and lack in the colonial project are used to organize difference and diversity into dichotomies or taxonomies. </w:t>
      </w:r>
      <w:r w:rsidRPr="00087A72">
        <w:rPr>
          <w:rFonts w:cstheme="majorHAnsi"/>
          <w:b/>
          <w:u w:val="single"/>
        </w:rPr>
        <w:t>Categories and subcategories of difference are</w:t>
      </w:r>
      <w:r w:rsidRPr="00087A72">
        <w:rPr>
          <w:rFonts w:cstheme="majorHAnsi"/>
          <w:sz w:val="16"/>
        </w:rPr>
        <w:t xml:space="preserve">, without exception, </w:t>
      </w:r>
      <w:r w:rsidRPr="00087A72">
        <w:rPr>
          <w:rFonts w:cstheme="majorHAnsi"/>
          <w:b/>
          <w:u w:val="single"/>
        </w:rPr>
        <w:t>hierarchical and saturated in power relations</w:t>
      </w:r>
      <w:r w:rsidRPr="00087A72">
        <w:rPr>
          <w:rFonts w:cstheme="majorHAnsi"/>
          <w:sz w:val="16"/>
        </w:rPr>
        <w:t xml:space="preserve">, where to be </w:t>
      </w:r>
      <w:r w:rsidRPr="00087A72">
        <w:rPr>
          <w:rFonts w:cstheme="majorHAnsi"/>
          <w:b/>
          <w:u w:val="single"/>
        </w:rPr>
        <w:t>identified with</w:t>
      </w:r>
      <w:r w:rsidRPr="00087A72">
        <w:rPr>
          <w:rFonts w:cstheme="majorHAnsi"/>
          <w:sz w:val="16"/>
        </w:rPr>
        <w:t xml:space="preserve"> or different from is inextricably tied to </w:t>
      </w:r>
      <w:r w:rsidRPr="00087A72">
        <w:rPr>
          <w:rFonts w:cstheme="majorHAnsi"/>
          <w:b/>
          <w:u w:val="single"/>
        </w:rPr>
        <w:t>access, affordances, and annulments.</w:t>
      </w:r>
      <w:r w:rsidRPr="00087A72">
        <w:rPr>
          <w:rFonts w:cstheme="majorHAnsi"/>
          <w:sz w:val="16"/>
        </w:rPr>
        <w:t xml:space="preserve"> In Spinoza and Deleuze, </w:t>
      </w:r>
      <w:r w:rsidRPr="00087A72">
        <w:rPr>
          <w:rStyle w:val="Emphasis"/>
          <w:rFonts w:cstheme="majorHAnsi"/>
        </w:rPr>
        <w:t>alternatively, difference is immanent to life and</w:t>
      </w:r>
      <w:r w:rsidRPr="00087A72">
        <w:rPr>
          <w:rFonts w:cstheme="majorHAnsi"/>
          <w:sz w:val="16"/>
        </w:rPr>
        <w:t xml:space="preserve"> the </w:t>
      </w:r>
      <w:r w:rsidRPr="00087A72">
        <w:rPr>
          <w:rStyle w:val="Emphasis"/>
          <w:rFonts w:cstheme="majorHAnsi"/>
        </w:rPr>
        <w:t>affirmation of distinctiveness and singularity have the capacity to break up transcendent systems of organization.</w:t>
      </w:r>
      <w:r w:rsidRPr="00087A72">
        <w:rPr>
          <w:rFonts w:cstheme="majorHAnsi"/>
          <w:sz w:val="16"/>
        </w:rPr>
        <w:t xml:space="preserve"> Deleuze proposes that </w:t>
      </w:r>
      <w:r w:rsidRPr="00087A72">
        <w:rPr>
          <w:rFonts w:cstheme="majorHAnsi"/>
          <w:b/>
          <w:u w:val="single"/>
        </w:rPr>
        <w:t>catastrophe offers a new right to thought that can open up transcendence in such a way that one can actually apprehend</w:t>
      </w:r>
      <w:r w:rsidRPr="00087A72">
        <w:rPr>
          <w:rFonts w:cstheme="majorHAnsi"/>
          <w:sz w:val="16"/>
        </w:rPr>
        <w:t xml:space="preserve">, in at least an instance, </w:t>
      </w:r>
      <w:r w:rsidRPr="00087A72">
        <w:rPr>
          <w:rFonts w:cstheme="majorHAnsi"/>
          <w:b/>
          <w:u w:val="single"/>
        </w:rPr>
        <w:t>the whole of life as a system of interconnected forces and flows</w:t>
      </w:r>
      <w:r w:rsidRPr="00087A72">
        <w:rPr>
          <w:rFonts w:cstheme="majorHAnsi"/>
          <w:sz w:val="16"/>
        </w:rPr>
        <w:t xml:space="preserve">. This thought of </w:t>
      </w:r>
      <w:r w:rsidRPr="00087A72">
        <w:rPr>
          <w:rFonts w:cstheme="majorHAnsi"/>
          <w:b/>
          <w:u w:val="single"/>
        </w:rPr>
        <w:t xml:space="preserve">immanence is particularly useful to apprehend how colonialism naturalizes hierarchy and attempts to repress </w:t>
      </w:r>
      <w:r w:rsidRPr="00087A72">
        <w:rPr>
          <w:rFonts w:cstheme="majorHAnsi"/>
          <w:sz w:val="16"/>
        </w:rPr>
        <w:t xml:space="preserve">the infinitely </w:t>
      </w:r>
      <w:r w:rsidRPr="00087A72">
        <w:rPr>
          <w:rFonts w:cstheme="majorHAnsi"/>
          <w:b/>
          <w:u w:val="single"/>
        </w:rPr>
        <w:t>diverse</w:t>
      </w:r>
      <w:r w:rsidRPr="00087A72">
        <w:rPr>
          <w:rFonts w:cstheme="majorHAnsi"/>
          <w:sz w:val="16"/>
        </w:rPr>
        <w:t xml:space="preserve"> ways that the flows and </w:t>
      </w:r>
      <w:r w:rsidRPr="00087A72">
        <w:rPr>
          <w:rFonts w:cstheme="majorHAnsi"/>
          <w:b/>
          <w:u w:val="single"/>
        </w:rPr>
        <w:t>forces of life</w:t>
      </w:r>
      <w:r w:rsidRPr="00087A72">
        <w:rPr>
          <w:rFonts w:cstheme="majorHAnsi"/>
          <w:sz w:val="16"/>
        </w:rPr>
        <w:t xml:space="preserve"> continually reassemble. </w:t>
      </w:r>
      <w:r w:rsidRPr="00087A72">
        <w:rPr>
          <w:rStyle w:val="Emphasis"/>
          <w:rFonts w:cstheme="majorHAnsi"/>
        </w:rPr>
        <w:t>The quest is not to see any difference, but to see difference in itself – the complete singularity of an existent without reference to what it is not</w:t>
      </w:r>
      <w:r w:rsidRPr="00087A72">
        <w:rPr>
          <w:rFonts w:cstheme="majorHAnsi"/>
          <w:sz w:val="16"/>
        </w:rPr>
        <w:t xml:space="preserve">, what it lacks, </w:t>
      </w:r>
      <w:r w:rsidRPr="00087A72">
        <w:rPr>
          <w:rStyle w:val="Emphasis"/>
          <w:rFonts w:cstheme="majorHAnsi"/>
        </w:rPr>
        <w:t>or to any other set of abstract codes.</w:t>
      </w:r>
      <w:r w:rsidRPr="00087A72">
        <w:rPr>
          <w:rFonts w:cstheme="majorHAnsi"/>
          <w:b/>
          <w:sz w:val="16"/>
        </w:rPr>
        <w:t xml:space="preserve"> </w:t>
      </w:r>
      <w:r w:rsidRPr="00087A72">
        <w:rPr>
          <w:rFonts w:cstheme="majorHAnsi"/>
          <w:b/>
          <w:u w:val="single"/>
        </w:rPr>
        <w:t>Such a thought better sensitizes us to apprehending how current social structures and rationality work</w:t>
      </w:r>
      <w:r w:rsidRPr="00087A72">
        <w:rPr>
          <w:rFonts w:cstheme="majorHAnsi"/>
          <w:sz w:val="16"/>
        </w:rPr>
        <w:t xml:space="preserve"> to organize, prevent, extract, and control the living flows. Furthermore, </w:t>
      </w:r>
      <w:r w:rsidRPr="00087A72">
        <w:rPr>
          <w:rFonts w:cstheme="majorHAnsi"/>
          <w:b/>
          <w:u w:val="single"/>
        </w:rPr>
        <w:t>it allows us to glimpse the processes at work in the formation of our own subjectivities. We are not proposing</w:t>
      </w:r>
      <w:r w:rsidRPr="00087A72">
        <w:rPr>
          <w:rFonts w:cstheme="majorHAnsi"/>
          <w:sz w:val="16"/>
        </w:rPr>
        <w:t xml:space="preserve"> here that </w:t>
      </w:r>
      <w:r w:rsidRPr="00087A72">
        <w:rPr>
          <w:rFonts w:cstheme="majorHAnsi"/>
          <w:b/>
          <w:u w:val="single"/>
        </w:rPr>
        <w:t>living in immanence is an option.</w:t>
      </w:r>
      <w:r w:rsidRPr="00087A72">
        <w:rPr>
          <w:rFonts w:cstheme="majorHAnsi"/>
          <w:sz w:val="16"/>
        </w:rPr>
        <w:t xml:space="preserve"> </w:t>
      </w:r>
      <w:r w:rsidRPr="00087A72">
        <w:rPr>
          <w:rStyle w:val="Emphasis"/>
          <w:rFonts w:cstheme="majorHAnsi"/>
        </w:rPr>
        <w:t>We are proposing that life is immanence and that recognizing that fact can help us to map how the state, Western rationality, and settler subjects disfigure life</w:t>
      </w:r>
      <w:r w:rsidRPr="00087A72">
        <w:rPr>
          <w:rFonts w:cstheme="majorHAnsi"/>
          <w:sz w:val="16"/>
        </w:rPr>
        <w:t xml:space="preserve"> in order </w:t>
      </w:r>
      <w:r w:rsidRPr="00087A72">
        <w:rPr>
          <w:rStyle w:val="Emphasis"/>
          <w:rFonts w:cstheme="majorHAnsi"/>
        </w:rPr>
        <w:t>to extract from it what they need to extend themselves.</w:t>
      </w:r>
      <w:r w:rsidRPr="00087A72">
        <w:rPr>
          <w:rFonts w:cstheme="majorHAnsi"/>
          <w:sz w:val="16"/>
        </w:rPr>
        <w:t xml:space="preserve"> All transcendental, categorical, or universal settler principles are anathema to the immanent subjectivity that we are mapping here as their alternative. We therefore entirely reject the set of universal standards instituted, yet betrayed, in settler colonies by the state, church, and educational systems. We understand that the moralisms of the church, </w:t>
      </w:r>
      <w:r w:rsidRPr="00087A72">
        <w:rPr>
          <w:rFonts w:cstheme="majorHAnsi"/>
          <w:b/>
          <w:u w:val="single"/>
        </w:rPr>
        <w:t>the democratic promise of equality issued by the state</w:t>
      </w:r>
      <w:r w:rsidRPr="00087A72">
        <w:rPr>
          <w:rFonts w:cstheme="majorHAnsi"/>
          <w:sz w:val="16"/>
        </w:rPr>
        <w:t xml:space="preserve">, and the pseudo-science of the fields of anthropology, history, and psychiatry </w:t>
      </w:r>
      <w:r w:rsidRPr="00087A72">
        <w:rPr>
          <w:rFonts w:cstheme="majorHAnsi"/>
          <w:b/>
          <w:u w:val="single"/>
        </w:rPr>
        <w:t>are all founded on a transcendental image that has undermined Indigenous lives</w:t>
      </w:r>
      <w:r w:rsidRPr="00087A72">
        <w:rPr>
          <w:rFonts w:cstheme="majorHAnsi"/>
          <w:sz w:val="16"/>
        </w:rPr>
        <w:t xml:space="preserve"> and worldviews and marginalized immanent and revolutionary subjectivities. </w:t>
      </w:r>
      <w:r w:rsidRPr="00087A72">
        <w:rPr>
          <w:rStyle w:val="Emphasis"/>
          <w:rFonts w:cstheme="majorHAnsi"/>
        </w:rPr>
        <w:t>A new immanent settler subjectivity that rejects the dictates of a transcendental god, state, or knowledge moves toward an ethics of accountability</w:t>
      </w:r>
      <w:r w:rsidRPr="00087A72">
        <w:rPr>
          <w:rFonts w:cstheme="majorHAnsi"/>
          <w:sz w:val="16"/>
        </w:rPr>
        <w:t xml:space="preserve"> to the immanent relations that constitute it. </w:t>
      </w:r>
      <w:r w:rsidRPr="00087A72">
        <w:rPr>
          <w:rFonts w:cstheme="majorHAnsi"/>
          <w:b/>
          <w:u w:val="single"/>
        </w:rPr>
        <w:t xml:space="preserve">We seek to dislodge ourselves from the dominant power and change the effects of that power toward a collective community building and immanent auto-productivity. </w:t>
      </w:r>
      <w:r w:rsidRPr="00087A72">
        <w:rPr>
          <w:rStyle w:val="Emphasis"/>
          <w:rFonts w:cstheme="majorHAnsi"/>
        </w:rPr>
        <w:t>Such relationships</w:t>
      </w:r>
      <w:r w:rsidRPr="00087A72">
        <w:rPr>
          <w:rFonts w:cstheme="majorHAnsi"/>
          <w:sz w:val="16"/>
        </w:rPr>
        <w:t xml:space="preserve"> move alongside recognition politics by the state through laws and rights, but more critically </w:t>
      </w:r>
      <w:r w:rsidRPr="00087A72">
        <w:rPr>
          <w:rStyle w:val="Emphasis"/>
          <w:rFonts w:cstheme="majorHAnsi"/>
        </w:rPr>
        <w:t>act to undo the state’s power to subject others to rights and laws.</w:t>
      </w:r>
      <w:r w:rsidRPr="00087A72">
        <w:rPr>
          <w:rFonts w:cstheme="majorHAnsi"/>
          <w:sz w:val="16"/>
        </w:rPr>
        <w:t xml:space="preserve"> It is a call </w:t>
      </w:r>
      <w:r w:rsidRPr="00087A72">
        <w:rPr>
          <w:rStyle w:val="Emphasis"/>
          <w:rFonts w:cstheme="majorHAnsi"/>
        </w:rPr>
        <w:t>to rethink power, agency, and freedom through a situated accountability based on responsibility, allegiance, and affiliation.</w:t>
      </w:r>
      <w:r w:rsidRPr="00087A72">
        <w:rPr>
          <w:rFonts w:cstheme="majorHAnsi"/>
          <w:sz w:val="16"/>
        </w:rPr>
        <w:t xml:space="preserve"> Ethics here is about active forces and increasing relationality, affect, and capacity to act. It therefore calls for singularized mappings of power and responsible negotiations en route to a different world.</w:t>
      </w:r>
    </w:p>
    <w:p w:rsidR="00030ACD" w:rsidRPr="00087A72" w:rsidRDefault="00030ACD" w:rsidP="00030ACD">
      <w:pPr>
        <w:pStyle w:val="Heading4"/>
      </w:pPr>
      <w:r w:rsidRPr="00087A72">
        <w:t>Settler colonialism maintains itself through the everyday, repetitive acts of practices, presences, and speech acts. Loyalty to an ethic of decolonization requires a refusal of the affirmative as a repudiation of the Settler subject’s ongoing attempt to achieve the end of Indigenous life. Only by an iterative process of refusal can cultivate cracks in the Settler psyche.</w:t>
      </w:r>
    </w:p>
    <w:p w:rsidR="00030ACD" w:rsidRPr="00087A72" w:rsidRDefault="00030ACD" w:rsidP="00030ACD">
      <w:r w:rsidRPr="00087A72">
        <w:rPr>
          <w:rStyle w:val="Style13ptBold"/>
        </w:rPr>
        <w:t>Henderson 15</w:t>
      </w:r>
      <w:r w:rsidRPr="00087A72">
        <w:t xml:space="preserve"> (Phil, Doctoral Student at the University of Victoria "Imagoed communities: the psychosocial space of settler colonialism" Settler Colonial Studies DOI: 10.1080/2201473X.2015.1092194, pp. 10-14) NIJ</w:t>
      </w:r>
    </w:p>
    <w:p w:rsidR="00030ACD" w:rsidRPr="00087A72" w:rsidRDefault="00030ACD" w:rsidP="00030ACD">
      <w:pPr>
        <w:rPr>
          <w:sz w:val="12"/>
        </w:rPr>
      </w:pPr>
      <w:r w:rsidRPr="00087A72">
        <w:rPr>
          <w:sz w:val="12"/>
        </w:rPr>
        <w:t xml:space="preserve">Facing assertive indigenous presences within settler colonial spaces, </w:t>
      </w:r>
      <w:r w:rsidRPr="00087A72">
        <w:rPr>
          <w:rStyle w:val="Emphasis"/>
        </w:rPr>
        <w:t>settlers must answer the legitimate charge that their daily life – in all its banality – is predicated upon the privileges produced by ongoing genocide.</w:t>
      </w:r>
      <w:r w:rsidRPr="00087A72">
        <w:rPr>
          <w:sz w:val="12"/>
        </w:rPr>
        <w:t xml:space="preserve"> </w:t>
      </w:r>
      <w:r w:rsidRPr="00087A72">
        <w:rPr>
          <w:rStyle w:val="StyleUnderline"/>
        </w:rPr>
        <w:t>The jarring nature of such charges offers an irreconcilable challenge to settlers qua settlers.</w:t>
      </w:r>
      <w:r w:rsidRPr="00087A72">
        <w:rPr>
          <w:sz w:val="12"/>
        </w:rPr>
        <w:t xml:space="preserve">64 </w:t>
      </w:r>
      <w:r w:rsidRPr="00087A72">
        <w:rPr>
          <w:rStyle w:val="StyleUnderline"/>
        </w:rPr>
        <w:t>Should these charges become impossible to ignore, they threaten to explode the imago of settler colonialism, which had hitherto operated within the settler psyche in a relatively smooth and benign manner. This explosion is potentiated by the revelation of even a portion of the violence that is required to make settler life possible. If, for example, settlers are forced to see ‘their’ beach as a site of murder and ongoing colonization, it becomes more difficult to sustain it within the imaginary as a site of frivolity.</w:t>
      </w:r>
      <w:r w:rsidRPr="00087A72">
        <w:rPr>
          <w:sz w:val="12"/>
        </w:rPr>
        <w:t xml:space="preserve">65 As Brown writes, in the ‘loss of horizons, order, and identity’ the subject experiences a sense of enormous vulnerability.66 Threatened with this ‘loss of containment’, the settler subject embarks down the road to psychosis.67 Thus, to parlay Brown’s thesis to the settler colonial context, </w:t>
      </w:r>
      <w:r w:rsidRPr="00087A72">
        <w:rPr>
          <w:rStyle w:val="StyleUnderline"/>
        </w:rPr>
        <w:t>the uncontrollable rage that indigenous presences induce within the settler is not evidence of the strength of settlers, but rather of a subject lashing out on the brink of its own dissolution. This panic – this rabid and insatiable anger – is always already at the core of the settler as a subject.</w:t>
      </w:r>
      <w:r w:rsidRPr="00087A72">
        <w:rPr>
          <w:sz w:val="12"/>
        </w:rPr>
        <w:t xml:space="preserve"> As Lorenzo Veracini observes, </w:t>
      </w:r>
      <w:r w:rsidRPr="00087A72">
        <w:rPr>
          <w:rStyle w:val="StyleUnderline"/>
        </w:rPr>
        <w:t xml:space="preserve">the settler necessarily remains in a disposition of aggression ‘even after indigenous alterities have ceased to be threatening’. </w:t>
      </w:r>
      <w:r w:rsidRPr="00087A72">
        <w:rPr>
          <w:sz w:val="12"/>
        </w:rPr>
        <w:t xml:space="preserve">68 </w:t>
      </w:r>
      <w:r w:rsidRPr="00087A72">
        <w:rPr>
          <w:rStyle w:val="StyleUnderline"/>
        </w:rPr>
        <w:t>This disposition results from the precarity inherent in the maintenance of settler colonialism’s imago, wherein any and all indigenous presences threaten subjective dissolution of the settler as such.</w:t>
      </w:r>
      <w:r w:rsidRPr="00087A72">
        <w:rPr>
          <w:sz w:val="12"/>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w:t>
      </w:r>
      <w:r w:rsidRPr="00087A72">
        <w:rPr>
          <w:rStyle w:val="StyleUnderline"/>
        </w:rPr>
        <w:t>Their desire to produce a firm imago means that settlers are also always already in a psychically defensive position – that is, the settler’s offensive position</w:t>
      </w:r>
      <w:r w:rsidRPr="00087A72">
        <w:rPr>
          <w:sz w:val="12"/>
        </w:rPr>
        <w:t xml:space="preserve"> on occupied land </w:t>
      </w:r>
      <w:r w:rsidRPr="00087A72">
        <w:rPr>
          <w:rStyle w:val="StyleUnderline"/>
        </w:rPr>
        <w:t>is sustained through a defensive posture. For while settlers desire the total erasure of indigenous populations, the attendant desire to disappear their own identity as settlers necessitates the suppression of both desires, if the subject’s reliance on settler colonial power structure is to be psychically naturalized. Settlers’ reactions to indigenous peoples fit, almost universally, with the two ego defense responses</w:t>
      </w:r>
      <w:r w:rsidRPr="00087A72">
        <w:rPr>
          <w:sz w:val="12"/>
        </w:rPr>
        <w:t xml:space="preserve"> that Sigmund Freud observed. </w:t>
      </w:r>
      <w:r w:rsidRPr="00087A72">
        <w:rPr>
          <w:rStyle w:val="StyleUnderline"/>
        </w:rPr>
        <w:t>The first of these defenses is to attempt a complete conversion of the suppressed desire into a new idea.</w:t>
      </w:r>
      <w:r w:rsidRPr="00087A72">
        <w:rPr>
          <w:sz w:val="12"/>
        </w:rPr>
        <w:t xml:space="preserve"> In settler colonial contexts, </w:t>
      </w:r>
      <w:r w:rsidRPr="00087A72">
        <w:rPr>
          <w:rStyle w:val="StyleUnderline"/>
        </w:rPr>
        <w:t xml:space="preserve">this requires averting attention from the violence of dispossession; as such, settlers often suggest that they aim to create a ‘city on the hill’. </w:t>
      </w:r>
      <w:r w:rsidRPr="00087A72">
        <w:rPr>
          <w:sz w:val="12"/>
        </w:rPr>
        <w:t xml:space="preserve">70 Freud noted that </w:t>
      </w:r>
      <w:r w:rsidRPr="00087A72">
        <w:rPr>
          <w:rStyle w:val="StyleUnderline"/>
        </w:rPr>
        <w:t>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w:t>
      </w:r>
      <w:r w:rsidRPr="00087A72">
        <w:rPr>
          <w:sz w:val="12"/>
        </w:rPr>
        <w:t xml:space="preserve">71 As we have already seen, </w:t>
      </w:r>
      <w:r w:rsidRPr="00087A72">
        <w:rPr>
          <w:rStyle w:val="StyleUnderline"/>
        </w:rPr>
        <w:t>this obsession at once solidifies the power of the settler state, thereby naturalizing the settler and simultaneously perpetuating the processes of erasing indigenous peoples.</w:t>
      </w:r>
      <w:r w:rsidRPr="00087A72">
        <w:rPr>
          <w:sz w:val="12"/>
        </w:rPr>
        <w:t xml:space="preserve"> Psychic defenses are intended to secure the subject from pain, and whether that pain originates inside or outside the psyche is inconsequential. Because of the threat that indigeneity presents to the phantasmatic wholeness of settler colonialism, settlers must always remain suspended in a state of arrested development between these defensive positions. Despite any pretensions to the contrary, </w:t>
      </w:r>
      <w:r w:rsidRPr="00087A72">
        <w:rPr>
          <w:rStyle w:val="StyleUnderline"/>
        </w:rPr>
        <w:t>the settler is necessarily a parochial subject who continuously coils, reacts, disavows, and lashes out, when confronted with his dependency on indigenous peoples and their territory.</w:t>
      </w:r>
      <w:r w:rsidRPr="00087A72">
        <w:rPr>
          <w:sz w:val="12"/>
        </w:rPr>
        <w:t xml:space="preserve">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w:t>
      </w:r>
      <w:r w:rsidRPr="00087A72">
        <w:rPr>
          <w:rStyle w:val="StyleUnderline"/>
        </w:rPr>
        <w:t xml:space="preserve"> </w:t>
      </w:r>
      <w:r w:rsidRPr="00087A72">
        <w:rPr>
          <w:rStyle w:val="Emphasis"/>
        </w:rPr>
        <w:t xml:space="preserve">decolonization must include an analysis of the dominant ‘self-disciplining colonial subject’. </w:t>
      </w:r>
      <w:r w:rsidRPr="00087A72">
        <w:rPr>
          <w:sz w:val="12"/>
        </w:rPr>
        <w:t xml:space="preserve">73 However, as this discussion of subjective precarity demonstrates, the degree of to which these disciplinary or phenomenological processes are complete should not be overstated. For settler-allies must also examine and cultivate the ways in which settler subjects fail to be totally disciplined. Evidence of this incompletion is apparent in the subject’s arrested state of development. </w:t>
      </w:r>
      <w:r w:rsidRPr="00087A72">
        <w:rPr>
          <w:rStyle w:val="StyleUnderline"/>
        </w:rPr>
        <w:t xml:space="preserve">Discovering the instability at the core of the settler subject, indeed of all subjects, is the central conceit of psychoanalysis. </w:t>
      </w:r>
      <w:r w:rsidRPr="00087A72">
        <w:rPr>
          <w:sz w:val="12"/>
        </w:rPr>
        <w:t xml:space="preserve">This exception of at least partial failure to fully subjectivize the settler is also what sets my account apart from Rifkin’s. His phenomenology falls into the trap that Jacqueline Rose observes within many sociological accounts of the subject: that of assuming a successful internalization of norms. From the psychoanalytical perspective, </w:t>
      </w:r>
      <w:r w:rsidRPr="00087A72">
        <w:rPr>
          <w:rStyle w:val="StyleUnderline"/>
        </w:rPr>
        <w:t>the ‘unconscious constantly reveals the “failure”’ of internalization.</w:t>
      </w:r>
      <w:r w:rsidRPr="00087A72">
        <w:rPr>
          <w:sz w:val="12"/>
        </w:rPr>
        <w:t xml:space="preserve">74 As we have seen, </w:t>
      </w:r>
      <w:r w:rsidRPr="00087A72">
        <w:rPr>
          <w:rStyle w:val="StyleUnderline"/>
        </w:rPr>
        <w:t>within settler subjects this can be expressed as an irrational anxiety that expresses itself whenever a settler is confronted with the facts regarding their colonizing status. Under conditions of total subjectification, such charges ought to be unintelligible to the settler.</w:t>
      </w:r>
      <w:r w:rsidRPr="00087A72">
        <w:rPr>
          <w:sz w:val="12"/>
        </w:rPr>
        <w:t xml:space="preserve"> Thus, </w:t>
      </w:r>
      <w:r w:rsidRPr="00087A72">
        <w:rPr>
          <w:rStyle w:val="StyleUnderline"/>
        </w:rPr>
        <w:t>the process of subject formation is always in slippage and never totalized as others might suggest.</w:t>
      </w:r>
      <w:r w:rsidRPr="00087A72">
        <w:rPr>
          <w:sz w:val="12"/>
        </w:rPr>
        <w:t xml:space="preserve">75 </w:t>
      </w:r>
      <w:r w:rsidRPr="00087A72">
        <w:rPr>
          <w:rStyle w:val="Emphasis"/>
        </w:rPr>
        <w:t>Because of this precarity, the settler subject is prone to violence and lashing out; but the subject in slippage also provides an avenue by which the process of settler colonialism can be subverted – creating cracks in a phantasmatic wholeness which can be opened wider.</w:t>
      </w:r>
      <w:r w:rsidRPr="00087A72">
        <w:rPr>
          <w:sz w:val="12"/>
        </w:rPr>
        <w:t xml:space="preserve"> Breakages of this sort offer an opportunity to pursue what Paulette Regan calls a ‘restorying’ of settler colonial history and culture, to decanter settler mythologies built upon and within the dispossession of indigenous peoples.76 </w:t>
      </w:r>
      <w:r w:rsidRPr="00087A72">
        <w:rPr>
          <w:rStyle w:val="Emphasis"/>
        </w:rPr>
        <w:t>The cultivation of these cracks is a necessary part of decolonizing work, as it continues to panic and thus to destabilize settler subjects. Resistance to settler colonialism</w:t>
      </w:r>
      <w:r w:rsidRPr="00087A72">
        <w:rPr>
          <w:sz w:val="12"/>
        </w:rPr>
        <w:t xml:space="preserve"> does not occur only in highly visible moments like the famous conflict at Kanesatake and Kahnawake,77 it also </w:t>
      </w:r>
      <w:r w:rsidRPr="00087A72">
        <w:rPr>
          <w:rStyle w:val="Emphasis"/>
        </w:rPr>
        <w:t>occurs in reiterative and disruptive practices, presences, and speech acts.</w:t>
      </w:r>
      <w:r w:rsidRPr="00087A72">
        <w:rPr>
          <w:sz w:val="12"/>
        </w:rPr>
        <w:t xml:space="preserve"> Goeman correctly observes that </w:t>
      </w:r>
      <w:r w:rsidRPr="00087A72">
        <w:rPr>
          <w:rStyle w:val="Emphasis"/>
        </w:rPr>
        <w:t>the ‘repetitive practices of everyday life’ are what give settler spaces their meaning, as they provide a degree of naturalness to the settler imago and its psychic investments.</w:t>
      </w:r>
      <w:r w:rsidRPr="00087A72">
        <w:rPr>
          <w:sz w:val="12"/>
        </w:rPr>
        <w:t xml:space="preserve">78 As such, </w:t>
      </w:r>
      <w:r w:rsidRPr="00087A72">
        <w:rPr>
          <w:rStyle w:val="StyleUnderline"/>
        </w:rPr>
        <w:t xml:space="preserve">to disrupt the ease of these repetitions is at once to striate radically the otherwise smooth spaces of settler colonialism and also to disrupt the easy (re)production of the settler subject. </w:t>
      </w:r>
      <w:r w:rsidRPr="00087A72">
        <w:rPr>
          <w:sz w:val="12"/>
        </w:rPr>
        <w:t xml:space="preserve">Goeman calls these subversive acts the ‘micro-politics of resistance’, which historically took the form of ‘moving fences, not cooperating with census enumerators, sometimes disrupting survey parties’ amongst other process.79 These acts panic the subject that is disciplined as a product of settler colonial power, by forcing encounters with the sovereign indigenous peoples that were imagined to be gone. This reveals to the settler, if only fleetingly, the violence that founds and sustains the settler colonial relationship. While such practices may not overthrow the settler colonial system, they do subvert its logics by insistently drawing attention to the ongoing presence of indigenous peoples who refuse erasure. 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Island.80 The micro-politics of the movement strengthen indigenous subjects and their spatialities, while leaving an indelible imprint in the settler psyche. Predictably, rage and resentment were provoked in some settlers;81 however, Idle No More also drew thousands of settler-allies into the streets and renewed conversations about the necessity of nation-to-nation relationships. With settler colonial spaces disrupted and a relationship of domination made impossible to ignore, in the tradition of centuries of indigenous resistance, Idle No More put the settler subject into serious flux once more. Conclusion Settler colonialism has been distinguished from colonialism proper by what Wolfe calls its ‘logic of elimination’, which requires the erasure of indigenous peoples from the colonized territory. This is accomplished through a variety of mechanisms that range from outright violence to policies of gradual elimination. Ultimately, </w:t>
      </w:r>
      <w:r w:rsidRPr="00087A72">
        <w:rPr>
          <w:rStyle w:val="StyleUnderline"/>
        </w:rPr>
        <w:t xml:space="preserve">settler colonialism is perpetuated through a double move: to erase indigenous peoples and then to disappear settlers by naturalizing the violence inherent their existence in colonized territory. </w:t>
      </w:r>
      <w:r w:rsidRPr="00087A72">
        <w:rPr>
          <w:sz w:val="12"/>
        </w:rPr>
        <w:t xml:space="preserve">This is accomplished through the production of spatialities bereft of indigeneity. Out of this spatial logic, an imago of settler society is produced that binds settlers both psychically and socially to each other and to the colonized spaces. </w:t>
      </w:r>
      <w:r w:rsidRPr="00087A72">
        <w:rPr>
          <w:rStyle w:val="StyleUnderline"/>
        </w:rPr>
        <w:t>The continual (re)production of a settler colonial imago is necessary to secure the psychic horizons of the settler subject; it is also inextricably bound up with an insatiable need to constantly renew the erasure of indigenous peoples.</w:t>
      </w:r>
      <w:r w:rsidRPr="00087A72">
        <w:rPr>
          <w:sz w:val="12"/>
        </w:rPr>
        <w:t xml:space="preserve"> Thus, in order to secure its continued survival as a subject, the settler must always strive to maintain the conditions of settler colonialism. </w:t>
      </w:r>
      <w:r w:rsidRPr="00087A72">
        <w:rPr>
          <w:rStyle w:val="Emphasis"/>
        </w:rPr>
        <w:t>Total erasure of indigeneity is the grotesque desire of the settler that must be constantly disrupted.</w:t>
      </w:r>
      <w:r w:rsidRPr="00087A72">
        <w:rPr>
          <w:sz w:val="12"/>
        </w:rPr>
        <w:t xml:space="preserve"> Where indigenous peoples have persisted as an insurgent presence in the settler imago, they are always already threatening this disruption of the settler subject at its very core. </w:t>
      </w:r>
      <w:r w:rsidRPr="00087A72">
        <w:rPr>
          <w:rStyle w:val="StyleUnderline"/>
        </w:rPr>
        <w:t>For while the affirmation of indigeneity can induce panic, and subsequently rage, in the settler, it also opens a crack within the imago – that is, within the settler subject itself – through which an ethic of decolonization can emerge.</w:t>
      </w:r>
      <w:r w:rsidRPr="00087A72">
        <w:rPr>
          <w:sz w:val="12"/>
        </w:rPr>
        <w:t xml:space="preserve"> While it seems that settler colonialism is propelled by a tightly circuitous movement of subject formation, projection, and (re)formation, the presence of indigenous peoples in ongoing and sovereign relationship with the land serves as a powerful blockage of to the smoothness of this process.</w:t>
      </w:r>
    </w:p>
    <w:p w:rsidR="009556BB" w:rsidRPr="00087A72" w:rsidRDefault="009556BB" w:rsidP="009556BB">
      <w:pPr>
        <w:pStyle w:val="Heading3"/>
      </w:pPr>
      <w:r w:rsidRPr="00087A72">
        <w:t>1NC – Survivors (Anzaldúa)</w:t>
      </w:r>
    </w:p>
    <w:p w:rsidR="00030ACD" w:rsidRPr="00087A72" w:rsidRDefault="00030ACD" w:rsidP="00030ACD">
      <w:pPr>
        <w:pStyle w:val="Heading4"/>
      </w:pPr>
      <w:r w:rsidRPr="00087A72">
        <w:t>The genocide of the Native is the quilting point for the signifiers “politics” and “subjectivity” to adhere itself to meaning. However, unable to obtain perfect completion—that more perfect union—the Political becomes an accelerating cycle of death driven violence against the Native.</w:t>
      </w:r>
    </w:p>
    <w:p w:rsidR="00030ACD" w:rsidRPr="00087A72" w:rsidRDefault="00030ACD" w:rsidP="00030ACD">
      <w:r w:rsidRPr="00087A72">
        <w:rPr>
          <w:rStyle w:val="Style13ptBold"/>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95-100) NIJ</w:t>
      </w:r>
    </w:p>
    <w:p w:rsidR="00030ACD" w:rsidRPr="00087A72" w:rsidRDefault="00030ACD" w:rsidP="00030ACD">
      <w:pPr>
        <w:rPr>
          <w:sz w:val="12"/>
        </w:rPr>
      </w:pPr>
      <w:r w:rsidRPr="00087A72">
        <w:rPr>
          <w:sz w:val="12"/>
        </w:rPr>
        <w:t xml:space="preserve">Whiteness, the Child, and the Logics of Futurity Against the politicized topographies and temporalities of indigeneity and race, I now move into a consideration of the contributions of psychoanalytic theory to the questions of politics and time presented thus far. </w:t>
      </w:r>
      <w:r w:rsidRPr="00087A72">
        <w:rPr>
          <w:rStyle w:val="StyleUnderline"/>
        </w:rPr>
        <w:t>The kinds of questions psychoanalysis is interested in asking, the registers upon which it performs analysis, and its unique emphasis on temporality, language, and difference provide an excellent conceptual apparatus through which we might begin to trouble/problematize stable, taken-for-granted oppositions between psychic and social, personal and political, self and other.</w:t>
      </w:r>
      <w:r w:rsidRPr="00087A72">
        <w:rPr>
          <w:sz w:val="12"/>
        </w:rPr>
        <w:t xml:space="preserve"> Freud’s interest in time is evident in his work on the uncanny, and in his inaugural work on what we might now call trauma studies and conditions we now call post-traumatic stress disorder (PTSD). For Freud, this theory of hysteria introduces a provocative temporality in which traumatic events reoccur, flashing up in perfect replication of themselves, as though happening again and again. In his diagnosis of so-called shell-shocked soldiers returning from World War I, Freud was keenly aware that time did not always progress along an even plane. Though Freud’s analysis of trauma is captivating and critically rich, it is not within my purview here to take on the full extent of this scholarship. Instead, what is most salient to my analysis are the capacities of psychoanalytic theory to move critique outside and beyond prevailing notions of time and narratives of progress that only mean moving forward. This chapter writes from a stance that views it as imperative that scholarship reaches beyond, and thinks outside, the paradigms that invented it. </w:t>
      </w:r>
      <w:r w:rsidRPr="00087A72">
        <w:rPr>
          <w:rStyle w:val="StyleUnderline"/>
        </w:rPr>
        <w:t>Psychoanalytic theory, with its idiosyncratic temporal logics</w:t>
      </w:r>
      <w:r w:rsidRPr="00087A72">
        <w:rPr>
          <w:sz w:val="12"/>
        </w:rPr>
        <w:t>—particularly in conjunction with Foucauldian theory—</w:t>
      </w:r>
      <w:r w:rsidRPr="00087A72">
        <w:rPr>
          <w:rStyle w:val="StyleUnderline"/>
        </w:rPr>
        <w:t>offers a productive and robust way to critique the continuing primacy of normative disciplines whose chronologics have historically warranted a politics that kills in the name of life. Such an approach allows us to hold in productive tension any definition of “the political” as stable and finite, with—as in the case of liberal political philosophy—the legally constructed “person” as its primary epistemological unit. This conceptual capacity of psychoanalysis</w:t>
      </w:r>
      <w:r w:rsidRPr="00087A72">
        <w:rPr>
          <w:sz w:val="12"/>
        </w:rPr>
        <w:t xml:space="preserve">, in turn, </w:t>
      </w:r>
      <w:r w:rsidRPr="00087A72">
        <w:rPr>
          <w:rStyle w:val="StyleUnderline"/>
        </w:rPr>
        <w:t>allows us to politicize a form of life and modality of corporeal personhood hitherto constructed as what</w:t>
      </w:r>
      <w:r w:rsidRPr="00087A72">
        <w:rPr>
          <w:sz w:val="12"/>
        </w:rPr>
        <w:t xml:space="preserve">, in Bataillean parlance, </w:t>
      </w:r>
      <w:r w:rsidRPr="00087A72">
        <w:rPr>
          <w:rStyle w:val="StyleUnderline"/>
        </w:rPr>
        <w:t>we might call colonialism’s accursed share—colonialism’s pure waste.</w:t>
      </w:r>
      <w:r w:rsidRPr="00087A72">
        <w:rPr>
          <w:sz w:val="12"/>
        </w:rPr>
        <w:t xml:space="preserve"> Additionally, </w:t>
      </w:r>
      <w:r w:rsidRPr="00087A72">
        <w:rPr>
          <w:rStyle w:val="StyleUnderline"/>
        </w:rPr>
        <w:t>psychoanalytic notions of the death drive, whose proper movement is explicitly circular, allows us to begin to locate the child within logics of futurity, onto which is laminated a kind of indelible whiteness.</w:t>
      </w:r>
      <w:r w:rsidRPr="00087A72">
        <w:rPr>
          <w:sz w:val="12"/>
        </w:rPr>
        <w:t xml:space="preserve"> For the purpose of my analysis I engage Lacanian psychoanalysis, limiting myself to a consideration of the structure of the drives and to a Lacanian conceptualization of language, and its role in the formation of self and the suturing of the psyche to sociality. Freud, as Teresa De Lauretis (2008) emphasizes, elaborated the death drive between the First and Second World Wars, in a Europe living “under the shadow of death and the threat of biological and cultural genocide” (1). Situating her analysis of the death drive in the contemporary moment, De Lauretis points to this contextual, historical darkening, writing: “I wonder whether our epistemologies can sustain the impact of the real … If I return to Freud’s notion of an unconscious death drive, it is because it conveys the sense and the force of something in human reality that resists discursive articulation as well as political diplomacy, an otherness that haunts the dream of a common world” (9). Using psychoanalysis as reading practice, Freud’s suspicion that human life, both individual and social, is compromised from the beginning by something that undermines it, works against it, is (darkly?) generative. </w:t>
      </w:r>
      <w:r w:rsidRPr="00087A72">
        <w:rPr>
          <w:rStyle w:val="StyleUnderline"/>
        </w:rPr>
        <w:t>The death drive indicates a tension bordering psychic and libidinal relations, which marks Freud’s radical break with Cartesian rationality and points to a negativity that counteracts the optimistic affirmations of human perfectability. This dimension of radical negativity cannot be reduced to an expression of alienated social conditions, nor is it entirely something the body does on its own.</w:t>
      </w:r>
      <w:r w:rsidRPr="00087A72">
        <w:rPr>
          <w:sz w:val="12"/>
        </w:rPr>
        <w:t xml:space="preserve"> Theorized as the destruction drive, the antagonism drive, or sometimes, simply “the drive,” </w:t>
      </w:r>
      <w:r w:rsidRPr="00087A72">
        <w:rPr>
          <w:rStyle w:val="StyleUnderline"/>
        </w:rPr>
        <w:t>it is impossible to escape.</w:t>
      </w:r>
      <w:r w:rsidRPr="00087A72">
        <w:rPr>
          <w:sz w:val="12"/>
        </w:rPr>
        <w:t xml:space="preserve"> In psychoanalytic theory, therefore, particularly in the clinical setting, </w:t>
      </w:r>
      <w:r w:rsidRPr="00087A72">
        <w:rPr>
          <w:rStyle w:val="StyleUnderline"/>
        </w:rPr>
        <w:t>the objective is not to overcome the drive, but rather to come to terms with it, in</w:t>
      </w:r>
      <w:r w:rsidRPr="00087A72">
        <w:rPr>
          <w:sz w:val="12"/>
        </w:rPr>
        <w:t xml:space="preserve"> what Slovenian Lacanian psychoanalytic theorist Slavoj Žižek (1989) calls </w:t>
      </w:r>
      <w:r w:rsidRPr="00087A72">
        <w:rPr>
          <w:rStyle w:val="StyleUnderline"/>
        </w:rPr>
        <w:t xml:space="preserve">“its terrifying dimension” </w:t>
      </w:r>
      <w:r w:rsidRPr="00087A72">
        <w:rPr>
          <w:sz w:val="12"/>
        </w:rPr>
        <w:t xml:space="preserve">(4). </w:t>
      </w:r>
      <w:r w:rsidRPr="00087A72">
        <w:rPr>
          <w:rStyle w:val="StyleUnderline"/>
        </w:rPr>
        <w:t>It is a fundamental axiom of Lacanian psychoanalytic theory that attempts to abolish the drive antagonism are precisely the source of totalitarian temptation.</w:t>
      </w:r>
      <w:r w:rsidRPr="00087A72">
        <w:rPr>
          <w:sz w:val="12"/>
        </w:rPr>
        <w:t xml:space="preserve"> Žižek writes: </w:t>
      </w:r>
      <w:r w:rsidRPr="00087A72">
        <w:rPr>
          <w:rStyle w:val="StyleUnderline"/>
        </w:rPr>
        <w:t>“The greatest mass murders and holocausts have always been perpetrated in the name of man as harmonious being, of a New Man without antagonistic tension”</w:t>
      </w:r>
      <w:r w:rsidRPr="00087A72">
        <w:rPr>
          <w:sz w:val="12"/>
        </w:rPr>
        <w:t xml:space="preserve"> (5). </w:t>
      </w:r>
      <w:r w:rsidRPr="00087A72">
        <w:rPr>
          <w:rStyle w:val="StyleUnderline"/>
        </w:rPr>
        <w:t>So it is that</w:t>
      </w:r>
      <w:r w:rsidRPr="00087A72">
        <w:rPr>
          <w:sz w:val="12"/>
        </w:rPr>
        <w:t xml:space="preserve"> one of Canada’s greatest atrocities— </w:t>
      </w:r>
      <w:r w:rsidRPr="00087A72">
        <w:rPr>
          <w:rStyle w:val="StyleUnderline"/>
        </w:rPr>
        <w:t>the genocide of its First Peoples—took place in the name o</w:t>
      </w:r>
      <w:r w:rsidRPr="00087A72">
        <w:rPr>
          <w:sz w:val="12"/>
        </w:rPr>
        <w:t xml:space="preserve">f Canada itself, that sought </w:t>
      </w:r>
      <w:r w:rsidRPr="00087A72">
        <w:rPr>
          <w:rStyle w:val="StyleUnderline"/>
        </w:rPr>
        <w:t>progress and unification as a single body politic with claims on a shared futurity.</w:t>
      </w:r>
      <w:r w:rsidRPr="00087A72">
        <w:rPr>
          <w:sz w:val="12"/>
        </w:rPr>
        <w:t xml:space="preserve"> The fulfillment of this destiny relied upon the negation of the other, the bad race, the dangerous race, the race that stood outside the purview of the norm and had no share in its time-zone, the ones called to live in the between space—as nobody. </w:t>
      </w:r>
      <w:r w:rsidRPr="00087A72">
        <w:rPr>
          <w:rStyle w:val="StyleUnderline"/>
        </w:rPr>
        <w:t>As the relatively more benign civilization policies failed to convert Aboriginal forms of life into separate but civilized</w:t>
      </w:r>
      <w:r w:rsidRPr="00087A72">
        <w:rPr>
          <w:sz w:val="12"/>
        </w:rPr>
        <w:t xml:space="preserve">, Christian communities on reserves, </w:t>
      </w:r>
      <w:r w:rsidRPr="00087A72">
        <w:rPr>
          <w:rStyle w:val="StyleUnderline"/>
        </w:rPr>
        <w:t>the federal government intensified its tactics. Policies became more aggressive. As these more aggressive policies</w:t>
      </w:r>
      <w:r w:rsidRPr="00087A72">
        <w:rPr>
          <w:sz w:val="12"/>
        </w:rPr>
        <w:t xml:space="preserve"> (such as enfranchisement) </w:t>
      </w:r>
      <w:r w:rsidRPr="00087A72">
        <w:rPr>
          <w:rStyle w:val="StyleUnderline"/>
        </w:rPr>
        <w:t>also failed, the federal government intensified its tactics once again, escalating the stakes and the strategies towards the horizon of assimilation. This ‘doubling down’ in the face of failure is a primary trace effect of the death drive, and indeed, it is not unreasonable to argue that the federal government Indian policy has, since confederation, been death driven. Because the aim of fully eradicating the otherness of the other can only fail</w:t>
      </w:r>
      <w:r w:rsidRPr="00087A72">
        <w:rPr>
          <w:sz w:val="12"/>
        </w:rPr>
        <w:t>—in Freudian parlance, it cannot be mastered—</w:t>
      </w:r>
      <w:r w:rsidRPr="00087A72">
        <w:rPr>
          <w:rStyle w:val="StyleUnderline"/>
        </w:rPr>
        <w:t>the trajectory of the aiming turns in a circularity, orbiting around that which can never be had: perfection. Caught in death drive circularity, the aiming towards the objective</w:t>
      </w:r>
      <w:r w:rsidRPr="00087A72">
        <w:rPr>
          <w:sz w:val="12"/>
        </w:rPr>
        <w:t xml:space="preserve"> (i.e. a unified body politic) </w:t>
      </w:r>
      <w:r w:rsidRPr="00087A72">
        <w:rPr>
          <w:rStyle w:val="StyleUnderline"/>
        </w:rPr>
        <w:t>authorizes, and indeed recruits, escalating violence in the interest of—finally—closing the open.</w:t>
      </w:r>
      <w:r w:rsidRPr="00087A72">
        <w:rPr>
          <w:sz w:val="12"/>
        </w:rPr>
        <w:t xml:space="preserve"> For Žižek, </w:t>
      </w:r>
      <w:r w:rsidRPr="00087A72">
        <w:rPr>
          <w:rStyle w:val="StyleUnderline"/>
        </w:rPr>
        <w:t>this compulsive ‘doubling-down’ in the face of failure to arrive at the impossible horizon of perfection tips towards totalitarian temptation, which</w:t>
      </w:r>
      <w:r w:rsidRPr="00087A72">
        <w:rPr>
          <w:sz w:val="12"/>
        </w:rPr>
        <w:t xml:space="preserve">, he tells us, </w:t>
      </w:r>
      <w:r w:rsidRPr="00087A72">
        <w:rPr>
          <w:rStyle w:val="StyleUnderline"/>
        </w:rPr>
        <w:t>is implicated in the drive to unify a singular body politic, a new man without antagonistic tension. The drive aims for the return to a moment of unity before the intrusion of language and the entrance of the subject into what Lacan calls the Symbolic—the universe of symbols in which all human subjects share. Because this economy of signifiers operates through a modality of difference by association, on the premise that language does not reflect or carry within it universal a priori meaning, spirit, or Truth, signifiers are always and already sliding along a chain of signification that is never truly fixed.</w:t>
      </w:r>
      <w:r w:rsidRPr="00087A72">
        <w:rPr>
          <w:sz w:val="12"/>
        </w:rPr>
        <w:t xml:space="preserve"> Rather, for Lacan, </w:t>
      </w:r>
      <w:r w:rsidRPr="00087A72">
        <w:rPr>
          <w:rStyle w:val="StyleUnderline"/>
        </w:rPr>
        <w:t>meaning is constructed through quilting points, durable concepts that affix ideas to their signifiers and which, in their durability, structure entire fields of meaning.</w:t>
      </w:r>
      <w:r w:rsidRPr="00087A72">
        <w:rPr>
          <w:sz w:val="12"/>
        </w:rPr>
        <w:t xml:space="preserve"> For Lacan, </w:t>
      </w:r>
      <w:r w:rsidRPr="00087A72">
        <w:rPr>
          <w:rStyle w:val="StyleUnderline"/>
        </w:rPr>
        <w:t>subjects are formed by their entrance into this system of sliding difference from a pre-linguistic state retroactively constructed through nostalgic affective associations with unity, perfection, and completion. The loss or lack occurs in the imaginary, the order of presence and absence, and is formalized in the symbolic. This is experienced by the subject as a loss of that to which she/he can never again return, but for which she/he perpetually yearns, and toward which she/he perpetually moves. The circularity of movement toward this impossible horizon is precisely the movement of the drive.</w:t>
      </w:r>
      <w:r w:rsidRPr="00087A72">
        <w:rPr>
          <w:sz w:val="12"/>
        </w:rPr>
        <w:t xml:space="preserve"> It is my argument that the concept of </w:t>
      </w:r>
      <w:r w:rsidRPr="00087A72">
        <w:rPr>
          <w:rStyle w:val="Emphasis"/>
        </w:rPr>
        <w:t>“the Indian” is a quilting point through which the field of politics</w:t>
      </w:r>
      <w:r w:rsidRPr="00087A72">
        <w:rPr>
          <w:sz w:val="12"/>
        </w:rPr>
        <w:t xml:space="preserve"> in Canada </w:t>
      </w:r>
      <w:r w:rsidRPr="00087A72">
        <w:rPr>
          <w:rStyle w:val="Emphasis"/>
        </w:rPr>
        <w:t>is sutured into signification, a durable concept that organizes the meaning of nation, citizen, sovereignty, and subjecthood.</w:t>
      </w:r>
      <w:r w:rsidRPr="00087A72">
        <w:rPr>
          <w:sz w:val="12"/>
        </w:rPr>
        <w:t xml:space="preserve"> Further, </w:t>
      </w:r>
      <w:r w:rsidRPr="00087A72">
        <w:rPr>
          <w:rStyle w:val="StyleUnderline"/>
        </w:rPr>
        <w:t>the hypoxic vision of national unity and a harmonious white(ned) citizenry is a movement propelled by the drive, a circularity impelled by the belief that what is lacking in the present can be made good in the future—an imaginary that activates/harnesses a kind of libidinal energy that is, by its very nature, inexhaustible. It matters, in the instance of the</w:t>
      </w:r>
      <w:r w:rsidRPr="00087A72">
        <w:rPr>
          <w:sz w:val="12"/>
        </w:rPr>
        <w:t xml:space="preserve"> Canadian </w:t>
      </w:r>
      <w:r w:rsidRPr="00087A72">
        <w:rPr>
          <w:rStyle w:val="StyleUnderline"/>
        </w:rPr>
        <w:t>Indian Residential Schools</w:t>
      </w:r>
      <w:r w:rsidRPr="00087A72">
        <w:rPr>
          <w:sz w:val="12"/>
        </w:rPr>
        <w:t xml:space="preserve"> and their mandate, </w:t>
      </w:r>
      <w:r w:rsidRPr="00087A72">
        <w:rPr>
          <w:rStyle w:val="StyleUnderline"/>
        </w:rPr>
        <w:t>that before child subjects enter into the structuration of language/the Symbolic, their bodies are already marked as disprized, abject, inscribed into the signification for, and</w:t>
      </w:r>
      <w:r w:rsidRPr="00087A72">
        <w:rPr>
          <w:sz w:val="12"/>
        </w:rPr>
        <w:t xml:space="preserve">, I argue, </w:t>
      </w:r>
      <w:r w:rsidRPr="00087A72">
        <w:rPr>
          <w:rStyle w:val="StyleUnderline"/>
        </w:rPr>
        <w:t>as, loss itself.</w:t>
      </w:r>
      <w:r w:rsidRPr="00087A72">
        <w:rPr>
          <w:sz w:val="12"/>
        </w:rPr>
        <w:t xml:space="preserve"> As I have argued above, reading through psychoanalytic theory facilitates a conceptualization of subject-formation that includes the role of signification in the contouring of subject/ivities. This analytic rubric is importantly brought to bear in my analysis of “the child” the Canadian Indian Residential School System announces into presence: </w:t>
      </w:r>
      <w:r w:rsidRPr="00087A72">
        <w:rPr>
          <w:rStyle w:val="StyleUnderline"/>
        </w:rPr>
        <w:t>a child fundamentally and constitutively tied to a death whose temporal structure is always deferred, always impartial, always unfolding, and yet always still to be.</w:t>
      </w:r>
      <w:r w:rsidRPr="00087A72">
        <w:rPr>
          <w:sz w:val="12"/>
        </w:rPr>
        <w:t xml:space="preserve"> Indeed, </w:t>
      </w:r>
      <w:r w:rsidRPr="00087A72">
        <w:rPr>
          <w:rStyle w:val="StyleUnderline"/>
        </w:rPr>
        <w:t>even in circumstances in which her/his mode of being in the world is not a deliberate practice of making- spectral, “the child” remains a notoriously ambivalent, slippery signifier. This plasticity</w:t>
      </w:r>
      <w:r w:rsidRPr="00087A72">
        <w:rPr>
          <w:sz w:val="12"/>
        </w:rPr>
        <w:t>—differently stated, this over-abundant availability of “the child” as concept—</w:t>
      </w:r>
      <w:r w:rsidRPr="00087A72">
        <w:rPr>
          <w:rStyle w:val="StyleUnderline"/>
        </w:rPr>
        <w:t>takes on an interesting significance within political thought, functioning not as that which is politicized, but as the signifier in whose name the political mobilizes itself.</w:t>
      </w:r>
      <w:r w:rsidRPr="00087A72">
        <w:rPr>
          <w:sz w:val="12"/>
        </w:rPr>
        <w:t xml:space="preserve"> In this way, </w:t>
      </w:r>
      <w:r w:rsidRPr="00087A72">
        <w:rPr>
          <w:rStyle w:val="StyleUnderline"/>
        </w:rPr>
        <w:t>the child functions as the absolute outside to political thought and the logics of its temporality, functioning instead to condition its possibilities and organize, from beyond its borders, its spatial and temporal limits.</w:t>
      </w:r>
      <w:r w:rsidRPr="00087A72">
        <w:rPr>
          <w:sz w:val="12"/>
        </w:rPr>
        <w:t xml:space="preserve"> An example of this conceptualization of the child as signifier—and certainly one of the more provocative articulations of this phenomena in the contemporary neoliberal moment—is the polemic Lee develops in his monograph No Future: Queer Theory and the Death Drive. For Edelman, the Child—in its conflation with the kind of futurity toward which the teleology of (neo)liberal discourse is mobilized—is not simply important to contemporary politics, but is that which “serves to regulate political discourse [itself]” (ii). Indeed, as Edelman points out, “the figural Child alone embodies the citizen as ideal, entitled to claim full rights to its future share in the nation’s good, though always at the cost of limiting the rights ‘real’ citizens are allowed. For the social exists to preserve for this universalized subject, this fantasmatic Child, a national freedom more highly valued than the actuality of freedom itself” (ii). In Edelman’s polemic, </w:t>
      </w:r>
      <w:r w:rsidRPr="00087A72">
        <w:rPr>
          <w:rStyle w:val="Emphasis"/>
        </w:rPr>
        <w:t>it goes without saying that the figural child is a white child</w:t>
      </w:r>
      <w:r w:rsidRPr="00087A72">
        <w:rPr>
          <w:sz w:val="12"/>
        </w:rPr>
        <w:t xml:space="preserve"> and that children of colour, children of mixed heritage, </w:t>
      </w:r>
      <w:r w:rsidRPr="00087A72">
        <w:rPr>
          <w:rStyle w:val="StyleUnderline"/>
        </w:rPr>
        <w:t>Indian children</w:t>
      </w:r>
      <w:r w:rsidRPr="00087A72">
        <w:rPr>
          <w:sz w:val="12"/>
        </w:rPr>
        <w:t xml:space="preserve">—within the Ideological State Apparatus of the Indian Residential Schools—far from carrying the over-abundant significance Edelman so adeptly parses, signify on only the most spectral of registers. This child, I argue, as a kind of spectral(ized) partial subject, </w:t>
      </w:r>
      <w:r w:rsidRPr="00087A72">
        <w:rPr>
          <w:rStyle w:val="StyleUnderline"/>
        </w:rPr>
        <w:t>instantiates a subjectivity simultaneously over-exposed to the political and over-determined by the word of the law, while barely accorded even the status of bare life. This is a subject that is hailed into a circularity of misrecognition in a relationship with death that is virtually inescapable. This relationship with death is the suture that connects this subject to the social.</w:t>
      </w:r>
      <w:r w:rsidRPr="00087A72">
        <w:rPr>
          <w:sz w:val="12"/>
        </w:rPr>
        <w:t xml:space="preserve"> Edelman’s argument does not address racialized formations of self-hood, but is no less relevant to the argument I seek to develop here. Indeed, it is perhaps all the keener in what it omits—which is the child of color. This omission points to the level of signification and the way in which the whitened child is effortlessly lifted from the problematically raced body—the body whose racialized status is found problematic. This fantasy of purification through signification speaks, in ways that are eloquent and disturbing in equal measure, precisely the fantasy of the Canadian Indian Residential School System: that the body of the Indian could be left behind in a transcendent movement away from the vexatious quagmire posed by the Indian body toward the realm of what Kantian philosophy calls pure spirit, the realm of whiteness, purity, and hypoxic visions of what Edelman calls, “a national freedom more highly valued than the actuality of freedom itself” (ii). This fantasy of corporeal abandonment points to the latent desire of Western philosophical thought that seeks, through the disavowal of bodily finitude and a fetishization of the logos, access to purity of form, a fantasy that relegates, leaves trapped, the sometimes racialized, sometimes feminized other, mired in flesh and finitude from which it is allowed no escape. </w:t>
      </w:r>
      <w:r w:rsidRPr="00087A72">
        <w:rPr>
          <w:rStyle w:val="StyleUnderline"/>
        </w:rPr>
        <w:t>The Indigenous person</w:t>
      </w:r>
      <w:r w:rsidRPr="00087A72">
        <w:rPr>
          <w:sz w:val="12"/>
        </w:rPr>
        <w:t xml:space="preserve">, we remember from Hegel’s Lectures on the Philosophy of World History, </w:t>
      </w:r>
      <w:r w:rsidRPr="00087A72">
        <w:rPr>
          <w:rStyle w:val="StyleUnderline"/>
        </w:rPr>
        <w:t>is imagined as always already outside the teleology of history, already extinct. This way of understanding difference, through the rubric of historical progress, remains central to liberal and neoliberal political thought, economic practices, and policies in the current moment.</w:t>
      </w:r>
      <w:r w:rsidRPr="00087A72">
        <w:rPr>
          <w:sz w:val="12"/>
        </w:rPr>
        <w:t xml:space="preserve"> Prising the child away from the Indian, meanwhile, continues to have important implications in the way we imagine colonial forms, not only of life, but also of death.</w:t>
      </w:r>
    </w:p>
    <w:p w:rsidR="00030ACD" w:rsidRPr="00087A72" w:rsidRDefault="00030ACD" w:rsidP="00030ACD">
      <w:pPr>
        <w:pStyle w:val="Heading4"/>
      </w:pPr>
      <w:r w:rsidRPr="00087A72">
        <w:t>The rhetoric of Mestizaje and Mestiza in Anzaldúa’s work represents the drive towards Settler Indigenizaetion that simultaneously drives genocidal violence and ensures the continuation of pure-blood rhetorics. Even if Anzaldúa avoids this in practice, the rhetoric of mestizaje inevitably culminates in primitivist and racist understandings of the Native.</w:t>
      </w:r>
    </w:p>
    <w:p w:rsidR="00030ACD" w:rsidRPr="00087A72" w:rsidRDefault="00030ACD" w:rsidP="00030ACD">
      <w:r w:rsidRPr="00087A72">
        <w:rPr>
          <w:rStyle w:val="Style13ptBold"/>
        </w:rPr>
        <w:t>Ríos 16</w:t>
      </w:r>
      <w:r w:rsidRPr="00087A72">
        <w:t xml:space="preserve"> (Gabriela Raquel, Professor in the Department of English at the University of Oklahoma “Mestizaje” in </w:t>
      </w:r>
      <w:r w:rsidRPr="00087A72">
        <w:rPr>
          <w:i/>
        </w:rPr>
        <w:t>Decolonizing Rhetoric and Composition Studies</w:t>
      </w:r>
      <w:r w:rsidRPr="00087A72">
        <w:t>, pp. 110-120) NIJ</w:t>
      </w:r>
    </w:p>
    <w:p w:rsidR="00030ACD" w:rsidRPr="00087A72" w:rsidRDefault="00030ACD" w:rsidP="00030ACD">
      <w:pPr>
        <w:rPr>
          <w:b/>
          <w:iCs/>
          <w:sz w:val="26"/>
          <w:u w:val="single"/>
        </w:rPr>
      </w:pPr>
      <w:r w:rsidRPr="00087A72">
        <w:rPr>
          <w:rStyle w:val="StyleUnderline"/>
        </w:rPr>
        <w:t>During the revolutionary period in many Latin American countries, indigeneity came to be defined by governing forces through the notion of blood quantum.</w:t>
      </w:r>
      <w:r w:rsidRPr="00087A72">
        <w:rPr>
          <w:sz w:val="12"/>
        </w:rPr>
        <w:t xml:space="preserve"> Additionally, </w:t>
      </w:r>
      <w:r w:rsidRPr="00087A72">
        <w:rPr>
          <w:rStyle w:val="StyleUnderline"/>
        </w:rPr>
        <w:t>it became synonymous with “primitivism” and “savageness.”</w:t>
      </w:r>
      <w:r w:rsidRPr="00087A72">
        <w:rPr>
          <w:sz w:val="12"/>
        </w:rPr>
        <w:t xml:space="preserve"> As such, Indigenous people and Indigenous cultures were deemed antithetical to “progress.” </w:t>
      </w:r>
      <w:r w:rsidRPr="00087A72">
        <w:rPr>
          <w:rStyle w:val="StyleUnderline"/>
        </w:rPr>
        <w:t>Nevertheless, the high rates of miscegenation in Latin America created a different kind of “Indian Problem”</w:t>
      </w:r>
      <w:r w:rsidRPr="00087A72">
        <w:rPr>
          <w:sz w:val="12"/>
        </w:rPr>
        <w:t xml:space="preserve"> than the one faced by its neighbors in the United States and Canada. </w:t>
      </w:r>
      <w:r w:rsidRPr="00087A72">
        <w:rPr>
          <w:rStyle w:val="StyleUnderline"/>
        </w:rPr>
        <w:t xml:space="preserve">The so-called “rampant mixing” of various now-racialized people led prominent political figures of the nineteenth and twentieth centuries to strategically construct a national mestizo subject through the concepts of indigenismo and mestizofilia. </w:t>
      </w:r>
      <w:r w:rsidRPr="00087A72">
        <w:rPr>
          <w:sz w:val="12"/>
        </w:rPr>
        <w:t xml:space="preserve">Mexican scholars such as Jorge José Gómez-Izquierdo have argued that from 1910 on </w:t>
      </w:r>
      <w:r w:rsidRPr="00087A72">
        <w:rPr>
          <w:rStyle w:val="StyleUnderline"/>
        </w:rPr>
        <w:t xml:space="preserve">mestizofilia became a way to account for and show value in Mexico’s racial and cultural heterogeneity while nevertheless homogenizing it through the eugenicist logic of “mixed-race” superiority. </w:t>
      </w:r>
      <w:r w:rsidRPr="00087A72">
        <w:rPr>
          <w:sz w:val="12"/>
        </w:rPr>
        <w:t xml:space="preserve">In a broader approach to the topic, Olivia Gall’s Racismo, Mestizaje y Modernidad argues that the trope of </w:t>
      </w:r>
      <w:r w:rsidRPr="00087A72">
        <w:rPr>
          <w:rStyle w:val="StyleUnderline"/>
        </w:rPr>
        <w:t xml:space="preserve">mestizaje was used by elites as a way to erase or marginalize not only the Indigenous but also the Black population in Latin America and the United States. </w:t>
      </w:r>
      <w:r w:rsidRPr="00087A72">
        <w:rPr>
          <w:sz w:val="12"/>
        </w:rPr>
        <w:t xml:space="preserve">In Mexico and elsewhere, José Vasconselos’s raza cosmica and Manuel Gamio’s </w:t>
      </w:r>
      <w:r w:rsidRPr="00087A72">
        <w:rPr>
          <w:rStyle w:val="StyleUnderline"/>
        </w:rPr>
        <w:t>“integrationist” politics were</w:t>
      </w:r>
      <w:r w:rsidRPr="00087A72">
        <w:rPr>
          <w:sz w:val="12"/>
        </w:rPr>
        <w:t xml:space="preserve"> two of the more prominent logics </w:t>
      </w:r>
      <w:r w:rsidRPr="00087A72">
        <w:rPr>
          <w:rStyle w:val="StyleUnderline"/>
        </w:rPr>
        <w:t>used to justify the forced removal of Indigenas</w:t>
      </w:r>
      <w:r w:rsidRPr="00087A72">
        <w:rPr>
          <w:sz w:val="12"/>
        </w:rPr>
        <w:t xml:space="preserve"> into ejidos (or reserves) </w:t>
      </w:r>
      <w:r w:rsidRPr="00087A72">
        <w:rPr>
          <w:rStyle w:val="StyleUnderline"/>
        </w:rPr>
        <w:t>while simultaneously justifying mestizos’ claim to land, based not only on their “Indian blood” but also on their racial superiority as “mixed-bloods.” An important part of constructing the “Mexican Mestizo Nation,” then, becomes to “civilize the Indian within,” the national subject, which is decidedly not the Indian subject</w:t>
      </w:r>
      <w:r w:rsidRPr="00087A72">
        <w:rPr>
          <w:sz w:val="12"/>
        </w:rPr>
        <w:t xml:space="preserve">: “To incorporate the Indian let us not try to ‘Europeanize’ him all at once; to the contrary, let us ‘indianize’ ourselves a bit […] [n]aturally, we should not exaggerate to a ridiculous degree our closeness with the Indian” (quoted in Saldaña-Portillo 211). DECOLONIAL APPROACHES TO MESTIZAJE Decolonial approaches to mestizaje vary, but I focus on two particular decolonial perspectives and genealogies for mestizaje, one stemming from Latin American Studies and one from Chicanx/Indigenous Studies. 3 The current status of mestizaje in both areas is contested, particularly because of differences in how it is taken up differently through decolonialism by each. Decoloniality in Latin American Studies: Epistemic Options Although she did not necessarily see it as decolonial or even postcolonial, Gloria Anzaldúa’s work on mestizaje has become foundational for decolonial theory in Latin American Studies and for many Chicanx scholars. </w:t>
      </w:r>
      <w:r w:rsidRPr="00087A72">
        <w:rPr>
          <w:rStyle w:val="StyleUnderline"/>
        </w:rPr>
        <w:t>According to Anzaldúa, her new articulation of the consciousness of the mestiza explodes the logic of racial and cultural purity built into mestizaje in its colonial formations.</w:t>
      </w:r>
      <w:r w:rsidRPr="00087A72">
        <w:rPr>
          <w:sz w:val="12"/>
        </w:rPr>
        <w:t xml:space="preserve"> The new mestiza does not simply respond to the colonial logic of mestizaje through the familiar Hegelian dialectic; rather, the new mestiza consciousness transforms the logic of colonial mestizaje by allowing for plurality and complexity, even ambiguity. Her orientation to mestizaje challenges the ways it was originally used to exclude certain peoples from power and resources by recognizing our interconnectedness to other peoples and to nonhuman beings and objects: The work of mestiza consciousness is to break down the subject/object duality that keeps her prisoner. […] [T]he answer to the problem between the white race and the colored, between males and females, lies in healing the split that originates in the very foundation of our lives, our culture, our languages, our thoughts. (80) In this way, </w:t>
      </w:r>
      <w:r w:rsidRPr="00087A72">
        <w:rPr>
          <w:rStyle w:val="StyleUnderline"/>
        </w:rPr>
        <w:t>Anzaldúa argues that her new mestiza consciousness opens up possibilities rather than foreclosing them, and it creates a “tolerance for ambiguity” that can be transformed subconsciously in an intimate way/ location. For Anzaldúa, this process is a spiritual one by which “the possibility of uniting all that is separate occurs” in order to create a third element “which is greater than the sum of its severed parts”</w:t>
      </w:r>
      <w:r w:rsidRPr="00087A72">
        <w:rPr>
          <w:sz w:val="12"/>
        </w:rPr>
        <w:t xml:space="preserve"> (101–102). </w:t>
      </w:r>
      <w:r w:rsidRPr="00087A72">
        <w:rPr>
          <w:rStyle w:val="StyleUnderline"/>
        </w:rPr>
        <w:t>This third element is a mestiza consciousness.</w:t>
      </w:r>
      <w:r w:rsidRPr="00087A72">
        <w:rPr>
          <w:sz w:val="12"/>
        </w:rPr>
        <w:t xml:space="preserve"> Thus, Anzaldúa challenges Western knowledge formations, such as the subject–object split and binary oppositions, that she argues have sustained various forms of oppression. In his important work on critical uses of race in Chicanx culture, Rafael PérezTorres argues this kind of “cultural mixture—premised on the lived practices of racial mixture—serves to achieve a change of those people and communities involved” (48). Emma Pérez’ crucial work in a “decolonial imaginary” likewise sees Anzaldúa’s conception of mestizaje as one that problematizes a colonial inscription about “purity” of blood, of culture, even of sexuality (26). Pérez’s thinking advocates for a local history of Chicana feminism that rejects the subject–object dichotomy and offers a way to make Chicana forms of knowledge visible options for “future possibilities.” Walter Mignolo’s decolonial theory in Latin American Studies has heavily influenced Chicanx studies. Mignolo first began articulating his theory of decoloniality in The Darker Side of the Renaissance, where he began a line of inquiry into the semiotic dimensions of coloniality starting in the sixteenth century. Although many Postcolonial or Subaltern Studies’ scholars locate a colonial legacy within economic or historical structures alone, Mignolo introduces “colonial semiosis” as both a field and a concept—one that contemplates colonial economies and colonial histories and that “implies the coexistence of interactions among and cultural production by members of radically different cultural traditions” (8, 9). Later, in Local Histories/Global Designs, he posits “border thinking” as that which can illuminate the invisible logic of coloniality embedded in modernity (3). This concept is heavily influenced by Anzaldúa’s mestiza consciousness, and like Anzaldúa, Mignolo argues that thinking from the colonial wound (or as Anzaldúa would say, the herida abierta) can change both the terms and the content of the conversation about colonialism and its ongoing legacies. Racial formations such as mestizaje are a product of colonial design insofar as they are predicated in descriptions of blood mixture or skin color that are biologized and racialized. Whereas Mignolo eschews mestizaje in its racial formation, in The Darker Side of Western Modernity he nevertheless advocates Anzaldúa’s “conciencia de la mestiza” and even Rodolfo Kusch’s formulation of “mestizo consciousness” (which, Mignolo admits, is perhaps better understood as “immigrant consciousness” given Kusch’s German background). He treats both as “diverse expressions and experiences of the same condition of existence: the awareness of coloniality of being” and as “different modes of experiencing the colonial wound and of engaging the decolonial option” (108, 109). In reframing the conversation in this way, Mignolo argues it is necessary to understand colonialism from the perspective of subaltern, colonial subjects in order to make visible their “subjugated knowledges”—a term he borrows from Foucault—and to see them as decolonial options ( Local 20). For Mignolo, it is important to understand these as “options” and not alternatives or other truths because to do so accepts that there is “ a modernity and a development to which nothing but alternatives could exist” ( Western xxviii–xxix). In short, the decolonial theories of Pérez and Mignolo aim to expose the logic of coloniality in order to better illuminate decolonial options. Anzaldúa’s new mestiza consciousness presents one option for undoing the epistemic damage of colonialism and for making visible the histories and diverse knowledges that have been subjugated by colonial designs. Decoloniality in Indigenous Studies: The Problem of Settler Colonialism Rather than focus on coloniality, </w:t>
      </w:r>
      <w:r w:rsidRPr="00087A72">
        <w:rPr>
          <w:rStyle w:val="StyleUnderline"/>
        </w:rPr>
        <w:t xml:space="preserve">decolonial perspectives in Indigenous Studies tend to emphasize settler colonialism. </w:t>
      </w:r>
      <w:r w:rsidRPr="00087A72">
        <w:rPr>
          <w:sz w:val="12"/>
        </w:rPr>
        <w:t xml:space="preserve">The difference simultaneously is subtle and not-so subtle. Whereas writers in Latin American Studies, such as Mignolo and Pérez, see decolonization as primarily discursive 4 and/or epistemological and implicitly “future”-focused, writers in </w:t>
      </w:r>
      <w:r w:rsidRPr="00087A72">
        <w:rPr>
          <w:rStyle w:val="StyleUnderline"/>
        </w:rPr>
        <w:t>Indigenous Studies</w:t>
      </w:r>
      <w:r w:rsidRPr="00087A72">
        <w:rPr>
          <w:sz w:val="12"/>
        </w:rPr>
        <w:t xml:space="preserve"> see decolonization as being primarily about sovereignty; they </w:t>
      </w:r>
      <w:r w:rsidRPr="00087A72">
        <w:rPr>
          <w:rStyle w:val="StyleUnderline"/>
        </w:rPr>
        <w:t xml:space="preserve">argue for colonial impact to be acknowledged and dismantled. </w:t>
      </w:r>
      <w:r w:rsidRPr="00087A72">
        <w:rPr>
          <w:sz w:val="12"/>
        </w:rPr>
        <w:t xml:space="preserve">What’s more, </w:t>
      </w:r>
      <w:r w:rsidRPr="00087A72">
        <w:rPr>
          <w:rStyle w:val="StyleUnderline"/>
        </w:rPr>
        <w:t xml:space="preserve">colonial impact is seen most prominently as one having to </w:t>
      </w:r>
      <w:r w:rsidRPr="00087A72">
        <w:rPr>
          <w:sz w:val="12"/>
        </w:rPr>
        <w:t xml:space="preserve">do with territorial claims (e.g., to land, knowledge, representations, etc.) and, as such, as having to </w:t>
      </w:r>
      <w:r w:rsidRPr="00087A72">
        <w:rPr>
          <w:rStyle w:val="StyleUnderline"/>
        </w:rPr>
        <w:t>do with settler subjects and Indigenous subjects</w:t>
      </w:r>
      <w:r w:rsidRPr="00087A72">
        <w:rPr>
          <w:sz w:val="12"/>
        </w:rPr>
        <w:t xml:space="preserve">, even on a hemispheric or global level. Although these categories are certainly understood as discursively defined, scholars of Indigenous Studies nevertheless recognize that settler nations continue to rob the resources (e.g., land-based, cultural, knowledge, and otherwise) of peoples who are marked as Indigenous by the state. </w:t>
      </w:r>
      <w:r w:rsidRPr="00087A72">
        <w:rPr>
          <w:rStyle w:val="StyleUnderline"/>
        </w:rPr>
        <w:t xml:space="preserve">They also see this project as one predicated on the ongoing genocide or disappearance of these indigenous subjects </w:t>
      </w:r>
      <w:r w:rsidRPr="00087A72">
        <w:rPr>
          <w:sz w:val="12"/>
        </w:rPr>
        <w:t xml:space="preserve">(e.g., see Audra Simpson’s Mohawk Interruptus). In looking to “unsettle” the logics of colonialism, Indigenous Studies scholars offer a similar perspective to that of Latin American Studies scholars. However, as </w:t>
      </w:r>
      <w:r w:rsidRPr="00087A72">
        <w:rPr>
          <w:rStyle w:val="StyleUnderline"/>
        </w:rPr>
        <w:t>Indigenous Studie</w:t>
      </w:r>
      <w:r w:rsidRPr="00087A72">
        <w:rPr>
          <w:sz w:val="12"/>
        </w:rPr>
        <w:t xml:space="preserve">s has taken on a more hemispheric approach, the field </w:t>
      </w:r>
      <w:r w:rsidRPr="00087A72">
        <w:rPr>
          <w:rStyle w:val="StyleUnderline"/>
        </w:rPr>
        <w:t>has critiqued mestizaje as a logic born of modernity, claiming that it constitutes settler-subjects over and against Indigenous subjects.</w:t>
      </w:r>
      <w:r w:rsidRPr="00087A72">
        <w:rPr>
          <w:sz w:val="12"/>
        </w:rPr>
        <w:t xml:space="preserve"> Similarly, Dylan Miner argues that </w:t>
      </w:r>
      <w:r w:rsidRPr="00087A72">
        <w:rPr>
          <w:rStyle w:val="Emphasis"/>
        </w:rPr>
        <w:t xml:space="preserve">while scholars like Anzaldúa attempt to write from indigenist perspectives, they “are never fully situated in dialogue with tribal epistemologies or ontologies” </w:t>
      </w:r>
      <w:r w:rsidRPr="00087A72">
        <w:rPr>
          <w:sz w:val="12"/>
        </w:rPr>
        <w:t xml:space="preserve">(218). In addition, as stated previously, the indigenist turn in Chicanx Studies has also disavowed mestizaje, or at least problematized it. For example, Lourdes Alberto argues that Ana Castillo’s Mixquiahuala Letters constructs </w:t>
      </w:r>
      <w:r w:rsidRPr="00087A72">
        <w:rPr>
          <w:rStyle w:val="Emphasis"/>
        </w:rPr>
        <w:t>a mestizo consciousness that “needs the unchanging ruins of indigeneity in order to operate as a dynamic subject position” in order to expose the privilege of mestizaje as a logic that constructs the Chicana as “a universal subject that can access both the Indian and the colonial” but only through the silencing of the Native woman</w:t>
      </w:r>
      <w:r w:rsidRPr="00087A72">
        <w:rPr>
          <w:sz w:val="12"/>
        </w:rPr>
        <w:t xml:space="preserve"> (44, emphasis added). This tension exists, as George Hartley argues, not only because we “uncritically accep[t] the nation-state as arbiter of indigenous status,” but also (perhaps paradoxically) because we do not account for it (56). In other words, it is often because </w:t>
      </w:r>
      <w:r w:rsidRPr="00087A72">
        <w:rPr>
          <w:rStyle w:val="StyleUnderline"/>
        </w:rPr>
        <w:t>Chicanxs do not or cannot account for how nation-states structure and define indigeneity in ways that should be challenged or superseded in our reclamations of a mode of being, which has been taken from us, that we end up angering American Indian people and Mexican indigenas when we lay claims to land through Indigenous lineage or ancestry</w:t>
      </w:r>
      <w:r w:rsidRPr="00087A72">
        <w:rPr>
          <w:sz w:val="12"/>
        </w:rPr>
        <w:t xml:space="preserve"> (i.e., Aztlan). Finally, Andrea </w:t>
      </w:r>
      <w:r w:rsidRPr="00087A72">
        <w:rPr>
          <w:rStyle w:val="StyleUnderline"/>
        </w:rPr>
        <w:t xml:space="preserve">Smith’s important critique of indigeneity as a borderland highlights how Gloria Anzaldúa and others have constructed a “new mestiza consciousness” that “illuminates how to enact a (border) crossing from marginalized other to whole woman who constantly shifts, crosses, and gains power from contradiction and ambiguity,” a phenomenon that occurs as well in mixed-blood constructions in American Indian Studies, “in which </w:t>
      </w:r>
      <w:r w:rsidRPr="00087A72">
        <w:rPr>
          <w:rStyle w:val="Emphasis"/>
        </w:rPr>
        <w:t>‘mixed-blood’ identity attains a teleological status as the new and improved indigenous identity</w:t>
      </w:r>
      <w:r w:rsidRPr="00087A72">
        <w:rPr>
          <w:rStyle w:val="StyleUnderline"/>
        </w:rPr>
        <w:t>, as though indigenous identity in and of itself is incapable of addressing the challenges and complexity of contemporary life”</w:t>
      </w:r>
      <w:r w:rsidRPr="00087A72">
        <w:rPr>
          <w:sz w:val="12"/>
        </w:rPr>
        <w:t xml:space="preserve"> (“Against the Law”). Smith’s critique recognizes how </w:t>
      </w:r>
      <w:r w:rsidRPr="00087A72">
        <w:rPr>
          <w:rStyle w:val="Emphasis"/>
        </w:rPr>
        <w:t xml:space="preserve">Anzaldúa’s mestizaje operates according to a logic of modernity (i.e., of futurity and progress) that cannot include indigeneity. </w:t>
      </w:r>
      <w:r w:rsidRPr="00087A72">
        <w:rPr>
          <w:sz w:val="12"/>
        </w:rPr>
        <w:t xml:space="preserve">114 G.R. RÍOS MESTIZ@ RHETORICS Part of the tension between such perspectives toward decoloniality stems from identity politics and their material impact. In some ways, this tension is linked theoretically to tensions between discursive and materialist critiques of power. For both Latin American and Indigenous Decolonial Studies, rhetoric (and writing or literacy) are crucial facets of colonialism and its legacy. For example, Mignolo shows that part of the epistemic quality of colonialism is its privileging of alphabetic literacy and denouncing of sophist rhetorical traditions ( Local Histories/Global Designs). In Indigenous Studies, scholars such as Andrea Smith argue that a crucial component of colonial legacy is ethnographic entrapment, whereby the Indigenous (and other marginalized peoples) are rendered arhetorical and, thus, put in a position to be seen only as objects of knowledge rather than as sovereign intellectuals (“Ethnographic Entrapment”). It would seem, therefore, that Rhetoric and Composition Studies is a site ripe with decolonial potential. Many in our discipline have turned to mestizaje for thinking about colonialism in some liberatory way. Andrea Lundsford introduced Anzaldúa to the discipline to bring postcolonial (if not decolonial) studies into Composition, and since then, scholars, such as Angela Haas, Damián Baca, and Cristina D. Ramirez, have attempted more rigorously to engage “Mestiz@” rhetorics in their decolonial potential. In all of these moments, we have taken to the epistemic quality of mestizaje through identity or culture in some way and/or in relation to nation-building. Baca’s book, Mestiz@ Scripts, Digital Migrations, and the Territories of Writing, for example, uses </w:t>
      </w:r>
      <w:r w:rsidRPr="00087A72">
        <w:rPr>
          <w:rStyle w:val="StyleUnderline"/>
        </w:rPr>
        <w:t>the concept of mestizaje</w:t>
      </w:r>
      <w:r w:rsidRPr="00087A72">
        <w:rPr>
          <w:sz w:val="12"/>
        </w:rPr>
        <w:t xml:space="preserve"> to examine what he calls “new” literacies. Additionally, in a characteristically mestizo process, these new literacies create a mezcla (mixture) of European writing and “Aztec” imaging practices, which </w:t>
      </w:r>
      <w:r w:rsidRPr="00087A72">
        <w:rPr>
          <w:rStyle w:val="StyleUnderline"/>
        </w:rPr>
        <w:t>render (sometimes implicitly and sometimes explicitly) indigeneity and Indigenous culture as the “old” and the mestiz@ the new.</w:t>
      </w:r>
      <w:r w:rsidRPr="00087A72">
        <w:rPr>
          <w:sz w:val="12"/>
        </w:rPr>
        <w:t xml:space="preserve"> Although Baca claims that he does not place Indigenous peoples who have recognized tribal affiliation in the United States within the “Mestiz@” continuum, he nonetheless does place the remainder of the “intellectual province of Mesoamerica” within that continuum (2). 5 In this vein Baca is inadvertently rehearsing a familiar narrative of modernity and logic of coloniality—</w:t>
      </w:r>
      <w:r w:rsidRPr="00087A72">
        <w:rPr>
          <w:rStyle w:val="Emphasis"/>
        </w:rPr>
        <w:t>the “mixed” or “hybrid” subject and cultures represent a “new,” more advanced civilization that comes to be in that familiar universal/particular dialectic, wherein Chicanxs become the “universal” subject.</w:t>
      </w:r>
      <w:r w:rsidRPr="00087A72">
        <w:rPr>
          <w:sz w:val="12"/>
        </w:rPr>
        <w:t xml:space="preserve"> However, for Baca—and for many Chicanxs and other Indigenous people—the project of nation-building is still crucial for a decolonial project. This is partly because of the ongoing occupation of Native lands by an “outsider” in US and Canadian areas, where Chicanxs and other Indigenous peoples have theorized decolonization. In her article on “forging a mestiza rhetoric,” Christina Ramirez articulates a similar concern. Taking a feminist stance, her work uses Anzaldúa’s and Baca’s work to highlight the ways in which the project of mestizaje in Mexico was also a gendered and sexualized project. Her work also recognizes the role that writing, in particular, played in construction of national Mexican subjects; additionally, she shows how women were often marginalized in these constructions because of their limited access to public platforms and public discourses. In looking to Mexican women journalists’ writing during the time of Mexico’s revolution, however, she argues that Mexican women nationals articulated a national identity that was more inclusive than dominant, patriarchal articulations. For example, she argues that the women writers of the Violetas de Anahuac used a mestiza rhetoric that “blurred the magazines first two purposes—that of contributing to national progress and that of constructing a national identity—with another purpose: forwarding feminism” (614). Nevertheless, as Ramirez shows, some of these women eschewed this frame, as it was part of a colonial discourse of nation-building at the time (621). However, she argues that a “contemporary” notion of mestizaje is more “inclusive” because it resists assimilation. Similarly, Jay Dolmage finds Anzaldúa’s reclamation of the word mestiza to be generative, not so much because it allows for inclusivity but because rhetorically it challenges the history of denigration attached to mestiza bodies, suggesting mestiza rhetorics “can always be inherently subversive, embodied, powerfully Other modes of persuasion, even while they have most often been represented as opposite” (224). While I understand Baca’s, Ramirez’s, and Dolmage’s claims, I think it important to pay closer attention to why these women—and why many women today—resist thinking about themselves, their culture, and their intellectual practices as “mestiza.” Doing so will help us better understand and somehow address the ongoing tension between Chicanxs and American Indian scholarship and practice and, in turn, consider its implications for Rhetoric and Composition Studies. TENSIONS AND OVERLAP IN DECOLONIAL APPROACHES TO MESTIZAJE6 Even though these two approaches to mestizaje seem hoplessly at odds, I believe that they ultimately come together in fruitful ways. Nevertheless, I think it is important to locate the (fruitful) moments of tension in order to better account for the fruitful moments of overlap. Such tensions exist in how scholars come to understand the colonial problem, power relationships, and the politics of identity. The Colonial Problem </w:t>
      </w:r>
      <w:r w:rsidRPr="00087A72">
        <w:rPr>
          <w:rStyle w:val="StyleUnderline"/>
        </w:rPr>
        <w:t>Latin American theorists who espouse mestizaje as decolonial do so because they tend to see the problem of colonialism as something having more to do with modernity than with Indigenous subjects or even indigeneity as a concept.</w:t>
      </w:r>
      <w:r w:rsidRPr="00087A72">
        <w:rPr>
          <w:sz w:val="12"/>
        </w:rPr>
        <w:t xml:space="preserve"> In other words, at its core, colonialism is a product of modernity that has been in the making since the Enlightenment. What’s more, as Linda Alcoff points out, for Mignolo the epistemic effects of colonialism are its most damaging and least understood (80). Coloniality, therefore, is about how power-knowledge is used to define and establish colonial relations among people, land, and so on. </w:t>
      </w:r>
      <w:r w:rsidRPr="00087A72">
        <w:rPr>
          <w:rStyle w:val="StyleUnderline"/>
        </w:rPr>
        <w:t>Still, the decolonial option does not seek to resist or undo colonial (knowledge) designs so much as it seeks to expose or make visible the designs that have been subjugated by the colonial matrix of power.</w:t>
      </w:r>
      <w:r w:rsidRPr="00087A72">
        <w:rPr>
          <w:sz w:val="12"/>
        </w:rPr>
        <w:t xml:space="preserve"> In the latter case, border thinking and decoloniality are important so as not to reinstate the colonial conditions of possibility with different content. Border thinking is what allows us to understand how the rhetoric (or the epistemology) of modernity hides not only the ways in which development exists only at the cost of lives, but also the many differing forms of knowledge available to us as we (re)design our relationships to one another, to land, and so on. For Mignolo, mestiza/o consciousness is one option because it stems from the colonial wound and because it challenges the colonial impulse toward homogeneity—that is, it allows for plurality. Perez’s articulation of “hidden” histories of women in the formation of Mexican nationals, along with Ramirez’s similar accounting of Mexican women journalists, also see the problem of colonialism as having to do with homogeneity and purity. These scholars see decolonial potential in mestizaje’s ability to account for how women and other marginalized people’s histories are undervalued because they resist the homogenizing tendencies of colonialism. Thus, these formations of decolonial thinking do not necessarily seek to resist or undo colonial formations so much as they hope to expose the many formations of futurity and progress that it seeks to dominate or hide. In contrast, </w:t>
      </w:r>
      <w:r w:rsidRPr="00087A72">
        <w:rPr>
          <w:rStyle w:val="Emphasis"/>
        </w:rPr>
        <w:t>Indigenous Studies scholars see the colonial problem as one that is fundamentally about the Indigenous subject and/or indigeneity and the settler subject.</w:t>
      </w:r>
      <w:r w:rsidRPr="00087A72">
        <w:rPr>
          <w:rStyle w:val="StyleUnderline"/>
        </w:rPr>
        <w:t xml:space="preserve"> These scholars also find it necessary to resist and dismantle the structures that sustain settler-colonialism.</w:t>
      </w:r>
      <w:r w:rsidRPr="00087A72">
        <w:rPr>
          <w:rStyle w:val="Emphasis"/>
        </w:rPr>
        <w:t xml:space="preserve"> They argue not only that the genocide of indigenous subjects is at the core of colonialism, but also that so too is the need for settler subjects to “indigenize” themselves through and with the Indigenous subject. Most of these scholars see mestizaje as one mechanism by which this project is made manifest.</w:t>
      </w:r>
      <w:r w:rsidRPr="00087A72">
        <w:rPr>
          <w:rStyle w:val="StyleUnderline"/>
        </w:rPr>
        <w:t xml:space="preserve"> For there to be a “mixed” culture, subject, and knowledge, there must be a “pure” culture, subject, knowledge with which to mix.</w:t>
      </w:r>
      <w:r w:rsidRPr="00087A72">
        <w:rPr>
          <w:sz w:val="12"/>
        </w:rPr>
        <w:t xml:space="preserve"> Additionally, </w:t>
      </w:r>
      <w:r w:rsidRPr="00087A72">
        <w:rPr>
          <w:rStyle w:val="StyleUnderline"/>
        </w:rPr>
        <w:t xml:space="preserve">in mestizaje the indigenous portion of the mixture is fixed in time and space, whereas the hybrid or mixed subject gains futurity and teleological status. </w:t>
      </w:r>
      <w:r w:rsidRPr="00087A72">
        <w:rPr>
          <w:sz w:val="12"/>
        </w:rPr>
        <w:t xml:space="preserve">Power has more to do with access to resources and cultural capital in Indigenous Studies’ decolonial approaches to mestizaje. Moreover, sovereignty and nation-building are also equally important to these approaches that see mestizaje as something irrevocably linked to colonial nationbuilding regimes. The Politics of Identity and Power Relations Perhaps at the core of these tensions is the problem of identity politics— and it is here that I find a fruitful overlap and hopefully room for more dialogue—between Latin American and Chicanx/Indigenous Studies’ decolonial approaches to mestizaje. Mignolo’s restructuring of the universal/particular dilemma as a modern/colonial problem in many ways helps us push past identity politics, even though he still sees identity politics as “another [decolonial] option” ( Darker 137). In fact, his use of the “universal/particular” dilemma is in part a way to move away from identity politics. Nevertheless, there is some slippage in Mignolo’s discussion of identity, as Alcoff points out: “On the one hand he shies away from identity politics, but then again he articulates a form of it when he makes such claims as ‘for those whom colonial legacies are real (i.e. they hurt) that they are more (logically, historically, and emotionally) inclined than others to theorize the past in terms of coloniality’” (99). In his most recent book, published after Alcoff’s piece, Mignolo explains that he does not eschew identity but rather recognizes how many Indigenous groups have found identity in politics to be a more ethical and inclusive model of politics. This strategy resists the liberal tendency to remove identity from politics entirely, which results in “objectivity without identity” ( Darker 137). Of course, objectivity without identity is a falsity—objectivity has often been ascribed to the unmarked categories of maleness, whiteness, able-bodiedness, and so on. Miner, following George Lipsitz, offers a similar take that draws identity from politics so as to acknowledge “the need to connect research to action and develop collective identities rooted in radical political orientations, as opposed to fixating on identity politics” (217). For Miner, however, this is decidedly a move away from </w:t>
      </w:r>
      <w:r w:rsidRPr="00087A72">
        <w:rPr>
          <w:rStyle w:val="Emphasis"/>
        </w:rPr>
        <w:t>mestizaje</w:t>
      </w:r>
      <w:r w:rsidRPr="00087A72">
        <w:rPr>
          <w:sz w:val="12"/>
        </w:rPr>
        <w:t xml:space="preserve">, which he argues (along with Jack Forbes and Saldaña-Portillo) </w:t>
      </w:r>
      <w:r w:rsidRPr="00087A72">
        <w:rPr>
          <w:rStyle w:val="Emphasis"/>
        </w:rPr>
        <w:t xml:space="preserve">is so deeply implicated in colonialism that it cannot offer any effective political gain. </w:t>
      </w:r>
      <w:r w:rsidRPr="00087A72">
        <w:rPr>
          <w:sz w:val="12"/>
        </w:rPr>
        <w:t xml:space="preserve">Miner’s response here is similar to Smith’s regarding the concept of “subjectless critique” that has become a powerful and useful corrective to identity politics. According to Smith, queer theory’s subjectless critique is important insofar as it resists ethnographic entrapment, which scholars across Latin American and Chicanx and Indigenous Studies agree is a product of colonial design. Additionally, it allows us to resist normalizing logics and discourses based on “inclusion without transformation.” Much like Mignolo, however, she argues that </w:t>
      </w:r>
      <w:r w:rsidRPr="00087A72">
        <w:rPr>
          <w:rStyle w:val="StyleUnderline"/>
        </w:rPr>
        <w:t>subjectless critique has the potential to (and often does) reinstate a normalized subject even while disavowing it.</w:t>
      </w:r>
      <w:r w:rsidRPr="00087A72">
        <w:rPr>
          <w:sz w:val="12"/>
        </w:rPr>
        <w:t xml:space="preserve"> In fact, Smith argues that </w:t>
      </w:r>
      <w:r w:rsidRPr="00087A72">
        <w:rPr>
          <w:rStyle w:val="StyleUnderline"/>
        </w:rPr>
        <w:t>even a queer of color orientation to mestizaje seems to do just that.</w:t>
      </w:r>
      <w:r w:rsidRPr="00087A72">
        <w:rPr>
          <w:sz w:val="12"/>
        </w:rPr>
        <w:t xml:space="preserve"> </w:t>
      </w:r>
      <w:r w:rsidRPr="00087A72">
        <w:rPr>
          <w:rStyle w:val="Emphasis"/>
        </w:rPr>
        <w:t>What disappears in a subjectless critique is the ongoing occupation of Native lands and the genocide of Native peoples.</w:t>
      </w:r>
      <w:r w:rsidRPr="00087A72">
        <w:rPr>
          <w:sz w:val="12"/>
        </w:rPr>
        <w:t xml:space="preserve"> In short, </w:t>
      </w:r>
      <w:r w:rsidRPr="00087A72">
        <w:rPr>
          <w:rStyle w:val="StyleUnderline"/>
        </w:rPr>
        <w:t>subjectless critique and postidentity stances have the potential to “disappear” the Native subject.</w:t>
      </w:r>
      <w:r w:rsidRPr="00087A72">
        <w:rPr>
          <w:sz w:val="12"/>
        </w:rPr>
        <w:t xml:space="preserve"> Additionally, </w:t>
      </w:r>
      <w:r w:rsidRPr="00087A72">
        <w:rPr>
          <w:rStyle w:val="StyleUnderline"/>
        </w:rPr>
        <w:t>it operates on a kind of agency for opting out</w:t>
      </w:r>
      <w:r w:rsidRPr="00087A72">
        <w:rPr>
          <w:sz w:val="12"/>
        </w:rPr>
        <w:t xml:space="preserve"> (or, perhaps in Mignolo’s case, for opting in) </w:t>
      </w:r>
      <w:r w:rsidRPr="00087A72">
        <w:rPr>
          <w:rStyle w:val="StyleUnderline"/>
        </w:rPr>
        <w:t xml:space="preserve">that Indigenous peoples and others who face material conditions of starvation, violence, or war do not possess. </w:t>
      </w:r>
      <w:r w:rsidRPr="00087A72">
        <w:rPr>
          <w:sz w:val="12"/>
        </w:rPr>
        <w:t xml:space="preserve">In other words, while Mignolo does believe that there are those for whom the experiences of a colonial legacy are “real,” he nonetheless seems to think these people’s experiences can be easily reduced and, perhaps, harmoniously aligned with those for whom the colonial legacy is less direct. Nevertheless, mestizaje has been and continues to be a source of tension between Chicanxs, American Indians, and even many Mexican indigenas, primarily because </w:t>
      </w:r>
      <w:r w:rsidRPr="00087A72">
        <w:rPr>
          <w:rStyle w:val="StyleUnderline"/>
        </w:rPr>
        <w:t xml:space="preserve">Anzaldúa simultaneously marks herself as distinct from “lo indio” while at the same time biologically linking herself to “lo indio” </w:t>
      </w:r>
      <w:r w:rsidRPr="00087A72">
        <w:rPr>
          <w:rStyle w:val="Emphasis"/>
        </w:rPr>
        <w:t>in a familiar eugenicist and biopolitical logic</w:t>
      </w:r>
      <w:r w:rsidRPr="00087A72">
        <w:rPr>
          <w:rStyle w:val="StyleUnderline"/>
        </w:rPr>
        <w:t xml:space="preserve"> used by Mexican nationals. Additionally, the mestiza consciousness represents a “better” or more “advanced” state of being. It is also important to consider that mestizaje continues to be a source of oppression and exclusion more so than a source of liberation in social uses among Indigenous groups in Latin America</w:t>
      </w:r>
      <w:r w:rsidRPr="00087A72">
        <w:rPr>
          <w:sz w:val="12"/>
        </w:rPr>
        <w:t xml:space="preserve"> (see Marisol de la Cadena’s Indigenous Mestizos and Beatriz Reyes-Foster’s “Grieving for Mestizaje”). In many ways, this tension is linked to materialist and discursive orientations to identity and to the ways we tend to separate the material from the discursive. </w:t>
      </w:r>
      <w:r w:rsidRPr="00087A72">
        <w:rPr>
          <w:rStyle w:val="StyleUnderline"/>
        </w:rPr>
        <w:t>We are left with troubling, conflicting, and contradictory stances in relation to mestizaje—that is, either we locate indigeneity and Indigenous peoples vis-à-vis racist, eugenicist state-sanctioned logics or we locate it vis-à-vis racist, eugencist biological logics. Both matter (however paradoxically) for the same reason: (ongoing) genocide.</w:t>
      </w:r>
      <w:r w:rsidRPr="00087A72">
        <w:rPr>
          <w:sz w:val="12"/>
        </w:rPr>
        <w:t xml:space="preserve"> One corrective might be, as Miner suggests, that we simply claim our identities through our politics, and that we align ourselves with Indigenous epistemologies and ontologies. In practice, </w:t>
      </w:r>
      <w:r w:rsidRPr="00087A72">
        <w:rPr>
          <w:rStyle w:val="Emphasis"/>
        </w:rPr>
        <w:t>the very notion of mestizaje—and perhaps also of hybridity more generally—rather than exploding the logics of “purity” (i.e., of race, of culture, etc.) actually reifies them because it relies on “pure” subjects that then “mix” to create the mixed “mestiza consciousness” that is ultimately superior to its “parts.”</w:t>
      </w:r>
      <w:r w:rsidRPr="00087A72">
        <w:rPr>
          <w:sz w:val="12"/>
        </w:rPr>
        <w:t xml:space="preserve"> Additionally, </w:t>
      </w:r>
      <w:r w:rsidRPr="00087A72">
        <w:rPr>
          <w:rStyle w:val="StyleUnderline"/>
        </w:rPr>
        <w:t xml:space="preserve">it highlights that as much as modernity has to do with development, it also has to do with the erasure of Indigenous people. In other words, </w:t>
      </w:r>
      <w:r w:rsidRPr="00087A72">
        <w:rPr>
          <w:rStyle w:val="Emphasis"/>
        </w:rPr>
        <w:t>even though the mestiza becomes visible, she does so only at the expense of the Indigenous.</w:t>
      </w:r>
    </w:p>
    <w:p w:rsidR="00030ACD" w:rsidRPr="00087A72" w:rsidRDefault="00030ACD" w:rsidP="00030ACD">
      <w:pPr>
        <w:pStyle w:val="Heading4"/>
      </w:pPr>
      <w:r w:rsidRPr="00087A72">
        <w:t xml:space="preserve">Mestizaje is a genocidal discourse that, beneath a guise of inclusion, ontologizes the Indian as an anachronistic primitive who must be absorbed into the Settler body-politic now re-imagined with Brown skin—completing the Settler’s dream of becoming Indigenous. </w:t>
      </w:r>
    </w:p>
    <w:p w:rsidR="00030ACD" w:rsidRPr="00087A72" w:rsidRDefault="00030ACD" w:rsidP="00030ACD">
      <w:r w:rsidRPr="00087A72">
        <w:rPr>
          <w:rStyle w:val="Style13ptBold"/>
        </w:rPr>
        <w:t>Chacon 17</w:t>
      </w:r>
      <w:r w:rsidRPr="00087A72">
        <w:t xml:space="preserve"> (Gloria, 2014-2015 Hellman Fellowship Award Recipient, Research Areas:  Indigenous literatures of the Americas; Chican@/Latin@ literary and cultural movements; Central American poetics and politics; US Central Americans; Latin American literary and cultural theories. “Metamestizaje and the narration of political movements from the south” issue 2, pp 182-200)</w:t>
      </w:r>
    </w:p>
    <w:p w:rsidR="00030ACD" w:rsidRPr="00087A72" w:rsidRDefault="00030ACD" w:rsidP="00030ACD">
      <w:pPr>
        <w:rPr>
          <w:sz w:val="12"/>
        </w:rPr>
      </w:pPr>
      <w:r w:rsidRPr="00087A72">
        <w:rPr>
          <w:sz w:val="12"/>
        </w:rPr>
        <w:t xml:space="preserve">Abstract </w:t>
      </w:r>
      <w:r w:rsidRPr="00087A72">
        <w:rPr>
          <w:rStyle w:val="Emphasis"/>
        </w:rPr>
        <w:t>This article analyzes the use of the ‘‘Indian’’ in three Chicana texts involved in romantic couplings that point to what I term as a ‘‘mestizaje’’ natu- ralized in the Southwest that necessitates a ‘‘metamestizaje’’ reading. A naturalized mestizaje allows the writers to interpellate Indian characters or racialized others from the south into the larger Latino family</w:t>
      </w:r>
      <w:r w:rsidRPr="00087A72">
        <w:rPr>
          <w:sz w:val="12"/>
        </w:rPr>
        <w:t xml:space="preserve">. I argue that by doing so, </w:t>
      </w:r>
      <w:r w:rsidRPr="00087A72">
        <w:rPr>
          <w:rStyle w:val="Emphasis"/>
        </w:rPr>
        <w:t>the novelists unwittingly erase Indigenous autonomy, language, and cultural histories, privileging a US brand of mestizo identity popularized in political discourse and cultural productions.</w:t>
      </w:r>
      <w:r w:rsidRPr="00087A72">
        <w:rPr>
          <w:sz w:val="12"/>
        </w:rPr>
        <w:t xml:space="preserve"> Indeed, I conclude that, ultimately, these novels are about Chicano and Latino disenfranchisement and not about solidarity and horizontal relationships with Indigenous communities in the south. This essay offers an analysis of how </w:t>
      </w:r>
      <w:r w:rsidRPr="00087A72">
        <w:rPr>
          <w:rStyle w:val="Emphasis"/>
        </w:rPr>
        <w:t>political and social movements from Mexico and Central America are figured through the trope of the Indian in three Chicana novels</w:t>
      </w:r>
      <w:r w:rsidRPr="00087A72">
        <w:rPr>
          <w:sz w:val="12"/>
        </w:rPr>
        <w:t>. In particular, I focus on the fictionalized romances in Graciela Limo´n’s Erased Faces (</w:t>
      </w:r>
      <w:hyperlink w:anchor="_bookmark29" w:history="1">
        <w:r w:rsidRPr="00087A72">
          <w:rPr>
            <w:rStyle w:val="Hyperlink"/>
            <w:sz w:val="12"/>
          </w:rPr>
          <w:t>2001</w:t>
        </w:r>
      </w:hyperlink>
      <w:r w:rsidRPr="00087A72">
        <w:rPr>
          <w:sz w:val="12"/>
        </w:rPr>
        <w:t>), Ana Castillo’s Sapogonia (</w:t>
      </w:r>
      <w:hyperlink w:anchor="_bookmark16" w:history="1">
        <w:r w:rsidRPr="00087A72">
          <w:rPr>
            <w:rStyle w:val="Hyperlink"/>
            <w:sz w:val="12"/>
          </w:rPr>
          <w:t>1994a</w:t>
        </w:r>
      </w:hyperlink>
      <w:r w:rsidRPr="00087A72">
        <w:rPr>
          <w:sz w:val="12"/>
        </w:rPr>
        <w:t>), and Demetria Martinez’s Mother Tongue (</w:t>
      </w:r>
      <w:hyperlink w:anchor="_bookmark31" w:history="1">
        <w:r w:rsidRPr="00087A72">
          <w:rPr>
            <w:rStyle w:val="Hyperlink"/>
            <w:sz w:val="12"/>
          </w:rPr>
          <w:t>1997</w:t>
        </w:r>
      </w:hyperlink>
      <w:r w:rsidRPr="00087A72">
        <w:rPr>
          <w:sz w:val="12"/>
        </w:rPr>
        <w:t xml:space="preserve">). Collectively, these novels’ characters and their dramas take us beyond romantic racial relations set in the l980s and 1990s. Instead, I </w:t>
      </w:r>
      <w:r w:rsidRPr="00087A72">
        <w:rPr>
          <w:rStyle w:val="Emphasis"/>
        </w:rPr>
        <w:t>propose to show that indigenismo and mestizaje represent two vectors connecting to historical events (i.e., the encounter) and the political ideologies that prescribe the whitening</w:t>
      </w:r>
      <w:r w:rsidRPr="00087A72">
        <w:rPr>
          <w:b/>
          <w:iCs/>
          <w:u w:val="single"/>
        </w:rPr>
        <w:t xml:space="preserve"> </w:t>
      </w:r>
      <w:r w:rsidRPr="00087A72">
        <w:rPr>
          <w:rStyle w:val="Emphasis"/>
        </w:rPr>
        <w:t>of Indians and Blacks in Latin America</w:t>
      </w:r>
      <w:r w:rsidRPr="00087A72">
        <w:rPr>
          <w:sz w:val="12"/>
        </w:rPr>
        <w:t xml:space="preserve"> (mestizaje). </w:t>
      </w:r>
      <w:r w:rsidRPr="00087A72">
        <w:rPr>
          <w:rStyle w:val="Emphasis"/>
        </w:rPr>
        <w:t>Simultaneously, the narratives speak to a US complexity of relations of migration, racial politics, language, and solidarity in the Global South that constitute what I am advancing as ‘‘metames- tizaje.’’</w:t>
      </w:r>
      <w:hyperlink w:anchor="_bookmark0" w:history="1">
        <w:r w:rsidRPr="00087A72">
          <w:rPr>
            <w:rStyle w:val="Emphasis"/>
          </w:rPr>
          <w:t xml:space="preserve">1 </w:t>
        </w:r>
      </w:hyperlink>
      <w:r w:rsidRPr="00087A72">
        <w:rPr>
          <w:rStyle w:val="Emphasis"/>
        </w:rPr>
        <w:t>Metamestizaje is the concept</w:t>
      </w:r>
      <w:r w:rsidRPr="00087A72">
        <w:rPr>
          <w:sz w:val="12"/>
        </w:rPr>
        <w:t xml:space="preserve"> I propose </w:t>
      </w:r>
      <w:r w:rsidRPr="00087A72">
        <w:rPr>
          <w:rStyle w:val="Emphasis"/>
        </w:rPr>
        <w:t>to refer to the need to think beyond this racial discourse as always already at play in the Americas. I am also using it here to think through its difference between the United States and Latin America.</w:t>
      </w:r>
      <w:r w:rsidRPr="00087A72">
        <w:rPr>
          <w:sz w:val="12"/>
        </w:rPr>
        <w:t xml:space="preserve"> In the context of this essay, </w:t>
      </w:r>
      <w:r w:rsidRPr="00087A72">
        <w:rPr>
          <w:rStyle w:val="Emphasis"/>
        </w:rPr>
        <w:t>I also deploy metamestizaje as a commentary on a commentary that readers need to interrogate as a given.</w:t>
      </w:r>
      <w:r w:rsidRPr="00087A72">
        <w:rPr>
          <w:sz w:val="12"/>
        </w:rPr>
        <w:t xml:space="preserve"> It is not that these novels necessarily go beyond mestizaje, but rather that</w:t>
      </w:r>
      <w:r w:rsidRPr="00087A72">
        <w:rPr>
          <w:rStyle w:val="Emphasis"/>
        </w:rPr>
        <w:t>, in their attempts to transgress north/south, queer/straight, Chicano/Indigenous differences, they push the readers toward a metamestizaje</w:t>
      </w:r>
      <w:r w:rsidRPr="00087A72">
        <w:rPr>
          <w:sz w:val="12"/>
        </w:rPr>
        <w:t xml:space="preserve">. The novels’ </w:t>
      </w:r>
      <w:r w:rsidRPr="00087A72">
        <w:rPr>
          <w:rStyle w:val="Emphasis"/>
        </w:rPr>
        <w:t>limitations force readers to contemplate and meditate on those differences</w:t>
      </w:r>
      <w:r w:rsidRPr="00087A72">
        <w:rPr>
          <w:sz w:val="12"/>
        </w:rPr>
        <w:t>. In resonance with Hayden White’s Metahistory (</w:t>
      </w:r>
      <w:hyperlink w:anchor="_bookmark55" w:history="1">
        <w:r w:rsidRPr="00087A72">
          <w:rPr>
            <w:rStyle w:val="Hyperlink"/>
            <w:sz w:val="12"/>
          </w:rPr>
          <w:t>1975</w:t>
        </w:r>
      </w:hyperlink>
      <w:r w:rsidRPr="00087A72">
        <w:rPr>
          <w:sz w:val="12"/>
        </w:rPr>
        <w:t xml:space="preserve">), </w:t>
      </w:r>
      <w:r w:rsidRPr="00087A72">
        <w:rPr>
          <w:rStyle w:val="Emphasis"/>
        </w:rPr>
        <w:t>I see these novels as containing structural elements beyond the stories themselves; in our context, the elements are about uneven power relations in multiple axes</w:t>
      </w:r>
      <w:r w:rsidRPr="00087A72">
        <w:rPr>
          <w:sz w:val="12"/>
        </w:rPr>
        <w:t xml:space="preserve"> (pp. 7–8). Relatedly, </w:t>
      </w:r>
      <w:r w:rsidRPr="00087A72">
        <w:rPr>
          <w:rStyle w:val="Emphasis"/>
        </w:rPr>
        <w:t>the function of indigenismo and mestizaje</w:t>
      </w:r>
      <w:r w:rsidRPr="00087A72">
        <w:rPr>
          <w:sz w:val="12"/>
        </w:rPr>
        <w:t xml:space="preserve"> in these novels </w:t>
      </w:r>
      <w:r w:rsidRPr="00087A72">
        <w:rPr>
          <w:rStyle w:val="Emphasis"/>
        </w:rPr>
        <w:t>serves as a ‘‘metalanguage’’ discursivity</w:t>
      </w:r>
      <w:r w:rsidRPr="00087A72">
        <w:rPr>
          <w:sz w:val="12"/>
        </w:rPr>
        <w:t xml:space="preserve">. Evelyn Brooks Higginbotham deploys </w:t>
      </w:r>
      <w:r w:rsidRPr="00087A72">
        <w:rPr>
          <w:rStyle w:val="Emphasis"/>
        </w:rPr>
        <w:t>‘‘metalanguage’’ as a double discourse, ‘‘serving the voice of black oppression and the voice of black liberation’’</w:t>
      </w:r>
      <w:r w:rsidRPr="00087A72">
        <w:rPr>
          <w:sz w:val="12"/>
        </w:rPr>
        <w:t xml:space="preserve"> (</w:t>
      </w:r>
      <w:hyperlink w:anchor="_bookmark15" w:history="1">
        <w:r w:rsidRPr="00087A72">
          <w:rPr>
            <w:rStyle w:val="Hyperlink"/>
            <w:sz w:val="12"/>
          </w:rPr>
          <w:t>1992</w:t>
        </w:r>
      </w:hyperlink>
      <w:r w:rsidRPr="00087A72">
        <w:rPr>
          <w:sz w:val="12"/>
        </w:rPr>
        <w:t xml:space="preserve">, p. 267). In the novels, </w:t>
      </w:r>
      <w:r w:rsidRPr="00087A72">
        <w:rPr>
          <w:rStyle w:val="Emphasis"/>
        </w:rPr>
        <w:t xml:space="preserve">the explicit engagement with </w:t>
      </w:r>
      <w:r w:rsidRPr="00087A72">
        <w:rPr>
          <w:rStyle w:val="Emphasis"/>
          <w:strike/>
        </w:rPr>
        <w:t>indigenismo</w:t>
      </w:r>
      <w:r w:rsidRPr="00087A72">
        <w:rPr>
          <w:rStyle w:val="Emphasis"/>
        </w:rPr>
        <w:t xml:space="preserve"> and </w:t>
      </w:r>
      <w:r w:rsidRPr="00087A72">
        <w:rPr>
          <w:rStyle w:val="Emphasis"/>
          <w:strike/>
        </w:rPr>
        <w:t>mestizaje</w:t>
      </w:r>
      <w:r w:rsidRPr="00087A72">
        <w:rPr>
          <w:rStyle w:val="Emphasis"/>
        </w:rPr>
        <w:t xml:space="preserve"> works similarly—as both have served to articulate an antiracism struggle in the United States by Chicanos/Latinos, while at the same erasing Native American and Indigenous subjects</w:t>
      </w:r>
      <w:r w:rsidRPr="00087A72">
        <w:rPr>
          <w:sz w:val="12"/>
        </w:rPr>
        <w:t xml:space="preserve">. In Latin America, </w:t>
      </w:r>
      <w:r w:rsidRPr="00087A72">
        <w:rPr>
          <w:rStyle w:val="Emphasis"/>
        </w:rPr>
        <w:t xml:space="preserve">progressive intellectuals espoused indigenismo to shed light on the exploitation of Indigenous peoples by depicting them as perpetual victims. </w:t>
      </w:r>
      <w:r w:rsidRPr="00087A72">
        <w:rPr>
          <w:sz w:val="12"/>
        </w:rPr>
        <w:t>In the novels</w:t>
      </w:r>
      <w:r w:rsidRPr="00087A72">
        <w:rPr>
          <w:rStyle w:val="Emphasis"/>
        </w:rPr>
        <w:t>, the use of mestizaje and indigenist discourses allows</w:t>
      </w:r>
      <w:r w:rsidRPr="00087A72">
        <w:rPr>
          <w:sz w:val="12"/>
        </w:rPr>
        <w:t xml:space="preserve"> the authors </w:t>
      </w:r>
      <w:r w:rsidRPr="00087A72">
        <w:rPr>
          <w:rStyle w:val="Emphasis"/>
        </w:rPr>
        <w:t>to plot social and political conflicts with mixed results because they reflect a metalanguage discourse in the process. In appropriating Latin American indi- genismo, these novels purport to challenge US Whiteness while perpetuating the dominant Latin American narrative of mixing that seeks to annihilate Indigenous peoples in Mesoamerica by absorption</w:t>
      </w:r>
      <w:r w:rsidRPr="00087A72">
        <w:rPr>
          <w:sz w:val="12"/>
        </w:rPr>
        <w:t xml:space="preserve">. Put differently, this essay argues that the </w:t>
      </w:r>
      <w:r w:rsidRPr="00087A72">
        <w:rPr>
          <w:rStyle w:val="Emphasis"/>
        </w:rPr>
        <w:t>novels serve as commentaries on a reified historical mestizaje—assuming cultural and racial mixture,</w:t>
      </w:r>
      <w:r w:rsidRPr="00087A72">
        <w:rPr>
          <w:sz w:val="12"/>
        </w:rPr>
        <w:t xml:space="preserve"> </w:t>
      </w:r>
      <w:r w:rsidRPr="00087A72">
        <w:rPr>
          <w:rStyle w:val="Emphasis"/>
        </w:rPr>
        <w:t>as always</w:t>
      </w:r>
      <w:r w:rsidRPr="00087A72">
        <w:rPr>
          <w:sz w:val="12"/>
        </w:rPr>
        <w:t xml:space="preserve"> already in situ in the Southwest</w:t>
      </w:r>
      <w:r w:rsidRPr="00087A72">
        <w:rPr>
          <w:rStyle w:val="Emphasis"/>
        </w:rPr>
        <w:t>, that does not need to account for Indigenous autonomy or national, linguistic, or cultural difference. Identity or political differences simply become absorbed through mestizaje</w:t>
      </w:r>
      <w:r w:rsidRPr="00087A72">
        <w:rPr>
          <w:sz w:val="12"/>
        </w:rPr>
        <w:t xml:space="preserve">. </w:t>
      </w:r>
      <w:r w:rsidRPr="00087A72">
        <w:rPr>
          <w:rStyle w:val="Emphasis"/>
        </w:rPr>
        <w:t>The novels, then, contribute to a metamestizaje, serving as commentaries built on commentaries of a historical mixing. In this sense, they reproduce</w:t>
      </w:r>
      <w:r w:rsidRPr="00087A72">
        <w:rPr>
          <w:sz w:val="12"/>
        </w:rPr>
        <w:t xml:space="preserve"> what Diana Taylor terms ‘‘</w:t>
      </w:r>
      <w:r w:rsidRPr="00087A72">
        <w:rPr>
          <w:rStyle w:val="Emphasis"/>
        </w:rPr>
        <w:t>scenarios of discovery’’ that become ‘‘predictable, formulaic’’</w:t>
      </w:r>
      <w:r w:rsidRPr="00087A72">
        <w:rPr>
          <w:sz w:val="12"/>
        </w:rPr>
        <w:t xml:space="preserve"> (</w:t>
      </w:r>
      <w:hyperlink w:anchor="_bookmark50" w:history="1">
        <w:r w:rsidRPr="00087A72">
          <w:rPr>
            <w:rStyle w:val="Hyperlink"/>
            <w:sz w:val="12"/>
          </w:rPr>
          <w:t>2003</w:t>
        </w:r>
      </w:hyperlink>
      <w:r w:rsidRPr="00087A72">
        <w:rPr>
          <w:sz w:val="12"/>
        </w:rPr>
        <w:t xml:space="preserve">, p. 13). </w:t>
      </w:r>
      <w:r w:rsidRPr="00087A72">
        <w:rPr>
          <w:rStyle w:val="Emphasis"/>
        </w:rPr>
        <w:t>These</w:t>
      </w:r>
      <w:r w:rsidRPr="00087A72">
        <w:rPr>
          <w:sz w:val="12"/>
        </w:rPr>
        <w:t xml:space="preserve"> three </w:t>
      </w:r>
      <w:r w:rsidRPr="00087A72">
        <w:rPr>
          <w:rStyle w:val="Emphasis"/>
        </w:rPr>
        <w:t xml:space="preserve">novels turn to a racialized discourse—though not always using the same terms </w:t>
      </w:r>
      <w:r w:rsidRPr="00087A72">
        <w:rPr>
          <w:sz w:val="12"/>
        </w:rPr>
        <w:t>with which Taylor describes the participants (i.e., the White male and Brown subjects)—</w:t>
      </w:r>
      <w:r w:rsidRPr="00087A72">
        <w:rPr>
          <w:rStyle w:val="Emphasis"/>
        </w:rPr>
        <w:t>that writers deploy to restage the European encounter with Indigenous peoples in the Americas and ideas of racial mixing through romantic couplings</w:t>
      </w:r>
      <w:r w:rsidRPr="00087A72">
        <w:rPr>
          <w:sz w:val="12"/>
        </w:rPr>
        <w:t>. The writers under examination return to this event represented by the</w:t>
      </w:r>
      <w:r w:rsidRPr="00087A72">
        <w:rPr>
          <w:b/>
          <w:iCs/>
          <w:u w:val="single"/>
        </w:rPr>
        <w:t xml:space="preserve"> </w:t>
      </w:r>
      <w:r w:rsidRPr="00087A72">
        <w:rPr>
          <w:sz w:val="12"/>
        </w:rPr>
        <w:t xml:space="preserve">ultimate historical romance played by Corte´s and La Malinche, but transpose it on to modern day romances—in which the couples involve heterosexual or homosexual unions and, most importantly, present </w:t>
      </w:r>
      <w:r w:rsidRPr="00087A72">
        <w:rPr>
          <w:rStyle w:val="Emphasis"/>
        </w:rPr>
        <w:t>the US mestizo as the character with agency</w:t>
      </w:r>
      <w:r w:rsidRPr="00087A72">
        <w:rPr>
          <w:sz w:val="12"/>
        </w:rPr>
        <w:t xml:space="preserve">. In engaging with the politics of the south, the novelists ascribe an identity to the protagonists that is predicated on an understanding of ‘‘Indianness’’ as a biological identity informed by North American theories about blood quantum and historical miscegenation. </w:t>
      </w:r>
      <w:r w:rsidRPr="00087A72">
        <w:rPr>
          <w:rStyle w:val="Emphasis"/>
        </w:rPr>
        <w:t>Writers subsequently map these ideas on to the characters of the south, reinforcing established racial notions implicit in a mixed-race discourse that allow the authors to interpellate Indigenous subjects into the stories without necessarily knowing their specific nation or language.</w:t>
      </w:r>
      <w:r w:rsidRPr="00087A72">
        <w:rPr>
          <w:sz w:val="12"/>
        </w:rPr>
        <w:t xml:space="preserve"> </w:t>
      </w:r>
      <w:r w:rsidRPr="00087A72">
        <w:rPr>
          <w:rStyle w:val="Emphasis"/>
        </w:rPr>
        <w:t>The romantic couplings of mestizo and Indigenous characters in these novels metaphorically evoke the ‘‘mirror stage’’ in the Lacanian sense, but with the main difference that ‘‘the other’’ in the mirror is also involved in a struggle to assert his or her subjectivity in real life, and ultimately in the world of the stories.</w:t>
      </w:r>
      <w:r w:rsidRPr="00087A72">
        <w:rPr>
          <w:sz w:val="12"/>
        </w:rPr>
        <w:t xml:space="preserve"> The romances fail precisely because it is the US mestizo identity that is privileged in the end of the novels; hence, </w:t>
      </w:r>
      <w:r w:rsidRPr="00087A72">
        <w:rPr>
          <w:rStyle w:val="Emphasis"/>
        </w:rPr>
        <w:t>mestizaje serves to deny Indigenous subjectivity</w:t>
      </w:r>
      <w:r w:rsidRPr="00087A72">
        <w:rPr>
          <w:sz w:val="12"/>
        </w:rPr>
        <w:t xml:space="preserve">. The main goal of this essay is </w:t>
      </w:r>
      <w:r w:rsidRPr="00087A72">
        <w:rPr>
          <w:rStyle w:val="Emphasis"/>
        </w:rPr>
        <w:t>to depict the complex racial, class, ethnic, and sexual relations that structure identities where a mestizo and Indigenous subjectivity may, in a US Chicano/Latino context, seem to operate in a horizontal continuum, while in other contexts, it operates in opposition</w:t>
      </w:r>
      <w:r w:rsidRPr="00087A72">
        <w:rPr>
          <w:sz w:val="12"/>
        </w:rPr>
        <w:t>.</w:t>
      </w:r>
      <w:hyperlink w:anchor="_bookmark1" w:history="1">
        <w:r w:rsidRPr="00087A72">
          <w:rPr>
            <w:rStyle w:val="Hyperlink"/>
            <w:sz w:val="12"/>
          </w:rPr>
          <w:t>2</w:t>
        </w:r>
      </w:hyperlink>
      <w:r w:rsidRPr="00087A72">
        <w:rPr>
          <w:sz w:val="12"/>
        </w:rPr>
        <w:t xml:space="preserve"> Political movements from both Chiapas, Mexico, and Central America coincide temporally and spatially, thus I analyze them together—even if scholars tend to treat them separately.</w:t>
      </w:r>
      <w:hyperlink w:anchor="_bookmark2" w:history="1">
        <w:r w:rsidRPr="00087A72">
          <w:rPr>
            <w:rStyle w:val="Hyperlink"/>
            <w:sz w:val="12"/>
          </w:rPr>
          <w:t xml:space="preserve">3 </w:t>
        </w:r>
      </w:hyperlink>
      <w:r w:rsidRPr="00087A72">
        <w:rPr>
          <w:sz w:val="12"/>
        </w:rPr>
        <w:t xml:space="preserve">I find it productive to examine them together because, tellingly, they function in the novels in similar racialized terms. By emphasizing an Indian phenotype, these novels unwittingly advance a way of thinking of Mesoamerica as a particularly distinct region. In that regard, peoples in Mesoamerica share more commonalities than they do differences, because they ineluctably hail from less White, less urban, and less wealthy centers. However, in the novels, </w:t>
      </w:r>
      <w:r w:rsidRPr="00087A72">
        <w:rPr>
          <w:rStyle w:val="Emphasis"/>
        </w:rPr>
        <w:t>the rich multiplicity of languages and peoples in Mesoamerica becomes homogenized in favor of a generic Indianness.</w:t>
      </w:r>
      <w:r w:rsidRPr="00087A72">
        <w:rPr>
          <w:rStyle w:val="Emphasis"/>
          <w:sz w:val="12"/>
          <w:u w:val="none"/>
        </w:rPr>
        <w:t xml:space="preserve"> </w:t>
      </w:r>
      <w:r w:rsidRPr="00087A72">
        <w:rPr>
          <w:rStyle w:val="Emphasis"/>
        </w:rPr>
        <w:t>This homogenization contrasts with how Indigenous intellectuals animate indigeneity based on the centrality of linguistic diversity, territories, and cultures</w:t>
      </w:r>
      <w:r w:rsidRPr="00087A72">
        <w:rPr>
          <w:sz w:val="12"/>
        </w:rPr>
        <w:t xml:space="preserve">. Strikingly, in these three novels, a Maya can stand in for a Kechua/Kichua and a Nahua for a Mixtec. While the tenets underpinning Indigenous identity claims may be problematized through the realities of immigration, displacement, or intercultural realities, they nonetheless form the basis of an articulated Indigenous difference in Latin America. </w:t>
      </w:r>
      <w:r w:rsidRPr="00087A72">
        <w:rPr>
          <w:rStyle w:val="Emphasis"/>
        </w:rPr>
        <w:t>The authors deploy politics from the south to reenergize their own indigenist discourse, countering Anglo racism in the United States. The racial discourse reproduced in these texts is informed by a consumption of an Indian image removed from any Indigenous agency in Latin America. The marginalized economic and</w:t>
      </w:r>
      <w:r w:rsidRPr="00087A72">
        <w:rPr>
          <w:rStyle w:val="Emphasis"/>
          <w:b w:val="0"/>
          <w:iCs w:val="0"/>
          <w:sz w:val="12"/>
          <w:u w:val="none"/>
        </w:rPr>
        <w:t xml:space="preserve"> </w:t>
      </w:r>
      <w:r w:rsidRPr="00087A72">
        <w:rPr>
          <w:rStyle w:val="Emphasis"/>
        </w:rPr>
        <w:t>social status of Chicanos in the United States as mestizos allows them to assume and imagine a horizontal relationship with Indigenous peoples in the south and the north</w:t>
      </w:r>
      <w:r w:rsidRPr="00087A72">
        <w:rPr>
          <w:sz w:val="12"/>
        </w:rPr>
        <w:t xml:space="preserve">, which makes sense when considering the marginal subject position Chicanos/ Latinos occupy in Anglo society. </w:t>
      </w:r>
      <w:r w:rsidRPr="00087A72">
        <w:rPr>
          <w:rStyle w:val="Emphasis"/>
        </w:rPr>
        <w:t>However, the hegemonic use of mestizos as ideal subjects in Latin American nationalist discourses gets deflected in these narratives</w:t>
      </w:r>
      <w:r w:rsidRPr="00087A72">
        <w:rPr>
          <w:sz w:val="12"/>
        </w:rPr>
        <w:t xml:space="preserve">. </w:t>
      </w:r>
      <w:r w:rsidRPr="00087A72">
        <w:rPr>
          <w:rStyle w:val="Emphasis"/>
        </w:rPr>
        <w:t>In Latin America, Indigenous scholars argue that to claim everyone is a mestiza/o or mixed undermines their experience of racism.</w:t>
      </w:r>
      <w:r w:rsidRPr="00087A72">
        <w:rPr>
          <w:sz w:val="12"/>
        </w:rPr>
        <w:t xml:space="preserve"> Predictably, the love stories driving these narratives prove impossible, because it is the Chicano characters, through the relationship with the other from the south, who become empowered, while the Indigenous or the racialized other from the south disappears or dies in the narrative. In Erased Faces, Adriana begins her identity search in the Hopi Reservation, but it is in the south that she finally comes to terms with her identity. In Castillo’s Sapogonia, Max Madrigal serves as Pastora’s mirror, a Chicana from Chicago with Indigenous roots. While he is less interested in his Mayan roots, she embraces her Yaqui ancestor more intently. Nonetheless, once she becomes a full subject through her experience with the other from the south, Max fades away as a character at the end of the novel. In Mother Tongue the Indigenous other from the south, with his ‘‘Mayan cheekbones with hazel eyes,’’ disappears after the Chicana protagonist also comes into her own as a woman and activist, hinting that he may be alive somewhere outside the United States (Maria receives a letter from Canada at the end of the novel). In all of the novels, the romances prove impossible, privileging the survival of the Latino/a characters that will continue the struggle.</w:t>
      </w:r>
    </w:p>
    <w:p w:rsidR="00030ACD" w:rsidRPr="00087A72" w:rsidRDefault="0004585D" w:rsidP="00030ACD">
      <w:pPr>
        <w:pStyle w:val="Heading4"/>
      </w:pPr>
      <w:r w:rsidRPr="00087A72">
        <w:t>Gloria Anzaldúa’s analysis reifies indigenous inferiority through subjectless critique that inevitably must consume the Native on its road to hybridity.</w:t>
      </w:r>
    </w:p>
    <w:p w:rsidR="00030ACD" w:rsidRPr="00087A72" w:rsidRDefault="00030ACD" w:rsidP="00030ACD">
      <w:r w:rsidRPr="00087A72">
        <w:rPr>
          <w:b/>
        </w:rPr>
        <w:t>Smith 10</w:t>
      </w:r>
      <w:r w:rsidRPr="00087A72">
        <w:t xml:space="preserve"> (Andrea, “Queer Theory and Native Studies: The heteronormativity of Settler Colonialism” </w:t>
      </w:r>
      <w:hyperlink r:id="rId13" w:history="1">
        <w:r w:rsidRPr="00087A72">
          <w:rPr>
            <w:rStyle w:val="Hyperlink"/>
          </w:rPr>
          <w:t>GLQ: A Journal of Lesbian and Gay Studies</w:t>
        </w:r>
      </w:hyperlink>
      <w:r w:rsidRPr="00087A72">
        <w:t>, Vol. 16, No. 1-2 (2010), pp. 50-55) IA</w:t>
      </w:r>
    </w:p>
    <w:p w:rsidR="00030ACD" w:rsidRPr="00087A72" w:rsidRDefault="00030ACD" w:rsidP="00030ACD">
      <w:pPr>
        <w:rPr>
          <w:u w:val="single"/>
        </w:rPr>
      </w:pPr>
      <w:r w:rsidRPr="00087A72">
        <w:rPr>
          <w:sz w:val="12"/>
        </w:rPr>
        <w:t xml:space="preserve">Besides providing a helpful place from which to engage the politics of decolonization, a subjectless critique can further reveal how </w:t>
      </w:r>
      <w:r w:rsidRPr="00087A72">
        <w:rPr>
          <w:u w:val="single"/>
        </w:rPr>
        <w:t>current scholarship reaffirms the assumption of settler colonialism</w:t>
      </w:r>
      <w:r w:rsidRPr="00087A72">
        <w:rPr>
          <w:sz w:val="12"/>
        </w:rPr>
        <w:t xml:space="preserve">. A subjectless critique helps highlight the ideological function of “the Native” even in works not ostensibly about Native peoples, thus expanding the intellectual reach of Native studies. In particular, Berlant’s previously described work on infantile citizenship provides some insights as to why </w:t>
      </w:r>
      <w:r w:rsidRPr="00087A72">
        <w:rPr>
          <w:b/>
          <w:iCs/>
          <w:u w:val="single"/>
        </w:rPr>
        <w:t>the continuing colonization of Native peoples in the United States is normalized within critical theory</w:t>
      </w:r>
      <w:r w:rsidRPr="00087A72">
        <w:rPr>
          <w:u w:val="single"/>
        </w:rPr>
        <w:t>.</w:t>
      </w:r>
      <w:r w:rsidRPr="00087A72">
        <w:rPr>
          <w:sz w:val="12"/>
        </w:rPr>
        <w:t xml:space="preserve"> As she explains, </w:t>
      </w:r>
      <w:r w:rsidRPr="00087A72">
        <w:rPr>
          <w:u w:val="single"/>
        </w:rPr>
        <w:t>“The abstract image of the future generated by the national culture machine also stands for a crisis in the present: what gets consolidated now as the future model citizen provides an alibi or an inspiration for the moralized political rhetorics for the present and for reactionary legislative and juridical practice. . . .</w:t>
      </w:r>
      <w:r w:rsidRPr="00087A72">
        <w:rPr>
          <w:sz w:val="12"/>
        </w:rPr>
        <w:t xml:space="preserve"> </w:t>
      </w:r>
      <w:r w:rsidRPr="00087A72">
        <w:rPr>
          <w:u w:val="single"/>
        </w:rPr>
        <w:t>Condensed into the image/hieroglyph of the innocent or incipient American, these anxieties and desires are about whose citizenship — whose subjectivity, whose forms of intimacy and interest, whose bodies and identifications, whose heroic narratives — will direct America’s future.”</w:t>
      </w:r>
      <w:r w:rsidRPr="00087A72">
        <w:rPr>
          <w:sz w:val="12"/>
        </w:rPr>
        <w:t xml:space="preserve">40 Her analysis expands our analysis of genocide to include not just the physical disappearance of Native peoples but the ideological function of the figure of the Native within genocidal discourses. Ironically, however, while a subjectless critique may highlight this ideological function, it may be the case that within queer theory it obfuscates the manner in which the “queer” subject is also a settler subject. That is, we can posit </w:t>
      </w:r>
      <w:r w:rsidRPr="00087A72">
        <w:rPr>
          <w:b/>
          <w:iCs/>
          <w:u w:val="single"/>
        </w:rPr>
        <w:t>the Native as the infantile “citizen” that enables the future of the white, settler citizen</w:t>
      </w:r>
      <w:r w:rsidRPr="00087A72">
        <w:rPr>
          <w:u w:val="single"/>
        </w:rPr>
        <w:t>.</w:t>
      </w:r>
      <w:r w:rsidRPr="00087A72">
        <w:rPr>
          <w:sz w:val="12"/>
        </w:rPr>
        <w:t xml:space="preserve"> As many historians have noted, colonizers expected to find “Eden” in the Americas, “a place of simplicity, innocence, harmony, love, and happiness, where the climate is balmy and fruits of nature’s bounty are found on the trees year round.”41 Many of the early colonial narratives describe the Americas as an idyllic paradise. However, as Kirkpatrick Sale argues, colonizers approached “paradise” through their colonial and patriarchal lens. Consequently, they viewed the land and indigenous peoples as something to be used for their own purposes; coloniz- ers could not respect the integrity of either the land or indigenous peoples. “The resulting tensions, then could be resolved . . . only by being played out against . . . the natural world and natural peoples. . . . the only way the people of Christian Europe ultimately could live with the reality of the Noble Savage in the Golden World was to transform it progressively into the Savage Beast in the Hideous Wil- derness.”42 </w:t>
      </w:r>
      <w:r w:rsidRPr="00087A72">
        <w:rPr>
          <w:u w:val="single"/>
        </w:rPr>
        <w:t>Within this colonial imaginary, the Native is an empty signifier that provides the occasion for Europe to remake its corrupt civilization. Once the Euro- pean is remade, the Native is rendered permanently infantile or — as mostly com- monly understood — an innocent savage. She cannot mature into adult citizenship, she can only be locked into a permanent state of infancy — degenerate into brutal savagery or disappear into “civilization.”</w:t>
      </w:r>
      <w:r w:rsidRPr="00087A72">
        <w:rPr>
          <w:sz w:val="12"/>
        </w:rPr>
        <w:t xml:space="preserve"> </w:t>
      </w:r>
      <w:r w:rsidRPr="00087A72">
        <w:rPr>
          <w:u w:val="single"/>
        </w:rPr>
        <w:t>The Native as infantile citizen continues</w:t>
      </w:r>
      <w:r w:rsidRPr="00087A72">
        <w:rPr>
          <w:sz w:val="12"/>
        </w:rPr>
        <w:t xml:space="preserve"> to exist not only in mainstream or conservative political thought but also </w:t>
      </w:r>
      <w:r w:rsidRPr="00087A72">
        <w:rPr>
          <w:u w:val="single"/>
        </w:rPr>
        <w:t>within radical theory and activism</w:t>
      </w:r>
      <w:r w:rsidRPr="00087A72">
        <w:rPr>
          <w:sz w:val="12"/>
        </w:rPr>
        <w:t xml:space="preserve">. </w:t>
      </w:r>
      <w:r w:rsidRPr="00087A72">
        <w:rPr>
          <w:u w:val="single"/>
        </w:rPr>
        <w:t>The “crying Indian” enables the birth of a white enlightened environmental consciousness.</w:t>
      </w:r>
      <w:r w:rsidRPr="00087A72">
        <w:rPr>
          <w:sz w:val="12"/>
        </w:rPr>
        <w:t xml:space="preserve"> This new consciousness, however, does not entail engaging with current environmental struggles on indigenous lands. An example of this tendency can be found in the work of Gayatri Chakravorty Spivak. She describes indig- enous peoples as providing a space for ecological knowledge, but then argues that this knowledge will be lost once indigenous peoples, whom she describes as racial minorities rather than as colonized peoples, necessarily assimilate into the settler state. “But must that part of their cultural habit that internalizes the techniques of their pre-national ecological sanity be irretrievably lost to plan- etary justice in the urgently needed process of integration, as a minority, into the modern state?”43 Thus some strands of postcolonial thought ironically rest on the continued colonization of indigenous peoples. As Povinelli’s Empire of Love describes, </w:t>
      </w:r>
      <w:r w:rsidRPr="00087A72">
        <w:rPr>
          <w:b/>
          <w:iCs/>
          <w:u w:val="single"/>
        </w:rPr>
        <w:t>queer politics and consciousness often rely on a primitivist notion of the indigenous as the space of free and unfettered sexuality that allows the white queer citizen to remake his or her sexuality.</w:t>
      </w:r>
      <w:r w:rsidRPr="00087A72">
        <w:rPr>
          <w:sz w:val="12"/>
        </w:rPr>
        <w:t xml:space="preserve"> However, once this sexual praxis is engaged, it does not translate into solidarity with indigenous peoples’ land struggles. </w:t>
      </w:r>
      <w:r w:rsidRPr="00087A72">
        <w:rPr>
          <w:u w:val="single"/>
        </w:rPr>
        <w:t>The subjectless critique thus calls attention to both the importance of Native peoples within scholarly work and their disappearance within this work. At the same time, it may be the case that it is in fact a subjectless critique that disguises the fact that the queer, postcolonial, or environmentally conscious subject is simultaneously a settler subject.</w:t>
      </w:r>
      <w:r w:rsidRPr="00087A72">
        <w:rPr>
          <w:sz w:val="12"/>
        </w:rPr>
        <w:t xml:space="preserve"> This primitivist discourse that relies on the disappearance of the Native is found, ironically, also within ethnic studies and queer of color critique. For instance, </w:t>
      </w:r>
      <w:r w:rsidRPr="00087A72">
        <w:rPr>
          <w:u w:val="single"/>
        </w:rPr>
        <w:t xml:space="preserve">within racial justice activism as well as ethnic studies analysis, it is the primitive Native that enables a mature mestizaje consciousness. </w:t>
      </w:r>
      <w:r w:rsidRPr="00087A72">
        <w:rPr>
          <w:b/>
          <w:iCs/>
          <w:u w:val="single"/>
        </w:rPr>
        <w:t>Gloria Anzaldúa’s Borderlands, the foundational text of borderlands theory, situates Indians and Europeans in a dichotomy that can be healed through mestizaje. Anzaldúa positions Indian culture as having “no tolerance for deviance,” a problem that can be healed by the “tolerance for ambiguity” that those of mixed race “necessarily possess.” Thus a rigid, unambiguous Indian becomes juxtaposed unfavorably with the mestiza who “can’t hold concepts or ideas in rigid boundaries.”</w:t>
      </w:r>
      <w:r w:rsidRPr="00087A72">
        <w:rPr>
          <w:sz w:val="12"/>
        </w:rPr>
        <w:t xml:space="preserve">44 </w:t>
      </w:r>
      <w:r w:rsidRPr="00087A72">
        <w:rPr>
          <w:b/>
          <w:iCs/>
          <w:u w:val="single"/>
        </w:rPr>
        <w:t>As many scholars have noted, Native identity is relegated to a primitive past, a premodern precursor to the more modern, sophisticated mestizo identity.</w:t>
      </w:r>
      <w:r w:rsidRPr="00087A72">
        <w:rPr>
          <w:sz w:val="12"/>
        </w:rPr>
        <w:t xml:space="preserve">45 In queer of color critique in particular, </w:t>
      </w:r>
      <w:r w:rsidRPr="00087A72">
        <w:rPr>
          <w:u w:val="single"/>
        </w:rPr>
        <w:t xml:space="preserve">mestizaje and queerness often intersect to disappear indigeneity through the figure of the diasporic or hybrid queer subject. </w:t>
      </w:r>
      <w:r w:rsidRPr="00087A72">
        <w:rPr>
          <w:sz w:val="12"/>
        </w:rPr>
        <w:t xml:space="preserve">The consequence is that queer of color critique, while making critical interventions into both critical race and queer studies, generally lacks an analysis of settler colonialism and genocide. Within queer of color critique, many scholars engage subjectless critique while fully interrogating its limits. As such, this work can benefit the development of Native studies. At the same time, however, </w:t>
      </w:r>
      <w:r w:rsidRPr="00087A72">
        <w:rPr>
          <w:u w:val="single"/>
        </w:rPr>
        <w:t xml:space="preserve">a critical limit often not explored by queer of color critique is the limits of settler colonialism. As such, indigeneity frequently disappears within these projects. Once again, a subjectless critique within Native studies assists in interrogating projects based on a queer of color critique that does not directly incorporate an analysis of Native peoples. At the same time, however, queer of color critique’s version of subjectless critique can also veil the queer of color subject’s investment in settler colonialism. </w:t>
      </w:r>
      <w:r w:rsidRPr="00087A72">
        <w:rPr>
          <w:sz w:val="12"/>
        </w:rPr>
        <w:t xml:space="preserve">As an example, Gayatri </w:t>
      </w:r>
      <w:r w:rsidRPr="00087A72">
        <w:rPr>
          <w:u w:val="single"/>
        </w:rPr>
        <w:t>Gopinath</w:t>
      </w:r>
      <w:r w:rsidRPr="00087A72">
        <w:rPr>
          <w:sz w:val="12"/>
        </w:rPr>
        <w:t xml:space="preserve"> critiques Madonna for cultural theft, but then very uncritically celebrates the British Punjabi artist Apache Indian’s obvious appropriation of Apache culture. Gopinath lauds this move for its “referencing of multiple diasporic locations including the Caribbean, India, the UK, and the United States,” neglecting to list the Apache nation as a national location.46 She </w:t>
      </w:r>
      <w:r w:rsidRPr="00087A72">
        <w:rPr>
          <w:u w:val="single"/>
        </w:rPr>
        <w:t>seems to implicitly subscribe to the colonialist notion that Apache nationhood can be subsumed under the settler colonial logic of the United States. Furthermore, this appropriation is celebrated in the service of a “de-essentialized notion of ‘Indian’ identity.”47 Just as mestizo identity appropriates an essentialized indigenous iden- tity, this time a mestizo “Indian” identity depends on the erasure of indigenous Apache identity</w:t>
      </w:r>
      <w:r w:rsidRPr="00087A72">
        <w:rPr>
          <w:sz w:val="12"/>
        </w:rPr>
        <w:t xml:space="preserve">. Quoting George Lipsitz, Gopinath likens Apache Indian’s project to the appropriation of Native identity by African Americans during Mardi Gras celebrations as a “politics emanating from Indian imagery to affirm Black nationalism [which] lead[s] logically to a pan-ethnic anti-racism that moves beyond essentialism.”48 But why does appropriation necessarily lead to antiracism? First, this appropriation tends to depend on a very essentialized notion of Native identity that becomes the raw material for the building of a complex postmodern identity. Second, where is the evidence that any of these practices actually contribute to solidarity work with contemporary indigenous struggles? As many Native scholars have argued, </w:t>
      </w:r>
      <w:r w:rsidRPr="00087A72">
        <w:rPr>
          <w:u w:val="single"/>
        </w:rPr>
        <w:t>Native peoples are entrapped in a logic of genocidal appropriation. This logic holds that indigenous peoples must disappear.</w:t>
      </w:r>
      <w:r w:rsidRPr="00087A72">
        <w:rPr>
          <w:sz w:val="12"/>
        </w:rPr>
        <w:t xml:space="preserve"> In fact, </w:t>
      </w:r>
      <w:r w:rsidRPr="00087A72">
        <w:rPr>
          <w:u w:val="single"/>
        </w:rPr>
        <w:t>they must always be disappearing, to allow nonindigenous people’s rightful claim over this land. Through this logic of genocide, non-Native people then become the rightful inheritors of all that was indigenous — land, resources, indigenous spirituality, or culture.</w:t>
      </w:r>
      <w:r w:rsidRPr="00087A72">
        <w:rPr>
          <w:sz w:val="12"/>
        </w:rPr>
        <w:t xml:space="preserve"> Rayna Green demonstrates that </w:t>
      </w:r>
      <w:r w:rsidRPr="00087A72">
        <w:rPr>
          <w:u w:val="single"/>
        </w:rPr>
        <w:t>the cultural appropriation of indigeneity is based on a logic of genocide: non-Native peoples imagine themselves as the rightful inheritors of all that previously belonged to “vanished” Indians, thus entitling them to ownership of this land. “The living performance of ‘playing Indian’ by non-Indian peoples depends upon the physical and psychological removal, even the death, of real Indians. In that sense, the per- formance, purportedly often done out of a stated and implicit love for Indians, is really the obverse of another well-known cultural phenomenon, ‘Indian hating,’ as most often expressed in another, deadly performance genre called ‘genocide.’”49 After all, why would non-Native peoples need to play Indian if they thought Indi- ans were still alive and perfectly capable of being Indian themselves?</w:t>
      </w:r>
      <w:r w:rsidRPr="00087A72">
        <w:rPr>
          <w:sz w:val="12"/>
        </w:rPr>
        <w:t xml:space="preserve"> Thus the appropriation of Native identity by even people of color or Third World subjects cannot be easily distinguished from a logic of genocide or a logic of biopower whereby Natives must die so that postmodern subjects can live. Gopinath’s </w:t>
      </w:r>
      <w:r w:rsidRPr="00087A72">
        <w:rPr>
          <w:u w:val="single"/>
        </w:rPr>
        <w:t>uncritical support for appropriating indigeneity also contributes to her problematic juxtaposition of a simple national identity with a com- plex diasporic identity. Her work centers the diasporic subject as what troubles national identity. She “embraces diaspora as a concept for its potential to fore- ground notions of impurity and inauthenticity that resoundingly reject the ethnic and religious absolutism at the center of nationalist projects.”50 She then likens diaspora to queerness. “</w:t>
      </w:r>
      <w:r w:rsidRPr="00087A72">
        <w:rPr>
          <w:b/>
          <w:iCs/>
          <w:u w:val="single"/>
        </w:rPr>
        <w:t>A queer diasporic framework productively exploits the analogous relation between nation and diaspora on the one hand, and between het- erosexuality and queerness on the other</w:t>
      </w:r>
      <w:r w:rsidRPr="00087A72">
        <w:rPr>
          <w:u w:val="single"/>
        </w:rPr>
        <w:t xml:space="preserve">; in other words, queerness is to heterosex- uality as the diaspora is to the nation.”51 </w:t>
      </w:r>
      <w:r w:rsidRPr="00087A72">
        <w:rPr>
          <w:b/>
          <w:iCs/>
          <w:u w:val="single"/>
        </w:rPr>
        <w:t>This logic follows Anzaldúa’s framework of juxtaposing the complicated, queer mestizo subject with the primitive, simple, indigenous subject. A subjectless critique within Native studies enables an indig- enous critique of queer of color projects that do not directly engage Native studies but do depend ideologically on the disappearance of Native peoples.</w:t>
      </w:r>
      <w:r w:rsidRPr="00087A72">
        <w:rPr>
          <w:u w:val="single"/>
        </w:rPr>
        <w:t xml:space="preserve"> In particular, such a critique leads me to conclude that, just as, for instance, </w:t>
      </w:r>
      <w:r w:rsidRPr="00087A72">
        <w:rPr>
          <w:b/>
          <w:iCs/>
          <w:u w:val="single"/>
        </w:rPr>
        <w:t>the image of the “welfare queen” becomes coded language to signify blackness, images of nation- hood as necessarily simplistic and essentialist rest on the shadow of the primi- tive indigenous subject who cannot transcend her nationalistic identifications.</w:t>
      </w:r>
      <w:r w:rsidRPr="00087A72">
        <w:rPr>
          <w:u w:val="single"/>
        </w:rPr>
        <w:t xml:space="preserve"> The indigenous subject is once again an “infantile citizen,” firmly rooted within a nation and a land base, and hence is insufficiently queered without a mixed or diasporic subject.</w:t>
      </w:r>
      <w:r w:rsidRPr="00087A72">
        <w:rPr>
          <w:sz w:val="12"/>
        </w:rPr>
        <w:t xml:space="preserve"> Thus, even though Gopinath actually critiques the notion that the proper queer subject can be denoted by leaving home and community as a free self-determined citizen, </w:t>
      </w:r>
      <w:r w:rsidRPr="00087A72">
        <w:rPr>
          <w:u w:val="single"/>
        </w:rPr>
        <w:t>her likening of queerness to diaspora tends to reify the assumption that the (indigenous) nation cannot be queered on its own. Left to its own, the (indigenous) nation is positioned as a heterosexual norm that requires diaspora to queer it.</w:t>
      </w:r>
      <w:r w:rsidRPr="00087A72">
        <w:rPr>
          <w:sz w:val="12"/>
        </w:rPr>
        <w:t xml:space="preserve"> </w:t>
      </w:r>
      <w:r w:rsidRPr="00087A72">
        <w:rPr>
          <w:u w:val="single"/>
        </w:rPr>
        <w:t>Instead, perhaps we can understand indigenous nationhood as already queered.</w:t>
      </w:r>
      <w:r w:rsidRPr="00087A72">
        <w:rPr>
          <w:sz w:val="12"/>
        </w:rPr>
        <w:t xml:space="preserve"> Gopinath’s work does suggest some ways nationhood could be queered. She troubles the normative notion of the home as a place “to be escaped in order to emerge into another more liberatory space,” in favor of “remaking the space of home within.”52 Echoing Silva’s and Puar’s analysis, she reads a variety of texts to argue that the narrative of leaving home to attain personal liberation again rests on the logic of the self-determining universal subject transcending particularity. “The equation of liberation with leaving and oppressing with ‘staying put’ cannot be upheld. In rejecting this progress narrative of freedom through exile and the renunciation of home, these texts instead enable a queer reworking of the very space of home itself.”53 Thus, if home can be remade, perhaps we could go farther than Gopinath and argue that the home is always already being remade: this remaking is not necessarily dependent on the diasporic subject. Renya Ramirez’s ethnography of urban Native communities suggests a way to put an analysis of diaspora in conversation with indigeneity to further Gopi- nath’s project of remaking home. She critiques prevalent notions of urban Native peoples “living as exiles without a culture, inhabiting a nether-world between the traditional and modern,” seeing them instead as people whose travel to and from reservations actually strengthens their relationship to their land base.54 Informed by her ethnographic subjects, Ramirez develops the concept of the hub, which can be a geographic space (such as an urban area) as well as an activity (such as Internet communication) that allows people to maintain relationships and to develop political coalitions. However, the hub does not privilege the diasporic subject in relation to the nondiasporic subject who remains home. Rather, Ramirez’s narrative positions them all as having pivotal roles in developing political alliances, challenging oppressive behaviors within indigenous nations, and combating settler colonialism. </w:t>
      </w:r>
    </w:p>
    <w:p w:rsidR="00030ACD" w:rsidRPr="00087A72" w:rsidRDefault="00030ACD" w:rsidP="00030ACD">
      <w:pPr>
        <w:pStyle w:val="Heading4"/>
      </w:pPr>
      <w:r w:rsidRPr="00087A72">
        <w:t>Settler colonialism turns any impact calculus because how you understand value and ethical calculus are all ontologically dependent on Native genocide. The genocide of the Native clears the way for intra-Settler discussions of ethical value. To be alive is to stand upon this Indian burial ground we call the world—to be alive is to be unethical.</w:t>
      </w:r>
    </w:p>
    <w:p w:rsidR="00030ACD" w:rsidRPr="00087A72" w:rsidRDefault="00030ACD" w:rsidP="00030ACD">
      <w:r w:rsidRPr="00087A72">
        <w:rPr>
          <w:rStyle w:val="Style13ptBold"/>
        </w:rPr>
        <w:t>Wilderson 10</w:t>
      </w:r>
      <w:r w:rsidRPr="00087A72">
        <w:t xml:space="preserve"> (Frank, Full Professor of Drama and African American studies at the University of California, Irvine </w:t>
      </w:r>
      <w:r w:rsidRPr="00087A72">
        <w:rPr>
          <w:i/>
        </w:rPr>
        <w:t>Red, White, and Black: Cinema and the Structure of U.S. Antagonisms</w:t>
      </w:r>
      <w:r w:rsidRPr="00087A72">
        <w:t xml:space="preserve"> pp. 214-220) NIJ</w:t>
      </w:r>
    </w:p>
    <w:p w:rsidR="00030ACD" w:rsidRPr="00087A72" w:rsidRDefault="00030ACD" w:rsidP="00030ACD">
      <w:pPr>
        <w:rPr>
          <w:sz w:val="12"/>
        </w:rPr>
      </w:pPr>
      <w:r w:rsidRPr="00087A72">
        <w:rPr>
          <w:rStyle w:val="StyleUnderline"/>
        </w:rPr>
        <w:t>Mogie’s surrealist demand, “send me a big…fat woman …[to] cover up all the cracks in my shack,” goes to the heart of the matter.</w:t>
      </w:r>
      <w:r w:rsidRPr="00087A72">
        <w:rPr>
          <w:sz w:val="12"/>
        </w:rPr>
        <w:t xml:space="preserve"> </w:t>
      </w:r>
      <w:r w:rsidRPr="00087A72">
        <w:rPr>
          <w:rStyle w:val="Emphasis"/>
        </w:rPr>
        <w:t xml:space="preserve">Red flesh can only be restored, ethically, through the destruction of White bodies, because the corporeality of the indigenous has been consumed by and gone into the making of the Settler’s corporeality. Mogie wants what he has lost; not just his labor power, not just his language or land, but the raw material of his flesh. And, like most “grassroots Indians,” he knows precisely where it went—into the Settler’s “body”—and thus he knows precisely from where to repossess it. </w:t>
      </w:r>
      <w:r w:rsidRPr="00087A72">
        <w:rPr>
          <w:sz w:val="12"/>
        </w:rPr>
        <w:t xml:space="preserve">Though Mogie’s shack is small, we know from earlier scenes that it has at least two rooms. Therefore, </w:t>
      </w:r>
      <w:r w:rsidRPr="00087A72">
        <w:rPr>
          <w:rStyle w:val="StyleUnderline"/>
        </w:rPr>
        <w:t>to stretch a White woman across its interior, window-to-window, wall-to-wall, corner-to-corner, and then stretch her across the door, would be to reconfigure her body into grotesque and unrecognizable dimensions. There are serious doubts as to whether a White woman</w:t>
      </w:r>
      <w:r w:rsidRPr="00087A72">
        <w:rPr>
          <w:sz w:val="12"/>
        </w:rPr>
        <w:t xml:space="preserve">, even as large a White woman as Mogie Yellow Lodge is demanding from the President, “the Great White Father in Washington,” </w:t>
      </w:r>
      <w:r w:rsidRPr="00087A72">
        <w:rPr>
          <w:rStyle w:val="StyleUnderline"/>
        </w:rPr>
        <w:t>would survive such an ordeal. Imagine such a demand being made, such wallpapering taking place, en mass</w:t>
      </w:r>
      <w:r w:rsidRPr="00087A72">
        <w:rPr>
          <w:sz w:val="12"/>
        </w:rPr>
        <w:t xml:space="preserve">, on a scale which even Mogie’s inebriated imagination has not yet grasped. [General Andrew Jackson] instructed his troops to cut the noses of the corpses so that no one would be able to challenge the body count. They had bushel baskets full of noses that they brought back. This [practice] got him elected President. [He] campaigned on the basis that he had never met a recalcitrant Indian that he had not killed and never killed an Indian that he had not scalped and that anybody who wanted to question the validity of what he was saying was invited to tea in his parlor that evening so he could display the scalps and prove his point. [He] rode with a saddle bridle made out of the skin of an opposing Indian leader. This is the President of the United States. (Churchill: Book Tour Speech July 31, 2004) </w:t>
      </w:r>
      <w:r w:rsidRPr="00087A72">
        <w:rPr>
          <w:rStyle w:val="StyleUnderline"/>
        </w:rPr>
        <w:t>One begins to see how wallpapering or insulating one’s room not with “bushel baskets” of White female skin but with even one White woman is simply out of the question. Mogie’s demand, then, is laughed off—managed, constrained, marginalized—by the script.</w:t>
      </w:r>
      <w:r w:rsidRPr="00087A72">
        <w:rPr>
          <w:sz w:val="12"/>
        </w:rPr>
        <w:t xml:space="preserve"> “Hey, ya wanna see me piss in my pants?” are the words he is made to utter next. Words portrayed as the surreal ruminations of an Indian who has reached the end of his inebriated tether, and not as the wisdom of a man who could lead his people. </w:t>
      </w:r>
      <w:r w:rsidRPr="00087A72">
        <w:rPr>
          <w:rStyle w:val="Emphasis"/>
        </w:rPr>
        <w:t xml:space="preserve">The film is nervous in the face of Mogie’s demand not because of its absurdity but because of its authority. But Mogie is demanding no more of the Great White Father, no more of civil society, than he has already given. In fact, he is demanding less. </w:t>
      </w:r>
      <w:r w:rsidRPr="00087A72">
        <w:rPr>
          <w:sz w:val="12"/>
        </w:rPr>
        <w:t xml:space="preserve">His surrealism indicates a qualitatively similar ontological relationship between the Red and the White as exists between the Black and the White. The Middle Passage turns, for example, Ashanti spatial and temporal capacity into spatial and temporal incapacity—a body into flesh. This process begins as early as the 1200s for the Slave. lxxvi </w:t>
      </w:r>
      <w:r w:rsidRPr="00087A72">
        <w:rPr>
          <w:rStyle w:val="StyleUnderline"/>
        </w:rPr>
        <w:t>By the 1530s, Modernity is more self-conscious of its coordinates, and Whiteness begins its ontological consolidation and negative knowledge of itself by turning</w:t>
      </w:r>
      <w:r w:rsidRPr="00087A72">
        <w:rPr>
          <w:sz w:val="12"/>
        </w:rPr>
        <w:t xml:space="preserve"> (part of) </w:t>
      </w:r>
      <w:r w:rsidRPr="00087A72">
        <w:rPr>
          <w:rStyle w:val="StyleUnderline"/>
        </w:rPr>
        <w:t>the Aztec body</w:t>
      </w:r>
      <w:r w:rsidRPr="00087A72">
        <w:rPr>
          <w:sz w:val="12"/>
        </w:rPr>
        <w:t xml:space="preserve">, for example, </w:t>
      </w:r>
      <w:r w:rsidRPr="00087A72">
        <w:rPr>
          <w:rStyle w:val="StyleUnderline"/>
        </w:rPr>
        <w:t>into Indian flesh</w:t>
      </w:r>
      <w:r w:rsidRPr="00087A72">
        <w:rPr>
          <w:sz w:val="12"/>
        </w:rPr>
        <w:t xml:space="preserve"> (Judy (Dis)Forming the American Canon 81). </w:t>
      </w:r>
      <w:r w:rsidRPr="00087A72">
        <w:rPr>
          <w:rStyle w:val="StyleUnderline"/>
        </w:rPr>
        <w:t xml:space="preserve">In this moment the White body completes itself and proceeds to lay the groundwork for the intra-Settler ensemble of questions foundational to its ethical dilemmas (i.e., Marxism, feminism, psychoanalysis). In the final analysis, Settler ontology is guaranteed by way of a negative knowledge of what it is not, rather than by way of its positive claims of what it is. Ontological Whiteness is secured not through its cultural, economic, or gendered identities; but by the fact that it cannot be known (positioned) by genocide </w:t>
      </w:r>
      <w:r w:rsidRPr="00087A72">
        <w:rPr>
          <w:sz w:val="12"/>
        </w:rPr>
        <w:t xml:space="preserve">(or by Accumulation and Fungibility). </w:t>
      </w:r>
      <w:r w:rsidRPr="00087A72">
        <w:rPr>
          <w:rStyle w:val="StyleUnderline"/>
        </w:rPr>
        <w:t xml:space="preserve">This negative knowledge has its pleasures… </w:t>
      </w:r>
      <w:r w:rsidRPr="00087A72">
        <w:rPr>
          <w:sz w:val="12"/>
        </w:rPr>
        <w:t xml:space="preserve">[Unlike Jackson’s army of the early 19 th century, the 16 th century Dutch] didn’t take the noses and they didn’t take the scalps. They took whole heads because they wanted to identify the fact that they had eradicated the entire leadership of the opposition. They brought the heads back to the central square in New Amsterdam [now Manhattan] where the citizenry began to celebrate. They turned it into a sport. People who had participated in the expedition had themselves a jolly game of kick ball using the heads and the citizenry sat around and cheered…(Churchill 7/31/04) </w:t>
      </w:r>
      <w:r w:rsidRPr="00087A72">
        <w:rPr>
          <w:rStyle w:val="StyleUnderline"/>
        </w:rPr>
        <w:t xml:space="preserve">…has a sense of affilial inclusion and filial longevity… </w:t>
      </w:r>
      <w:r w:rsidRPr="00087A72">
        <w:rPr>
          <w:sz w:val="12"/>
        </w:rPr>
        <w:t xml:space="preserve">[In 1864, the 3 rd Regiment of the U.S. Calvary] returned to Denver [Colorado] with their trophies [the vaginas of Native American women stapled to the front of their hats] and held a triumphal parade. [They] proceeded down Larimore Street…and the good citizenry stood up and cheered wildly...[T]he Rocky Mountain News [described it as] “an unparalleled feat of martial prowess that would live forever in the annals of the history and nobility of the race.” (7/31/04) </w:t>
      </w:r>
      <w:r w:rsidRPr="00087A72">
        <w:rPr>
          <w:rStyle w:val="StyleUnderline"/>
        </w:rPr>
        <w:t xml:space="preserve">…has a capacity for territorial integrity… </w:t>
      </w:r>
      <w:r w:rsidRPr="00087A72">
        <w:rPr>
          <w:sz w:val="12"/>
        </w:rPr>
        <w:t xml:space="preserve">Scalp bounties…were officially claimed bounties that were placed on Indians in every antecedent colony in the Eastern Seaboard—French, English, and Spanish. I don’t know about the Dutch. They killed all the Indians around before they had the chance to need a bounty. But from the antecedent colonies this law transferred to every state and territory in forty-eight contiguous states. (7/31/04) </w:t>
      </w:r>
      <w:r w:rsidRPr="00087A72">
        <w:rPr>
          <w:rStyle w:val="StyleUnderline"/>
        </w:rPr>
        <w:t xml:space="preserve">…that is, it has the capacity to transform Clearing from a verb into Clearing as a noun… </w:t>
      </w:r>
      <w:r w:rsidRPr="00087A72">
        <w:rPr>
          <w:sz w:val="12"/>
        </w:rPr>
        <w:t xml:space="preserve">Every [state in the union] placed a bounty on Indians, any Indians, all Indians. [For example in the] Pennsylvania colony in the 1740s, the bounty [was] forty pounds sterling for proof of death of an adult male Indian. That proof of death being in the form of a scalp or a bloody red skin…Proof of death in that form got the bearer of the proof forty pounds sterling. Forty pounds sterling in the 1740s was equivalent to the annual wage of your average farmer. This is big business. Twenty pounds sterling would be paid for proof of death in the same form of an adult female. Ten pounds sterling for proof of death of a child, a child being defined as human being of either sex under ten years of age down to and, yes, including the fetus…In Texas this law was not rescinded until 1887, [when] the debate in the Texas legislature concluded that there was no reason to continue because there was no long sufficient numbers of living Indians in the entire state of Texas to warrant the continuation of it. It had accomplished its purpose. (7/31/04) </w:t>
      </w:r>
      <w:r w:rsidRPr="00087A72">
        <w:rPr>
          <w:rStyle w:val="StyleUnderline"/>
        </w:rPr>
        <w:t>…and just like that, Little Baby Civil Society was walking on its own two feet. To Grown-up Civil Society</w:t>
      </w:r>
      <w:r w:rsidRPr="00087A72">
        <w:rPr>
          <w:sz w:val="12"/>
        </w:rPr>
        <w:t xml:space="preserve"> (Mogie’s “Great White Father in Washington”) </w:t>
      </w:r>
      <w:r w:rsidRPr="00087A72">
        <w:rPr>
          <w:rStyle w:val="StyleUnderline"/>
        </w:rPr>
        <w:t xml:space="preserve">Mogie Yellow Lodge submits his own “personal” genocide reparations bill. A bill that accounts for the perfect symmetry through which Whiteness has formed a body (from the genitals to the body politic) out of “Savage” flesh. The symmetry’s perfection becomes clear when one realizes that today’s 1.6%-to-80.6%, “Savage”-to-Settler ratio is a pure inversion of the sixteenth century’s “Savage” to Settler ratio. </w:t>
      </w:r>
      <w:r w:rsidRPr="00087A72">
        <w:rPr>
          <w:sz w:val="12"/>
        </w:rPr>
        <w:t xml:space="preserve">lxxvii </w:t>
      </w:r>
      <w:r w:rsidRPr="00087A72">
        <w:rPr>
          <w:rStyle w:val="StyleUnderline"/>
        </w:rPr>
        <w:t>“Send me a big woman. A fat woman! So that when I sleep with her she’ll cover up all the cracks in my shack and stop the wind from blowing through” is a demand so ethically pure that the film finds it unbearable and, as such, is unable (unwilling?) to let Mogie state it without irony.</w:t>
      </w:r>
      <w:r w:rsidRPr="00087A72">
        <w:rPr>
          <w:sz w:val="12"/>
        </w:rPr>
        <w:t xml:space="preserve"> And yet, Mogie’s outbursts like this—“outbursts” because they are generally infrequent and contained by pity or humor—are the few moments when the film engages the ethical dilemmas of the Settler/“Savage” antagonism (genocide and its impossible semiotics) instead of the ethical dilemmas of the Settler/“Savage” conflict (sovereignty and its semiotics of loss). Again, </w:t>
      </w:r>
      <w:r w:rsidRPr="00087A72">
        <w:rPr>
          <w:rStyle w:val="Emphasis"/>
        </w:rPr>
        <w:t>it is not that Mogie’s demand is absurd and unethical, but rather that it is a demand so pure in its ethicality that it threatens the quotidian prohibitions which, in Modernity, constrain ethics. The demand is far too ethical</w:t>
      </w:r>
      <w:r w:rsidRPr="00087A72">
        <w:rPr>
          <w:sz w:val="12"/>
        </w:rPr>
        <w:t xml:space="preserve"> for the film to embrace and elaborate at the level of narrative. It is a demand that must be policed by sovereign powers. Exploring Skins’ cinematic strategies reveals this containment as an effort to manage the spectator’s interpellation by the dilemmas of Mogie’s ruination and by they demand that ushers forth from his “flesh.” </w:t>
      </w:r>
      <w:r w:rsidRPr="00087A72">
        <w:rPr>
          <w:rStyle w:val="StyleUnderline"/>
        </w:rPr>
        <w:t>Mogie’s surrealism seeks to cull power directly from the subjectivity of the Settler, what Ward Churchill calls the “imperial integrity of the US itself”</w:t>
      </w:r>
      <w:r w:rsidRPr="00087A72">
        <w:rPr>
          <w:sz w:val="12"/>
        </w:rPr>
        <w:t xml:space="preserve"> (Marxism and Native Americans 202). </w:t>
      </w:r>
      <w:r w:rsidRPr="00087A72">
        <w:rPr>
          <w:rStyle w:val="StyleUnderline"/>
        </w:rPr>
        <w:t>This idea of culling power, resources, and Human life directly from the imperial integrity of the US, especially when we think that imperial integrity through the banality of White bodies</w:t>
      </w:r>
      <w:r w:rsidRPr="00087A72">
        <w:rPr>
          <w:sz w:val="12"/>
        </w:rPr>
        <w:t xml:space="preserve"> (in other words, through the “innocence” of today’s citizen), is indicative of the kind of unflinching paradigmatic analyses which allowed Ward Churchill to embrace the 9/11 attack on the World Trade Center within forty-eight hours of its occurrence, a moment in time when Settler Marxists and Settler progressives either suddenly became mute, or stumbled over their own tongues in half-hearted attempts to simultaneously condemn the attack and explain its political and historical rationale. Churchill’s embrace of the event is not synonymous with either celebration or condemnation. It goes without saying that Churchill also refused to be interpellated by the pageantry of mourning that followed in the wake of 9-1-1. But Settler radicals and progressives assailed him for meditating on the attack from within the questions of the genocided “Savage,” rather than from within an ensemble of questions allied with Settler’s grammar of suffering, exploitation and alienation. </w:t>
      </w:r>
      <w:r w:rsidRPr="00087A72">
        <w:rPr>
          <w:rStyle w:val="StyleUnderline"/>
        </w:rPr>
        <w:t xml:space="preserve">People on the Left tried to shame Churchill for embracing incoherent terror </w:t>
      </w:r>
      <w:r w:rsidRPr="00087A72">
        <w:rPr>
          <w:sz w:val="12"/>
        </w:rPr>
        <w:t xml:space="preserve">(suicide bombers) </w:t>
      </w:r>
      <w:r w:rsidRPr="00087A72">
        <w:rPr>
          <w:rStyle w:val="StyleUnderline"/>
        </w:rPr>
        <w:t>instead of morally and politically sanctioned revolutionary action</w:t>
      </w:r>
      <w:r w:rsidRPr="00087A72">
        <w:rPr>
          <w:sz w:val="12"/>
        </w:rPr>
        <w:t xml:space="preserve"> (like the Zapatistas or the Sandanistas). </w:t>
      </w:r>
      <w:r w:rsidRPr="00087A72">
        <w:rPr>
          <w:rStyle w:val="StyleUnderline"/>
        </w:rPr>
        <w:t>Others chided him for advocating violence in any form.</w:t>
      </w:r>
      <w:r w:rsidRPr="00087A72">
        <w:rPr>
          <w:sz w:val="12"/>
        </w:rPr>
        <w:t xml:space="preserve"> Many said that now is not the time for a scathing critique; “our” nation is in mourning. And there were those who wagged their finger and reminded him that there were members of the working class (not just police agents and investment bankers) who died in the Twin Towers. These nay-sayers all made their arguments at the level of experience, and Churchill, rather handily, answered them at the level as well. But I am neither interested in his interlocutors’ chiding nor in his response. </w:t>
      </w:r>
      <w:r w:rsidRPr="00087A72">
        <w:rPr>
          <w:rStyle w:val="StyleUnderline"/>
        </w:rPr>
        <w:t>The Left’s attack on Churchill’s embrace of the 9-1-1 attacks is important not for the social issues it raises, the myriad of things it claims it is concerned about, but rather for the grammar of suffering shared across the board, those building blocks through which loss is conceptualized in such a way that makes it impossible for the “Savage” to function, grammatically, as their paradigm of suffering, and even less as its paradigmatic agent for change. Had Churchill’s interlocutors been more honest, they would have used fewer words—not draped their rejoinders with the veil of issues from the realm of experience</w:t>
      </w:r>
      <w:r w:rsidRPr="00087A72">
        <w:rPr>
          <w:sz w:val="12"/>
        </w:rPr>
        <w:t xml:space="preserve"> (i.e., tactics) —</w:t>
      </w:r>
      <w:r w:rsidRPr="00087A72">
        <w:rPr>
          <w:rStyle w:val="StyleUnderline"/>
        </w:rPr>
        <w:t xml:space="preserve">and said, quite simply, </w:t>
      </w:r>
      <w:r w:rsidRPr="00087A72">
        <w:rPr>
          <w:rStyle w:val="Emphasis"/>
        </w:rPr>
        <w:t xml:space="preserve">“We will not be led by the ‘Savage;’ death is not an element constituent of our ontology.” </w:t>
      </w:r>
      <w:r w:rsidRPr="00087A72">
        <w:rPr>
          <w:sz w:val="12"/>
        </w:rPr>
        <w:t xml:space="preserve">Unlike the narrative and cinematic strategies of Skins, Churchill’s meditation on 9-1-1 embraces, rather than contains, Mogie Yellow Lodge’s demand. </w:t>
      </w:r>
      <w:r w:rsidRPr="00087A72">
        <w:rPr>
          <w:rStyle w:val="StyleUnderline"/>
        </w:rPr>
        <w:t>Churchill’s work is authorized by Mogie Yellow Lodge’s grammar of suffering which, inter alia, forecloses upon Churchill’s passing judgment on the tactical ethics of either the attack on the World Trade Center or, for that matter, Mogie’s attack on the body of White femininity. Churchill accepts this foreclosure and works off of it. He does not feel constrained by it but finds it enabling of a quality of reflection that would be otherwise inconceivable: There can be no defensible suggestion that those who attacked the Pentagon and the WTC on 9-1-1 were seeking to get even with the U.S. Still less is there a basis for claims that they “started” something, or that the U.S. has anything to get even with them for. Quite the contrary. For the attackers to have arguably “evened the score” for Iraqi’s dead children alone, it would have been necessary for them to have killed a hundred times the number of Americans who actually died. This in itself, however would have allowed them to attain parity in terms of real numbers. The U.S. population is about fifteen times the size of Iraq’s. Hence, for the attackers to have achieved a proportionally equivalent impact, it would have been necessary that they kill some 7.5 million Americans</w:t>
      </w:r>
      <w:r w:rsidRPr="00087A72">
        <w:rPr>
          <w:sz w:val="12"/>
        </w:rPr>
        <w:t xml:space="preserve">. (On the Justice of Roosting Chickens: Reflections on the Consequences of U.S. Imperial Arrogance and Criminality 14) Churchill reflects upon the event of 9-1-1 in such a way as to make it impossible to talk about it as an event. This is a marker of the philosophical brilliance and rhetorical dexterity foundational to Churchill’s thirty-odd books, articles, and recorded speeches. This dexterity allows the work to be conversant with the actual details and “facts” of the event (as presented and cathedralized by White civil society). </w:t>
      </w:r>
      <w:r w:rsidRPr="00087A72">
        <w:rPr>
          <w:rStyle w:val="StyleUnderline"/>
        </w:rPr>
        <w:t>Yet instead of becoming mired in the bog of concerns which makes the event as “event”</w:t>
      </w:r>
      <w:r w:rsidRPr="00087A72">
        <w:rPr>
          <w:sz w:val="12"/>
        </w:rPr>
        <w:t xml:space="preserve"> (details and common sense ethics) </w:t>
      </w:r>
      <w:r w:rsidRPr="00087A72">
        <w:rPr>
          <w:rStyle w:val="StyleUnderline"/>
        </w:rPr>
        <w:t>Churchill jettisons common sense and presses the details into service of an ensemble of questions animated by the ethical dilemmas of “Savage,” and not Settler, ontology.</w:t>
      </w:r>
      <w:r w:rsidRPr="00087A72">
        <w:rPr>
          <w:sz w:val="12"/>
        </w:rPr>
        <w:t xml:space="preserve"> He can do this on behalf of those who are not even Native Americans (in this passage, Iraqis) because he provides them with the “Savage” as a lens through which they can do ethnographic and political work on the Settler as specimen. In other words, </w:t>
      </w:r>
      <w:r w:rsidRPr="00087A72">
        <w:rPr>
          <w:rStyle w:val="StyleUnderline"/>
        </w:rPr>
        <w:t>in his chapter on 9-1-1, his argument is made in such a way that, to be interpellated, the reader must adjust the logic of his/her political experience to fit the logic of “Savage” genocidal ontology—and not vice versa.</w:t>
      </w:r>
      <w:r w:rsidRPr="00087A72">
        <w:rPr>
          <w:sz w:val="12"/>
        </w:rPr>
        <w:t xml:space="preserve"> The reader must be subordinated to, and incorporated by, Redness, or else the reader will experience the piece in the same way that the viewer is meant to experience Mogie Yellow Lodge: as a scandal, as a problem in need of fixing. </w:t>
      </w:r>
      <w:r w:rsidRPr="00087A72">
        <w:rPr>
          <w:rStyle w:val="StyleUnderline"/>
        </w:rPr>
        <w:t>Churchill continues to subordinate the “facts” of 9-1-1 to an ethical examination of Settlerism by reminding the reader that the U.S. is “fifteen times the size” of Iraq, therefore 9-1-1 would have had to have had a death toll of “7.5 million Americans” in order to have “achieved a proportionately equivalent impact”</w:t>
      </w:r>
      <w:r w:rsidRPr="00087A72">
        <w:rPr>
          <w:sz w:val="12"/>
        </w:rPr>
        <w:t xml:space="preserve"> (14). </w:t>
      </w:r>
      <w:r w:rsidRPr="00087A72">
        <w:rPr>
          <w:rStyle w:val="StyleUnderline"/>
        </w:rPr>
        <w:t>In the very next paragraph, Churchill corrects himself and insists that 7.5 million is the number of American children the attackers would have had to have killed in order to achieve parity. This is followed by a list of even more corrections, in which Churchill recalculates the meaning of parity based solely on the U.S.’s deracination of Iraq since 1990 (further down the correctives will lead him to the “Savage” and to the Slave). True parity would result in 7.5 million dead American children, 15 million dead American adults, the obliteration of “sewage, water sanitation and electrical plants, food production/storage capacity, hospitals, pharmaceutical production facilities, communication centers and much more.” The effects of which would mean not just mass death but “a surviving population wracked by malnutrition an endemic disease”</w:t>
      </w:r>
      <w:r w:rsidRPr="00087A72">
        <w:rPr>
          <w:sz w:val="12"/>
        </w:rPr>
        <w:t xml:space="preserve"> (14). </w:t>
      </w:r>
      <w:r w:rsidRPr="00087A72">
        <w:rPr>
          <w:rStyle w:val="StyleUnderline"/>
        </w:rPr>
        <w:t>“Indeed, applying such standards of ‘pay back’ vis-à-vis American Indians alone would require a lethal reduction in the U.S. population…of between 96 and 99 percent”</w:t>
      </w:r>
      <w:r w:rsidRPr="00087A72">
        <w:rPr>
          <w:sz w:val="12"/>
        </w:rPr>
        <w:t xml:space="preserve"> (15). </w:t>
      </w:r>
      <w:r w:rsidRPr="00087A72">
        <w:rPr>
          <w:rStyle w:val="Emphasis"/>
        </w:rPr>
        <w:t>Suddenly, Mogie Yellow Lodge’s demand for parity (just one big fat White woman to cover up the cracks in his shack) sounds downright generous. Mogie is demanding one Settler, a far cry from demanding parity for ontological death. Were he to demand parity the U.S. “would run out of people long before it ran out of compensatory obligation”</w:t>
      </w:r>
      <w:r w:rsidRPr="00087A72">
        <w:rPr>
          <w:sz w:val="12"/>
        </w:rPr>
        <w:t xml:space="preserve"> (Churchill Roosting Chickens 14-15).</w:t>
      </w:r>
    </w:p>
    <w:p w:rsidR="00E82B76" w:rsidRPr="00087A72" w:rsidRDefault="00E82B76" w:rsidP="00E82B76">
      <w:pPr>
        <w:pStyle w:val="Heading4"/>
      </w:pPr>
      <w:r w:rsidRPr="00087A72">
        <w:t xml:space="preserve">Racial, gendered, and sexual formations within the U.S. is tied to the colonial processes of exploitation and oppression. </w:t>
      </w:r>
    </w:p>
    <w:p w:rsidR="00E82B76" w:rsidRPr="00087A72" w:rsidRDefault="00E82B76" w:rsidP="00E82B76">
      <w:r w:rsidRPr="00087A72">
        <w:rPr>
          <w:b/>
          <w:bCs/>
        </w:rPr>
        <w:t xml:space="preserve">Upadhyay 16 </w:t>
      </w:r>
      <w:r w:rsidRPr="00087A72">
        <w:t>(Nishant, Assistant Professor in Women's and Gender Studies at University of Massachusetts Dartmouth, Ph.D. in Graduate Program in Social and Political Thought at York University, South Asian</w:t>
      </w:r>
      <w:r w:rsidRPr="00087A72">
        <w:rPr>
          <w:i/>
        </w:rPr>
        <w:t xml:space="preserve"> “We’ll Sail Like Columbus”: Race, Indigeneity, Settler Colonialism, and the Making of South Asian Diasporas in Canada.</w:t>
      </w:r>
      <w:r w:rsidRPr="00087A72">
        <w:t xml:space="preserve"> pp. 187-190) OD</w:t>
      </w:r>
    </w:p>
    <w:p w:rsidR="00E82B76" w:rsidRPr="00087A72" w:rsidRDefault="00E82B76" w:rsidP="00E82B76">
      <w:pPr>
        <w:rPr>
          <w:sz w:val="12"/>
        </w:rPr>
      </w:pPr>
      <w:r w:rsidRPr="00087A72">
        <w:rPr>
          <w:sz w:val="12"/>
        </w:rPr>
        <w:t xml:space="preserve">The capitalist demands of the settler colonial economies created the “intimacies of four continents.” </w:t>
      </w:r>
      <w:r w:rsidRPr="00087A72">
        <w:rPr>
          <w:u w:val="single"/>
        </w:rPr>
        <w:t>The dominant understanding of intimacy as “domestic” came up through the formation of European “modern” subject on the backs of colonial, capitalist, racial and gender 187 processes of exploitation and oppression.</w:t>
      </w:r>
      <w:r w:rsidRPr="00087A72">
        <w:rPr>
          <w:sz w:val="12"/>
        </w:rPr>
        <w:t>5 “</w:t>
      </w:r>
      <w:r w:rsidRPr="00087A72">
        <w:rPr>
          <w:b/>
          <w:iCs/>
          <w:u w:val="single"/>
        </w:rPr>
        <w:t>Domestic” and “material” intimacies are coproduced, and both were integral to colonial processes of managing both public and private spheres of colonized peoples’ lives, which included marriage, family, and sexuality</w:t>
      </w:r>
      <w:r w:rsidRPr="00087A72">
        <w:rPr>
          <w:sz w:val="12"/>
        </w:rPr>
        <w:t xml:space="preserve"> (30). These intimacies produced varying racial, gender, and sexual formations </w:t>
      </w:r>
      <w:r w:rsidRPr="00087A72">
        <w:rPr>
          <w:u w:val="single"/>
        </w:rPr>
        <w:t xml:space="preserve">for the maintenance of white settler economies. </w:t>
      </w:r>
      <w:r w:rsidRPr="00087A72">
        <w:rPr>
          <w:sz w:val="12"/>
        </w:rPr>
        <w:t xml:space="preserve">Roderick A. Ferguson notes these complex intersections in the forming of intimacies: “Nonwhite populations were racialized such that gender and sexual transgressions were not incidental to the production of nonwhite labor, but constitutive of it” (13). </w:t>
      </w:r>
      <w:r w:rsidRPr="00087A72">
        <w:rPr>
          <w:b/>
          <w:iCs/>
          <w:u w:val="single"/>
        </w:rPr>
        <w:t xml:space="preserve">Interraciality was a threat to the maintenance of white supremacy and capitalism in these settler states. </w:t>
      </w:r>
      <w:r w:rsidRPr="00087A72">
        <w:rPr>
          <w:sz w:val="12"/>
        </w:rPr>
        <w:t xml:space="preserve">Jared Sexton contends that interracial sexuality is foundational for racial differences and hierarchies, “the field for its production, contestation, and containment” (Amalgamation Schemes 15). </w:t>
      </w:r>
      <w:r w:rsidRPr="00087A72">
        <w:rPr>
          <w:b/>
          <w:iCs/>
          <w:u w:val="single"/>
        </w:rPr>
        <w:t xml:space="preserve">Thus, racial, gendered, and sexual formations within the Americas are intrinsically connected to colonial and capitalist processes. </w:t>
      </w:r>
      <w:r w:rsidRPr="00087A72">
        <w:rPr>
          <w:sz w:val="12"/>
        </w:rPr>
        <w:t xml:space="preserve">With the emergent racial formations in heteropatriarchal white settler states, the states began to invest in the regulation of interracial and crossracial intimacies to maintain their dominance. In this section, </w:t>
      </w:r>
      <w:r w:rsidRPr="00087A72">
        <w:rPr>
          <w:u w:val="single"/>
        </w:rPr>
        <w:t>I analyse colonial anxieties against interracial intimacies and regulations of the “domestic” sphere of intimacies to understand the critical interweaving of gender, sexuality, race, Blackness and indigeneity in the making of white settler states.</w:t>
      </w:r>
      <w:r w:rsidRPr="00087A72">
        <w:rPr>
          <w:sz w:val="12"/>
        </w:rPr>
        <w:t xml:space="preserve"> I draw from Indigenous feminist critiques of the Indian Act and blood quantum theories, Black critiques of anti-miscegenation laws in the United States and critical race feminist critiques of immigration prohibitions and anti-miscegenation laws. I do so not to equate differing intimacies; rather I seek to historicize interracial intimacies in the U.S. and Canada, and to demonstrate how the settler state has always been obsessed with disciplining and regulating erotics and desires. 5 While this chapter focuses on “domestic” intimacies between Indigenous peoples and South Asians in Canada, Chapter 5 examines the formations of “material” intimacies more closely. 188 In the Introduction, I illustrated how </w:t>
      </w:r>
      <w:r w:rsidRPr="00087A72">
        <w:rPr>
          <w:b/>
          <w:iCs/>
          <w:u w:val="single"/>
        </w:rPr>
        <w:t>Indigenous feminists theorize heteropatriarchal processes and violences as one of the primary tools of colonization used by white settler states</w:t>
      </w:r>
      <w:r w:rsidRPr="00087A72">
        <w:rPr>
          <w:sz w:val="12"/>
        </w:rPr>
        <w:t xml:space="preserve">. Anishinaabekwe/Nehayowak writer Tara Williamson, in drawing connections between colonialism and gender violence, further elaborates on this relation: Bonita Lawrence further illustrates the links between Native women’s sexuality and colonialism (“Real” Indians and Others). Analysing the Indian Act, Lawrence argues that </w:t>
      </w:r>
      <w:r w:rsidRPr="00087A72">
        <w:rPr>
          <w:u w:val="single"/>
        </w:rPr>
        <w:t>the settler state imposed definitions of Indianness in ways that were negative and discriminatory against Native women</w:t>
      </w:r>
      <w:r w:rsidRPr="00087A72">
        <w:rPr>
          <w:sz w:val="12"/>
        </w:rPr>
        <w:t xml:space="preserve"> (50). In the nineteenth century, the settler state entrenched heteropatriarchy in the Indian Act through series of legislations and acts; and by 1874 the Indian descent was determined exclusively through the male lineage (50). </w:t>
      </w:r>
      <w:r w:rsidRPr="00087A72">
        <w:rPr>
          <w:u w:val="single"/>
        </w:rPr>
        <w:t xml:space="preserve">These gendered violences were embedded in the Act till 1985 when Bill C-31 reinstated peoples who lost their Indian status due to the racist and heteropatriarchal tenets of the Indian Act. </w:t>
      </w:r>
      <w:r w:rsidRPr="00087A72">
        <w:rPr>
          <w:sz w:val="12"/>
        </w:rPr>
        <w:t xml:space="preserve">Lawrence argues: If one takes into account the fact that for every individual who lost status and had to leave her community, all of her descendants (many of them the products of nonstatus Indian fathers and Indian mothers) also lost status and for the most part were permanently alienated from Native culture, the numbers of individuals who ultimately were removed from Indian status and lost to their nation may, at the most conservative estimates, number between one and two million. (55-56) </w:t>
      </w:r>
      <w:r w:rsidRPr="00087A72">
        <w:rPr>
          <w:u w:val="single"/>
        </w:rPr>
        <w:t xml:space="preserve">The Indian Act was a tool of gendered settler violence as it aggressively disciplined Indigenous women’s sexualities and prohibited interracial intimacies. By </w:t>
      </w:r>
      <w:r w:rsidRPr="00087A72">
        <w:rPr>
          <w:sz w:val="12"/>
        </w:rPr>
        <w:t xml:space="preserve">systematically stripping official colonial Indian status of Indigenous women who refused to be governed by the heteropatriarchal settler-state, </w:t>
      </w:r>
      <w:r w:rsidRPr="00087A72">
        <w:rPr>
          <w:u w:val="single"/>
        </w:rPr>
        <w:t>the Indian Act foreclosed the possibilities for intimacies between Indigenous and non-Indigenous peoples</w:t>
      </w:r>
      <w:r w:rsidRPr="00087A72">
        <w:rPr>
          <w:sz w:val="12"/>
        </w:rPr>
        <w:t xml:space="preserve"> (and more specifically between Indigenous and racialized peoples). The violence that is perpetrated against Indigenous women is </w:t>
      </w:r>
      <w:r w:rsidRPr="00087A72">
        <w:rPr>
          <w:u w:val="single"/>
        </w:rPr>
        <w:t>the same violence that is perpetrated against the land in the tar sands is the same violence that sexually assaulted our parents and grandparents in residential school</w:t>
      </w:r>
      <w:r w:rsidRPr="00087A72">
        <w:rPr>
          <w:sz w:val="12"/>
        </w:rPr>
        <w:t xml:space="preserve"> and is the same violence that displaced and tortured our nations during the first invasions. It’s all colonization. It’s all about power. (n.pag.) 189 Mohawk scholar Audra Simpson demonstrates the effects of the Indian Act in the Mohawk nation at Kahnawà:ke. By 1985, Kahnawà:ke had assimilated and incorporated some of the doctrines of the Indian Act, as Simpson observes: “Kahnawà:ke enforced Canada’s rules with respect to the women who married non-Indians, because the rules had become useful to some, men in particular, and perhaps because the power of white men was still threatening” (61). She traces the origins of the blood-quantum code in Kahnawà:ke to the Indian Act and Bill C-31. Before Bill C-31, in the 1970s, many community members were organizing on the questions of intermarriage with whites and membership policy resulting in the passing of the Moratorium on Mixed Marriages in 1981, where if Mohawks married non-Indians they lost status within the nation (62). Moreover, in 1984, the Mohawk Law on Membership was passed, which required all children born to Mohawk parents after 1948 to posses at least fifty percent blood quantum to be recognized as Kahnawà:ke (62). When Bill C-31 was passed in 1985, many in the community saw it as a threat to Mohawk sovereignty. In spite of the dominance of heteropatriarchal logics with the Mohawk nation and the settler state, Simpson illustrates the anti-settler state praxis within the nation</w:t>
      </w:r>
      <w:r w:rsidRPr="00087A72">
        <w:rPr>
          <w:b/>
          <w:iCs/>
          <w:u w:val="single"/>
        </w:rPr>
        <w:t>. Many Mohawk peoples embody a “politics of refusal,”</w:t>
      </w:r>
      <w:r w:rsidRPr="00087A72">
        <w:rPr>
          <w:sz w:val="12"/>
        </w:rPr>
        <w:t xml:space="preserve"> as Simpson elaborates: </w:t>
      </w:r>
      <w:r w:rsidRPr="00087A72">
        <w:rPr>
          <w:b/>
          <w:iCs/>
          <w:u w:val="single"/>
        </w:rPr>
        <w:t>They deploy it as a political and ethical stance that stands in stark contrast to the desire to have one’s distinctiveness as a culture, as a people, recognized</w:t>
      </w:r>
      <w:r w:rsidRPr="00087A72">
        <w:rPr>
          <w:sz w:val="12"/>
        </w:rPr>
        <w:t xml:space="preserve">. Refusal comes with the requirement of having one’s political sovereignty acknowledged and upheld, and raises the questions of legitimacy for those who are usually in the position of recognizing. (11, emphasis in original) Bailey, the Mohawk woman in search of love, from Mohawk Girls, is an example of a Mohawk woman refusing heteropatriarchal laws imposed by her nation as well as the settler state by seeking out non-Native partners. Her desires and sexuality are beyond the boundaries prescribed on her body through centuries of gendered colonialism. </w:t>
      </w:r>
    </w:p>
    <w:p w:rsidR="00030ACD" w:rsidRPr="00087A72" w:rsidRDefault="00030ACD" w:rsidP="00030ACD">
      <w:pPr>
        <w:pStyle w:val="Heading4"/>
        <w:rPr>
          <w:rFonts w:cstheme="majorHAnsi"/>
        </w:rPr>
      </w:pPr>
      <w:r w:rsidRPr="00087A72">
        <w:rPr>
          <w:rFonts w:cstheme="majorHAnsi"/>
        </w:rPr>
        <w:t>Thus, refuse the affirmative as an ethical confrontation with catastrophe that functions as an affirmation of the affective vulnerability of the present. Only through confronting genocide not as a historical event or one impact amongst others, but as ongoing catastrophe imminent to settler subjectivity can disrupt the arborescent form of the Settler scaled from the world down to the individual.</w:t>
      </w:r>
    </w:p>
    <w:p w:rsidR="00030ACD" w:rsidRPr="00087A72" w:rsidRDefault="00030ACD" w:rsidP="00030ACD">
      <w:pPr>
        <w:rPr>
          <w:rFonts w:cstheme="majorHAnsi"/>
        </w:rPr>
      </w:pPr>
      <w:r w:rsidRPr="00087A72">
        <w:rPr>
          <w:rStyle w:val="Style13ptBold"/>
          <w:rFonts w:cstheme="majorHAnsi"/>
        </w:rPr>
        <w:t>Kouri and Skott-Myhre 15</w:t>
      </w:r>
      <w:r w:rsidRPr="00087A72">
        <w:rPr>
          <w:rFonts w:cstheme="majorHAnsi"/>
        </w:rPr>
        <w:t xml:space="preserve"> (Scott and Hans, “Catastrophe: a transversal mapping of colonialism and settler subjectivity,” Settler Colonial Studies, Issue Number, No. 3, pp. 12-13)//vikas</w:t>
      </w:r>
    </w:p>
    <w:p w:rsidR="00030ACD" w:rsidRPr="00087A72" w:rsidRDefault="00030ACD" w:rsidP="00030ACD">
      <w:pPr>
        <w:rPr>
          <w:rFonts w:cstheme="majorHAnsi"/>
          <w:sz w:val="16"/>
        </w:rPr>
      </w:pPr>
      <w:r w:rsidRPr="00087A72">
        <w:rPr>
          <w:rFonts w:cstheme="majorHAnsi"/>
          <w:sz w:val="16"/>
        </w:rPr>
        <w:t xml:space="preserve">Deleuze and Guattari’s conceptualization of catastrophe juxtaposes two senses of the word, the representational and the actual. </w:t>
      </w:r>
      <w:r w:rsidRPr="00087A72">
        <w:rPr>
          <w:rFonts w:cstheme="majorHAnsi"/>
          <w:b/>
          <w:u w:val="single"/>
        </w:rPr>
        <w:t>Representing catastrophe as an abstract or historic occurrence distances us from its effects, while recreating ourselves as expressions of catastrophe allows it to function as an actual present.</w:t>
      </w:r>
      <w:r w:rsidRPr="00087A72">
        <w:rPr>
          <w:rFonts w:cstheme="majorHAnsi"/>
          <w:sz w:val="16"/>
        </w:rPr>
        <w:t xml:space="preserve"> It is </w:t>
      </w:r>
      <w:r w:rsidRPr="00087A72">
        <w:rPr>
          <w:rFonts w:cstheme="majorHAnsi"/>
          <w:b/>
          <w:u w:val="single"/>
        </w:rPr>
        <w:t>through a sobering acknowledgment of the present as a state of catastrophe</w:t>
      </w:r>
      <w:r w:rsidRPr="00087A72">
        <w:rPr>
          <w:rFonts w:cstheme="majorHAnsi"/>
          <w:sz w:val="16"/>
        </w:rPr>
        <w:t xml:space="preserve"> – an admission that takes up history in our current spatial, corporeal, and conceptual makeup – </w:t>
      </w:r>
      <w:r w:rsidRPr="00087A72">
        <w:rPr>
          <w:rFonts w:cstheme="majorHAnsi"/>
          <w:b/>
          <w:u w:val="single"/>
        </w:rPr>
        <w:t>and an endurance of the shame and anger that accompanies such</w:t>
      </w:r>
      <w:r w:rsidRPr="00087A72">
        <w:rPr>
          <w:rFonts w:cstheme="majorHAnsi"/>
          <w:sz w:val="16"/>
        </w:rPr>
        <w:t xml:space="preserve"> a revulsive </w:t>
      </w:r>
      <w:r w:rsidRPr="00087A72">
        <w:rPr>
          <w:rFonts w:cstheme="majorHAnsi"/>
          <w:b/>
          <w:u w:val="single"/>
        </w:rPr>
        <w:t>analysis that new ethical subjectivities can be forged.</w:t>
      </w:r>
      <w:r w:rsidRPr="00087A72">
        <w:rPr>
          <w:rFonts w:cstheme="majorHAnsi"/>
          <w:sz w:val="16"/>
        </w:rPr>
        <w:t xml:space="preserve"> A </w:t>
      </w:r>
      <w:r w:rsidRPr="00087A72">
        <w:rPr>
          <w:rFonts w:cstheme="majorHAnsi"/>
          <w:b/>
          <w:u w:val="single"/>
        </w:rPr>
        <w:t>yes-saying to the present</w:t>
      </w:r>
      <w:r w:rsidRPr="00087A72">
        <w:rPr>
          <w:rFonts w:cstheme="majorHAnsi"/>
          <w:sz w:val="16"/>
        </w:rPr>
        <w:t xml:space="preserve">, to </w:t>
      </w:r>
      <w:r w:rsidRPr="00087A72">
        <w:rPr>
          <w:rFonts w:cstheme="majorHAnsi"/>
          <w:b/>
          <w:u w:val="single"/>
        </w:rPr>
        <w:t>all of the present</w:t>
      </w:r>
      <w:r w:rsidRPr="00087A72">
        <w:rPr>
          <w:rFonts w:cstheme="majorHAnsi"/>
          <w:sz w:val="16"/>
        </w:rPr>
        <w:t xml:space="preserve">, </w:t>
      </w:r>
      <w:r w:rsidRPr="00087A72">
        <w:rPr>
          <w:rFonts w:cstheme="majorHAnsi"/>
          <w:b/>
          <w:u w:val="single"/>
        </w:rPr>
        <w:t>moves beyond</w:t>
      </w:r>
      <w:r w:rsidRPr="00087A72">
        <w:rPr>
          <w:rFonts w:cstheme="majorHAnsi"/>
          <w:sz w:val="16"/>
        </w:rPr>
        <w:t xml:space="preserve"> an </w:t>
      </w:r>
      <w:r w:rsidRPr="00087A72">
        <w:rPr>
          <w:rFonts w:cstheme="majorHAnsi"/>
          <w:b/>
          <w:u w:val="single"/>
        </w:rPr>
        <w:t>acceptance of things as they are and affirms all that could be</w:t>
      </w:r>
      <w:r w:rsidRPr="00087A72">
        <w:rPr>
          <w:rFonts w:cstheme="majorHAnsi"/>
          <w:sz w:val="16"/>
        </w:rPr>
        <w:t xml:space="preserve">, since </w:t>
      </w:r>
      <w:r w:rsidRPr="00087A72">
        <w:rPr>
          <w:rFonts w:cstheme="majorHAnsi"/>
          <w:b/>
          <w:u w:val="single"/>
        </w:rPr>
        <w:t>the actual is not what we are but</w:t>
      </w:r>
      <w:r w:rsidRPr="00087A72">
        <w:rPr>
          <w:rFonts w:cstheme="majorHAnsi"/>
          <w:sz w:val="16"/>
        </w:rPr>
        <w:t xml:space="preserve">, rather, </w:t>
      </w:r>
      <w:r w:rsidRPr="00087A72">
        <w:rPr>
          <w:rFonts w:cstheme="majorHAnsi"/>
          <w:b/>
          <w:u w:val="single"/>
        </w:rPr>
        <w:t>what we become</w:t>
      </w:r>
      <w:r w:rsidRPr="00087A72">
        <w:rPr>
          <w:rFonts w:cstheme="majorHAnsi"/>
          <w:sz w:val="16"/>
        </w:rPr>
        <w:t xml:space="preserve">, </w:t>
      </w:r>
      <w:r w:rsidRPr="00087A72">
        <w:rPr>
          <w:rFonts w:cstheme="majorHAnsi"/>
          <w:b/>
          <w:u w:val="single"/>
        </w:rPr>
        <w:t>what we are in the process of becoming</w:t>
      </w:r>
      <w:r w:rsidRPr="00087A72">
        <w:rPr>
          <w:rFonts w:cstheme="majorHAnsi"/>
          <w:sz w:val="16"/>
        </w:rPr>
        <w:t xml:space="preserve"> – that is to say, the Other, our becoming-other. </w:t>
      </w:r>
      <w:r w:rsidRPr="00087A72">
        <w:rPr>
          <w:rFonts w:cstheme="majorHAnsi"/>
          <w:b/>
          <w:u w:val="single"/>
        </w:rPr>
        <w:t>The present</w:t>
      </w:r>
      <w:r w:rsidRPr="00087A72">
        <w:rPr>
          <w:rFonts w:cstheme="majorHAnsi"/>
          <w:sz w:val="16"/>
        </w:rPr>
        <w:t xml:space="preserve">, on the contrary, </w:t>
      </w:r>
      <w:r w:rsidRPr="00087A72">
        <w:rPr>
          <w:rFonts w:cstheme="majorHAnsi"/>
          <w:b/>
          <w:u w:val="single"/>
        </w:rPr>
        <w:t>is what we are and, thereby, what already we are ceasing to be.</w:t>
      </w:r>
      <w:r w:rsidRPr="00087A72">
        <w:rPr>
          <w:rFonts w:cstheme="majorHAnsi"/>
          <w:sz w:val="16"/>
        </w:rPr>
        <w:t xml:space="preserve">58 To be clear, </w:t>
      </w:r>
      <w:r w:rsidRPr="00087A72">
        <w:rPr>
          <w:rStyle w:val="Emphasis"/>
          <w:rFonts w:cstheme="majorHAnsi"/>
        </w:rPr>
        <w:t>affirmation is not an acceptance of the way things are nor a hopeful projection of a future predicated on growth-oriented investments</w:t>
      </w:r>
      <w:r w:rsidRPr="00087A72">
        <w:rPr>
          <w:rFonts w:cstheme="majorHAnsi"/>
          <w:sz w:val="16"/>
        </w:rPr>
        <w:t xml:space="preserve"> in security, accumulation, and comfort, </w:t>
      </w:r>
      <w:r w:rsidRPr="00087A72">
        <w:rPr>
          <w:rStyle w:val="Emphasis"/>
          <w:rFonts w:cstheme="majorHAnsi"/>
        </w:rPr>
        <w:t>but a view of temporality as dynamic dependency and affective and corporeal vulnerability.</w:t>
      </w:r>
      <w:r w:rsidRPr="00087A72">
        <w:rPr>
          <w:rFonts w:cstheme="majorHAnsi"/>
          <w:sz w:val="16"/>
        </w:rPr>
        <w:t xml:space="preserve"> Our </w:t>
      </w:r>
      <w:r w:rsidRPr="00087A72">
        <w:rPr>
          <w:rFonts w:cstheme="majorHAnsi"/>
          <w:b/>
          <w:u w:val="single"/>
        </w:rPr>
        <w:t>present</w:t>
      </w:r>
      <w:r w:rsidRPr="00087A72">
        <w:rPr>
          <w:rFonts w:cstheme="majorHAnsi"/>
          <w:sz w:val="16"/>
        </w:rPr>
        <w:t xml:space="preserve"> is here </w:t>
      </w:r>
      <w:r w:rsidRPr="00087A72">
        <w:rPr>
          <w:rFonts w:cstheme="majorHAnsi"/>
          <w:b/>
          <w:u w:val="single"/>
        </w:rPr>
        <w:t>recast as our very undoing</w:t>
      </w:r>
      <w:r w:rsidRPr="00087A72">
        <w:rPr>
          <w:rFonts w:cstheme="majorHAnsi"/>
          <w:sz w:val="16"/>
        </w:rPr>
        <w:t xml:space="preserve">; it is </w:t>
      </w:r>
      <w:r w:rsidRPr="00087A72">
        <w:rPr>
          <w:rFonts w:cstheme="majorHAnsi"/>
          <w:b/>
          <w:u w:val="single"/>
        </w:rPr>
        <w:t>a present of living relations that is in a perpetual state of change.</w:t>
      </w:r>
      <w:r w:rsidRPr="00087A72">
        <w:rPr>
          <w:rFonts w:cstheme="majorHAnsi"/>
          <w:sz w:val="16"/>
        </w:rPr>
        <w:t xml:space="preserve"> The present is a ceaseless flow of becoming that </w:t>
      </w:r>
      <w:r w:rsidRPr="00087A72">
        <w:rPr>
          <w:rFonts w:cstheme="majorHAnsi"/>
          <w:b/>
          <w:u w:val="single"/>
        </w:rPr>
        <w:t>undermines a settled identity.</w:t>
      </w:r>
      <w:r w:rsidRPr="00087A72">
        <w:rPr>
          <w:rFonts w:cstheme="majorHAnsi"/>
          <w:sz w:val="16"/>
        </w:rPr>
        <w:t xml:space="preserve"> Concerns with settler subjectivity as an abstract entity continue to withdraw us from the living present in which we are composed through our relationships. What this means for us is that </w:t>
      </w:r>
      <w:r w:rsidRPr="00087A72">
        <w:rPr>
          <w:rFonts w:cstheme="majorHAnsi"/>
          <w:b/>
          <w:u w:val="single"/>
        </w:rPr>
        <w:t>rather than ask who or what we are, we must ask about our capacities and relationships. What has been foreclosed through</w:t>
      </w:r>
      <w:r w:rsidRPr="00087A72">
        <w:rPr>
          <w:rFonts w:cstheme="majorHAnsi"/>
          <w:sz w:val="16"/>
        </w:rPr>
        <w:t xml:space="preserve"> the </w:t>
      </w:r>
      <w:r w:rsidRPr="00087A72">
        <w:rPr>
          <w:rFonts w:cstheme="majorHAnsi"/>
          <w:b/>
          <w:u w:val="single"/>
        </w:rPr>
        <w:t>separations, closures, and biopolitics</w:t>
      </w:r>
      <w:r w:rsidRPr="00087A72">
        <w:rPr>
          <w:rFonts w:cstheme="majorHAnsi"/>
          <w:sz w:val="16"/>
        </w:rPr>
        <w:t xml:space="preserve"> of settler colonialism? What might still be extractable through vulnerability, endurance, sobriety, and confrontation with catastrophe? Who do we become when representations, repressions, and negative affects are transformed into positive affects and action? </w:t>
      </w:r>
      <w:r w:rsidRPr="00087A72">
        <w:rPr>
          <w:rFonts w:cstheme="majorHAnsi"/>
          <w:b/>
          <w:u w:val="single"/>
        </w:rPr>
        <w:t>The violence of settler colonialism</w:t>
      </w:r>
      <w:r w:rsidRPr="00087A72">
        <w:rPr>
          <w:rFonts w:cstheme="majorHAnsi"/>
          <w:sz w:val="16"/>
        </w:rPr>
        <w:t>, as Tuck and Yang insist, ‘</w:t>
      </w:r>
      <w:r w:rsidRPr="00087A72">
        <w:rPr>
          <w:rFonts w:cstheme="majorHAnsi"/>
          <w:b/>
          <w:u w:val="single"/>
        </w:rPr>
        <w:t>is not temporally contained in the arrival of the settler but</w:t>
      </w:r>
      <w:r w:rsidRPr="00087A72">
        <w:rPr>
          <w:rFonts w:cstheme="majorHAnsi"/>
          <w:sz w:val="16"/>
        </w:rPr>
        <w:t xml:space="preserve"> is </w:t>
      </w:r>
      <w:r w:rsidRPr="00087A72">
        <w:rPr>
          <w:rFonts w:cstheme="majorHAnsi"/>
          <w:b/>
          <w:u w:val="single"/>
        </w:rPr>
        <w:t>reasserted each day of occupation</w:t>
      </w:r>
      <w:r w:rsidRPr="00087A72">
        <w:rPr>
          <w:rFonts w:cstheme="majorHAnsi"/>
          <w:sz w:val="16"/>
        </w:rPr>
        <w:t xml:space="preserve">’, 59 </w:t>
      </w:r>
      <w:r w:rsidRPr="00087A72">
        <w:rPr>
          <w:rStyle w:val="Emphasis"/>
          <w:rFonts w:cstheme="majorHAnsi"/>
        </w:rPr>
        <w:t>yet we argue that we have to resist the belief that the current state of affairs and its</w:t>
      </w:r>
      <w:r w:rsidRPr="00087A72">
        <w:rPr>
          <w:rFonts w:cstheme="majorHAnsi"/>
          <w:sz w:val="16"/>
        </w:rPr>
        <w:t xml:space="preserve"> sets of </w:t>
      </w:r>
      <w:r w:rsidRPr="00087A72">
        <w:rPr>
          <w:rStyle w:val="Emphasis"/>
          <w:rFonts w:cstheme="majorHAnsi"/>
        </w:rPr>
        <w:t>relations are the only possible ones.</w:t>
      </w:r>
      <w:r w:rsidRPr="00087A72">
        <w:rPr>
          <w:rFonts w:cstheme="majorHAnsi"/>
          <w:sz w:val="16"/>
        </w:rPr>
        <w:t xml:space="preserve"> While acknowledging that decolonization is specifically about the restitution of Indigenous lands,60 </w:t>
      </w:r>
      <w:r w:rsidRPr="00087A72">
        <w:rPr>
          <w:rFonts w:cstheme="majorHAnsi"/>
          <w:b/>
          <w:u w:val="single"/>
        </w:rPr>
        <w:t>we persist in considering that undoing the colonial mind and its apparatus is important in reconfiguring</w:t>
      </w:r>
      <w:r w:rsidRPr="00087A72">
        <w:rPr>
          <w:rFonts w:cstheme="majorHAnsi"/>
          <w:sz w:val="16"/>
        </w:rPr>
        <w:t xml:space="preserve"> contemporary </w:t>
      </w:r>
      <w:r w:rsidRPr="00087A72">
        <w:rPr>
          <w:rFonts w:cstheme="majorHAnsi"/>
          <w:b/>
          <w:u w:val="single"/>
        </w:rPr>
        <w:t>relations and developing a new society. We are</w:t>
      </w:r>
      <w:r w:rsidRPr="00087A72">
        <w:rPr>
          <w:rFonts w:cstheme="majorHAnsi"/>
          <w:sz w:val="16"/>
        </w:rPr>
        <w:t xml:space="preserve"> not asking our fellow settlers to leave their homes to join the anticolonial revolution, but </w:t>
      </w:r>
      <w:r w:rsidRPr="00087A72">
        <w:rPr>
          <w:rFonts w:cstheme="majorHAnsi"/>
          <w:b/>
          <w:u w:val="single"/>
        </w:rPr>
        <w:t>suggesting</w:t>
      </w:r>
      <w:r w:rsidRPr="00087A72">
        <w:rPr>
          <w:rFonts w:cstheme="majorHAnsi"/>
          <w:sz w:val="16"/>
        </w:rPr>
        <w:t xml:space="preserve"> precisely </w:t>
      </w:r>
      <w:r w:rsidRPr="00087A72">
        <w:rPr>
          <w:rFonts w:cstheme="majorHAnsi"/>
          <w:b/>
          <w:u w:val="single"/>
        </w:rPr>
        <w:t xml:space="preserve">the opposite: </w:t>
      </w:r>
      <w:r w:rsidRPr="00087A72">
        <w:rPr>
          <w:rStyle w:val="Emphasis"/>
          <w:rFonts w:cstheme="majorHAnsi"/>
        </w:rPr>
        <w:t>to make your home and life the revolution itself.</w:t>
      </w:r>
      <w:r w:rsidRPr="00087A72">
        <w:rPr>
          <w:rFonts w:cstheme="majorHAnsi"/>
          <w:sz w:val="16"/>
        </w:rPr>
        <w:t xml:space="preserve"> We are seeking </w:t>
      </w:r>
      <w:r w:rsidRPr="00087A72">
        <w:rPr>
          <w:rFonts w:cstheme="majorHAnsi"/>
          <w:b/>
          <w:u w:val="single"/>
        </w:rPr>
        <w:t>ways of being radically present on Indigenous territory, a radicality that undermines the state, Western identity formations, and settler futures.</w:t>
      </w:r>
      <w:r w:rsidRPr="00087A72">
        <w:rPr>
          <w:rFonts w:cstheme="majorHAnsi"/>
          <w:sz w:val="16"/>
        </w:rPr>
        <w:t xml:space="preserve"> And because colonialism and capitalism have always been at least partially successful of recuperating revolutionary modes of production this process must be ongoing and specific to circumstance. We are interested in the production of </w:t>
      </w:r>
      <w:r w:rsidRPr="00087A72">
        <w:rPr>
          <w:rFonts w:cstheme="majorHAnsi"/>
          <w:b/>
          <w:u w:val="single"/>
        </w:rPr>
        <w:t>subjectivities that are not founded on binaries between who we are and who we are not</w:t>
      </w:r>
      <w:r w:rsidRPr="00087A72">
        <w:rPr>
          <w:rFonts w:cstheme="majorHAnsi"/>
          <w:sz w:val="16"/>
        </w:rPr>
        <w:t xml:space="preserve"> – </w:t>
      </w:r>
      <w:r w:rsidRPr="00087A72">
        <w:rPr>
          <w:rStyle w:val="Emphasis"/>
          <w:rFonts w:cstheme="majorHAnsi"/>
        </w:rPr>
        <w:t>without</w:t>
      </w:r>
      <w:r w:rsidRPr="00087A72">
        <w:rPr>
          <w:rFonts w:cstheme="majorHAnsi"/>
          <w:sz w:val="16"/>
        </w:rPr>
        <w:t xml:space="preserve">, of course, </w:t>
      </w:r>
      <w:r w:rsidRPr="00087A72">
        <w:rPr>
          <w:rStyle w:val="Emphasis"/>
          <w:rFonts w:cstheme="majorHAnsi"/>
        </w:rPr>
        <w:t>interfering with Indigenous politics of identity or ignoring differential distributions of injustice</w:t>
      </w:r>
      <w:r w:rsidRPr="00087A72">
        <w:rPr>
          <w:rFonts w:cstheme="majorHAnsi"/>
          <w:sz w:val="16"/>
        </w:rPr>
        <w:t xml:space="preserve"> and violence </w:t>
      </w:r>
      <w:r w:rsidRPr="00087A72">
        <w:rPr>
          <w:rStyle w:val="Emphasis"/>
          <w:rFonts w:cstheme="majorHAnsi"/>
        </w:rPr>
        <w:t>based on identity.</w:t>
      </w:r>
      <w:r w:rsidRPr="00087A72">
        <w:rPr>
          <w:rFonts w:cstheme="majorHAnsi"/>
          <w:sz w:val="16"/>
        </w:rPr>
        <w:t xml:space="preserve"> We want to move </w:t>
      </w:r>
      <w:r w:rsidRPr="00087A72">
        <w:rPr>
          <w:rFonts w:cstheme="majorHAnsi"/>
          <w:b/>
          <w:u w:val="single"/>
        </w:rPr>
        <w:t xml:space="preserve">from rigid settler identities toward processes of </w:t>
      </w:r>
      <w:r w:rsidRPr="00087A72">
        <w:rPr>
          <w:rStyle w:val="Emphasis"/>
          <w:rFonts w:cstheme="majorHAnsi"/>
        </w:rPr>
        <w:t>subjectification based on who and what we are related to, including humans, plants, minerals, waters, and stars</w:t>
      </w:r>
      <w:r w:rsidRPr="00087A72">
        <w:rPr>
          <w:rFonts w:cstheme="majorHAnsi"/>
          <w:b/>
          <w:u w:val="single"/>
        </w:rPr>
        <w:t>. We seek to undo dialectical thinking and recognize the singularity of every existent outside state taxonomy and organizational</w:t>
      </w:r>
      <w:r w:rsidRPr="00087A72">
        <w:rPr>
          <w:rFonts w:cstheme="majorHAnsi"/>
          <w:sz w:val="16"/>
        </w:rPr>
        <w:t xml:space="preserve"> system. As Deleuze writes, the Spinozan principle asserts that </w:t>
      </w:r>
      <w:r w:rsidRPr="00087A72">
        <w:rPr>
          <w:rFonts w:cstheme="majorHAnsi"/>
          <w:b/>
          <w:u w:val="single"/>
        </w:rPr>
        <w:t xml:space="preserve">negation is nothing, because </w:t>
      </w:r>
      <w:r w:rsidRPr="00087A72">
        <w:rPr>
          <w:rFonts w:cstheme="majorHAnsi"/>
          <w:sz w:val="16"/>
        </w:rPr>
        <w:t xml:space="preserve">absolutely </w:t>
      </w:r>
      <w:r w:rsidRPr="00087A72">
        <w:rPr>
          <w:rFonts w:cstheme="majorHAnsi"/>
          <w:b/>
          <w:u w:val="single"/>
        </w:rPr>
        <w:t>nothing</w:t>
      </w:r>
      <w:r w:rsidRPr="00087A72">
        <w:rPr>
          <w:rFonts w:cstheme="majorHAnsi"/>
          <w:sz w:val="16"/>
        </w:rPr>
        <w:t xml:space="preserve"> ever </w:t>
      </w:r>
      <w:r w:rsidRPr="00087A72">
        <w:rPr>
          <w:rFonts w:cstheme="majorHAnsi"/>
          <w:b/>
          <w:u w:val="single"/>
        </w:rPr>
        <w:t>lacks anything. Negation is a being of reason</w:t>
      </w:r>
      <w:r w:rsidRPr="00087A72">
        <w:rPr>
          <w:rFonts w:cstheme="majorHAnsi"/>
          <w:sz w:val="16"/>
        </w:rPr>
        <w:t xml:space="preserve">, or rather of comparison, </w:t>
      </w:r>
      <w:r w:rsidRPr="00087A72">
        <w:rPr>
          <w:rFonts w:cstheme="majorHAnsi"/>
          <w:b/>
          <w:u w:val="single"/>
        </w:rPr>
        <w:t>which results from our grouping together</w:t>
      </w:r>
      <w:r w:rsidRPr="00087A72">
        <w:rPr>
          <w:rFonts w:cstheme="majorHAnsi"/>
          <w:sz w:val="16"/>
        </w:rPr>
        <w:t xml:space="preserve"> all sorts </w:t>
      </w:r>
      <w:r w:rsidRPr="00087A72">
        <w:rPr>
          <w:rFonts w:cstheme="majorHAnsi"/>
          <w:b/>
          <w:u w:val="single"/>
        </w:rPr>
        <w:t>of distinct beings so as to refer them to one and the same fictitious ideal</w:t>
      </w:r>
      <w:r w:rsidRPr="00087A72">
        <w:rPr>
          <w:rFonts w:cstheme="majorHAnsi"/>
          <w:sz w:val="16"/>
        </w:rPr>
        <w:t xml:space="preserve">, in the name of which we say that one or another of them falls short of the ideal.61 The concepts of identity and lack in the colonial project are used to organize difference and diversity into dichotomies or taxonomies. </w:t>
      </w:r>
      <w:r w:rsidRPr="00087A72">
        <w:rPr>
          <w:rFonts w:cstheme="majorHAnsi"/>
          <w:b/>
          <w:u w:val="single"/>
        </w:rPr>
        <w:t>Categories and subcategories of difference are</w:t>
      </w:r>
      <w:r w:rsidRPr="00087A72">
        <w:rPr>
          <w:rFonts w:cstheme="majorHAnsi"/>
          <w:sz w:val="16"/>
        </w:rPr>
        <w:t xml:space="preserve">, without exception, </w:t>
      </w:r>
      <w:r w:rsidRPr="00087A72">
        <w:rPr>
          <w:rFonts w:cstheme="majorHAnsi"/>
          <w:b/>
          <w:u w:val="single"/>
        </w:rPr>
        <w:t>hierarchical and saturated in power relations</w:t>
      </w:r>
      <w:r w:rsidRPr="00087A72">
        <w:rPr>
          <w:rFonts w:cstheme="majorHAnsi"/>
          <w:sz w:val="16"/>
        </w:rPr>
        <w:t xml:space="preserve">, where to be </w:t>
      </w:r>
      <w:r w:rsidRPr="00087A72">
        <w:rPr>
          <w:rFonts w:cstheme="majorHAnsi"/>
          <w:b/>
          <w:u w:val="single"/>
        </w:rPr>
        <w:t>identified with</w:t>
      </w:r>
      <w:r w:rsidRPr="00087A72">
        <w:rPr>
          <w:rFonts w:cstheme="majorHAnsi"/>
          <w:sz w:val="16"/>
        </w:rPr>
        <w:t xml:space="preserve"> or different from is inextricably tied to </w:t>
      </w:r>
      <w:r w:rsidRPr="00087A72">
        <w:rPr>
          <w:rFonts w:cstheme="majorHAnsi"/>
          <w:b/>
          <w:u w:val="single"/>
        </w:rPr>
        <w:t>access, affordances, and annulments.</w:t>
      </w:r>
      <w:r w:rsidRPr="00087A72">
        <w:rPr>
          <w:rFonts w:cstheme="majorHAnsi"/>
          <w:sz w:val="16"/>
        </w:rPr>
        <w:t xml:space="preserve"> In Spinoza and Deleuze, </w:t>
      </w:r>
      <w:r w:rsidRPr="00087A72">
        <w:rPr>
          <w:rStyle w:val="Emphasis"/>
          <w:rFonts w:cstheme="majorHAnsi"/>
        </w:rPr>
        <w:t>alternatively, difference is immanent to life and</w:t>
      </w:r>
      <w:r w:rsidRPr="00087A72">
        <w:rPr>
          <w:rFonts w:cstheme="majorHAnsi"/>
          <w:sz w:val="16"/>
        </w:rPr>
        <w:t xml:space="preserve"> the </w:t>
      </w:r>
      <w:r w:rsidRPr="00087A72">
        <w:rPr>
          <w:rStyle w:val="Emphasis"/>
          <w:rFonts w:cstheme="majorHAnsi"/>
        </w:rPr>
        <w:t>affirmation of distinctiveness and singularity have the capacity to break up transcendent systems of organization.</w:t>
      </w:r>
      <w:r w:rsidRPr="00087A72">
        <w:rPr>
          <w:rFonts w:cstheme="majorHAnsi"/>
          <w:sz w:val="16"/>
        </w:rPr>
        <w:t xml:space="preserve"> Deleuze proposes that </w:t>
      </w:r>
      <w:r w:rsidRPr="00087A72">
        <w:rPr>
          <w:rFonts w:cstheme="majorHAnsi"/>
          <w:b/>
          <w:u w:val="single"/>
        </w:rPr>
        <w:t>catastrophe offers a new right to thought that can open up transcendence in such a way that one can actually apprehend</w:t>
      </w:r>
      <w:r w:rsidRPr="00087A72">
        <w:rPr>
          <w:rFonts w:cstheme="majorHAnsi"/>
          <w:sz w:val="16"/>
        </w:rPr>
        <w:t xml:space="preserve">, in at least an instance, </w:t>
      </w:r>
      <w:r w:rsidRPr="00087A72">
        <w:rPr>
          <w:rFonts w:cstheme="majorHAnsi"/>
          <w:b/>
          <w:u w:val="single"/>
        </w:rPr>
        <w:t>the whole of life as a system of interconnected forces and flows</w:t>
      </w:r>
      <w:r w:rsidRPr="00087A72">
        <w:rPr>
          <w:rFonts w:cstheme="majorHAnsi"/>
          <w:sz w:val="16"/>
        </w:rPr>
        <w:t xml:space="preserve">. This thought of </w:t>
      </w:r>
      <w:r w:rsidRPr="00087A72">
        <w:rPr>
          <w:rFonts w:cstheme="majorHAnsi"/>
          <w:b/>
          <w:u w:val="single"/>
        </w:rPr>
        <w:t xml:space="preserve">immanence is particularly useful to apprehend how colonialism naturalizes hierarchy and attempts to repress </w:t>
      </w:r>
      <w:r w:rsidRPr="00087A72">
        <w:rPr>
          <w:rFonts w:cstheme="majorHAnsi"/>
          <w:sz w:val="16"/>
        </w:rPr>
        <w:t xml:space="preserve">the infinitely </w:t>
      </w:r>
      <w:r w:rsidRPr="00087A72">
        <w:rPr>
          <w:rFonts w:cstheme="majorHAnsi"/>
          <w:b/>
          <w:u w:val="single"/>
        </w:rPr>
        <w:t>diverse</w:t>
      </w:r>
      <w:r w:rsidRPr="00087A72">
        <w:rPr>
          <w:rFonts w:cstheme="majorHAnsi"/>
          <w:sz w:val="16"/>
        </w:rPr>
        <w:t xml:space="preserve"> ways that the flows and </w:t>
      </w:r>
      <w:r w:rsidRPr="00087A72">
        <w:rPr>
          <w:rFonts w:cstheme="majorHAnsi"/>
          <w:b/>
          <w:u w:val="single"/>
        </w:rPr>
        <w:t>forces of life</w:t>
      </w:r>
      <w:r w:rsidRPr="00087A72">
        <w:rPr>
          <w:rFonts w:cstheme="majorHAnsi"/>
          <w:sz w:val="16"/>
        </w:rPr>
        <w:t xml:space="preserve"> continually reassemble. </w:t>
      </w:r>
      <w:r w:rsidRPr="00087A72">
        <w:rPr>
          <w:rStyle w:val="Emphasis"/>
          <w:rFonts w:cstheme="majorHAnsi"/>
        </w:rPr>
        <w:t>The quest is not to see any difference, but to see difference in itself – the complete singularity of an existent without reference to what it is not</w:t>
      </w:r>
      <w:r w:rsidRPr="00087A72">
        <w:rPr>
          <w:rFonts w:cstheme="majorHAnsi"/>
          <w:sz w:val="16"/>
        </w:rPr>
        <w:t xml:space="preserve">, what it lacks, </w:t>
      </w:r>
      <w:r w:rsidRPr="00087A72">
        <w:rPr>
          <w:rStyle w:val="Emphasis"/>
          <w:rFonts w:cstheme="majorHAnsi"/>
        </w:rPr>
        <w:t>or to any other set of abstract codes.</w:t>
      </w:r>
      <w:r w:rsidRPr="00087A72">
        <w:rPr>
          <w:rFonts w:cstheme="majorHAnsi"/>
          <w:b/>
          <w:sz w:val="16"/>
        </w:rPr>
        <w:t xml:space="preserve"> </w:t>
      </w:r>
      <w:r w:rsidRPr="00087A72">
        <w:rPr>
          <w:rFonts w:cstheme="majorHAnsi"/>
          <w:b/>
          <w:u w:val="single"/>
        </w:rPr>
        <w:t>Such a thought better sensitizes us to apprehending how current social structures and rationality work</w:t>
      </w:r>
      <w:r w:rsidRPr="00087A72">
        <w:rPr>
          <w:rFonts w:cstheme="majorHAnsi"/>
          <w:sz w:val="16"/>
        </w:rPr>
        <w:t xml:space="preserve"> to organize, prevent, extract, and control the living flows. Furthermore, </w:t>
      </w:r>
      <w:r w:rsidRPr="00087A72">
        <w:rPr>
          <w:rFonts w:cstheme="majorHAnsi"/>
          <w:b/>
          <w:u w:val="single"/>
        </w:rPr>
        <w:t>it allows us to glimpse the processes at work in the formation of our own subjectivities. We are not proposing</w:t>
      </w:r>
      <w:r w:rsidRPr="00087A72">
        <w:rPr>
          <w:rFonts w:cstheme="majorHAnsi"/>
          <w:sz w:val="16"/>
        </w:rPr>
        <w:t xml:space="preserve"> here that </w:t>
      </w:r>
      <w:r w:rsidRPr="00087A72">
        <w:rPr>
          <w:rFonts w:cstheme="majorHAnsi"/>
          <w:b/>
          <w:u w:val="single"/>
        </w:rPr>
        <w:t>living in immanence is an option.</w:t>
      </w:r>
      <w:r w:rsidRPr="00087A72">
        <w:rPr>
          <w:rFonts w:cstheme="majorHAnsi"/>
          <w:sz w:val="16"/>
        </w:rPr>
        <w:t xml:space="preserve"> </w:t>
      </w:r>
      <w:r w:rsidRPr="00087A72">
        <w:rPr>
          <w:rStyle w:val="Emphasis"/>
          <w:rFonts w:cstheme="majorHAnsi"/>
        </w:rPr>
        <w:t>We are proposing that life is immanence and that recognizing that fact can help us to map how the state, Western rationality, and settler subjects disfigure life</w:t>
      </w:r>
      <w:r w:rsidRPr="00087A72">
        <w:rPr>
          <w:rFonts w:cstheme="majorHAnsi"/>
          <w:sz w:val="16"/>
        </w:rPr>
        <w:t xml:space="preserve"> in order </w:t>
      </w:r>
      <w:r w:rsidRPr="00087A72">
        <w:rPr>
          <w:rStyle w:val="Emphasis"/>
          <w:rFonts w:cstheme="majorHAnsi"/>
        </w:rPr>
        <w:t>to extract from it what they need to extend themselves.</w:t>
      </w:r>
      <w:r w:rsidRPr="00087A72">
        <w:rPr>
          <w:rFonts w:cstheme="majorHAnsi"/>
          <w:sz w:val="16"/>
        </w:rPr>
        <w:t xml:space="preserve"> All transcendental, categorical, or universal settler principles are anathema to the immanent subjectivity that we are mapping here as their alternative. We therefore entirely reject the set of universal standards instituted, yet betrayed, in settler colonies by the state, church, and educational systems. We understand that the moralisms of the church, </w:t>
      </w:r>
      <w:r w:rsidRPr="00087A72">
        <w:rPr>
          <w:rFonts w:cstheme="majorHAnsi"/>
          <w:b/>
          <w:u w:val="single"/>
        </w:rPr>
        <w:t>the democratic promise of equality issued by the state</w:t>
      </w:r>
      <w:r w:rsidRPr="00087A72">
        <w:rPr>
          <w:rFonts w:cstheme="majorHAnsi"/>
          <w:sz w:val="16"/>
        </w:rPr>
        <w:t xml:space="preserve">, and the pseudo-science of the fields of anthropology, history, and psychiatry </w:t>
      </w:r>
      <w:r w:rsidRPr="00087A72">
        <w:rPr>
          <w:rFonts w:cstheme="majorHAnsi"/>
          <w:b/>
          <w:u w:val="single"/>
        </w:rPr>
        <w:t>are all founded on a transcendental image that has undermined Indigenous lives</w:t>
      </w:r>
      <w:r w:rsidRPr="00087A72">
        <w:rPr>
          <w:rFonts w:cstheme="majorHAnsi"/>
          <w:sz w:val="16"/>
        </w:rPr>
        <w:t xml:space="preserve"> and worldviews and marginalized immanent and revolutionary subjectivities. </w:t>
      </w:r>
      <w:r w:rsidRPr="00087A72">
        <w:rPr>
          <w:rStyle w:val="Emphasis"/>
          <w:rFonts w:cstheme="majorHAnsi"/>
        </w:rPr>
        <w:t>A new immanent settler subjectivity that rejects the dictates of a transcendental god, state, or knowledge moves toward an ethics of accountability</w:t>
      </w:r>
      <w:r w:rsidRPr="00087A72">
        <w:rPr>
          <w:rFonts w:cstheme="majorHAnsi"/>
          <w:sz w:val="16"/>
        </w:rPr>
        <w:t xml:space="preserve"> to the immanent relations that constitute it. </w:t>
      </w:r>
      <w:r w:rsidRPr="00087A72">
        <w:rPr>
          <w:rFonts w:cstheme="majorHAnsi"/>
          <w:b/>
          <w:u w:val="single"/>
        </w:rPr>
        <w:t xml:space="preserve">We seek to dislodge ourselves from the dominant power and change the effects of that power toward a collective community building and immanent auto-productivity. </w:t>
      </w:r>
      <w:r w:rsidRPr="00087A72">
        <w:rPr>
          <w:rStyle w:val="Emphasis"/>
          <w:rFonts w:cstheme="majorHAnsi"/>
        </w:rPr>
        <w:t>Such relationships</w:t>
      </w:r>
      <w:r w:rsidRPr="00087A72">
        <w:rPr>
          <w:rFonts w:cstheme="majorHAnsi"/>
          <w:sz w:val="16"/>
        </w:rPr>
        <w:t xml:space="preserve"> move alongside recognition politics by the state through laws and rights, but more critically </w:t>
      </w:r>
      <w:r w:rsidRPr="00087A72">
        <w:rPr>
          <w:rStyle w:val="Emphasis"/>
          <w:rFonts w:cstheme="majorHAnsi"/>
        </w:rPr>
        <w:t>act to undo the state’s power to subject others to rights and laws.</w:t>
      </w:r>
      <w:r w:rsidRPr="00087A72">
        <w:rPr>
          <w:rFonts w:cstheme="majorHAnsi"/>
          <w:sz w:val="16"/>
        </w:rPr>
        <w:t xml:space="preserve"> It is a call </w:t>
      </w:r>
      <w:r w:rsidRPr="00087A72">
        <w:rPr>
          <w:rStyle w:val="Emphasis"/>
          <w:rFonts w:cstheme="majorHAnsi"/>
        </w:rPr>
        <w:t>to rethink power, agency, and freedom through a situated accountability based on responsibility, allegiance, and affiliation.</w:t>
      </w:r>
      <w:r w:rsidRPr="00087A72">
        <w:rPr>
          <w:rFonts w:cstheme="majorHAnsi"/>
          <w:sz w:val="16"/>
        </w:rPr>
        <w:t xml:space="preserve"> Ethics here is about active forces and increasing relationality, affect, and capacity to act. It therefore calls for singularized mappings of power and responsible negotiations en route to a different world.</w:t>
      </w:r>
    </w:p>
    <w:p w:rsidR="00030ACD" w:rsidRPr="00087A72" w:rsidRDefault="00030ACD" w:rsidP="00030ACD">
      <w:pPr>
        <w:pStyle w:val="Heading4"/>
      </w:pPr>
      <w:r w:rsidRPr="00087A72">
        <w:t>Settler colonialism maintains itself through the everyday, repetitive acts of practices, presences, and speech acts. Loyalty to an ethic of decolonization requires a refusal of the affirmative as a repudiation of the Settler subject’s ongoing attempt to achieve the end of Indigenous life. Only by an iterative process of refusal can cultivate cracks in the Settler psyche.</w:t>
      </w:r>
    </w:p>
    <w:p w:rsidR="00030ACD" w:rsidRPr="00087A72" w:rsidRDefault="00030ACD" w:rsidP="00030ACD">
      <w:r w:rsidRPr="00087A72">
        <w:rPr>
          <w:rStyle w:val="Style13ptBold"/>
        </w:rPr>
        <w:t>Henderson 15</w:t>
      </w:r>
      <w:r w:rsidRPr="00087A72">
        <w:t xml:space="preserve"> (Phil, Doctoral Student at the University of Victoria "Imagoed communities: the psychosocial space of settler colonialism" Settler Colonial Studies DOI: 10.1080/2201473X.2015.1092194, pp. 10-14) NIJ</w:t>
      </w:r>
    </w:p>
    <w:p w:rsidR="00030ACD" w:rsidRPr="00087A72" w:rsidRDefault="00030ACD" w:rsidP="00030ACD">
      <w:pPr>
        <w:rPr>
          <w:sz w:val="12"/>
        </w:rPr>
      </w:pPr>
      <w:r w:rsidRPr="00087A72">
        <w:rPr>
          <w:sz w:val="12"/>
        </w:rPr>
        <w:t xml:space="preserve">Facing assertive indigenous presences within settler colonial spaces, </w:t>
      </w:r>
      <w:r w:rsidRPr="00087A72">
        <w:rPr>
          <w:rStyle w:val="Emphasis"/>
        </w:rPr>
        <w:t>settlers must answer the legitimate charge that their daily life – in all its banality – is predicated upon the privileges produced by ongoing genocide.</w:t>
      </w:r>
      <w:r w:rsidRPr="00087A72">
        <w:rPr>
          <w:sz w:val="12"/>
        </w:rPr>
        <w:t xml:space="preserve"> </w:t>
      </w:r>
      <w:r w:rsidRPr="00087A72">
        <w:rPr>
          <w:rStyle w:val="StyleUnderline"/>
        </w:rPr>
        <w:t>The jarring nature of such charges offers an irreconcilable challenge to settlers qua settlers.</w:t>
      </w:r>
      <w:r w:rsidRPr="00087A72">
        <w:rPr>
          <w:sz w:val="12"/>
        </w:rPr>
        <w:t xml:space="preserve">64 </w:t>
      </w:r>
      <w:r w:rsidRPr="00087A72">
        <w:rPr>
          <w:rStyle w:val="StyleUnderline"/>
        </w:rPr>
        <w:t>Should these charges become impossible to ignore, they threaten to explode the imago of settler colonialism, which had hitherto operated within the settler psyche in a relatively smooth and benign manner. This explosion is potentiated by the revelation of even a portion of the violence that is required to make settler life possible. If, for example, settlers are forced to see ‘their’ beach as a site of murder and ongoing colonization, it becomes more difficult to sustain it within the imaginary as a site of frivolity.</w:t>
      </w:r>
      <w:r w:rsidRPr="00087A72">
        <w:rPr>
          <w:sz w:val="12"/>
        </w:rPr>
        <w:t xml:space="preserve">65 As Brown writes, in the ‘loss of horizons, order, and identity’ the subject experiences a sense of enormous vulnerability.66 Threatened with this ‘loss of containment’, the settler subject embarks down the road to psychosis.67 Thus, to parlay Brown’s thesis to the settler colonial context, </w:t>
      </w:r>
      <w:r w:rsidRPr="00087A72">
        <w:rPr>
          <w:rStyle w:val="StyleUnderline"/>
        </w:rPr>
        <w:t>the uncontrollable rage that indigenous presences induce within the settler is not evidence of the strength of settlers, but rather of a subject lashing out on the brink of its own dissolution. This panic – this rabid and insatiable anger – is always already at the core of the settler as a subject.</w:t>
      </w:r>
      <w:r w:rsidRPr="00087A72">
        <w:rPr>
          <w:sz w:val="12"/>
        </w:rPr>
        <w:t xml:space="preserve"> As Lorenzo Veracini observes, </w:t>
      </w:r>
      <w:r w:rsidRPr="00087A72">
        <w:rPr>
          <w:rStyle w:val="StyleUnderline"/>
        </w:rPr>
        <w:t xml:space="preserve">the settler necessarily remains in a disposition of aggression ‘even after indigenous alterities have ceased to be threatening’. </w:t>
      </w:r>
      <w:r w:rsidRPr="00087A72">
        <w:rPr>
          <w:sz w:val="12"/>
        </w:rPr>
        <w:t xml:space="preserve">68 </w:t>
      </w:r>
      <w:r w:rsidRPr="00087A72">
        <w:rPr>
          <w:rStyle w:val="StyleUnderline"/>
        </w:rPr>
        <w:t>This disposition results from the precarity inherent in the maintenance of settler colonialism’s imago, wherein any and all indigenous presences threaten subjective dissolution of the settler as such.</w:t>
      </w:r>
      <w:r w:rsidRPr="00087A72">
        <w:rPr>
          <w:sz w:val="12"/>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w:t>
      </w:r>
      <w:r w:rsidRPr="00087A72">
        <w:rPr>
          <w:rStyle w:val="StyleUnderline"/>
        </w:rPr>
        <w:t>Their desire to produce a firm imago means that settlers are also always already in a psychically defensive position – that is, the settler’s offensive position</w:t>
      </w:r>
      <w:r w:rsidRPr="00087A72">
        <w:rPr>
          <w:sz w:val="12"/>
        </w:rPr>
        <w:t xml:space="preserve"> on occupied land </w:t>
      </w:r>
      <w:r w:rsidRPr="00087A72">
        <w:rPr>
          <w:rStyle w:val="StyleUnderline"/>
        </w:rPr>
        <w:t>is sustained through a defensive posture. For while settlers desire the total erasure of indigenous populations, the attendant desire to disappear their own identity as settlers necessitates the suppression of both desires, if the subject’s reliance on settler colonial power structure is to be psychically naturalized. Settlers’ reactions to indigenous peoples fit, almost universally, with the two ego defense responses</w:t>
      </w:r>
      <w:r w:rsidRPr="00087A72">
        <w:rPr>
          <w:sz w:val="12"/>
        </w:rPr>
        <w:t xml:space="preserve"> that Sigmund Freud observed. </w:t>
      </w:r>
      <w:r w:rsidRPr="00087A72">
        <w:rPr>
          <w:rStyle w:val="StyleUnderline"/>
        </w:rPr>
        <w:t>The first of these defenses is to attempt a complete conversion of the suppressed desire into a new idea.</w:t>
      </w:r>
      <w:r w:rsidRPr="00087A72">
        <w:rPr>
          <w:sz w:val="12"/>
        </w:rPr>
        <w:t xml:space="preserve"> In settler colonial contexts, </w:t>
      </w:r>
      <w:r w:rsidRPr="00087A72">
        <w:rPr>
          <w:rStyle w:val="StyleUnderline"/>
        </w:rPr>
        <w:t xml:space="preserve">this requires averting attention from the violence of dispossession; as such, settlers often suggest that they aim to create a ‘city on the hill’. </w:t>
      </w:r>
      <w:r w:rsidRPr="00087A72">
        <w:rPr>
          <w:sz w:val="12"/>
        </w:rPr>
        <w:t xml:space="preserve">70 Freud noted that </w:t>
      </w:r>
      <w:r w:rsidRPr="00087A72">
        <w:rPr>
          <w:rStyle w:val="StyleUnderline"/>
        </w:rPr>
        <w:t>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w:t>
      </w:r>
      <w:r w:rsidRPr="00087A72">
        <w:rPr>
          <w:sz w:val="12"/>
        </w:rPr>
        <w:t xml:space="preserve">71 As we have already seen, </w:t>
      </w:r>
      <w:r w:rsidRPr="00087A72">
        <w:rPr>
          <w:rStyle w:val="StyleUnderline"/>
        </w:rPr>
        <w:t>this obsession at once solidifies the power of the settler state, thereby naturalizing the settler and simultaneously perpetuating the processes of erasing indigenous peoples.</w:t>
      </w:r>
      <w:r w:rsidRPr="00087A72">
        <w:rPr>
          <w:sz w:val="12"/>
        </w:rPr>
        <w:t xml:space="preserve"> Psychic defenses are intended to secure the subject from pain, and whether that pain originates inside or outside the psyche is inconsequential. Because of the threat that indigeneity presents to the phantasmatic wholeness of settler colonialism, settlers must always remain suspended in a state of arrested development between these defensive positions. Despite any pretensions to the contrary, </w:t>
      </w:r>
      <w:r w:rsidRPr="00087A72">
        <w:rPr>
          <w:rStyle w:val="StyleUnderline"/>
        </w:rPr>
        <w:t>the settler is necessarily a parochial subject who continuously coils, reacts, disavows, and lashes out, when confronted with his dependency on indigenous peoples and their territory.</w:t>
      </w:r>
      <w:r w:rsidRPr="00087A72">
        <w:rPr>
          <w:sz w:val="12"/>
        </w:rPr>
        <w:t xml:space="preserve">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w:t>
      </w:r>
      <w:r w:rsidRPr="00087A72">
        <w:rPr>
          <w:rStyle w:val="StyleUnderline"/>
        </w:rPr>
        <w:t xml:space="preserve"> </w:t>
      </w:r>
      <w:r w:rsidRPr="00087A72">
        <w:rPr>
          <w:rStyle w:val="Emphasis"/>
        </w:rPr>
        <w:t xml:space="preserve">decolonization must include an analysis of the dominant ‘self-disciplining colonial subject’. </w:t>
      </w:r>
      <w:r w:rsidRPr="00087A72">
        <w:rPr>
          <w:sz w:val="12"/>
        </w:rPr>
        <w:t xml:space="preserve">73 However, as this discussion of subjective precarity demonstrates, the degree of to which these disciplinary or phenomenological processes are complete should not be overstated. For settler-allies must also examine and cultivate the ways in which settler subjects fail to be totally disciplined. Evidence of this incompletion is apparent in the subject’s arrested state of development. </w:t>
      </w:r>
      <w:r w:rsidRPr="00087A72">
        <w:rPr>
          <w:rStyle w:val="StyleUnderline"/>
        </w:rPr>
        <w:t xml:space="preserve">Discovering the instability at the core of the settler subject, indeed of all subjects, is the central conceit of psychoanalysis. </w:t>
      </w:r>
      <w:r w:rsidRPr="00087A72">
        <w:rPr>
          <w:sz w:val="12"/>
        </w:rPr>
        <w:t xml:space="preserve">This exception of at least partial failure to fully subjectivize the settler is also what sets my account apart from Rifkin’s. His phenomenology falls into the trap that Jacqueline Rose observes within many sociological accounts of the subject: that of assuming a successful internalization of norms. From the psychoanalytical perspective, </w:t>
      </w:r>
      <w:r w:rsidRPr="00087A72">
        <w:rPr>
          <w:rStyle w:val="StyleUnderline"/>
        </w:rPr>
        <w:t>the ‘unconscious constantly reveals the “failure”’ of internalization.</w:t>
      </w:r>
      <w:r w:rsidRPr="00087A72">
        <w:rPr>
          <w:sz w:val="12"/>
        </w:rPr>
        <w:t xml:space="preserve">74 As we have seen, </w:t>
      </w:r>
      <w:r w:rsidRPr="00087A72">
        <w:rPr>
          <w:rStyle w:val="StyleUnderline"/>
        </w:rPr>
        <w:t>within settler subjects this can be expressed as an irrational anxiety that expresses itself whenever a settler is confronted with the facts regarding their colonizing status. Under conditions of total subjectification, such charges ought to be unintelligible to the settler.</w:t>
      </w:r>
      <w:r w:rsidRPr="00087A72">
        <w:rPr>
          <w:sz w:val="12"/>
        </w:rPr>
        <w:t xml:space="preserve"> Thus, </w:t>
      </w:r>
      <w:r w:rsidRPr="00087A72">
        <w:rPr>
          <w:rStyle w:val="StyleUnderline"/>
        </w:rPr>
        <w:t>the process of subject formation is always in slippage and never totalized as others might suggest.</w:t>
      </w:r>
      <w:r w:rsidRPr="00087A72">
        <w:rPr>
          <w:sz w:val="12"/>
        </w:rPr>
        <w:t xml:space="preserve">75 </w:t>
      </w:r>
      <w:r w:rsidRPr="00087A72">
        <w:rPr>
          <w:rStyle w:val="Emphasis"/>
        </w:rPr>
        <w:t>Because of this precarity, the settler subject is prone to violence and lashing out; but the subject in slippage also provides an avenue by which the process of settler colonialism can be subverted – creating cracks in a phantasmatic wholeness which can be opened wider.</w:t>
      </w:r>
      <w:r w:rsidRPr="00087A72">
        <w:rPr>
          <w:sz w:val="12"/>
        </w:rPr>
        <w:t xml:space="preserve"> Breakages of this sort offer an opportunity to pursue what Paulette Regan calls a ‘restorying’ of settler colonial history and culture, to decanter settler mythologies built upon and within the dispossession of indigenous peoples.76 </w:t>
      </w:r>
      <w:r w:rsidRPr="00087A72">
        <w:rPr>
          <w:rStyle w:val="Emphasis"/>
        </w:rPr>
        <w:t>The cultivation of these cracks is a necessary part of decolonizing work, as it continues to panic and thus to destabilize settler subjects. Resistance to settler colonialism</w:t>
      </w:r>
      <w:r w:rsidRPr="00087A72">
        <w:rPr>
          <w:sz w:val="12"/>
        </w:rPr>
        <w:t xml:space="preserve"> does not occur only in highly visible moments like the famous conflict at Kanesatake and Kahnawake,77 it also </w:t>
      </w:r>
      <w:r w:rsidRPr="00087A72">
        <w:rPr>
          <w:rStyle w:val="Emphasis"/>
        </w:rPr>
        <w:t>occurs in reiterative and disruptive practices, presences, and speech acts.</w:t>
      </w:r>
      <w:r w:rsidRPr="00087A72">
        <w:rPr>
          <w:sz w:val="12"/>
        </w:rPr>
        <w:t xml:space="preserve"> Goeman correctly observes that </w:t>
      </w:r>
      <w:r w:rsidRPr="00087A72">
        <w:rPr>
          <w:rStyle w:val="Emphasis"/>
        </w:rPr>
        <w:t>the ‘repetitive practices of everyday life’ are what give settler spaces their meaning, as they provide a degree of naturalness to the settler imago and its psychic investments.</w:t>
      </w:r>
      <w:r w:rsidRPr="00087A72">
        <w:rPr>
          <w:sz w:val="12"/>
        </w:rPr>
        <w:t xml:space="preserve">78 As such, </w:t>
      </w:r>
      <w:r w:rsidRPr="00087A72">
        <w:rPr>
          <w:rStyle w:val="StyleUnderline"/>
        </w:rPr>
        <w:t xml:space="preserve">to disrupt the ease of these repetitions is at once to striate radically the otherwise smooth spaces of settler colonialism and also to disrupt the easy (re)production of the settler subject. </w:t>
      </w:r>
      <w:r w:rsidRPr="00087A72">
        <w:rPr>
          <w:sz w:val="12"/>
        </w:rPr>
        <w:t xml:space="preserve">Goeman calls these subversive acts the ‘micro-politics of resistance’, which historically took the form of ‘moving fences, not cooperating with census enumerators, sometimes disrupting survey parties’ amongst other process.79 These acts panic the subject that is disciplined as a product of settler colonial power, by forcing encounters with the sovereign indigenous peoples that were imagined to be gone. This reveals to the settler, if only fleetingly, the violence that founds and sustains the settler colonial relationship. While such practices may not overthrow the settler colonial system, they do subvert its logics by insistently drawing attention to the ongoing presence of indigenous peoples who refuse erasure. 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Island.80 The micro-politics of the movement strengthen indigenous subjects and their spatialities, while leaving an indelible imprint in the settler psyche. Predictably, rage and resentment were provoked in some settlers;81 however, Idle No More also drew thousands of settler-allies into the streets and renewed conversations about the necessity of nation-to-nation relationships. With settler colonial spaces disrupted and a relationship of domination made impossible to ignore, in the tradition of centuries of indigenous resistance, Idle No More put the settler subject into serious flux once more. Conclusion Settler colonialism has been distinguished from colonialism proper by what Wolfe calls its ‘logic of elimination’, which requires the erasure of indigenous peoples from the colonized territory. This is accomplished through a variety of mechanisms that range from outright violence to policies of gradual elimination. Ultimately, </w:t>
      </w:r>
      <w:r w:rsidRPr="00087A72">
        <w:rPr>
          <w:rStyle w:val="StyleUnderline"/>
        </w:rPr>
        <w:t xml:space="preserve">settler colonialism is perpetuated through a double move: to erase indigenous peoples and then to disappear settlers by naturalizing the violence inherent their existence in colonized territory. </w:t>
      </w:r>
      <w:r w:rsidRPr="00087A72">
        <w:rPr>
          <w:sz w:val="12"/>
        </w:rPr>
        <w:t xml:space="preserve">This is accomplished through the production of spatialities bereft of indigeneity. Out of this spatial logic, an imago of settler society is produced that binds settlers both psychically and socially to each other and to the colonized spaces. </w:t>
      </w:r>
      <w:r w:rsidRPr="00087A72">
        <w:rPr>
          <w:rStyle w:val="StyleUnderline"/>
        </w:rPr>
        <w:t>The continual (re)production of a settler colonial imago is necessary to secure the psychic horizons of the settler subject; it is also inextricably bound up with an insatiable need to constantly renew the erasure of indigenous peoples.</w:t>
      </w:r>
      <w:r w:rsidRPr="00087A72">
        <w:rPr>
          <w:sz w:val="12"/>
        </w:rPr>
        <w:t xml:space="preserve"> Thus, in order to secure its continued survival as a subject, the settler must always strive to maintain the conditions of settler colonialism. </w:t>
      </w:r>
      <w:r w:rsidRPr="00087A72">
        <w:rPr>
          <w:rStyle w:val="Emphasis"/>
        </w:rPr>
        <w:t>Total erasure of indigeneity is the grotesque desire of the settler that must be constantly disrupted.</w:t>
      </w:r>
      <w:r w:rsidRPr="00087A72">
        <w:rPr>
          <w:sz w:val="12"/>
        </w:rPr>
        <w:t xml:space="preserve"> Where indigenous peoples have persisted as an insurgent presence in the settler imago, they are always already threatening this disruption of the settler subject at its very core. </w:t>
      </w:r>
      <w:r w:rsidRPr="00087A72">
        <w:rPr>
          <w:rStyle w:val="StyleUnderline"/>
        </w:rPr>
        <w:t>For while the affirmation of indigeneity can induce panic, and subsequently rage, in the settler, it also opens a crack within the imago – that is, within the settler subject itself – through which an ethic of decolonization can emerge.</w:t>
      </w:r>
      <w:r w:rsidRPr="00087A72">
        <w:rPr>
          <w:sz w:val="12"/>
        </w:rPr>
        <w:t xml:space="preserve"> While it seems that settler colonialism is propelled by a tightly circuitous movement of subject formation, projection, and (re)formation, the presence of indigenous peoples in ongoing and sovereign relationship with the land serves as a powerful blockage of to the smoothness of this process.</w:t>
      </w:r>
    </w:p>
    <w:p w:rsidR="009556BB" w:rsidRPr="00087A72" w:rsidRDefault="009556BB" w:rsidP="009556BB">
      <w:pPr>
        <w:pStyle w:val="Heading3"/>
      </w:pPr>
      <w:r w:rsidRPr="00087A72">
        <w:t>1NC – TOPR1 (Border Art)</w:t>
      </w:r>
    </w:p>
    <w:p w:rsidR="00E82B76" w:rsidRPr="00087A72" w:rsidRDefault="00E82B76" w:rsidP="00E82B76">
      <w:pPr>
        <w:pStyle w:val="Heading4"/>
      </w:pPr>
      <w:r w:rsidRPr="00087A72">
        <w:t>The genocide of the Native is the quilting point for the signifiers “politics” and “subjectivity” to adhere itself to meaning. However, unable to obtain perfect completion—that more perfect union—the Political becomes an accelerating cycle of death driven violence against the Native.</w:t>
      </w:r>
    </w:p>
    <w:p w:rsidR="00E82B76" w:rsidRPr="00087A72" w:rsidRDefault="00E82B76" w:rsidP="00E82B76">
      <w:r w:rsidRPr="00087A72">
        <w:rPr>
          <w:rStyle w:val="Style13ptBold"/>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95-100) NIJ</w:t>
      </w:r>
    </w:p>
    <w:p w:rsidR="00E82B76" w:rsidRPr="00087A72" w:rsidRDefault="00E82B76" w:rsidP="00E82B76">
      <w:pPr>
        <w:rPr>
          <w:sz w:val="12"/>
        </w:rPr>
      </w:pPr>
      <w:r w:rsidRPr="00087A72">
        <w:rPr>
          <w:sz w:val="12"/>
        </w:rPr>
        <w:t xml:space="preserve">Whiteness, the Child, and the Logics of Futurity Against the politicized topographies and temporalities of indigeneity and race, I now move into a consideration of the contributions of psychoanalytic theory to the questions of politics and time presented thus far. </w:t>
      </w:r>
      <w:r w:rsidRPr="00087A72">
        <w:rPr>
          <w:rStyle w:val="StyleUnderline"/>
        </w:rPr>
        <w:t>The kinds of questions psychoanalysis is interested in asking, the registers upon which it performs analysis, and its unique emphasis on temporality, language, and difference provide an excellent conceptual apparatus through which we might begin to trouble/problematize stable, taken-for-granted oppositions between psychic and social, personal and political, self and other.</w:t>
      </w:r>
      <w:r w:rsidRPr="00087A72">
        <w:rPr>
          <w:sz w:val="12"/>
        </w:rPr>
        <w:t xml:space="preserve"> Freud’s interest in time is evident in his work on the uncanny, and in his inaugural work on what we might now call trauma studies and conditions we now call post-traumatic stress disorder (PTSD). For Freud, this theory of hysteria introduces a provocative temporality in which traumatic events reoccur, flashing up in perfect replication of themselves, as though happening again and again. In his diagnosis of so-called shell-shocked soldiers returning from World War I, Freud was keenly aware that time did not always progress along an even plane. Though Freud’s analysis of trauma is captivating and critically rich, it is not within my purview here to take on the full extent of this scholarship. Instead, what is most salient to my analysis are the capacities of psychoanalytic theory to move critique outside and beyond prevailing notions of time and narratives of progress that only mean moving forward. This chapter writes from a stance that views it as imperative that scholarship reaches beyond, and thinks outside, the paradigms that invented it. </w:t>
      </w:r>
      <w:r w:rsidRPr="00087A72">
        <w:rPr>
          <w:rStyle w:val="StyleUnderline"/>
        </w:rPr>
        <w:t>Psychoanalytic theory, with its idiosyncratic temporal logics</w:t>
      </w:r>
      <w:r w:rsidRPr="00087A72">
        <w:rPr>
          <w:sz w:val="12"/>
        </w:rPr>
        <w:t>—particularly in conjunction with Foucauldian theory—</w:t>
      </w:r>
      <w:r w:rsidRPr="00087A72">
        <w:rPr>
          <w:rStyle w:val="StyleUnderline"/>
        </w:rPr>
        <w:t>offers a productive and robust way to critique the continuing primacy of normative disciplines whose chronologics have historically warranted a politics that kills in the name of life. Such an approach allows us to hold in productive tension any definition of “the political” as stable and finite, with—as in the case of liberal political philosophy—the legally constructed “person” as its primary epistemological unit. This conceptual capacity of psychoanalysis</w:t>
      </w:r>
      <w:r w:rsidRPr="00087A72">
        <w:rPr>
          <w:sz w:val="12"/>
        </w:rPr>
        <w:t xml:space="preserve">, in turn, </w:t>
      </w:r>
      <w:r w:rsidRPr="00087A72">
        <w:rPr>
          <w:rStyle w:val="StyleUnderline"/>
        </w:rPr>
        <w:t>allows us to politicize a form of life and modality of corporeal personhood hitherto constructed as what</w:t>
      </w:r>
      <w:r w:rsidRPr="00087A72">
        <w:rPr>
          <w:sz w:val="12"/>
        </w:rPr>
        <w:t xml:space="preserve">, in Bataillean parlance, </w:t>
      </w:r>
      <w:r w:rsidRPr="00087A72">
        <w:rPr>
          <w:rStyle w:val="StyleUnderline"/>
        </w:rPr>
        <w:t>we might call colonialism’s accursed share—colonialism’s pure waste.</w:t>
      </w:r>
      <w:r w:rsidRPr="00087A72">
        <w:rPr>
          <w:sz w:val="12"/>
        </w:rPr>
        <w:t xml:space="preserve"> Additionally, </w:t>
      </w:r>
      <w:r w:rsidRPr="00087A72">
        <w:rPr>
          <w:rStyle w:val="StyleUnderline"/>
        </w:rPr>
        <w:t>psychoanalytic notions of the death drive, whose proper movement is explicitly circular, allows us to begin to locate the child within logics of futurity, onto which is laminated a kind of indelible whiteness.</w:t>
      </w:r>
      <w:r w:rsidRPr="00087A72">
        <w:rPr>
          <w:sz w:val="12"/>
        </w:rPr>
        <w:t xml:space="preserve"> For the purpose of my analysis I engage Lacanian psychoanalysis, limiting myself to a consideration of the structure of the drives and to a Lacanian conceptualization of language, and its role in the formation of self and the suturing of the psyche to sociality. Freud, as Teresa De Lauretis (2008) emphasizes, elaborated the death drive between the First and Second World Wars, in a Europe living “under the shadow of death and the threat of biological and cultural genocide” (1). Situating her analysis of the death drive in the contemporary moment, De Lauretis points to this contextual, historical darkening, writing: “I wonder whether our epistemologies can sustain the impact of the real … If I return to Freud’s notion of an unconscious death drive, it is because it conveys the sense and the force of something in human reality that resists discursive articulation as well as political diplomacy, an otherness that haunts the dream of a common world” (9). Using psychoanalysis as reading practice, Freud’s suspicion that human life, both individual and social, is compromised from the beginning by something that undermines it, works against it, is (darkly?) generative. </w:t>
      </w:r>
      <w:r w:rsidRPr="00087A72">
        <w:rPr>
          <w:rStyle w:val="StyleUnderline"/>
        </w:rPr>
        <w:t>The death drive indicates a tension bordering psychic and libidinal relations, which marks Freud’s radical break with Cartesian rationality and points to a negativity that counteracts the optimistic affirmations of human perfectability. This dimension of radical negativity cannot be reduced to an expression of alienated social conditions, nor is it entirely something the body does on its own.</w:t>
      </w:r>
      <w:r w:rsidRPr="00087A72">
        <w:rPr>
          <w:sz w:val="12"/>
        </w:rPr>
        <w:t xml:space="preserve"> Theorized as the destruction drive, the antagonism drive, or sometimes, simply “the drive,” </w:t>
      </w:r>
      <w:r w:rsidRPr="00087A72">
        <w:rPr>
          <w:rStyle w:val="StyleUnderline"/>
        </w:rPr>
        <w:t>it is impossible to escape.</w:t>
      </w:r>
      <w:r w:rsidRPr="00087A72">
        <w:rPr>
          <w:sz w:val="12"/>
        </w:rPr>
        <w:t xml:space="preserve"> In psychoanalytic theory, therefore, particularly in the clinical setting, </w:t>
      </w:r>
      <w:r w:rsidRPr="00087A72">
        <w:rPr>
          <w:rStyle w:val="StyleUnderline"/>
        </w:rPr>
        <w:t>the objective is not to overcome the drive, but rather to come to terms with it, in</w:t>
      </w:r>
      <w:r w:rsidRPr="00087A72">
        <w:rPr>
          <w:sz w:val="12"/>
        </w:rPr>
        <w:t xml:space="preserve"> what Slovenian Lacanian psychoanalytic theorist Slavoj Žižek (1989) calls </w:t>
      </w:r>
      <w:r w:rsidRPr="00087A72">
        <w:rPr>
          <w:rStyle w:val="StyleUnderline"/>
        </w:rPr>
        <w:t xml:space="preserve">“its terrifying dimension” </w:t>
      </w:r>
      <w:r w:rsidRPr="00087A72">
        <w:rPr>
          <w:sz w:val="12"/>
        </w:rPr>
        <w:t xml:space="preserve">(4). </w:t>
      </w:r>
      <w:r w:rsidRPr="00087A72">
        <w:rPr>
          <w:rStyle w:val="StyleUnderline"/>
        </w:rPr>
        <w:t>It is a fundamental axiom of Lacanian psychoanalytic theory that attempts to abolish the drive antagonism are precisely the source of totalitarian temptation.</w:t>
      </w:r>
      <w:r w:rsidRPr="00087A72">
        <w:rPr>
          <w:sz w:val="12"/>
        </w:rPr>
        <w:t xml:space="preserve"> Žižek writes: </w:t>
      </w:r>
      <w:r w:rsidRPr="00087A72">
        <w:rPr>
          <w:rStyle w:val="StyleUnderline"/>
        </w:rPr>
        <w:t>“The greatest mass murders and holocausts have always been perpetrated in the name of man as harmonious being, of a New Man without antagonistic tension”</w:t>
      </w:r>
      <w:r w:rsidRPr="00087A72">
        <w:rPr>
          <w:sz w:val="12"/>
        </w:rPr>
        <w:t xml:space="preserve"> (5). </w:t>
      </w:r>
      <w:r w:rsidRPr="00087A72">
        <w:rPr>
          <w:rStyle w:val="StyleUnderline"/>
        </w:rPr>
        <w:t>So it is that</w:t>
      </w:r>
      <w:r w:rsidRPr="00087A72">
        <w:rPr>
          <w:sz w:val="12"/>
        </w:rPr>
        <w:t xml:space="preserve"> one of Canada’s greatest atrocities— </w:t>
      </w:r>
      <w:r w:rsidRPr="00087A72">
        <w:rPr>
          <w:rStyle w:val="StyleUnderline"/>
        </w:rPr>
        <w:t>the genocide of its First Peoples—took place in the name o</w:t>
      </w:r>
      <w:r w:rsidRPr="00087A72">
        <w:rPr>
          <w:sz w:val="12"/>
        </w:rPr>
        <w:t xml:space="preserve">f Canada itself, that sought </w:t>
      </w:r>
      <w:r w:rsidRPr="00087A72">
        <w:rPr>
          <w:rStyle w:val="StyleUnderline"/>
        </w:rPr>
        <w:t>progress and unification as a single body politic with claims on a shared futurity.</w:t>
      </w:r>
      <w:r w:rsidRPr="00087A72">
        <w:rPr>
          <w:sz w:val="12"/>
        </w:rPr>
        <w:t xml:space="preserve"> The fulfillment of this destiny relied upon the negation of the other, the bad race, the dangerous race, the race that stood outside the purview of the norm and had no share in its time-zone, the ones called to live in the between space—as nobody. </w:t>
      </w:r>
      <w:r w:rsidRPr="00087A72">
        <w:rPr>
          <w:rStyle w:val="StyleUnderline"/>
        </w:rPr>
        <w:t>As the relatively more benign civilization policies failed to convert Aboriginal forms of life into separate but civilized</w:t>
      </w:r>
      <w:r w:rsidRPr="00087A72">
        <w:rPr>
          <w:sz w:val="12"/>
        </w:rPr>
        <w:t xml:space="preserve">, Christian communities on reserves, </w:t>
      </w:r>
      <w:r w:rsidRPr="00087A72">
        <w:rPr>
          <w:rStyle w:val="StyleUnderline"/>
        </w:rPr>
        <w:t>the federal government intensified its tactics. Policies became more aggressive. As these more aggressive policies</w:t>
      </w:r>
      <w:r w:rsidRPr="00087A72">
        <w:rPr>
          <w:sz w:val="12"/>
        </w:rPr>
        <w:t xml:space="preserve"> (such as enfranchisement) </w:t>
      </w:r>
      <w:r w:rsidRPr="00087A72">
        <w:rPr>
          <w:rStyle w:val="StyleUnderline"/>
        </w:rPr>
        <w:t>also failed, the federal government intensified its tactics once again, escalating the stakes and the strategies towards the horizon of assimilation. This ‘doubling down’ in the face of failure is a primary trace effect of the death drive, and indeed, it is not unreasonable to argue that the federal government Indian policy has, since confederation, been death driven. Because the aim of fully eradicating the otherness of the other can only fail</w:t>
      </w:r>
      <w:r w:rsidRPr="00087A72">
        <w:rPr>
          <w:sz w:val="12"/>
        </w:rPr>
        <w:t>—in Freudian parlance, it cannot be mastered—</w:t>
      </w:r>
      <w:r w:rsidRPr="00087A72">
        <w:rPr>
          <w:rStyle w:val="StyleUnderline"/>
        </w:rPr>
        <w:t>the trajectory of the aiming turns in a circularity, orbiting around that which can never be had: perfection. Caught in death drive circularity, the aiming towards the objective</w:t>
      </w:r>
      <w:r w:rsidRPr="00087A72">
        <w:rPr>
          <w:sz w:val="12"/>
        </w:rPr>
        <w:t xml:space="preserve"> (i.e. a unified body politic) </w:t>
      </w:r>
      <w:r w:rsidRPr="00087A72">
        <w:rPr>
          <w:rStyle w:val="StyleUnderline"/>
        </w:rPr>
        <w:t>authorizes, and indeed recruits, escalating violence in the interest of—finally—closing the open.</w:t>
      </w:r>
      <w:r w:rsidRPr="00087A72">
        <w:rPr>
          <w:sz w:val="12"/>
        </w:rPr>
        <w:t xml:space="preserve"> For Žižek, </w:t>
      </w:r>
      <w:r w:rsidRPr="00087A72">
        <w:rPr>
          <w:rStyle w:val="StyleUnderline"/>
        </w:rPr>
        <w:t>this compulsive ‘doubling-down’ in the face of failure to arrive at the impossible horizon of perfection tips towards totalitarian temptation, which</w:t>
      </w:r>
      <w:r w:rsidRPr="00087A72">
        <w:rPr>
          <w:sz w:val="12"/>
        </w:rPr>
        <w:t xml:space="preserve">, he tells us, </w:t>
      </w:r>
      <w:r w:rsidRPr="00087A72">
        <w:rPr>
          <w:rStyle w:val="StyleUnderline"/>
        </w:rPr>
        <w:t>is implicated in the drive to unify a singular body politic, a new man without antagonistic tension. The drive aims for the return to a moment of unity before the intrusion of language and the entrance of the subject into what Lacan calls the Symbolic—the universe of symbols in which all human subjects share. Because this economy of signifiers operates through a modality of difference by association, on the premise that language does not reflect or carry within it universal a priori meaning, spirit, or Truth, signifiers are always and already sliding along a chain of signification that is never truly fixed.</w:t>
      </w:r>
      <w:r w:rsidRPr="00087A72">
        <w:rPr>
          <w:sz w:val="12"/>
        </w:rPr>
        <w:t xml:space="preserve"> Rather, for Lacan, </w:t>
      </w:r>
      <w:r w:rsidRPr="00087A72">
        <w:rPr>
          <w:rStyle w:val="StyleUnderline"/>
        </w:rPr>
        <w:t>meaning is constructed through quilting points, durable concepts that affix ideas to their signifiers and which, in their durability, structure entire fields of meaning.</w:t>
      </w:r>
      <w:r w:rsidRPr="00087A72">
        <w:rPr>
          <w:sz w:val="12"/>
        </w:rPr>
        <w:t xml:space="preserve"> For Lacan, </w:t>
      </w:r>
      <w:r w:rsidRPr="00087A72">
        <w:rPr>
          <w:rStyle w:val="StyleUnderline"/>
        </w:rPr>
        <w:t>subjects are formed by their entrance into this system of sliding difference from a pre-linguistic state retroactively constructed through nostalgic affective associations with unity, perfection, and completion. The loss or lack occurs in the imaginary, the order of presence and absence, and is formalized in the symbolic. This is experienced by the subject as a loss of that to which she/he can never again return, but for which she/he perpetually yearns, and toward which she/he perpetually moves. The circularity of movement toward this impossible horizon is precisely the movement of the drive.</w:t>
      </w:r>
      <w:r w:rsidRPr="00087A72">
        <w:rPr>
          <w:sz w:val="12"/>
        </w:rPr>
        <w:t xml:space="preserve"> It is my argument that the concept of </w:t>
      </w:r>
      <w:r w:rsidRPr="00087A72">
        <w:rPr>
          <w:rStyle w:val="Emphasis"/>
        </w:rPr>
        <w:t>“the Indian” is a quilting point through which the field of politics</w:t>
      </w:r>
      <w:r w:rsidRPr="00087A72">
        <w:rPr>
          <w:sz w:val="12"/>
        </w:rPr>
        <w:t xml:space="preserve"> in Canada </w:t>
      </w:r>
      <w:r w:rsidRPr="00087A72">
        <w:rPr>
          <w:rStyle w:val="Emphasis"/>
        </w:rPr>
        <w:t>is sutured into signification, a durable concept that organizes the meaning of nation, citizen, sovereignty, and subjecthood.</w:t>
      </w:r>
      <w:r w:rsidRPr="00087A72">
        <w:rPr>
          <w:sz w:val="12"/>
        </w:rPr>
        <w:t xml:space="preserve"> Further, </w:t>
      </w:r>
      <w:r w:rsidRPr="00087A72">
        <w:rPr>
          <w:rStyle w:val="StyleUnderline"/>
        </w:rPr>
        <w:t>the hypoxic vision of national unity and a harmonious white(ned) citizenry is a movement propelled by the drive, a circularity impelled by the belief that what is lacking in the present can be made good in the future—an imaginary that activates/harnesses a kind of libidinal energy that is, by its very nature, inexhaustible. It matters, in the instance of the</w:t>
      </w:r>
      <w:r w:rsidRPr="00087A72">
        <w:rPr>
          <w:sz w:val="12"/>
        </w:rPr>
        <w:t xml:space="preserve"> Canadian </w:t>
      </w:r>
      <w:r w:rsidRPr="00087A72">
        <w:rPr>
          <w:rStyle w:val="StyleUnderline"/>
        </w:rPr>
        <w:t>Indian Residential Schools</w:t>
      </w:r>
      <w:r w:rsidRPr="00087A72">
        <w:rPr>
          <w:sz w:val="12"/>
        </w:rPr>
        <w:t xml:space="preserve"> and their mandate, </w:t>
      </w:r>
      <w:r w:rsidRPr="00087A72">
        <w:rPr>
          <w:rStyle w:val="StyleUnderline"/>
        </w:rPr>
        <w:t>that before child subjects enter into the structuration of language/the Symbolic, their bodies are already marked as disprized, abject, inscribed into the signification for, and</w:t>
      </w:r>
      <w:r w:rsidRPr="00087A72">
        <w:rPr>
          <w:sz w:val="12"/>
        </w:rPr>
        <w:t xml:space="preserve">, I argue, </w:t>
      </w:r>
      <w:r w:rsidRPr="00087A72">
        <w:rPr>
          <w:rStyle w:val="StyleUnderline"/>
        </w:rPr>
        <w:t>as, loss itself.</w:t>
      </w:r>
      <w:r w:rsidRPr="00087A72">
        <w:rPr>
          <w:sz w:val="12"/>
        </w:rPr>
        <w:t xml:space="preserve"> As I have argued above, reading through psychoanalytic theory facilitates a conceptualization of subject-formation that includes the role of signification in the contouring of subject/ivities. This analytic rubric is importantly brought to bear in my analysis of “the child” the Canadian Indian Residential School System announces into presence: </w:t>
      </w:r>
      <w:r w:rsidRPr="00087A72">
        <w:rPr>
          <w:rStyle w:val="StyleUnderline"/>
        </w:rPr>
        <w:t>a child fundamentally and constitutively tied to a death whose temporal structure is always deferred, always impartial, always unfolding, and yet always still to be.</w:t>
      </w:r>
      <w:r w:rsidRPr="00087A72">
        <w:rPr>
          <w:sz w:val="12"/>
        </w:rPr>
        <w:t xml:space="preserve"> Indeed, </w:t>
      </w:r>
      <w:r w:rsidRPr="00087A72">
        <w:rPr>
          <w:rStyle w:val="StyleUnderline"/>
        </w:rPr>
        <w:t>even in circumstances in which her/his mode of being in the world is not a deliberate practice of making- spectral, “the child” remains a notoriously ambivalent, slippery signifier. This plasticity</w:t>
      </w:r>
      <w:r w:rsidRPr="00087A72">
        <w:rPr>
          <w:sz w:val="12"/>
        </w:rPr>
        <w:t>—differently stated, this over-abundant availability of “the child” as concept—</w:t>
      </w:r>
      <w:r w:rsidRPr="00087A72">
        <w:rPr>
          <w:rStyle w:val="StyleUnderline"/>
        </w:rPr>
        <w:t>takes on an interesting significance within political thought, functioning not as that which is politicized, but as the signifier in whose name the political mobilizes itself.</w:t>
      </w:r>
      <w:r w:rsidRPr="00087A72">
        <w:rPr>
          <w:sz w:val="12"/>
        </w:rPr>
        <w:t xml:space="preserve"> In this way, </w:t>
      </w:r>
      <w:r w:rsidRPr="00087A72">
        <w:rPr>
          <w:rStyle w:val="StyleUnderline"/>
        </w:rPr>
        <w:t>the child functions as the absolute outside to political thought and the logics of its temporality, functioning instead to condition its possibilities and organize, from beyond its borders, its spatial and temporal limits.</w:t>
      </w:r>
      <w:r w:rsidRPr="00087A72">
        <w:rPr>
          <w:sz w:val="12"/>
        </w:rPr>
        <w:t xml:space="preserve"> An example of this conceptualization of the child as signifier—and certainly one of the more provocative articulations of this phenomena in the contemporary neoliberal moment—is the polemic Lee develops in his monograph No Future: Queer Theory and the Death Drive. For Edelman, the Child—in its conflation with the kind of futurity toward which the teleology of (neo)liberal discourse is mobilized—is not simply important to contemporary politics, but is that which “serves to regulate political discourse [itself]” (ii). Indeed, as Edelman points out, “the figural Child alone embodies the citizen as ideal, entitled to claim full rights to its future share in the nation’s good, though always at the cost of limiting the rights ‘real’ citizens are allowed. For the social exists to preserve for this universalized subject, this fantasmatic Child, a national freedom more highly valued than the actuality of freedom itself” (ii). In Edelman’s polemic, </w:t>
      </w:r>
      <w:r w:rsidRPr="00087A72">
        <w:rPr>
          <w:rStyle w:val="Emphasis"/>
        </w:rPr>
        <w:t>it goes without saying that the figural child is a white child</w:t>
      </w:r>
      <w:r w:rsidRPr="00087A72">
        <w:rPr>
          <w:sz w:val="12"/>
        </w:rPr>
        <w:t xml:space="preserve"> and that children of colour, children of mixed heritage, </w:t>
      </w:r>
      <w:r w:rsidRPr="00087A72">
        <w:rPr>
          <w:rStyle w:val="StyleUnderline"/>
        </w:rPr>
        <w:t>Indian children</w:t>
      </w:r>
      <w:r w:rsidRPr="00087A72">
        <w:rPr>
          <w:sz w:val="12"/>
        </w:rPr>
        <w:t xml:space="preserve">—within the Ideological State Apparatus of the Indian Residential Schools—far from carrying the over-abundant significance Edelman so adeptly parses, signify on only the most spectral of registers. This child, I argue, as a kind of spectral(ized) partial subject, </w:t>
      </w:r>
      <w:r w:rsidRPr="00087A72">
        <w:rPr>
          <w:rStyle w:val="StyleUnderline"/>
        </w:rPr>
        <w:t>instantiates a subjectivity simultaneously over-exposed to the political and over-determined by the word of the law, while barely accorded even the status of bare life. This is a subject that is hailed into a circularity of misrecognition in a relationship with death that is virtually inescapable. This relationship with death is the suture that connects this subject to the social.</w:t>
      </w:r>
      <w:r w:rsidRPr="00087A72">
        <w:rPr>
          <w:sz w:val="12"/>
        </w:rPr>
        <w:t xml:space="preserve"> Edelman’s argument does not address racialized formations of self-hood, but is no less relevant to the argument I seek to develop here. Indeed, it is perhaps all the keener in what it omits—which is the child of color. This omission points to the level of signification and the way in which the whitened child is effortlessly lifted from the problematically raced body—the body whose racialized status is found problematic. This fantasy of purification through signification speaks, in ways that are eloquent and disturbing in equal measure, precisely the fantasy of the Canadian Indian Residential School System: that the body of the Indian could be left behind in a transcendent movement away from the vexatious quagmire posed by the Indian body toward the realm of what Kantian philosophy calls pure spirit, the realm of whiteness, purity, and hypoxic visions of what Edelman calls, “a national freedom more highly valued than the actuality of freedom itself” (ii). This fantasy of corporeal abandonment points to the latent desire of Western philosophical thought that seeks, through the disavowal of bodily finitude and a fetishization of the logos, access to purity of form, a fantasy that relegates, leaves trapped, the sometimes racialized, sometimes feminized other, mired in flesh and finitude from which it is allowed no escape. </w:t>
      </w:r>
      <w:r w:rsidRPr="00087A72">
        <w:rPr>
          <w:rStyle w:val="StyleUnderline"/>
        </w:rPr>
        <w:t>The Indigenous person</w:t>
      </w:r>
      <w:r w:rsidRPr="00087A72">
        <w:rPr>
          <w:sz w:val="12"/>
        </w:rPr>
        <w:t xml:space="preserve">, we remember from Hegel’s Lectures on the Philosophy of World History, </w:t>
      </w:r>
      <w:r w:rsidRPr="00087A72">
        <w:rPr>
          <w:rStyle w:val="StyleUnderline"/>
        </w:rPr>
        <w:t>is imagined as always already outside the teleology of history, already extinct. This way of understanding difference, through the rubric of historical progress, remains central to liberal and neoliberal political thought, economic practices, and policies in the current moment.</w:t>
      </w:r>
      <w:r w:rsidRPr="00087A72">
        <w:rPr>
          <w:sz w:val="12"/>
        </w:rPr>
        <w:t xml:space="preserve"> Prising the child away from the Indian, meanwhile, continues to have important implications in the way we imagine colonial forms, not only of life, but also of death.</w:t>
      </w:r>
    </w:p>
    <w:p w:rsidR="00E82B76" w:rsidRPr="00087A72" w:rsidRDefault="00E82B76" w:rsidP="00E82B76">
      <w:pPr>
        <w:keepNext/>
        <w:keepLines/>
        <w:spacing w:before="40" w:after="0"/>
        <w:outlineLvl w:val="3"/>
        <w:rPr>
          <w:rFonts w:eastAsiaTheme="majorEastAsia" w:cstheme="majorBidi"/>
          <w:b/>
          <w:iCs/>
          <w:sz w:val="24"/>
        </w:rPr>
      </w:pPr>
      <w:r w:rsidRPr="00087A72">
        <w:rPr>
          <w:rFonts w:eastAsiaTheme="majorEastAsia" w:cstheme="majorBidi"/>
          <w:b/>
          <w:iCs/>
          <w:sz w:val="24"/>
        </w:rPr>
        <w:t>The affirmative’s investment in worlding is a death-driven politic which can never obtain the fantasy of security and wholeness it imagines, but must endlessly murder the Indian as its condition of possibility to reach a “more perfect union.”</w:t>
      </w:r>
    </w:p>
    <w:p w:rsidR="00E82B76" w:rsidRPr="00087A72" w:rsidRDefault="00E82B76" w:rsidP="00E82B76">
      <w:r w:rsidRPr="00087A72">
        <w:rPr>
          <w:b/>
          <w:bCs/>
          <w:sz w:val="24"/>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16-20) NIJ</w:t>
      </w:r>
    </w:p>
    <w:p w:rsidR="00E82B76" w:rsidRPr="00087A72" w:rsidRDefault="00E82B76" w:rsidP="00E82B76">
      <w:pPr>
        <w:rPr>
          <w:u w:val="single"/>
        </w:rPr>
      </w:pPr>
      <w:r w:rsidRPr="00087A72">
        <w:rPr>
          <w:sz w:val="12"/>
        </w:rPr>
        <w:t xml:space="preserve">Worlding </w:t>
      </w:r>
      <w:r w:rsidRPr="00087A72">
        <w:rPr>
          <w:u w:val="single"/>
        </w:rPr>
        <w:t>In order to consider the full force of the world-making/world-breaking articulations enacted in attempts to actuate the injunction to “kill the Indian in the Child,” the present work makes use of Martin Heidegger’s notion of “worlding.” Worlding</w:t>
      </w:r>
      <w:r w:rsidRPr="00087A72">
        <w:rPr>
          <w:sz w:val="12"/>
        </w:rPr>
        <w:t xml:space="preserve">, which Heidegger advances in “The Thing” and “The Origin of the Work of Art,” </w:t>
      </w:r>
      <w:r w:rsidRPr="00087A72">
        <w:rPr>
          <w:u w:val="single"/>
        </w:rPr>
        <w:t>is the production of art in the gap, or rift</w:t>
      </w:r>
      <w:r w:rsidRPr="00087A72">
        <w:rPr>
          <w:sz w:val="12"/>
        </w:rPr>
        <w:t xml:space="preserve"> (Riss), </w:t>
      </w:r>
      <w:r w:rsidRPr="00087A72">
        <w:rPr>
          <w:u w:val="single"/>
        </w:rPr>
        <w:t>between earth and world.</w:t>
      </w:r>
      <w:r w:rsidRPr="00087A72">
        <w:rPr>
          <w:sz w:val="12"/>
        </w:rPr>
        <w:t xml:space="preserve"> He develops the concept as a way to think about the imaginative and ontological work performed in and by art objects, to understand the forms of being brought into the world by art. In “The Origin of the Work of Art,” Heidegger (1977) writes: Projective saying is poetry: the saying of the world and earth, the saying of the arena of their strife and this of the place of all nearness and remoteness of the gods. Poetry is the saying of the unconcealedness of beings. Actual language at any given moment is the happening of language of this saying, in which a people’s world historically arises for it and the earth is preserved as that which remains closed. Projective saying is saying which, in preparing the sayable, simultaneously brings the unsayable as such into the world. In such saying, the concepts of a historical people’s essence, i.e., of its belonging to world history are performed for that people. (185) In “The Thing,” he (2001) writes: </w:t>
      </w:r>
      <w:r w:rsidRPr="00087A72">
        <w:rPr>
          <w:u w:val="single"/>
        </w:rPr>
        <w:t>“The world presences by worlding. That means: the world’s worlding cannot be explained by anything else, nor can it be fathomed through anything else … As soon as human cognition here calls for an explanation, it fails to transcend the world’s nature, and falls short of it”</w:t>
      </w:r>
      <w:r w:rsidRPr="00087A72">
        <w:rPr>
          <w:sz w:val="12"/>
        </w:rPr>
        <w:t xml:space="preserve"> (177). In her book, Dark Continents: Psychoanalysis and Colonialism, </w:t>
      </w:r>
      <w:r w:rsidRPr="00087A72">
        <w:rPr>
          <w:u w:val="single"/>
        </w:rPr>
        <w:t>Khanna</w:t>
      </w:r>
      <w:r w:rsidRPr="00087A72">
        <w:rPr>
          <w:sz w:val="12"/>
        </w:rPr>
        <w:t xml:space="preserve"> (2003) mobilizes Heidegger’s concept, turning it explicitly towards the imperialist project. She </w:t>
      </w:r>
      <w:r w:rsidRPr="00087A72">
        <w:rPr>
          <w:u w:val="single"/>
        </w:rPr>
        <w:t>ventures that if what Heidegger calls “actual language” is “the happening of the saying,” then art is not, precisely, an object that represents something already existing. She writes: “Rather, it is an event of a condition for the possibility of coming into being. Worlding performs the ‘unconcealedness of being’ because it brings new ways of being in the world, along with the attendant concealedness of the earth that occurs simultaneously”</w:t>
      </w:r>
      <w:r w:rsidRPr="00087A72">
        <w:rPr>
          <w:sz w:val="12"/>
        </w:rPr>
        <w:t xml:space="preserve"> (3). For Heidegger, </w:t>
      </w:r>
      <w:r w:rsidRPr="00087A72">
        <w:rPr>
          <w:u w:val="single"/>
        </w:rPr>
        <w:t>the process (of worlding) is one of strife, between the unconcealed (worlded) and the concealed (unworlded). This process is profoundly ideological, though it claims not to be.</w:t>
      </w:r>
      <w:r w:rsidRPr="00087A72">
        <w:rPr>
          <w:sz w:val="12"/>
        </w:rPr>
        <w:t xml:space="preserve"> Gayatri </w:t>
      </w:r>
      <w:r w:rsidRPr="00087A72">
        <w:rPr>
          <w:u w:val="single"/>
        </w:rPr>
        <w:t>Spivak interprets and extends Heidegger’s thought by understanding the violence, or strife, his work describes as the passage from earth to a world, as the establishment of colonial control through mapping, land appropriation, and the transformation of the raw materials of the earth into the politico- economic and geographical category of “world”. All of these practices make claims on the nature of being, which necessarily implicates the register of legibility, determining what signifies—how, to whom, and to what effect(s)—and also, what does not. Heidegger’s writings claim that the work of art performs the labor of opening up the world so we might be able to understand it in new ways. On the transmutation of the concept from its original context to that of colonial world-makings, Khanna writes: “If Heidegger claimed that the art work allowed a sense of the unsayable, Spivak translates those terms as the projecting of the colonized as ‘other,’ nonself, or as the unsayable of colonial selfhood. The colonized thus become the ‘closed,’ or the ‘earth’ through the establishment of the world”</w:t>
      </w:r>
      <w:r w:rsidRPr="00087A72">
        <w:rPr>
          <w:sz w:val="12"/>
        </w:rPr>
        <w:t xml:space="preserve"> (4). If Heidegger saw the process of naming as bringing being into the world and into history, Spivak generatively locates that history more specifically in coloniality. </w:t>
      </w:r>
      <w:r w:rsidRPr="00087A72">
        <w:rPr>
          <w:u w:val="single"/>
        </w:rPr>
        <w:t>As Khanna glosses Spivak, “She wrests the metaphor of earth into world from timeless abstraction, tying it into the historico-political contingencies of Europe”</w:t>
      </w:r>
      <w:r w:rsidRPr="00087A72">
        <w:rPr>
          <w:sz w:val="12"/>
        </w:rPr>
        <w:t xml:space="preserve"> (5). As I read Khanna, whose own mobilization of worlding extends the concept from Heidegger through Spivak’s interpretation, </w:t>
      </w:r>
      <w:r w:rsidRPr="00087A72">
        <w:rPr>
          <w:u w:val="single"/>
        </w:rPr>
        <w:t>her understanding of colonial worlding(s) as the processes by which “participants are brought into temporality and history, or, conversely, excluded … and concealed timelessly into the earth”</w:t>
      </w:r>
      <w:r w:rsidRPr="00087A72">
        <w:rPr>
          <w:sz w:val="12"/>
        </w:rPr>
        <w:t xml:space="preserve"> (4), </w:t>
      </w:r>
      <w:r w:rsidRPr="00087A72">
        <w:rPr>
          <w:u w:val="single"/>
        </w:rPr>
        <w:t xml:space="preserve">indicates that colonial worlding is deeply invested in practices of naming, classifying, and hierarchizing difference. </w:t>
      </w:r>
      <w:r w:rsidRPr="00087A72">
        <w:rPr>
          <w:sz w:val="12"/>
        </w:rPr>
        <w:t xml:space="preserve">In the work at hand, </w:t>
      </w:r>
      <w:r w:rsidRPr="00087A72">
        <w:rPr>
          <w:u w:val="single"/>
        </w:rPr>
        <w:t>I am interested in situating the concept of worlding within colonial praxis that seeks to render its other invalid on the other’s own terms. I argue that the imaginative and ontological work of colonial worlding(s) render(s) the voices of its other unhearable, its names unspeakable, its lives subaltern, its bodies ungrieveable, its deaths an otherworldly haunting of the body politic.</w:t>
      </w:r>
      <w:r w:rsidRPr="00087A72">
        <w:rPr>
          <w:sz w:val="12"/>
        </w:rPr>
        <w:t xml:space="preserve"> Further, I follow Spivak (1985) in insisting that </w:t>
      </w:r>
      <w:r w:rsidRPr="00087A72">
        <w:rPr>
          <w:u w:val="single"/>
        </w:rPr>
        <w:t>the agents of the “cartographic” transformation of the earth are not only the great names of political philosophers, decision-makers and military conquerors, but what she calls “small unimportant folk”</w:t>
      </w:r>
      <w:r w:rsidRPr="00087A72">
        <w:rPr>
          <w:sz w:val="12"/>
        </w:rPr>
        <w:t xml:space="preserve"> (253) like the priest(s), nun(s), and other school officials who oversaw the daily operations of the IRS, the Indian agents whose job it was to monitor the conditions there, and the bureaucrats whose task it was to oversee such matters as budget allocation, providing for sufficient food, heat, clothing, medicine, support etc. These “small unimportant folk” also include scientists who, in the 1930’s and 1940’s saw fit to utilize Indigenous children at the IRS as test-subjects in experiments on the effects of malnutrition, and the nutritional outcomes of scientifically altered food, without the consent or knowledge of these children, or their families/parents/guardians. </w:t>
      </w:r>
      <w:r w:rsidRPr="00087A72">
        <w:rPr>
          <w:u w:val="single"/>
        </w:rPr>
        <w:t xml:space="preserve">My aim in pointing to these—and other—systemic, but profoundly managerial violences </w:t>
      </w:r>
      <w:r w:rsidRPr="00087A72">
        <w:rPr>
          <w:sz w:val="12"/>
        </w:rPr>
        <w:t xml:space="preserve">exercised on students at the IRS, is to write against the claim that the schools were simply a failed but well-intentioned experiment in colonial governance of First Peoples. My argument </w:t>
      </w:r>
      <w:r w:rsidRPr="00087A72">
        <w:rPr>
          <w:u w:val="single"/>
        </w:rPr>
        <w:t>is that the system-wide conditions of death (psychic, sexual, physical, social, cultural)</w:t>
      </w:r>
      <w:r w:rsidRPr="00087A72">
        <w:rPr>
          <w:sz w:val="12"/>
        </w:rPr>
        <w:t xml:space="preserve"> in the IRS </w:t>
      </w:r>
      <w:r w:rsidRPr="00087A72">
        <w:rPr>
          <w:u w:val="single"/>
        </w:rPr>
        <w:t>point to something more subterranean within the operations of colonial worlding, the fantasy of eradication without remainder: a fantasy in which the ‘bad’ Indian could be erased in the projective saying of a postcolonial (white) unified, civilized future.</w:t>
      </w:r>
      <w:r w:rsidRPr="00087A72">
        <w:rPr>
          <w:sz w:val="12"/>
        </w:rPr>
        <w:t xml:space="preserve"> I theorize that </w:t>
      </w:r>
      <w:r w:rsidRPr="00087A72">
        <w:rPr>
          <w:u w:val="single"/>
        </w:rPr>
        <w:t>this fantasy of eradication, the sought-after annihilation of, what I have started to think of as, the ‘inconvenient life’ of the Indigenous child, points to something altogether subterranean, something death driven.</w:t>
      </w:r>
      <w:r w:rsidRPr="00087A72">
        <w:rPr>
          <w:sz w:val="12"/>
        </w:rPr>
        <w:t xml:space="preserve"> Elaborating some features of what I consider as ‘cultures of the death drive,’ I point to the death drive as a central element in psychic life that plays out as a fundamental aggressivity in the social bond. </w:t>
      </w:r>
      <w:r w:rsidRPr="00087A72">
        <w:rPr>
          <w:u w:val="single"/>
        </w:rPr>
        <w:t xml:space="preserve">The motor-force that surfs invisibly atop existing libidinal processes (disappearing within them, able to camouflage itself perfectly), the death drive is difficult to detect. A telltale sign of its involvement is the compulsive, repeating, push, or drive, beyond pleasure, towards an unattainable objective, such as a perfectly unified body politic, or the ability to actualize, finally, the vision of the earth promised but never fully delivered by ‘The New World’ as terra nullius. </w:t>
      </w:r>
      <w:r w:rsidRPr="00087A72">
        <w:rPr>
          <w:sz w:val="12"/>
        </w:rPr>
        <w:t xml:space="preserve">While Freudian theory does not arrive at a full exegisis of the death drive—a fact that is not at all insignificant to the essence of what the death drive is and what it does—Jacques Lacan elaborates the concept in ways that are productive for the work at hand. In this work, </w:t>
      </w:r>
      <w:r w:rsidRPr="00087A72">
        <w:rPr>
          <w:u w:val="single"/>
        </w:rPr>
        <w:t>Lacan renders the death drive as the push that feels/seems as if it is towards the desired object, when in fact the trajectory of its aim only circles or orbits around the desired object.</w:t>
      </w:r>
      <w:r w:rsidRPr="00087A72">
        <w:rPr>
          <w:sz w:val="12"/>
        </w:rPr>
        <w:t xml:space="preserve"> Lacan introduces the term objet petit a to designate that which stands in for the object of desire, an object that is, by definition, unattainable. For Lacan this “object” is a spectral, virtual construct. It is the object cause of the subject’s desire, the ‘thing’ the subject thinks will bring final satisfaction/completion. </w:t>
      </w:r>
      <w:r w:rsidRPr="00087A72">
        <w:rPr>
          <w:u w:val="single"/>
        </w:rPr>
        <w:t>Rather than imagining a trajectory that unfolds along the linear progressive logic of teleological progress with the desired outcome at the end, we must visualize the trajectory of the death drive towards the desired object as necessarily elliptical. This is because full arrival at the object of desire is, for Lacan, emphatically impossible</w:t>
      </w:r>
      <w:r w:rsidRPr="00087A72">
        <w:rPr>
          <w:sz w:val="12"/>
        </w:rPr>
        <w:t xml:space="preserve">, as objet petit a in fact covers over what, for Lacan, is a constitutive lack at the center of all experience/existence. </w:t>
      </w:r>
      <w:r w:rsidRPr="00087A72">
        <w:rPr>
          <w:u w:val="single"/>
        </w:rPr>
        <w:t>Where the subject feels her/himself drawing close to the object of desire, only to narrowly miss achieving it, the propulsion of the death drive incites an intensification. One valuable interlocutor calls this intensification a “doubling-down,” in which the subject redoubles her/his efforts to reach what is, essentially, not reachable.</w:t>
      </w:r>
      <w:r w:rsidRPr="00087A72">
        <w:rPr>
          <w:sz w:val="12"/>
        </w:rPr>
        <w:t xml:space="preserve"> 16 My argument is that </w:t>
      </w:r>
      <w:r w:rsidRPr="00087A72">
        <w:rPr>
          <w:u w:val="single"/>
        </w:rPr>
        <w:t xml:space="preserve">the death drive is a useful reading strategy through which to interpret the colonial fantasy of eradicating the inconvenient life that it viewed as standing in the way of its ability to ‘cash in’ on the promise of terra nullius and the attaining of full, uncontested, sovereignty. </w:t>
      </w:r>
      <w:r w:rsidRPr="00087A72">
        <w:rPr>
          <w:sz w:val="12"/>
        </w:rPr>
        <w:t xml:space="preserve">Using psychoanalysis as reading practice, reading through the subterranean concept of the death drive, my analysis amplifies Spivak’s (1985) claim that, </w:t>
      </w:r>
      <w:r w:rsidRPr="00087A72">
        <w:rPr>
          <w:u w:val="single"/>
        </w:rPr>
        <w:t>“the necessary yet contradictory assumption of an uninscribed earth which is the condition of possibility of the worlding of a world generates the force to make the “native” see herself/himself as ‘other’”</w:t>
      </w:r>
      <w:r w:rsidRPr="00087A72">
        <w:rPr>
          <w:sz w:val="12"/>
        </w:rPr>
        <w:t xml:space="preserve"> (250). What resonates in in this account of colonial interpellation is an emphasis on the violence or strife latent in Heidegger’s description of the space between earth and world as rift/riss. </w:t>
      </w:r>
      <w:r w:rsidRPr="00087A72">
        <w:rPr>
          <w:u w:val="single"/>
        </w:rPr>
        <w:t>When Heidegger’s concept of worlding is turned to the imperialist project, what emerges out of the violence of this rift-space is the violence of a fight or battle to hold suppressed, as earth(ly), what cannot be risked as world, that which cannot be allowed to materialize—or remain material.</w:t>
      </w:r>
    </w:p>
    <w:p w:rsidR="00E82B76" w:rsidRPr="00087A72" w:rsidRDefault="00E82B76" w:rsidP="00E82B76">
      <w:pPr>
        <w:pStyle w:val="Heading4"/>
      </w:pPr>
      <w:r w:rsidRPr="00087A72">
        <w:t>The drive to signifiy—loss, gains, stories—reinvests in a metaphysics of humanism which must necessarily foreclose the anti-semiotics of genocide which annihilate meaning.</w:t>
      </w:r>
    </w:p>
    <w:p w:rsidR="00E82B76" w:rsidRPr="00087A72" w:rsidRDefault="00E82B76" w:rsidP="00E82B76">
      <w:r w:rsidRPr="00087A72">
        <w:rPr>
          <w:rStyle w:val="Style13ptBold"/>
        </w:rPr>
        <w:t>Wilderson 10</w:t>
      </w:r>
      <w:r w:rsidRPr="00087A72">
        <w:t xml:space="preserve"> (Frank, Full Professor of Drama and African American studies at the University of California, Irvine </w:t>
      </w:r>
      <w:r w:rsidRPr="00087A72">
        <w:rPr>
          <w:i/>
        </w:rPr>
        <w:t>Red, White, and Black: Cinema and the Structure of U.S. Antagonisms</w:t>
      </w:r>
      <w:r w:rsidRPr="00087A72">
        <w:t xml:space="preserve"> pp. 193-195) NIJ</w:t>
      </w:r>
    </w:p>
    <w:p w:rsidR="00E82B76" w:rsidRPr="00087A72" w:rsidRDefault="00E82B76" w:rsidP="00E82B76">
      <w:pPr>
        <w:rPr>
          <w:sz w:val="12"/>
        </w:rPr>
      </w:pPr>
      <w:r w:rsidRPr="00087A72">
        <w:rPr>
          <w:rStyle w:val="StyleUnderline"/>
        </w:rPr>
        <w:t xml:space="preserve">In no more than three short years, from 1891-1894, the press, as exemplary of the enunciatory apparatus of civil society, began its transition from an open assumption of civic desire, “why not annihilation….exterminate all remaining Indians” </w:t>
      </w:r>
      <w:r w:rsidRPr="00087A72">
        <w:rPr>
          <w:sz w:val="12"/>
        </w:rPr>
        <w:t xml:space="preserve">(the Aberdeen Saturday Pioneer), </w:t>
      </w:r>
      <w:r w:rsidRPr="00087A72">
        <w:rPr>
          <w:rStyle w:val="StyleUnderline"/>
        </w:rPr>
        <w:t>to a monumentalization of hegemony, “an absolute triumph for [civil society] without the spilling of a single drop of blood”</w:t>
      </w:r>
      <w:r w:rsidRPr="00087A72">
        <w:rPr>
          <w:sz w:val="12"/>
        </w:rPr>
        <w:t xml:space="preserve"> (the New York Herald). What is of note in all of this is the fact that cinema, Edison’s Sioux Ghost Dance, is pivotal to this conjunctural recomposition of civil society’s self-presentation. Cinema is vital to an imaginary which seeks to widen, exponentially, the distance between civil society’s grammatical structure and the actual words it is willing to use to describe itself—the vast distance between clearing as noun and clearing as verb. </w:t>
      </w:r>
      <w:r w:rsidRPr="00087A72">
        <w:rPr>
          <w:rStyle w:val="StyleUnderline"/>
        </w:rPr>
        <w:t>This is a necessary recomposition, or more precisely disavowal, for it allows the human subject of civil society</w:t>
      </w:r>
      <w:r w:rsidRPr="00087A72">
        <w:rPr>
          <w:sz w:val="12"/>
        </w:rPr>
        <w:t>—the Asian American anchorwoman and the White cameraman upon whom Mogie’s sardonic gaze is fixed—</w:t>
      </w:r>
      <w:r w:rsidRPr="00087A72">
        <w:rPr>
          <w:rStyle w:val="StyleUnderline"/>
        </w:rPr>
        <w:t>to console themselves with the illusion that the structure of the relation between themselves and the “Savage” is forged by the force of hegemony and not the force of genocide.</w:t>
      </w:r>
      <w:r w:rsidRPr="00087A72">
        <w:rPr>
          <w:sz w:val="12"/>
        </w:rPr>
        <w:t xml:space="preserve"> Again, one hundred years after the New York Herald’s tilt from genocide toward hegemony, at the other end of the 20 th century, </w:t>
      </w:r>
      <w:r w:rsidRPr="00087A72">
        <w:rPr>
          <w:rStyle w:val="StyleUnderline"/>
        </w:rPr>
        <w:t>White radicals’ and progressives’ faith that such generic principles and practices as access to institutionality, full disclosure, fairness and accuracy in reporting are pivotal to meditation on, and mediation for, social change has never been stronger.</w:t>
      </w:r>
      <w:r w:rsidRPr="00087A72">
        <w:rPr>
          <w:sz w:val="12"/>
        </w:rPr>
        <w:t xml:space="preserve"> The surgical gaze of Mogie Yellow Lodge shreds this faith in the essential nature of hegemony into thin strips of ridicule. Hegemony remains essential to the idiom of power between, for example, the Asian American anchorwoman and the White cameraman; lxxv and the film, through Mogie and the formalism that accrues to him, understands this; but this understanding is akin to an insult: “Send me a big woman. A fat woman!” And through the gaze, Mogie will not allow the spectator the cultural solace of mapping hegemony, as an idiom of power onto the Settler (human)/“Savage” relation—until, that is, Rudy’s presence reasserts itself and makes amends. </w:t>
      </w:r>
      <w:r w:rsidRPr="00087A72">
        <w:rPr>
          <w:rStyle w:val="StyleUnderline"/>
        </w:rPr>
        <w:t>Today the US is no longer self-consciously fascistic but instead self-consciously democratic. Clearing is completely disavowed as a verb.</w:t>
      </w:r>
      <w:r w:rsidRPr="00087A72">
        <w:rPr>
          <w:sz w:val="12"/>
        </w:rPr>
        <w:t xml:space="preserve"> Instead, clearing as a noun makes itself known through the narrative of sovereign gain, civil society and its external threat (the “Savage”). The imaginary of “Savage” positionality more often than not articulates (dialogues) with this Settler imaginary. In other words, the “Savage” narrative of sovereignty (Rudy’s plot points in the film) is dialogic with the Settler narrative of sovereignty (the Western’s genuflection to Little Baby Civil Society). The narratives are disparate at the level of manifest content, but dependent rhetorically upon the same semiotics of gain and loss. </w:t>
      </w:r>
      <w:r w:rsidRPr="00087A72">
        <w:rPr>
          <w:rStyle w:val="StyleUnderline"/>
        </w:rPr>
        <w:t xml:space="preserve">Thus, even the “Savage’s” semiotics of sovereign loss fortifies and extends the interlocutory life of the Settler’s disavowal of clearing as a verb. Ironically, they work hand-in-hand to crowd out the ensemble of questions, and thus the ethical dilemmas, of genocide’s ontological imperatives. </w:t>
      </w:r>
      <w:r w:rsidRPr="00087A72">
        <w:rPr>
          <w:rStyle w:val="Emphasis"/>
        </w:rPr>
        <w:t>A semiotics of loss cannot be reconciled with a semiotics of genocide (provided genocide could even be apprehended through a semiotics, and there is no evidence that it can) because semiotics implies the possibility of narrative; and narrative implies the possibility of both a subject of speech and a speaking subject. Genocide, however, has no speaking subject; as such it has no narrative.</w:t>
      </w:r>
      <w:r w:rsidRPr="00087A72">
        <w:rPr>
          <w:sz w:val="12"/>
        </w:rPr>
        <w:t xml:space="preserve"> It can only be apprehended by way of a narrative about something that it is not—such as sovereignty. (This is why a number of Jewish holocaust films end up—or begin—in Israel: the impossible semiotics of genocide must be compensated for by way of a gesture of coherence, even if that coherence distracts the spectator from the topic at hand.) No single film could represent the clearing of a hemisphere. And no hemisphere, let alone a country, could maintain egoic consolidation of its psychic coordinates under the weight of the number and kind of films that it would take to even attempt to represent the clearing as a verb. </w:t>
      </w:r>
      <w:r w:rsidRPr="00087A72">
        <w:rPr>
          <w:rStyle w:val="Emphasis"/>
        </w:rPr>
        <w:t>Though it is precisely the impossible “narrative” of genocide that positions the “Savage,” ensembles of questions that could elaborate more or less coherent ethical dilemmas regarding genocide—even if a coherent story of genocide could not be told—are often managed, constrained, marginalized</w:t>
      </w:r>
      <w:r w:rsidRPr="00087A72">
        <w:rPr>
          <w:sz w:val="12"/>
        </w:rPr>
        <w:t>, are disavowed within political discourse, meta-commentaries on ontology, and the cinema of Native Americans. Skins’ simultaneous elaboration of and uneasiness with Mogie Yellow Lodge is emblematic of how this management, constraint, marginalization, and disavowal are rendered cinematically.</w:t>
      </w:r>
    </w:p>
    <w:p w:rsidR="00EC4346" w:rsidRPr="00087A72" w:rsidRDefault="00EC4346" w:rsidP="00EC4346">
      <w:pPr>
        <w:pStyle w:val="Heading4"/>
      </w:pPr>
      <w:r w:rsidRPr="00087A72">
        <w:t>Graffiti along the border is not only an affirmation of settler appropriation which erases the native from existence, but a liberal notion of self-expression which constitutes the necessary, western paradigm of ownership</w:t>
      </w:r>
    </w:p>
    <w:p w:rsidR="00EC4346" w:rsidRPr="00087A72" w:rsidRDefault="00EC4346" w:rsidP="00EC4346">
      <w:r w:rsidRPr="00087A72">
        <w:rPr>
          <w:rStyle w:val="Style13ptBold"/>
        </w:rPr>
        <w:t>Hammond 11</w:t>
      </w:r>
      <w:r w:rsidRPr="00087A72">
        <w:t xml:space="preserve"> (Jay, MA degree in the department of anthropology at Columbia University, “Speaking of Opium: Ownership and (Settler) Colonial Dispossession,” </w:t>
      </w:r>
      <w:r w:rsidRPr="00087A72">
        <w:rPr>
          <w:i/>
        </w:rPr>
        <w:t>Settler Colonial Studies</w:t>
      </w:r>
      <w:r w:rsidRPr="00087A72">
        <w:t>, DOI: 10.1080/2201473X.2011.10648814, pp. 107-109)//vikas</w:t>
      </w:r>
    </w:p>
    <w:p w:rsidR="00EC4346" w:rsidRPr="00087A72" w:rsidRDefault="00EC4346" w:rsidP="00EC4346">
      <w:pPr>
        <w:rPr>
          <w:b/>
          <w:iCs/>
          <w:sz w:val="24"/>
          <w:u w:val="single"/>
        </w:rPr>
      </w:pPr>
      <w:r w:rsidRPr="00087A72">
        <w:rPr>
          <w:sz w:val="14"/>
        </w:rPr>
        <w:t xml:space="preserve">The shift from granting monopolies to the aristocracy through nepotism or preference to granting monopolies to individuals on the basis of originality and contribution to industry laid the groundwork for the contemporary global intellectual property regime. </w:t>
      </w:r>
      <w:r w:rsidRPr="00087A72">
        <w:rPr>
          <w:b/>
          <w:u w:val="single"/>
        </w:rPr>
        <w:t>The coalescing of liberalism and private property marked the beginning of a regime of intellectual property predicated on</w:t>
      </w:r>
      <w:r w:rsidRPr="00087A72">
        <w:rPr>
          <w:sz w:val="14"/>
        </w:rPr>
        <w:t xml:space="preserve"> the notion that natural resources such as opium can be appropriated, propertied and sold through </w:t>
      </w:r>
      <w:r w:rsidRPr="00087A72">
        <w:rPr>
          <w:b/>
          <w:u w:val="single"/>
        </w:rPr>
        <w:t>a discourse of</w:t>
      </w:r>
      <w:r w:rsidRPr="00087A72">
        <w:rPr>
          <w:sz w:val="14"/>
        </w:rPr>
        <w:t xml:space="preserve"> individual </w:t>
      </w:r>
      <w:r w:rsidRPr="00087A72">
        <w:rPr>
          <w:b/>
          <w:u w:val="single"/>
        </w:rPr>
        <w:t>ownership and innovation.</w:t>
      </w:r>
      <w:r w:rsidRPr="00087A72">
        <w:rPr>
          <w:sz w:val="14"/>
        </w:rPr>
        <w:t xml:space="preserve"> However, </w:t>
      </w:r>
      <w:r w:rsidRPr="00087A72">
        <w:rPr>
          <w:rStyle w:val="Emphasis"/>
        </w:rPr>
        <w:t>indigenous political critique has begun to articulate</w:t>
      </w:r>
      <w:r w:rsidRPr="00087A72">
        <w:rPr>
          <w:sz w:val="14"/>
        </w:rPr>
        <w:t xml:space="preserve"> the workings of what it has termed ‘</w:t>
      </w:r>
      <w:r w:rsidRPr="00087A72">
        <w:rPr>
          <w:rStyle w:val="Emphasis"/>
        </w:rPr>
        <w:t>biocolonialism</w:t>
      </w:r>
      <w:r w:rsidRPr="00087A72">
        <w:rPr>
          <w:sz w:val="14"/>
        </w:rPr>
        <w:t xml:space="preserve">’, </w:t>
      </w:r>
      <w:r w:rsidRPr="00087A72">
        <w:rPr>
          <w:rStyle w:val="Emphasis"/>
        </w:rPr>
        <w:t xml:space="preserve">which includes the colonial appropriation </w:t>
      </w:r>
      <w:r w:rsidRPr="00087A72">
        <w:rPr>
          <w:sz w:val="14"/>
        </w:rPr>
        <w:t xml:space="preserve">and circulation </w:t>
      </w:r>
      <w:r w:rsidRPr="00087A72">
        <w:rPr>
          <w:rStyle w:val="Emphasis"/>
        </w:rPr>
        <w:t>of natural resources.</w:t>
      </w:r>
      <w:r w:rsidRPr="00087A72">
        <w:rPr>
          <w:sz w:val="14"/>
        </w:rPr>
        <w:t xml:space="preserve"> 7 In addition, many legal scholars have argued that </w:t>
      </w:r>
      <w:r w:rsidRPr="00087A72">
        <w:rPr>
          <w:rStyle w:val="Emphasis"/>
        </w:rPr>
        <w:t>intellectual property law is itself a reflection of</w:t>
      </w:r>
      <w:r w:rsidRPr="00087A72">
        <w:rPr>
          <w:sz w:val="14"/>
        </w:rPr>
        <w:t xml:space="preserve"> the history of </w:t>
      </w:r>
      <w:r w:rsidRPr="00087A72">
        <w:rPr>
          <w:rStyle w:val="Emphasis"/>
        </w:rPr>
        <w:t>colonialism as a mechanism of exploitation through commodification.</w:t>
      </w:r>
      <w:r w:rsidRPr="00087A72">
        <w:rPr>
          <w:sz w:val="14"/>
        </w:rPr>
        <w:t xml:space="preserve"> For example, legal scholar and anthropologist Rosemary Coombe has articulated a critique of intellectual property law through a discussion of individualism and Orientalism. 8 Borrowing the idea of the ‘European Art/Culture system’ from historian James Clifford, Coombe reviews the ways in which </w:t>
      </w:r>
      <w:r w:rsidRPr="00087A72">
        <w:rPr>
          <w:b/>
          <w:u w:val="single"/>
        </w:rPr>
        <w:t xml:space="preserve">the terms </w:t>
      </w:r>
      <w:r w:rsidRPr="00087A72">
        <w:rPr>
          <w:rStyle w:val="Emphasis"/>
        </w:rPr>
        <w:t>‘art’</w:t>
      </w:r>
      <w:r w:rsidRPr="00087A72">
        <w:rPr>
          <w:b/>
          <w:u w:val="single"/>
        </w:rPr>
        <w:t xml:space="preserve"> and ‘culture’ </w:t>
      </w:r>
      <w:r w:rsidRPr="00087A72">
        <w:rPr>
          <w:rStyle w:val="Emphasis"/>
        </w:rPr>
        <w:t>shifted</w:t>
      </w:r>
      <w:r w:rsidRPr="00087A72">
        <w:rPr>
          <w:sz w:val="14"/>
        </w:rPr>
        <w:t xml:space="preserve"> their </w:t>
      </w:r>
      <w:r w:rsidRPr="00087A72">
        <w:rPr>
          <w:rStyle w:val="Emphasis"/>
        </w:rPr>
        <w:t>meanings as part of the larger historical project of colonialism</w:t>
      </w:r>
      <w:r w:rsidRPr="00087A72">
        <w:rPr>
          <w:b/>
          <w:u w:val="single"/>
        </w:rPr>
        <w:t xml:space="preserve">, global capitalism </w:t>
      </w:r>
      <w:r w:rsidRPr="00087A72">
        <w:rPr>
          <w:rStyle w:val="Emphasis"/>
        </w:rPr>
        <w:t>and</w:t>
      </w:r>
      <w:r w:rsidRPr="00087A72">
        <w:rPr>
          <w:b/>
          <w:u w:val="single"/>
        </w:rPr>
        <w:t xml:space="preserve"> the </w:t>
      </w:r>
      <w:r w:rsidRPr="00087A72">
        <w:rPr>
          <w:rStyle w:val="Emphasis"/>
        </w:rPr>
        <w:t>distribution liberal ideas of autonomy and creative expression.</w:t>
      </w:r>
      <w:r w:rsidRPr="00087A72">
        <w:rPr>
          <w:sz w:val="14"/>
        </w:rPr>
        <w:t xml:space="preserve"> 9 Before this shift, art referred primarily to what we would today understand to be craft. A highly specialised skill in a specific industry such as that of the cobbler or luthier fell under the idea of art, while culture referred to an organic growth such as a yogurt culture. </w:t>
      </w:r>
      <w:r w:rsidRPr="00087A72">
        <w:rPr>
          <w:rStyle w:val="Emphasis"/>
        </w:rPr>
        <w:t>Art with a capital A develops</w:t>
      </w:r>
      <w:r w:rsidRPr="00087A72">
        <w:rPr>
          <w:b/>
          <w:u w:val="single"/>
        </w:rPr>
        <w:t xml:space="preserve"> in the nineteenth century </w:t>
      </w:r>
      <w:r w:rsidRPr="00087A72">
        <w:rPr>
          <w:rStyle w:val="Emphasis"/>
        </w:rPr>
        <w:t>as the product of the expressive faculties of an autonomous self</w:t>
      </w:r>
      <w:r w:rsidRPr="00087A72">
        <w:rPr>
          <w:sz w:val="14"/>
        </w:rPr>
        <w:t xml:space="preserve">, often </w:t>
      </w:r>
      <w:r w:rsidRPr="00087A72">
        <w:rPr>
          <w:b/>
          <w:u w:val="single"/>
        </w:rPr>
        <w:t>referred to as a ‘genius’</w:t>
      </w:r>
      <w:r w:rsidRPr="00087A72">
        <w:rPr>
          <w:sz w:val="14"/>
        </w:rPr>
        <w:t xml:space="preserve">. Similarly, culture as an organic growth morphs into Culture (capital C) – which refers to the progress of civilisation. Raymond Williams has categorised the nineteenth century notion of Culture into three categories; Culture as ‘a process of intellectual, spiritual and aesthetic development’ Culture as ‘a particular way of life, whether of a people, a period, a group or humanity’ and Culture as ‘the works and practices of intellectual and especially artistic activity’. 10 Coombe discusses Art (capital A) as well as Williams’ first and third concepts of Culture under the rubric of what she terms ‘possessive individualism’. More than anything else, </w:t>
      </w:r>
      <w:r w:rsidRPr="00087A72">
        <w:rPr>
          <w:b/>
          <w:u w:val="single"/>
        </w:rPr>
        <w:t>the European Art/Culture system develops as a method of asserting ownership over</w:t>
      </w:r>
      <w:r w:rsidRPr="00087A72">
        <w:rPr>
          <w:sz w:val="14"/>
        </w:rPr>
        <w:t xml:space="preserve"> a wide variety of </w:t>
      </w:r>
      <w:r w:rsidRPr="00087A72">
        <w:rPr>
          <w:b/>
          <w:u w:val="single"/>
        </w:rPr>
        <w:t>artifacts, products of creative expression as well as natural resources</w:t>
      </w:r>
      <w:r w:rsidRPr="00087A72">
        <w:rPr>
          <w:sz w:val="14"/>
        </w:rPr>
        <w:t xml:space="preserve"> (such as opium). </w:t>
      </w:r>
      <w:r w:rsidRPr="00087A72">
        <w:rPr>
          <w:rStyle w:val="Emphasis"/>
        </w:rPr>
        <w:t>Art is no longer the product of years of the development of a craft, but</w:t>
      </w:r>
      <w:r w:rsidRPr="00087A72">
        <w:rPr>
          <w:sz w:val="14"/>
        </w:rPr>
        <w:t xml:space="preserve"> an </w:t>
      </w:r>
      <w:r w:rsidRPr="00087A72">
        <w:rPr>
          <w:rStyle w:val="Emphasis"/>
        </w:rPr>
        <w:t>expression of autonomy and individuality that works to assert ownership over</w:t>
      </w:r>
      <w:r w:rsidRPr="00087A72">
        <w:rPr>
          <w:sz w:val="14"/>
        </w:rPr>
        <w:t xml:space="preserve"> that </w:t>
      </w:r>
      <w:r w:rsidRPr="00087A72">
        <w:rPr>
          <w:rStyle w:val="Emphasis"/>
        </w:rPr>
        <w:t>expression.</w:t>
      </w:r>
      <w:r w:rsidRPr="00087A72">
        <w:rPr>
          <w:sz w:val="14"/>
        </w:rPr>
        <w:t xml:space="preserve"> Culture – in Williams’ first and third senses, development of the self and/or works and practices of intellect – is also a technology of ownership that is legitimated through colonial notions of the unceasing progress of civilisation. This unceasing progress – which can also be understood as </w:t>
      </w:r>
      <w:r w:rsidRPr="00087A72">
        <w:rPr>
          <w:b/>
          <w:u w:val="single"/>
        </w:rPr>
        <w:t>the logic of development</w:t>
      </w:r>
      <w:r w:rsidRPr="00087A72">
        <w:rPr>
          <w:sz w:val="14"/>
        </w:rPr>
        <w:t xml:space="preserve"> – </w:t>
      </w:r>
      <w:r w:rsidRPr="00087A72">
        <w:rPr>
          <w:rStyle w:val="Emphasis"/>
        </w:rPr>
        <w:t>is to be mirrored through</w:t>
      </w:r>
      <w:r w:rsidRPr="00087A72">
        <w:rPr>
          <w:sz w:val="14"/>
        </w:rPr>
        <w:t xml:space="preserve"> a similar </w:t>
      </w:r>
      <w:r w:rsidRPr="00087A72">
        <w:rPr>
          <w:rStyle w:val="Emphasis"/>
        </w:rPr>
        <w:t>progression of the self and its intellectual and artistic expressions</w:t>
      </w:r>
      <w:r w:rsidRPr="00087A72">
        <w:rPr>
          <w:sz w:val="14"/>
        </w:rPr>
        <w:t xml:space="preserve">. Here we have the fusing of the aforementioned Lockean notions of property with Kantian notions of the ‘private’ self that exists in contrast to, but as a necessary part of, public life. Liberal autonomy and private property are necessary components of Art as an expression of creative genius and Culture as a sign of the progress of civilisation and the self. And then there is Williams’ second notion of culture as a way of life that corresponds to particular ‘peoples’ that are defined by collective practices as well as a specific geographical location. This is the definition of culture that corresponds to the creation of anthropology as a scholarly field of inquiry. Coombe designates this understanding of culture as circulating with a lower case ‘c’. Here, culture is understood not under the sign of liberal autonomy or property, but as a collection of values and practices to be attributed to a ‘people’ rather than to a single author/individual. 11 If Art and Culture represent a possessive individualism that is reflective of the coterminous phenomena of colonialism, liberalism and property, culture (lower case c) underpins an Orientalism that imagines societies that are the inverse of Western Culture. Important for our discussion here is the way in which culture (lower case c) is often viewed as the ‘raw materiel’ for Culture or Art. Or, in the case of opium, ‘Medicine’ (within the logics of intellectual property law). For example, there is a clear division in intellectual property law between private works and the public domain. The resources available within the public domain are imagined to be freely available to all producers of Art or Culture. And yet, indigenous culture is often appropriated under the idea that it exists in the public domain. Legal and science studies scholar Laurelyn Whitt has argued that the public domain operates within intellectual property law as a nexus of power that works to delegitimise indigenous creative and intellectual expression as ‘raw materiel’. 12 We see this across artistic mediums and throughout the nineteenth and twentieth centuries. Whether we are referring to Picasso’s use of aboriginal imagery, new age musician Enigma’s use of Taiwanese aboriginal singing in his un-self consciously titled international hit ‘Return to Innocence’, or the British appropriation of opium in India, it is exceedingly clear that the public domain is far from a neutral space that is free from the power relations within colonial histories. 13 </w:t>
      </w:r>
      <w:r w:rsidRPr="00087A72">
        <w:rPr>
          <w:b/>
          <w:u w:val="single"/>
        </w:rPr>
        <w:t>Liberal notions of the autonomous genius that derives raw materials from the public domain as</w:t>
      </w:r>
      <w:r w:rsidRPr="00087A72">
        <w:rPr>
          <w:sz w:val="14"/>
        </w:rPr>
        <w:t xml:space="preserve"> a mode of </w:t>
      </w:r>
      <w:r w:rsidRPr="00087A72">
        <w:rPr>
          <w:b/>
          <w:u w:val="single"/>
        </w:rPr>
        <w:t>individual self-expression are not only manifest throughout the logics of intellectual property law, but</w:t>
      </w:r>
      <w:r w:rsidRPr="00087A72">
        <w:rPr>
          <w:sz w:val="14"/>
        </w:rPr>
        <w:t xml:space="preserve"> they are </w:t>
      </w:r>
      <w:r w:rsidRPr="00087A72">
        <w:rPr>
          <w:rStyle w:val="Emphasis"/>
        </w:rPr>
        <w:t>necessary elements of empire.</w:t>
      </w:r>
      <w:r w:rsidRPr="00087A72">
        <w:rPr>
          <w:sz w:val="14"/>
        </w:rPr>
        <w:t xml:space="preserve"> These </w:t>
      </w:r>
      <w:r w:rsidRPr="00087A72">
        <w:rPr>
          <w:sz w:val="14"/>
          <w:szCs w:val="14"/>
        </w:rPr>
        <w:t>legal</w:t>
      </w:r>
      <w:r w:rsidRPr="00087A72">
        <w:t xml:space="preserve"> </w:t>
      </w:r>
      <w:r w:rsidRPr="00087A72">
        <w:rPr>
          <w:rStyle w:val="Emphasis"/>
        </w:rPr>
        <w:t>discourses of ownership in the context of a colonial dispossession laid the groundwork for</w:t>
      </w:r>
      <w:r w:rsidRPr="00087A72">
        <w:rPr>
          <w:sz w:val="14"/>
        </w:rPr>
        <w:t xml:space="preserve"> later </w:t>
      </w:r>
      <w:r w:rsidRPr="00087A72">
        <w:rPr>
          <w:rStyle w:val="Emphasis"/>
        </w:rPr>
        <w:t>settler colonial dispossession in the context of cultural discourses of ownership.</w:t>
      </w:r>
    </w:p>
    <w:p w:rsidR="00E82B76" w:rsidRPr="00087A72" w:rsidRDefault="00E82B76" w:rsidP="00E82B76">
      <w:pPr>
        <w:pStyle w:val="Heading4"/>
      </w:pPr>
      <w:r w:rsidRPr="00087A72">
        <w:t>Settler colonialism turns any impact calculus because how you understand value and ethical calculus are all ontologically dependent on Native genocide. The genocide of the Native clears the way for intra-Settler discussions of ethical value. To be alive is to stand upon this Indian burial ground we call the world—to be alive is to be unethical.</w:t>
      </w:r>
    </w:p>
    <w:p w:rsidR="00E82B76" w:rsidRPr="00087A72" w:rsidRDefault="00E82B76" w:rsidP="00E82B76">
      <w:r w:rsidRPr="00087A72">
        <w:rPr>
          <w:rStyle w:val="Style13ptBold"/>
        </w:rPr>
        <w:t>Wilderson 10</w:t>
      </w:r>
      <w:r w:rsidRPr="00087A72">
        <w:t xml:space="preserve"> (Frank, Full Professor of Drama and African American studies at the University of California, Irvine </w:t>
      </w:r>
      <w:r w:rsidRPr="00087A72">
        <w:rPr>
          <w:i/>
        </w:rPr>
        <w:t>Red, White, and Black: Cinema and the Structure of U.S. Antagonisms</w:t>
      </w:r>
      <w:r w:rsidRPr="00087A72">
        <w:t xml:space="preserve"> pp. 214-220) NIJ</w:t>
      </w:r>
    </w:p>
    <w:p w:rsidR="00E82B76" w:rsidRPr="00087A72" w:rsidRDefault="00E82B76" w:rsidP="00E82B76">
      <w:pPr>
        <w:rPr>
          <w:sz w:val="12"/>
        </w:rPr>
      </w:pPr>
      <w:r w:rsidRPr="00087A72">
        <w:rPr>
          <w:rStyle w:val="StyleUnderline"/>
        </w:rPr>
        <w:t>Mogie’s surrealist demand, “send me a big…fat woman …[to] cover up all the cracks in my shack,” goes to the heart of the matter.</w:t>
      </w:r>
      <w:r w:rsidRPr="00087A72">
        <w:rPr>
          <w:sz w:val="12"/>
        </w:rPr>
        <w:t xml:space="preserve"> </w:t>
      </w:r>
      <w:r w:rsidRPr="00087A72">
        <w:rPr>
          <w:rStyle w:val="Emphasis"/>
        </w:rPr>
        <w:t xml:space="preserve">Red flesh can only be restored, ethically, through the destruction of White bodies, because the corporeality of the indigenous has been consumed by and gone into the making of the Settler’s corporeality. Mogie wants what he has lost; not just his labor power, not just his language or land, but the raw material of his flesh. And, like most “grassroots Indians,” he knows precisely where it went—into the Settler’s “body”—and thus he knows precisely from where to repossess it. </w:t>
      </w:r>
      <w:r w:rsidRPr="00087A72">
        <w:rPr>
          <w:sz w:val="12"/>
        </w:rPr>
        <w:t xml:space="preserve">Though Mogie’s shack is small, we know from earlier scenes that it has at least two rooms. Therefore, </w:t>
      </w:r>
      <w:r w:rsidRPr="00087A72">
        <w:rPr>
          <w:rStyle w:val="StyleUnderline"/>
        </w:rPr>
        <w:t>to stretch a White woman across its interior, window-to-window, wall-to-wall, corner-to-corner, and then stretch her across the door, would be to reconfigure her body into grotesque and unrecognizable dimensions. There are serious doubts as to whether a White woman</w:t>
      </w:r>
      <w:r w:rsidRPr="00087A72">
        <w:rPr>
          <w:sz w:val="12"/>
        </w:rPr>
        <w:t xml:space="preserve">, even as large a White woman as Mogie Yellow Lodge is demanding from the President, “the Great White Father in Washington,” </w:t>
      </w:r>
      <w:r w:rsidRPr="00087A72">
        <w:rPr>
          <w:rStyle w:val="StyleUnderline"/>
        </w:rPr>
        <w:t>would survive such an ordeal. Imagine such a demand being made, such wallpapering taking place, en mass</w:t>
      </w:r>
      <w:r w:rsidRPr="00087A72">
        <w:rPr>
          <w:sz w:val="12"/>
        </w:rPr>
        <w:t xml:space="preserve">, on a scale which even Mogie’s inebriated imagination has not yet grasped. [General Andrew Jackson] instructed his troops to cut the noses of the corpses so that no one would be able to challenge the body count. They had bushel baskets full of noses that they brought back. This [practice] got him elected President. [He] campaigned on the basis that he had never met a recalcitrant Indian that he had not killed and never killed an Indian that he had not scalped and that anybody who wanted to question the validity of what he was saying was invited to tea in his parlor that evening so he could display the scalps and prove his point. [He] rode with a saddle bridle made out of the skin of an opposing Indian leader. This is the President of the United States. (Churchill: Book Tour Speech July 31, 2004) </w:t>
      </w:r>
      <w:r w:rsidRPr="00087A72">
        <w:rPr>
          <w:rStyle w:val="StyleUnderline"/>
        </w:rPr>
        <w:t>One begins to see how wallpapering or insulating one’s room not with “bushel baskets” of White female skin but with even one White woman is simply out of the question. Mogie’s demand, then, is laughed off—managed, constrained, marginalized—by the script.</w:t>
      </w:r>
      <w:r w:rsidRPr="00087A72">
        <w:rPr>
          <w:sz w:val="12"/>
        </w:rPr>
        <w:t xml:space="preserve"> “Hey, ya wanna see me piss in my pants?” are the words he is made to utter next. Words portrayed as the surreal ruminations of an Indian who has reached the end of his inebriated tether, and not as the wisdom of a man who could lead his people. </w:t>
      </w:r>
      <w:r w:rsidRPr="00087A72">
        <w:rPr>
          <w:rStyle w:val="Emphasis"/>
        </w:rPr>
        <w:t xml:space="preserve">The film is nervous in the face of Mogie’s demand not because of its absurdity but because of its authority. But Mogie is demanding no more of the Great White Father, no more of civil society, than he has already given. In fact, he is demanding less. </w:t>
      </w:r>
      <w:r w:rsidRPr="00087A72">
        <w:rPr>
          <w:sz w:val="12"/>
        </w:rPr>
        <w:t xml:space="preserve">His surrealism indicates a qualitatively similar ontological relationship between the Red and the White as exists between the Black and the White. The Middle Passage turns, for example, Ashanti spatial and temporal capacity into spatial and temporal incapacity—a body into flesh. This process begins as early as the 1200s for the Slave. lxxvi </w:t>
      </w:r>
      <w:r w:rsidRPr="00087A72">
        <w:rPr>
          <w:rStyle w:val="StyleUnderline"/>
        </w:rPr>
        <w:t>By the 1530s, Modernity is more self-conscious of its coordinates, and Whiteness begins its ontological consolidation and negative knowledge of itself by turning</w:t>
      </w:r>
      <w:r w:rsidRPr="00087A72">
        <w:rPr>
          <w:sz w:val="12"/>
        </w:rPr>
        <w:t xml:space="preserve"> (part of) </w:t>
      </w:r>
      <w:r w:rsidRPr="00087A72">
        <w:rPr>
          <w:rStyle w:val="StyleUnderline"/>
        </w:rPr>
        <w:t>the Aztec body</w:t>
      </w:r>
      <w:r w:rsidRPr="00087A72">
        <w:rPr>
          <w:sz w:val="12"/>
        </w:rPr>
        <w:t xml:space="preserve">, for example, </w:t>
      </w:r>
      <w:r w:rsidRPr="00087A72">
        <w:rPr>
          <w:rStyle w:val="StyleUnderline"/>
        </w:rPr>
        <w:t>into Indian flesh</w:t>
      </w:r>
      <w:r w:rsidRPr="00087A72">
        <w:rPr>
          <w:sz w:val="12"/>
        </w:rPr>
        <w:t xml:space="preserve"> (Judy (Dis)Forming the American Canon 81). </w:t>
      </w:r>
      <w:r w:rsidRPr="00087A72">
        <w:rPr>
          <w:rStyle w:val="StyleUnderline"/>
        </w:rPr>
        <w:t xml:space="preserve">In this moment the White body completes itself and proceeds to lay the groundwork for the intra-Settler ensemble of questions foundational to its ethical dilemmas (i.e., Marxism, feminism, psychoanalysis). In the final analysis, Settler ontology is guaranteed by way of a negative knowledge of what it is not, rather than by way of its positive claims of what it is. Ontological Whiteness is secured not through its cultural, economic, or gendered identities; but by the fact that it cannot be known (positioned) by genocide </w:t>
      </w:r>
      <w:r w:rsidRPr="00087A72">
        <w:rPr>
          <w:sz w:val="12"/>
        </w:rPr>
        <w:t xml:space="preserve">(or by Accumulation and Fungibility). </w:t>
      </w:r>
      <w:r w:rsidRPr="00087A72">
        <w:rPr>
          <w:rStyle w:val="StyleUnderline"/>
        </w:rPr>
        <w:t xml:space="preserve">This negative knowledge has its pleasures… </w:t>
      </w:r>
      <w:r w:rsidRPr="00087A72">
        <w:rPr>
          <w:sz w:val="12"/>
        </w:rPr>
        <w:t xml:space="preserve">[Unlike Jackson’s army of the early 19 th century, the 16 th century Dutch] didn’t take the noses and they didn’t take the scalps. They took whole heads because they wanted to identify the fact that they had eradicated the entire leadership of the opposition. They brought the heads back to the central square in New Amsterdam [now Manhattan] where the citizenry began to celebrate. They turned it into a sport. People who had participated in the expedition had themselves a jolly game of kick ball using the heads and the citizenry sat around and cheered…(Churchill 7/31/04) </w:t>
      </w:r>
      <w:r w:rsidRPr="00087A72">
        <w:rPr>
          <w:rStyle w:val="StyleUnderline"/>
        </w:rPr>
        <w:t xml:space="preserve">…has a sense of affilial inclusion and filial longevity… </w:t>
      </w:r>
      <w:r w:rsidRPr="00087A72">
        <w:rPr>
          <w:sz w:val="12"/>
        </w:rPr>
        <w:t xml:space="preserve">[In 1864, the 3 rd Regiment of the U.S. Calvary] returned to Denver [Colorado] with their trophies [the vaginas of Native American women stapled to the front of their hats] and held a triumphal parade. [They] proceeded down Larimore Street…and the good citizenry stood up and cheered wildly...[T]he Rocky Mountain News [described it as] “an unparalleled feat of martial prowess that would live forever in the annals of the history and nobility of the race.” (7/31/04) </w:t>
      </w:r>
      <w:r w:rsidRPr="00087A72">
        <w:rPr>
          <w:rStyle w:val="StyleUnderline"/>
        </w:rPr>
        <w:t xml:space="preserve">…has a capacity for territorial integrity… </w:t>
      </w:r>
      <w:r w:rsidRPr="00087A72">
        <w:rPr>
          <w:sz w:val="12"/>
        </w:rPr>
        <w:t xml:space="preserve">Scalp bounties…were officially claimed bounties that were placed on Indians in every antecedent colony in the Eastern Seaboard—French, English, and Spanish. I don’t know about the Dutch. They killed all the Indians around before they had the chance to need a bounty. But from the antecedent colonies this law transferred to every state and territory in forty-eight contiguous states. (7/31/04) </w:t>
      </w:r>
      <w:r w:rsidRPr="00087A72">
        <w:rPr>
          <w:rStyle w:val="StyleUnderline"/>
        </w:rPr>
        <w:t xml:space="preserve">…that is, it has the capacity to transform Clearing from a verb into Clearing as a noun… </w:t>
      </w:r>
      <w:r w:rsidRPr="00087A72">
        <w:rPr>
          <w:sz w:val="12"/>
        </w:rPr>
        <w:t xml:space="preserve">Every [state in the union] placed a bounty on Indians, any Indians, all Indians. [For example in the] Pennsylvania colony in the 1740s, the bounty [was] forty pounds sterling for proof of death of an adult male Indian. That proof of death being in the form of a scalp or a bloody red skin…Proof of death in that form got the bearer of the proof forty pounds sterling. Forty pounds sterling in the 1740s was equivalent to the annual wage of your average farmer. This is big business. Twenty pounds sterling would be paid for proof of death in the same form of an adult female. Ten pounds sterling for proof of death of a child, a child being defined as human being of either sex under ten years of age down to and, yes, including the fetus…In Texas this law was not rescinded until 1887, [when] the debate in the Texas legislature concluded that there was no reason to continue because there was no long sufficient numbers of living Indians in the entire state of Texas to warrant the continuation of it. It had accomplished its purpose. (7/31/04) </w:t>
      </w:r>
      <w:r w:rsidRPr="00087A72">
        <w:rPr>
          <w:rStyle w:val="StyleUnderline"/>
        </w:rPr>
        <w:t>…and just like that, Little Baby Civil Society was walking on its own two feet. To Grown-up Civil Society</w:t>
      </w:r>
      <w:r w:rsidRPr="00087A72">
        <w:rPr>
          <w:sz w:val="12"/>
        </w:rPr>
        <w:t xml:space="preserve"> (Mogie’s “Great White Father in Washington”) </w:t>
      </w:r>
      <w:r w:rsidRPr="00087A72">
        <w:rPr>
          <w:rStyle w:val="StyleUnderline"/>
        </w:rPr>
        <w:t xml:space="preserve">Mogie Yellow Lodge submits his own “personal” genocide reparations bill. A bill that accounts for the perfect symmetry through which Whiteness has formed a body (from the genitals to the body politic) out of “Savage” flesh. The symmetry’s perfection becomes clear when one realizes that today’s 1.6%-to-80.6%, “Savage”-to-Settler ratio is a pure inversion of the sixteenth century’s “Savage” to Settler ratio. </w:t>
      </w:r>
      <w:r w:rsidRPr="00087A72">
        <w:rPr>
          <w:sz w:val="12"/>
        </w:rPr>
        <w:t xml:space="preserve">lxxvii </w:t>
      </w:r>
      <w:r w:rsidRPr="00087A72">
        <w:rPr>
          <w:rStyle w:val="StyleUnderline"/>
        </w:rPr>
        <w:t>“Send me a big woman. A fat woman! So that when I sleep with her she’ll cover up all the cracks in my shack and stop the wind from blowing through” is a demand so ethically pure that the film finds it unbearable and, as such, is unable (unwilling?) to let Mogie state it without irony.</w:t>
      </w:r>
      <w:r w:rsidRPr="00087A72">
        <w:rPr>
          <w:sz w:val="12"/>
        </w:rPr>
        <w:t xml:space="preserve"> And yet, Mogie’s outbursts like this—“outbursts” because they are generally infrequent and contained by pity or humor—are the few moments when the film engages the ethical dilemmas of the Settler/“Savage” antagonism (genocide and its impossible semiotics) instead of the ethical dilemmas of the Settler/“Savage” conflict (sovereignty and its semiotics of loss). Again, </w:t>
      </w:r>
      <w:r w:rsidRPr="00087A72">
        <w:rPr>
          <w:rStyle w:val="Emphasis"/>
        </w:rPr>
        <w:t>it is not that Mogie’s demand is absurd and unethical, but rather that it is a demand so pure in its ethicality that it threatens the quotidian prohibitions which, in Modernity, constrain ethics. The demand is far too ethical</w:t>
      </w:r>
      <w:r w:rsidRPr="00087A72">
        <w:rPr>
          <w:sz w:val="12"/>
        </w:rPr>
        <w:t xml:space="preserve"> for the film to embrace and elaborate at the level of narrative. It is a demand that must be policed by sovereign powers. Exploring Skins’ cinematic strategies reveals this containment as an effort to manage the spectator’s interpellation by the dilemmas of Mogie’s ruination and by they demand that ushers forth from his “flesh.” </w:t>
      </w:r>
      <w:r w:rsidRPr="00087A72">
        <w:rPr>
          <w:rStyle w:val="StyleUnderline"/>
        </w:rPr>
        <w:t>Mogie’s surrealism seeks to cull power directly from the subjectivity of the Settler, what Ward Churchill calls the “imperial integrity of the US itself”</w:t>
      </w:r>
      <w:r w:rsidRPr="00087A72">
        <w:rPr>
          <w:sz w:val="12"/>
        </w:rPr>
        <w:t xml:space="preserve"> (Marxism and Native Americans 202). </w:t>
      </w:r>
      <w:r w:rsidRPr="00087A72">
        <w:rPr>
          <w:rStyle w:val="StyleUnderline"/>
        </w:rPr>
        <w:t>This idea of culling power, resources, and Human life directly from the imperial integrity of the US, especially when we think that imperial integrity through the banality of White bodies</w:t>
      </w:r>
      <w:r w:rsidRPr="00087A72">
        <w:rPr>
          <w:sz w:val="12"/>
        </w:rPr>
        <w:t xml:space="preserve"> (in other words, through the “innocence” of today’s citizen), is indicative of the kind of unflinching paradigmatic analyses which allowed Ward Churchill to embrace the 9/11 attack on the World Trade Center within forty-eight hours of its occurrence, a moment in time when Settler Marxists and Settler progressives either suddenly became mute, or stumbled over their own tongues in half-hearted attempts to simultaneously condemn the attack and explain its political and historical rationale. Churchill’s embrace of the event is not synonymous with either celebration or condemnation. It goes without saying that Churchill also refused to be interpellated by the pageantry of mourning that followed in the wake of 9-1-1. But Settler radicals and progressives assailed him for meditating on the attack from within the questions of the genocided “Savage,” rather than from within an ensemble of questions allied with Settler’s grammar of suffering, exploitation and alienation. </w:t>
      </w:r>
      <w:r w:rsidRPr="00087A72">
        <w:rPr>
          <w:rStyle w:val="StyleUnderline"/>
        </w:rPr>
        <w:t xml:space="preserve">People on the Left tried to shame Churchill for embracing incoherent terror </w:t>
      </w:r>
      <w:r w:rsidRPr="00087A72">
        <w:rPr>
          <w:sz w:val="12"/>
        </w:rPr>
        <w:t xml:space="preserve">(suicide bombers) </w:t>
      </w:r>
      <w:r w:rsidRPr="00087A72">
        <w:rPr>
          <w:rStyle w:val="StyleUnderline"/>
        </w:rPr>
        <w:t>instead of morally and politically sanctioned revolutionary action</w:t>
      </w:r>
      <w:r w:rsidRPr="00087A72">
        <w:rPr>
          <w:sz w:val="12"/>
        </w:rPr>
        <w:t xml:space="preserve"> (like the Zapatistas or the Sandanistas). </w:t>
      </w:r>
      <w:r w:rsidRPr="00087A72">
        <w:rPr>
          <w:rStyle w:val="StyleUnderline"/>
        </w:rPr>
        <w:t>Others chided him for advocating violence in any form.</w:t>
      </w:r>
      <w:r w:rsidRPr="00087A72">
        <w:rPr>
          <w:sz w:val="12"/>
        </w:rPr>
        <w:t xml:space="preserve"> Many said that now is not the time for a scathing critique; “our” nation is in mourning. And there were those who wagged their finger and reminded him that there were members of the working class (not just police agents and investment bankers) who died in the Twin Towers. These nay-sayers all made their arguments at the level of experience, and Churchill, rather handily, answered them at the level as well. But I am neither interested in his interlocutors’ chiding nor in his response. </w:t>
      </w:r>
      <w:r w:rsidRPr="00087A72">
        <w:rPr>
          <w:rStyle w:val="StyleUnderline"/>
        </w:rPr>
        <w:t>The Left’s attack on Churchill’s embrace of the 9-1-1 attacks is important not for the social issues it raises, the myriad of things it claims it is concerned about, but rather for the grammar of suffering shared across the board, those building blocks through which loss is conceptualized in such a way that makes it impossible for the “Savage” to function, grammatically, as their paradigm of suffering, and even less as its paradigmatic agent for change. Had Churchill’s interlocutors been more honest, they would have used fewer words—not draped their rejoinders with the veil of issues from the realm of experience</w:t>
      </w:r>
      <w:r w:rsidRPr="00087A72">
        <w:rPr>
          <w:sz w:val="12"/>
        </w:rPr>
        <w:t xml:space="preserve"> (i.e., tactics) —</w:t>
      </w:r>
      <w:r w:rsidRPr="00087A72">
        <w:rPr>
          <w:rStyle w:val="StyleUnderline"/>
        </w:rPr>
        <w:t xml:space="preserve">and said, quite simply, </w:t>
      </w:r>
      <w:r w:rsidRPr="00087A72">
        <w:rPr>
          <w:rStyle w:val="Emphasis"/>
        </w:rPr>
        <w:t xml:space="preserve">“We will not be led by the ‘Savage;’ death is not an element constituent of our ontology.” </w:t>
      </w:r>
      <w:r w:rsidRPr="00087A72">
        <w:rPr>
          <w:sz w:val="12"/>
        </w:rPr>
        <w:t xml:space="preserve">Unlike the narrative and cinematic strategies of Skins, Churchill’s meditation on 9-1-1 embraces, rather than contains, Mogie Yellow Lodge’s demand. </w:t>
      </w:r>
      <w:r w:rsidRPr="00087A72">
        <w:rPr>
          <w:rStyle w:val="StyleUnderline"/>
        </w:rPr>
        <w:t>Churchill’s work is authorized by Mogie Yellow Lodge’s grammar of suffering which, inter alia, forecloses upon Churchill’s passing judgment on the tactical ethics of either the attack on the World Trade Center or, for that matter, Mogie’s attack on the body of White femininity. Churchill accepts this foreclosure and works off of it. He does not feel constrained by it but finds it enabling of a quality of reflection that would be otherwise inconceivable: There can be no defensible suggestion that those who attacked the Pentagon and the WTC on 9-1-1 were seeking to get even with the U.S. Still less is there a basis for claims that they “started” something, or that the U.S. has anything to get even with them for. Quite the contrary. For the attackers to have arguably “evened the score” for Iraqi’s dead children alone, it would have been necessary for them to have killed a hundred times the number of Americans who actually died. This in itself, however would have allowed them to attain parity in terms of real numbers. The U.S. population is about fifteen times the size of Iraq’s. Hence, for the attackers to have achieved a proportionally equivalent impact, it would have been necessary that they kill some 7.5 million Americans</w:t>
      </w:r>
      <w:r w:rsidRPr="00087A72">
        <w:rPr>
          <w:sz w:val="12"/>
        </w:rPr>
        <w:t xml:space="preserve">. (On the Justice of Roosting Chickens: Reflections on the Consequences of U.S. Imperial Arrogance and Criminality 14) Churchill reflects upon the event of 9-1-1 in such a way as to make it impossible to talk about it as an event. This is a marker of the philosophical brilliance and rhetorical dexterity foundational to Churchill’s thirty-odd books, articles, and recorded speeches. This dexterity allows the work to be conversant with the actual details and “facts” of the event (as presented and cathedralized by White civil society). </w:t>
      </w:r>
      <w:r w:rsidRPr="00087A72">
        <w:rPr>
          <w:rStyle w:val="StyleUnderline"/>
        </w:rPr>
        <w:t>Yet instead of becoming mired in the bog of concerns which makes the event as “event”</w:t>
      </w:r>
      <w:r w:rsidRPr="00087A72">
        <w:rPr>
          <w:sz w:val="12"/>
        </w:rPr>
        <w:t xml:space="preserve"> (details and common sense ethics) </w:t>
      </w:r>
      <w:r w:rsidRPr="00087A72">
        <w:rPr>
          <w:rStyle w:val="StyleUnderline"/>
        </w:rPr>
        <w:t>Churchill jettisons common sense and presses the details into service of an ensemble of questions animated by the ethical dilemmas of “Savage,” and not Settler, ontology.</w:t>
      </w:r>
      <w:r w:rsidRPr="00087A72">
        <w:rPr>
          <w:sz w:val="12"/>
        </w:rPr>
        <w:t xml:space="preserve"> He can do this on behalf of those who are not even Native Americans (in this passage, Iraqis) because he provides them with the “Savage” as a lens through which they can do ethnographic and political work on the Settler as specimen. In other words, </w:t>
      </w:r>
      <w:r w:rsidRPr="00087A72">
        <w:rPr>
          <w:rStyle w:val="StyleUnderline"/>
        </w:rPr>
        <w:t>in his chapter on 9-1-1, his argument is made in such a way that, to be interpellated, the reader must adjust the logic of his/her political experience to fit the logic of “Savage” genocidal ontology—and not vice versa.</w:t>
      </w:r>
      <w:r w:rsidRPr="00087A72">
        <w:rPr>
          <w:sz w:val="12"/>
        </w:rPr>
        <w:t xml:space="preserve"> The reader must be subordinated to, and incorporated by, Redness, or else the reader will experience the piece in the same way that the viewer is meant to experience Mogie Yellow Lodge: as a scandal, as a problem in need of fixing. </w:t>
      </w:r>
      <w:r w:rsidRPr="00087A72">
        <w:rPr>
          <w:rStyle w:val="StyleUnderline"/>
        </w:rPr>
        <w:t>Churchill continues to subordinate the “facts” of 9-1-1 to an ethical examination of Settlerism by reminding the reader that the U.S. is “fifteen times the size” of Iraq, therefore 9-1-1 would have had to have had a death toll of “7.5 million Americans” in order to have “achieved a proportionately equivalent impact”</w:t>
      </w:r>
      <w:r w:rsidRPr="00087A72">
        <w:rPr>
          <w:sz w:val="12"/>
        </w:rPr>
        <w:t xml:space="preserve"> (14). </w:t>
      </w:r>
      <w:r w:rsidRPr="00087A72">
        <w:rPr>
          <w:rStyle w:val="StyleUnderline"/>
        </w:rPr>
        <w:t>In the very next paragraph, Churchill corrects himself and insists that 7.5 million is the number of American children the attackers would have had to have killed in order to achieve parity. This is followed by a list of even more corrections, in which Churchill recalculates the meaning of parity based solely on the U.S.’s deracination of Iraq since 1990 (further down the correctives will lead him to the “Savage” and to the Slave). True parity would result in 7.5 million dead American children, 15 million dead American adults, the obliteration of “sewage, water sanitation and electrical plants, food production/storage capacity, hospitals, pharmaceutical production facilities, communication centers and much more.” The effects of which would mean not just mass death but “a surviving population wracked by malnutrition an endemic disease”</w:t>
      </w:r>
      <w:r w:rsidRPr="00087A72">
        <w:rPr>
          <w:sz w:val="12"/>
        </w:rPr>
        <w:t xml:space="preserve"> (14). </w:t>
      </w:r>
      <w:r w:rsidRPr="00087A72">
        <w:rPr>
          <w:rStyle w:val="StyleUnderline"/>
        </w:rPr>
        <w:t>“Indeed, applying such standards of ‘pay back’ vis-à-vis American Indians alone would require a lethal reduction in the U.S. population…of between 96 and 99 percent”</w:t>
      </w:r>
      <w:r w:rsidRPr="00087A72">
        <w:rPr>
          <w:sz w:val="12"/>
        </w:rPr>
        <w:t xml:space="preserve"> (15). </w:t>
      </w:r>
      <w:r w:rsidRPr="00087A72">
        <w:rPr>
          <w:rStyle w:val="Emphasis"/>
        </w:rPr>
        <w:t>Suddenly, Mogie Yellow Lodge’s demand for parity (just one big fat White woman to cover up the cracks in his shack) sounds downright generous. Mogie is demanding one Settler, a far cry from demanding parity for ontological death. Were he to demand parity the U.S. “would run out of people long before it ran out of compensatory obligation”</w:t>
      </w:r>
      <w:r w:rsidRPr="00087A72">
        <w:rPr>
          <w:sz w:val="12"/>
        </w:rPr>
        <w:t xml:space="preserve"> (Churchill Roosting Chickens 14-15).</w:t>
      </w:r>
    </w:p>
    <w:p w:rsidR="00414088" w:rsidRPr="00087A72" w:rsidRDefault="00414088" w:rsidP="00414088">
      <w:pPr>
        <w:pStyle w:val="Heading4"/>
      </w:pPr>
      <w:r w:rsidRPr="00087A72">
        <w:t xml:space="preserve">You misdiagnose the root cause of your problem, not matter what is done the ideas of the settler and the non-native are entrenched through your method – instead we must embrace the alt </w:t>
      </w:r>
    </w:p>
    <w:p w:rsidR="00414088" w:rsidRPr="00087A72" w:rsidRDefault="00414088" w:rsidP="00414088">
      <w:pPr>
        <w:rPr>
          <w:sz w:val="16"/>
          <w:szCs w:val="16"/>
        </w:rPr>
      </w:pPr>
      <w:r w:rsidRPr="00087A72">
        <w:rPr>
          <w:rStyle w:val="Style13ptBold"/>
        </w:rPr>
        <w:t xml:space="preserve">Rifkin 2013 </w:t>
      </w:r>
      <w:r w:rsidRPr="00087A72">
        <w:rPr>
          <w:rStyle w:val="Style13ptBold"/>
          <w:b w:val="0"/>
          <w:sz w:val="16"/>
          <w:szCs w:val="16"/>
        </w:rPr>
        <w:t xml:space="preserve">(Mark Rifkin, Professor. US Ethnic Literature University of North Carolina – Greensboro research primarily focuses on Native American writing and politics from the eighteenth century onward, exploring the ways that Indigenous peoples have negotiated U.S. racial and imperial formations.  “Settler common sense” </w:t>
      </w:r>
      <w:r w:rsidRPr="00087A72">
        <w:rPr>
          <w:rStyle w:val="Style13ptBold"/>
          <w:b w:val="0"/>
          <w:i/>
          <w:sz w:val="16"/>
          <w:szCs w:val="16"/>
        </w:rPr>
        <w:t>Settler Colonial Studies</w:t>
      </w:r>
      <w:r w:rsidRPr="00087A72">
        <w:rPr>
          <w:rStyle w:val="Style13ptBold"/>
          <w:b w:val="0"/>
          <w:sz w:val="16"/>
          <w:szCs w:val="16"/>
        </w:rPr>
        <w:t xml:space="preserve">, 2013, Vol. 3, pp. 324-326) [JS] </w:t>
      </w:r>
    </w:p>
    <w:p w:rsidR="00414088" w:rsidRPr="00087A72" w:rsidRDefault="00414088" w:rsidP="00414088">
      <w:pPr>
        <w:rPr>
          <w:sz w:val="16"/>
        </w:rPr>
      </w:pPr>
      <w:r w:rsidRPr="00087A72">
        <w:rPr>
          <w:sz w:val="16"/>
        </w:rPr>
        <w:t>In Settler Colonialism and the Transformation of Anthropology, Patrick Wolfe argues, “</w:t>
      </w:r>
      <w:r w:rsidRPr="00087A72">
        <w:rPr>
          <w:rStyle w:val="StyleUnderline"/>
        </w:rPr>
        <w:t>Settler colonies were (are) premised on the elimination of native societies. The split tensing reflects a determinate feature of settler colonization</w:t>
      </w:r>
      <w:r w:rsidRPr="00087A72">
        <w:rPr>
          <w:sz w:val="16"/>
        </w:rPr>
        <w:t xml:space="preserve">. The colonizers come to stay – invasion is a structure not an event.”5 Offering perhaps the most prominent definition of </w:t>
      </w:r>
      <w:r w:rsidRPr="00087A72">
        <w:rPr>
          <w:rStyle w:val="StyleUnderline"/>
        </w:rPr>
        <w:t>settler colonialism</w:t>
      </w:r>
      <w:r w:rsidRPr="00087A72">
        <w:rPr>
          <w:sz w:val="16"/>
        </w:rPr>
        <w:t xml:space="preserve">, Wolfe’s formulation emphasizes the fact that </w:t>
      </w:r>
      <w:r w:rsidRPr="00087A72">
        <w:rPr>
          <w:rStyle w:val="StyleUnderline"/>
        </w:rPr>
        <w:t>it cannot be localized within a specific period of removal or extermination</w:t>
      </w:r>
      <w:r w:rsidRPr="00087A72">
        <w:rPr>
          <w:sz w:val="16"/>
        </w:rPr>
        <w:t xml:space="preserve"> </w:t>
      </w:r>
      <w:r w:rsidRPr="00087A72">
        <w:rPr>
          <w:rStyle w:val="StyleUnderline"/>
        </w:rPr>
        <w:t>and that it persists as a determinative feature of national territoriality and identity</w:t>
      </w:r>
      <w:r w:rsidRPr="00087A72">
        <w:rPr>
          <w:sz w:val="16"/>
        </w:rPr>
        <w:t>. He argues that</w:t>
      </w:r>
      <w:r w:rsidRPr="00087A72">
        <w:rPr>
          <w:rStyle w:val="StyleUnderline"/>
        </w:rPr>
        <w:t xml:space="preserve"> a “logic of elimination” drives settler governance and sociality, describing “the settler-colonial will” as “a historical force that ultimately derives from the primal drive to expansion that is generally glossed as capitalism</w:t>
      </w:r>
      <w:r w:rsidRPr="00087A72">
        <w:rPr>
          <w:sz w:val="16"/>
        </w:rPr>
        <w:t>” (167), and in “Settler Colonialism and the Elimination of the Native,” he observes that “elimination is an organizing principle of settler-colonial society rather than a one-off (and superceded) occurrence”, adding, “</w:t>
      </w:r>
      <w:r w:rsidRPr="00087A72">
        <w:rPr>
          <w:rStyle w:val="StyleUnderline"/>
        </w:rPr>
        <w:t>Settler colonialism destroys to replace</w:t>
      </w:r>
      <w:r w:rsidRPr="00087A72">
        <w:rPr>
          <w:sz w:val="16"/>
        </w:rPr>
        <w:t>.”6 Rather than being superseded after an initial moment/period of conquest, however, colonization persists since “</w:t>
      </w:r>
      <w:r w:rsidRPr="00087A72">
        <w:rPr>
          <w:rStyle w:val="StyleUnderline"/>
        </w:rPr>
        <w:t>the logic of elimination marks a return whereby the native repressed continues to structure settler-colonial society</w:t>
      </w:r>
      <w:r w:rsidRPr="00087A72">
        <w:rPr>
          <w:sz w:val="16"/>
        </w:rPr>
        <w:t xml:space="preserve">” (390), and “the process of replacement maintains the refractory imprint of the native counter-claim” (389). Yet, when and how do projects of elimination and replacement become geographies of everyday non-Native occupancy that do not understand themselves as predicated on colonial occupation or on a history of settler-Indigenous relation (even though they are), and what are the contours and effects of such experiences of inhabitance and belonging? In characterizing settlement as a “structure”, “logic”, and a “will”, Wolfe seeks to integrate the multivalent aspects of ongoing processes of non-Native expropriation and superintendence, but doing so potentially sidesteps the question of how official governmental initiatives and framings become normalized as the setting for everyday non-Native being and action in ways that cannot be captured solely by reference to “the murderous activities of the frontier rabble” (392–3). In Aileen Moreton-Robinson’s work, </w:t>
      </w:r>
      <w:r w:rsidRPr="00087A72">
        <w:rPr>
          <w:rStyle w:val="StyleUnderline"/>
        </w:rPr>
        <w:t>whiteness functions as the central way of understanding the domination and displacement of Indigenous peoples by non-Natives</w:t>
      </w:r>
      <w:r w:rsidRPr="00087A72">
        <w:rPr>
          <w:sz w:val="16"/>
        </w:rPr>
        <w:t>.7 In “Writing Off Indigenous Sovereignty,” she argues, “</w:t>
      </w:r>
      <w:r w:rsidRPr="00087A72">
        <w:rPr>
          <w:rStyle w:val="Emphasis"/>
        </w:rPr>
        <w:t>As a regime of power, patriarchal White sovereignty operates ideologically, materially and discursively to reproduce and maintain its investment in the nation as a white possession</w:t>
      </w:r>
      <w:r w:rsidRPr="00087A72">
        <w:rPr>
          <w:sz w:val="16"/>
        </w:rPr>
        <w:t>”, and in “Writing Off Treaties”, she suggests, “</w:t>
      </w:r>
      <w:r w:rsidRPr="00087A72">
        <w:rPr>
          <w:rStyle w:val="StyleUnderline"/>
        </w:rPr>
        <w:t>At an ontological level the structure of subjective possession occurs through the imposition of one’s will-to-be on the thing which is perceived to lack will, thus it is open to being possessed</w:t>
      </w:r>
      <w:r w:rsidRPr="00087A72">
        <w:rPr>
          <w:sz w:val="16"/>
        </w:rPr>
        <w:t xml:space="preserve">,” such that “possession ... </w:t>
      </w:r>
      <w:r w:rsidRPr="00087A72">
        <w:rPr>
          <w:rStyle w:val="StyleUnderline"/>
        </w:rPr>
        <w:t>forms part of the ontological structure of white subjectivity</w:t>
      </w:r>
      <w:r w:rsidRPr="00087A72">
        <w:rPr>
          <w:sz w:val="16"/>
        </w:rPr>
        <w:t xml:space="preserve">”.8 </w:t>
      </w:r>
      <w:r w:rsidRPr="00087A72">
        <w:rPr>
          <w:rStyle w:val="Emphasis"/>
        </w:rPr>
        <w:t>Whiteness, then, instantiates a property logic in which subjectivity, placemaking, and political belonging turn on the exertion of a right to untrammelled ownership</w:t>
      </w:r>
      <w:r w:rsidRPr="00087A72">
        <w:rPr>
          <w:sz w:val="16"/>
        </w:rPr>
        <w:t xml:space="preserve"> and in which </w:t>
      </w:r>
      <w:r w:rsidRPr="00087A72">
        <w:rPr>
          <w:rStyle w:val="Emphasis"/>
        </w:rPr>
        <w:t>that process of manufacturing legitimacy for non-Native occupation appears as a self-evident, unquestionable, and invisible frame through which to assess Indigenous voices, claims, and presence</w:t>
      </w:r>
      <w:r w:rsidRPr="00087A72">
        <w:rPr>
          <w:sz w:val="16"/>
        </w:rPr>
        <w:t>. She further observes, “</w:t>
      </w:r>
      <w:r w:rsidRPr="00087A72">
        <w:rPr>
          <w:rStyle w:val="StyleUnderline"/>
        </w:rPr>
        <w:t>it is the legally defined and asserted territorial sovereignty [of the settler nation] that provides the context for national identifications of whiteness” while “one benefits everyday from being tied to a nation that has and continues to constitute itself as a white possession”</w:t>
      </w:r>
      <w:r w:rsidRPr="00087A72">
        <w:rPr>
          <w:sz w:val="16"/>
        </w:rPr>
        <w:t xml:space="preserve"> (85). Tracing a dialectical relation between policy and the everyday, she notes in “Writing Off Indigenous Sovereignty” that the “possessive investment in patriarchal white sovereignty is enhanced through private property ownership. This security produces affect that is encapsulated in a sense of home and place, mobilising an affirmation of a white national identity” (95). Thus, her work raises the issue of how the legal discourses that sustain the settler-state’s “territorial sovereignty” become ordinary through the “affect” of belonging and emplacement generated by “private property”, which reciprocally reinvests in the “white national identity” as its condition of possibility. Yet, “whiteness” names the juridical assertion of authority over Indigenous peoples and lands, the quotidian experience of selfhood and embodiment as a settler subject, and </w:t>
      </w:r>
      <w:r w:rsidRPr="00087A72">
        <w:rPr>
          <w:rStyle w:val="StyleUnderline"/>
        </w:rPr>
        <w:t>the movement(s) between them in ways that can cast settler affect as merely the passive vehicle for a pre-constituted set of state initiatives which settler subjects, in their investment in whiteness (as identity and/or identification), inherently extend and realize.</w:t>
      </w:r>
      <w:r w:rsidRPr="00087A72">
        <w:rPr>
          <w:sz w:val="16"/>
        </w:rPr>
        <w:t xml:space="preserve">9 </w:t>
      </w:r>
      <w:r w:rsidRPr="00087A72">
        <w:rPr>
          <w:rStyle w:val="StyleUnderline"/>
        </w:rPr>
        <w:t>The processes by which legislative and administrative agendas come to function as an animating part of daily life, the differences such realization and localization make in the terms and trajectories of those explicit projects, and the possibilities for forms of disjuncture between the state apparatus and everyday experience are bracketed by the positing of a clear, direct, and inevitable relation characterized as “ontological”.</w:t>
      </w:r>
      <w:r w:rsidRPr="00087A72">
        <w:rPr>
          <w:sz w:val="16"/>
        </w:rPr>
        <w:t xml:space="preserve"> For Jodi Byrd, the deployment of Indianness as a mobile figure works as the principal mode of US settler colonialism. She observes that “colonization and racialization ... have often been conflated”, in ways that “tend to be sited along the axis of inclusion/exclusion”.10 </w:t>
      </w:r>
      <w:r w:rsidRPr="00087A72">
        <w:rPr>
          <w:rStyle w:val="StyleUnderline"/>
        </w:rPr>
        <w:t>Doing so places emphasis on the belonging of citizenship as remediation for past and present violence, thereby “mask[ing] the territoriality of conquest by assigning colonization to the racialized body, which is then policed in its degrees from whiteness</w:t>
      </w:r>
      <w:r w:rsidRPr="00087A72">
        <w:rPr>
          <w:sz w:val="16"/>
        </w:rPr>
        <w:t>” (xxiv). Suggesting that the “</w:t>
      </w:r>
      <w:r w:rsidRPr="00087A72">
        <w:rPr>
          <w:rStyle w:val="StyleUnderline"/>
        </w:rPr>
        <w:t>cacophony of competing struggles for hegemony ... misdirect and cloud attention from the underlying structures of settler colonialism”</w:t>
      </w:r>
      <w:r w:rsidRPr="00087A72">
        <w:rPr>
          <w:sz w:val="16"/>
        </w:rPr>
        <w:t xml:space="preserve"> (xvii), s</w:t>
      </w:r>
      <w:r w:rsidRPr="00087A72">
        <w:rPr>
          <w:rStyle w:val="StyleUnderline"/>
        </w:rPr>
        <w:t>he argues that the latter work through translating indigeneity as Indianness, casting place-based political collectivities as (racialized) populations subject to US jurisdiction and management</w:t>
      </w:r>
      <w:r w:rsidRPr="00087A72">
        <w:rPr>
          <w:sz w:val="16"/>
        </w:rPr>
        <w:t>: “</w:t>
      </w:r>
      <w:r w:rsidRPr="00087A72">
        <w:rPr>
          <w:rStyle w:val="Emphasis"/>
        </w:rPr>
        <w:t>the Indian is left nowhere and everywhere within the ontological premises through which U.S. empire orients, imagines, and critiques itself</w:t>
      </w:r>
      <w:r w:rsidRPr="00087A72">
        <w:rPr>
          <w:sz w:val="16"/>
        </w:rPr>
        <w:t>”; “</w:t>
      </w:r>
      <w:r w:rsidRPr="00087A72">
        <w:rPr>
          <w:rStyle w:val="Emphasis"/>
        </w:rPr>
        <w:t>ideas of Indians and Indianness have served as the ontological ground through which U.S. settler colonialism enacts itself</w:t>
      </w:r>
      <w:r w:rsidRPr="00087A72">
        <w:rPr>
          <w:sz w:val="16"/>
        </w:rPr>
        <w:t xml:space="preserve">” (xix).11 </w:t>
      </w:r>
      <w:r w:rsidRPr="00087A72">
        <w:rPr>
          <w:rStyle w:val="Emphasis"/>
        </w:rPr>
        <w:t>In presenting Indianization as providing the “ontological premises” and serving as the “ontological ground” for US identity and policy,</w:t>
      </w:r>
      <w:r w:rsidRPr="00087A72">
        <w:rPr>
          <w:sz w:val="16"/>
        </w:rPr>
        <w:t xml:space="preserve"> Byrd powerfully links the (re)production of Indianness to a range of political and critical projects and the displacement of the geopolitics of Indigenous sovereignty. She observes that </w:t>
      </w:r>
      <w:r w:rsidRPr="00087A72">
        <w:rPr>
          <w:rStyle w:val="StyleUnderline"/>
        </w:rPr>
        <w:t xml:space="preserve">“imperialism has forced settlers and arrivants </w:t>
      </w:r>
      <w:r w:rsidRPr="00087A72">
        <w:rPr>
          <w:sz w:val="16"/>
        </w:rPr>
        <w:t xml:space="preserve">[her term for non-White non-Natives] </w:t>
      </w:r>
      <w:r w:rsidRPr="00087A72">
        <w:rPr>
          <w:rStyle w:val="StyleUnderline"/>
        </w:rPr>
        <w:t>to cathect the space of the native as their home</w:t>
      </w:r>
      <w:r w:rsidRPr="00087A72">
        <w:rPr>
          <w:sz w:val="16"/>
        </w:rPr>
        <w:t>” (xxxix), but how is such cathexis contingently engendered in everyday ways? Although Byrd gestures in this direction, her focus on the foundationality and historical continuity of the dynamics she addresses emphasizes their role as a coherent and consistent “underlying structure” rather than how they gain scope, motion, and force through reiterative yet shifting formations, practices, and inclinations.</w:t>
      </w:r>
    </w:p>
    <w:p w:rsidR="00E82B76" w:rsidRPr="00087A72" w:rsidRDefault="00E82B76" w:rsidP="00E82B76">
      <w:pPr>
        <w:pStyle w:val="Heading4"/>
        <w:rPr>
          <w:rFonts w:cstheme="majorHAnsi"/>
        </w:rPr>
      </w:pPr>
      <w:r w:rsidRPr="00087A72">
        <w:rPr>
          <w:rFonts w:cstheme="majorHAnsi"/>
        </w:rPr>
        <w:t>Thus, refuse the affirmative as an ethical confrontation with catastrophe that functions as an affirmation of the affective vulnerability of the present. Only through confronting genocide not as a historical event or one impact amongst others, but as ongoing catastrophe imminent to settler subjectivity can disrupt the arborescent form of the Settler scaled from the world down to the individual.</w:t>
      </w:r>
    </w:p>
    <w:p w:rsidR="00E82B76" w:rsidRPr="00087A72" w:rsidRDefault="00E82B76" w:rsidP="00E82B76">
      <w:pPr>
        <w:rPr>
          <w:rFonts w:cstheme="majorHAnsi"/>
        </w:rPr>
      </w:pPr>
      <w:r w:rsidRPr="00087A72">
        <w:rPr>
          <w:rStyle w:val="Style13ptBold"/>
          <w:rFonts w:cstheme="majorHAnsi"/>
        </w:rPr>
        <w:t>Kouri and Skott-Myhre 15</w:t>
      </w:r>
      <w:r w:rsidRPr="00087A72">
        <w:rPr>
          <w:rFonts w:cstheme="majorHAnsi"/>
        </w:rPr>
        <w:t xml:space="preserve"> (Scott and Hans, “Catastrophe: a transversal mapping of colonialism and settler subjectivity,” Settler Colonial Studies, Issue Number, No. 3, pp. 12-13)//vikas</w:t>
      </w:r>
    </w:p>
    <w:p w:rsidR="00E82B76" w:rsidRPr="00087A72" w:rsidRDefault="00E82B76" w:rsidP="00E82B76">
      <w:pPr>
        <w:rPr>
          <w:rFonts w:cstheme="majorHAnsi"/>
          <w:sz w:val="16"/>
        </w:rPr>
      </w:pPr>
      <w:r w:rsidRPr="00087A72">
        <w:rPr>
          <w:rFonts w:cstheme="majorHAnsi"/>
          <w:sz w:val="16"/>
        </w:rPr>
        <w:t xml:space="preserve">Deleuze and Guattari’s conceptualization of catastrophe juxtaposes two senses of the word, the representational and the actual. </w:t>
      </w:r>
      <w:r w:rsidRPr="00087A72">
        <w:rPr>
          <w:rFonts w:cstheme="majorHAnsi"/>
          <w:b/>
          <w:u w:val="single"/>
        </w:rPr>
        <w:t>Representing catastrophe as an abstract or historic occurrence distances us from its effects, while recreating ourselves as expressions of catastrophe allows it to function as an actual present.</w:t>
      </w:r>
      <w:r w:rsidRPr="00087A72">
        <w:rPr>
          <w:rFonts w:cstheme="majorHAnsi"/>
          <w:sz w:val="16"/>
        </w:rPr>
        <w:t xml:space="preserve"> It is </w:t>
      </w:r>
      <w:r w:rsidRPr="00087A72">
        <w:rPr>
          <w:rFonts w:cstheme="majorHAnsi"/>
          <w:b/>
          <w:u w:val="single"/>
        </w:rPr>
        <w:t>through a sobering acknowledgment of the present as a state of catastrophe</w:t>
      </w:r>
      <w:r w:rsidRPr="00087A72">
        <w:rPr>
          <w:rFonts w:cstheme="majorHAnsi"/>
          <w:sz w:val="16"/>
        </w:rPr>
        <w:t xml:space="preserve"> – an admission that takes up history in our current spatial, corporeal, and conceptual makeup – </w:t>
      </w:r>
      <w:r w:rsidRPr="00087A72">
        <w:rPr>
          <w:rFonts w:cstheme="majorHAnsi"/>
          <w:b/>
          <w:u w:val="single"/>
        </w:rPr>
        <w:t>and an endurance of the shame and anger that accompanies such</w:t>
      </w:r>
      <w:r w:rsidRPr="00087A72">
        <w:rPr>
          <w:rFonts w:cstheme="majorHAnsi"/>
          <w:sz w:val="16"/>
        </w:rPr>
        <w:t xml:space="preserve"> a revulsive </w:t>
      </w:r>
      <w:r w:rsidRPr="00087A72">
        <w:rPr>
          <w:rFonts w:cstheme="majorHAnsi"/>
          <w:b/>
          <w:u w:val="single"/>
        </w:rPr>
        <w:t>analysis that new ethical subjectivities can be forged.</w:t>
      </w:r>
      <w:r w:rsidRPr="00087A72">
        <w:rPr>
          <w:rFonts w:cstheme="majorHAnsi"/>
          <w:sz w:val="16"/>
        </w:rPr>
        <w:t xml:space="preserve"> A </w:t>
      </w:r>
      <w:r w:rsidRPr="00087A72">
        <w:rPr>
          <w:rFonts w:cstheme="majorHAnsi"/>
          <w:b/>
          <w:u w:val="single"/>
        </w:rPr>
        <w:t>yes-saying to the present</w:t>
      </w:r>
      <w:r w:rsidRPr="00087A72">
        <w:rPr>
          <w:rFonts w:cstheme="majorHAnsi"/>
          <w:sz w:val="16"/>
        </w:rPr>
        <w:t xml:space="preserve">, to </w:t>
      </w:r>
      <w:r w:rsidRPr="00087A72">
        <w:rPr>
          <w:rFonts w:cstheme="majorHAnsi"/>
          <w:b/>
          <w:u w:val="single"/>
        </w:rPr>
        <w:t>all of the present</w:t>
      </w:r>
      <w:r w:rsidRPr="00087A72">
        <w:rPr>
          <w:rFonts w:cstheme="majorHAnsi"/>
          <w:sz w:val="16"/>
        </w:rPr>
        <w:t xml:space="preserve">, </w:t>
      </w:r>
      <w:r w:rsidRPr="00087A72">
        <w:rPr>
          <w:rFonts w:cstheme="majorHAnsi"/>
          <w:b/>
          <w:u w:val="single"/>
        </w:rPr>
        <w:t>moves beyond</w:t>
      </w:r>
      <w:r w:rsidRPr="00087A72">
        <w:rPr>
          <w:rFonts w:cstheme="majorHAnsi"/>
          <w:sz w:val="16"/>
        </w:rPr>
        <w:t xml:space="preserve"> an </w:t>
      </w:r>
      <w:r w:rsidRPr="00087A72">
        <w:rPr>
          <w:rFonts w:cstheme="majorHAnsi"/>
          <w:b/>
          <w:u w:val="single"/>
        </w:rPr>
        <w:t>acceptance of things as they are and affirms all that could be</w:t>
      </w:r>
      <w:r w:rsidRPr="00087A72">
        <w:rPr>
          <w:rFonts w:cstheme="majorHAnsi"/>
          <w:sz w:val="16"/>
        </w:rPr>
        <w:t xml:space="preserve">, since </w:t>
      </w:r>
      <w:r w:rsidRPr="00087A72">
        <w:rPr>
          <w:rFonts w:cstheme="majorHAnsi"/>
          <w:b/>
          <w:u w:val="single"/>
        </w:rPr>
        <w:t>the actual is not what we are but</w:t>
      </w:r>
      <w:r w:rsidRPr="00087A72">
        <w:rPr>
          <w:rFonts w:cstheme="majorHAnsi"/>
          <w:sz w:val="16"/>
        </w:rPr>
        <w:t xml:space="preserve">, rather, </w:t>
      </w:r>
      <w:r w:rsidRPr="00087A72">
        <w:rPr>
          <w:rFonts w:cstheme="majorHAnsi"/>
          <w:b/>
          <w:u w:val="single"/>
        </w:rPr>
        <w:t>what we become</w:t>
      </w:r>
      <w:r w:rsidRPr="00087A72">
        <w:rPr>
          <w:rFonts w:cstheme="majorHAnsi"/>
          <w:sz w:val="16"/>
        </w:rPr>
        <w:t xml:space="preserve">, </w:t>
      </w:r>
      <w:r w:rsidRPr="00087A72">
        <w:rPr>
          <w:rFonts w:cstheme="majorHAnsi"/>
          <w:b/>
          <w:u w:val="single"/>
        </w:rPr>
        <w:t>what we are in the process of becoming</w:t>
      </w:r>
      <w:r w:rsidRPr="00087A72">
        <w:rPr>
          <w:rFonts w:cstheme="majorHAnsi"/>
          <w:sz w:val="16"/>
        </w:rPr>
        <w:t xml:space="preserve"> – that is to say, the Other, our becoming-other. </w:t>
      </w:r>
      <w:r w:rsidRPr="00087A72">
        <w:rPr>
          <w:rFonts w:cstheme="majorHAnsi"/>
          <w:b/>
          <w:u w:val="single"/>
        </w:rPr>
        <w:t>The present</w:t>
      </w:r>
      <w:r w:rsidRPr="00087A72">
        <w:rPr>
          <w:rFonts w:cstheme="majorHAnsi"/>
          <w:sz w:val="16"/>
        </w:rPr>
        <w:t xml:space="preserve">, on the contrary, </w:t>
      </w:r>
      <w:r w:rsidRPr="00087A72">
        <w:rPr>
          <w:rFonts w:cstheme="majorHAnsi"/>
          <w:b/>
          <w:u w:val="single"/>
        </w:rPr>
        <w:t>is what we are and, thereby, what already we are ceasing to be.</w:t>
      </w:r>
      <w:r w:rsidRPr="00087A72">
        <w:rPr>
          <w:rFonts w:cstheme="majorHAnsi"/>
          <w:sz w:val="16"/>
        </w:rPr>
        <w:t xml:space="preserve">58 To be clear, </w:t>
      </w:r>
      <w:r w:rsidRPr="00087A72">
        <w:rPr>
          <w:rStyle w:val="Emphasis"/>
          <w:rFonts w:cstheme="majorHAnsi"/>
        </w:rPr>
        <w:t>affirmation is not an acceptance of the way things are nor a hopeful projection of a future predicated on growth-oriented investments</w:t>
      </w:r>
      <w:r w:rsidRPr="00087A72">
        <w:rPr>
          <w:rFonts w:cstheme="majorHAnsi"/>
          <w:sz w:val="16"/>
        </w:rPr>
        <w:t xml:space="preserve"> in security, accumulation, and comfort, </w:t>
      </w:r>
      <w:r w:rsidRPr="00087A72">
        <w:rPr>
          <w:rStyle w:val="Emphasis"/>
          <w:rFonts w:cstheme="majorHAnsi"/>
        </w:rPr>
        <w:t>but a view of temporality as dynamic dependency and affective and corporeal vulnerability.</w:t>
      </w:r>
      <w:r w:rsidRPr="00087A72">
        <w:rPr>
          <w:rFonts w:cstheme="majorHAnsi"/>
          <w:sz w:val="16"/>
        </w:rPr>
        <w:t xml:space="preserve"> Our </w:t>
      </w:r>
      <w:r w:rsidRPr="00087A72">
        <w:rPr>
          <w:rFonts w:cstheme="majorHAnsi"/>
          <w:b/>
          <w:u w:val="single"/>
        </w:rPr>
        <w:t>present</w:t>
      </w:r>
      <w:r w:rsidRPr="00087A72">
        <w:rPr>
          <w:rFonts w:cstheme="majorHAnsi"/>
          <w:sz w:val="16"/>
        </w:rPr>
        <w:t xml:space="preserve"> is here </w:t>
      </w:r>
      <w:r w:rsidRPr="00087A72">
        <w:rPr>
          <w:rFonts w:cstheme="majorHAnsi"/>
          <w:b/>
          <w:u w:val="single"/>
        </w:rPr>
        <w:t>recast as our very undoing</w:t>
      </w:r>
      <w:r w:rsidRPr="00087A72">
        <w:rPr>
          <w:rFonts w:cstheme="majorHAnsi"/>
          <w:sz w:val="16"/>
        </w:rPr>
        <w:t xml:space="preserve">; it is </w:t>
      </w:r>
      <w:r w:rsidRPr="00087A72">
        <w:rPr>
          <w:rFonts w:cstheme="majorHAnsi"/>
          <w:b/>
          <w:u w:val="single"/>
        </w:rPr>
        <w:t>a present of living relations that is in a perpetual state of change.</w:t>
      </w:r>
      <w:r w:rsidRPr="00087A72">
        <w:rPr>
          <w:rFonts w:cstheme="majorHAnsi"/>
          <w:sz w:val="16"/>
        </w:rPr>
        <w:t xml:space="preserve"> The present is a ceaseless flow of becoming that </w:t>
      </w:r>
      <w:r w:rsidRPr="00087A72">
        <w:rPr>
          <w:rFonts w:cstheme="majorHAnsi"/>
          <w:b/>
          <w:u w:val="single"/>
        </w:rPr>
        <w:t>undermines a settled identity.</w:t>
      </w:r>
      <w:r w:rsidRPr="00087A72">
        <w:rPr>
          <w:rFonts w:cstheme="majorHAnsi"/>
          <w:sz w:val="16"/>
        </w:rPr>
        <w:t xml:space="preserve"> Concerns with settler subjectivity as an abstract entity continue to withdraw us from the living present in which we are composed through our relationships. What this means for us is that </w:t>
      </w:r>
      <w:r w:rsidRPr="00087A72">
        <w:rPr>
          <w:rFonts w:cstheme="majorHAnsi"/>
          <w:b/>
          <w:u w:val="single"/>
        </w:rPr>
        <w:t>rather than ask who or what we are, we must ask about our capacities and relationships. What has been foreclosed through</w:t>
      </w:r>
      <w:r w:rsidRPr="00087A72">
        <w:rPr>
          <w:rFonts w:cstheme="majorHAnsi"/>
          <w:sz w:val="16"/>
        </w:rPr>
        <w:t xml:space="preserve"> the </w:t>
      </w:r>
      <w:r w:rsidRPr="00087A72">
        <w:rPr>
          <w:rFonts w:cstheme="majorHAnsi"/>
          <w:b/>
          <w:u w:val="single"/>
        </w:rPr>
        <w:t>separations, closures, and biopolitics</w:t>
      </w:r>
      <w:r w:rsidRPr="00087A72">
        <w:rPr>
          <w:rFonts w:cstheme="majorHAnsi"/>
          <w:sz w:val="16"/>
        </w:rPr>
        <w:t xml:space="preserve"> of settler colonialism? What might still be extractable through vulnerability, endurance, sobriety, and confrontation with catastrophe? Who do we become when representations, repressions, and negative affects are transformed into positive affects and action? </w:t>
      </w:r>
      <w:r w:rsidRPr="00087A72">
        <w:rPr>
          <w:rFonts w:cstheme="majorHAnsi"/>
          <w:b/>
          <w:u w:val="single"/>
        </w:rPr>
        <w:t>The violence of settler colonialism</w:t>
      </w:r>
      <w:r w:rsidRPr="00087A72">
        <w:rPr>
          <w:rFonts w:cstheme="majorHAnsi"/>
          <w:sz w:val="16"/>
        </w:rPr>
        <w:t>, as Tuck and Yang insist, ‘</w:t>
      </w:r>
      <w:r w:rsidRPr="00087A72">
        <w:rPr>
          <w:rFonts w:cstheme="majorHAnsi"/>
          <w:b/>
          <w:u w:val="single"/>
        </w:rPr>
        <w:t>is not temporally contained in the arrival of the settler but</w:t>
      </w:r>
      <w:r w:rsidRPr="00087A72">
        <w:rPr>
          <w:rFonts w:cstheme="majorHAnsi"/>
          <w:sz w:val="16"/>
        </w:rPr>
        <w:t xml:space="preserve"> is </w:t>
      </w:r>
      <w:r w:rsidRPr="00087A72">
        <w:rPr>
          <w:rFonts w:cstheme="majorHAnsi"/>
          <w:b/>
          <w:u w:val="single"/>
        </w:rPr>
        <w:t>reasserted each day of occupation</w:t>
      </w:r>
      <w:r w:rsidRPr="00087A72">
        <w:rPr>
          <w:rFonts w:cstheme="majorHAnsi"/>
          <w:sz w:val="16"/>
        </w:rPr>
        <w:t xml:space="preserve">’, 59 </w:t>
      </w:r>
      <w:r w:rsidRPr="00087A72">
        <w:rPr>
          <w:rStyle w:val="Emphasis"/>
          <w:rFonts w:cstheme="majorHAnsi"/>
        </w:rPr>
        <w:t>yet we argue that we have to resist the belief that the current state of affairs and its</w:t>
      </w:r>
      <w:r w:rsidRPr="00087A72">
        <w:rPr>
          <w:rFonts w:cstheme="majorHAnsi"/>
          <w:sz w:val="16"/>
        </w:rPr>
        <w:t xml:space="preserve"> sets of </w:t>
      </w:r>
      <w:r w:rsidRPr="00087A72">
        <w:rPr>
          <w:rStyle w:val="Emphasis"/>
          <w:rFonts w:cstheme="majorHAnsi"/>
        </w:rPr>
        <w:t>relations are the only possible ones.</w:t>
      </w:r>
      <w:r w:rsidRPr="00087A72">
        <w:rPr>
          <w:rFonts w:cstheme="majorHAnsi"/>
          <w:sz w:val="16"/>
        </w:rPr>
        <w:t xml:space="preserve"> While acknowledging that decolonization is specifically about the restitution of Indigenous lands,60 </w:t>
      </w:r>
      <w:r w:rsidRPr="00087A72">
        <w:rPr>
          <w:rFonts w:cstheme="majorHAnsi"/>
          <w:b/>
          <w:u w:val="single"/>
        </w:rPr>
        <w:t>we persist in considering that undoing the colonial mind and its apparatus is important in reconfiguring</w:t>
      </w:r>
      <w:r w:rsidRPr="00087A72">
        <w:rPr>
          <w:rFonts w:cstheme="majorHAnsi"/>
          <w:sz w:val="16"/>
        </w:rPr>
        <w:t xml:space="preserve"> contemporary </w:t>
      </w:r>
      <w:r w:rsidRPr="00087A72">
        <w:rPr>
          <w:rFonts w:cstheme="majorHAnsi"/>
          <w:b/>
          <w:u w:val="single"/>
        </w:rPr>
        <w:t>relations and developing a new society. We are</w:t>
      </w:r>
      <w:r w:rsidRPr="00087A72">
        <w:rPr>
          <w:rFonts w:cstheme="majorHAnsi"/>
          <w:sz w:val="16"/>
        </w:rPr>
        <w:t xml:space="preserve"> not asking our fellow settlers to leave their homes to join the anticolonial revolution, but </w:t>
      </w:r>
      <w:r w:rsidRPr="00087A72">
        <w:rPr>
          <w:rFonts w:cstheme="majorHAnsi"/>
          <w:b/>
          <w:u w:val="single"/>
        </w:rPr>
        <w:t>suggesting</w:t>
      </w:r>
      <w:r w:rsidRPr="00087A72">
        <w:rPr>
          <w:rFonts w:cstheme="majorHAnsi"/>
          <w:sz w:val="16"/>
        </w:rPr>
        <w:t xml:space="preserve"> precisely </w:t>
      </w:r>
      <w:r w:rsidRPr="00087A72">
        <w:rPr>
          <w:rFonts w:cstheme="majorHAnsi"/>
          <w:b/>
          <w:u w:val="single"/>
        </w:rPr>
        <w:t xml:space="preserve">the opposite: </w:t>
      </w:r>
      <w:r w:rsidRPr="00087A72">
        <w:rPr>
          <w:rStyle w:val="Emphasis"/>
          <w:rFonts w:cstheme="majorHAnsi"/>
        </w:rPr>
        <w:t>to make your home and life the revolution itself.</w:t>
      </w:r>
      <w:r w:rsidRPr="00087A72">
        <w:rPr>
          <w:rFonts w:cstheme="majorHAnsi"/>
          <w:sz w:val="16"/>
        </w:rPr>
        <w:t xml:space="preserve"> We are seeking </w:t>
      </w:r>
      <w:r w:rsidRPr="00087A72">
        <w:rPr>
          <w:rFonts w:cstheme="majorHAnsi"/>
          <w:b/>
          <w:u w:val="single"/>
        </w:rPr>
        <w:t>ways of being radically present on Indigenous territory, a radicality that undermines the state, Western identity formations, and settler futures.</w:t>
      </w:r>
      <w:r w:rsidRPr="00087A72">
        <w:rPr>
          <w:rFonts w:cstheme="majorHAnsi"/>
          <w:sz w:val="16"/>
        </w:rPr>
        <w:t xml:space="preserve"> And because colonialism and capitalism have always been at least partially successful of recuperating revolutionary modes of production this process must be ongoing and specific to circumstance. We are interested in the production of </w:t>
      </w:r>
      <w:r w:rsidRPr="00087A72">
        <w:rPr>
          <w:rFonts w:cstheme="majorHAnsi"/>
          <w:b/>
          <w:u w:val="single"/>
        </w:rPr>
        <w:t>subjectivities that are not founded on binaries between who we are and who we are not</w:t>
      </w:r>
      <w:r w:rsidRPr="00087A72">
        <w:rPr>
          <w:rFonts w:cstheme="majorHAnsi"/>
          <w:sz w:val="16"/>
        </w:rPr>
        <w:t xml:space="preserve"> – </w:t>
      </w:r>
      <w:r w:rsidRPr="00087A72">
        <w:rPr>
          <w:rStyle w:val="Emphasis"/>
          <w:rFonts w:cstheme="majorHAnsi"/>
        </w:rPr>
        <w:t>without</w:t>
      </w:r>
      <w:r w:rsidRPr="00087A72">
        <w:rPr>
          <w:rFonts w:cstheme="majorHAnsi"/>
          <w:sz w:val="16"/>
        </w:rPr>
        <w:t xml:space="preserve">, of course, </w:t>
      </w:r>
      <w:r w:rsidRPr="00087A72">
        <w:rPr>
          <w:rStyle w:val="Emphasis"/>
          <w:rFonts w:cstheme="majorHAnsi"/>
        </w:rPr>
        <w:t>interfering with Indigenous politics of identity or ignoring differential distributions of injustice</w:t>
      </w:r>
      <w:r w:rsidRPr="00087A72">
        <w:rPr>
          <w:rFonts w:cstheme="majorHAnsi"/>
          <w:sz w:val="16"/>
        </w:rPr>
        <w:t xml:space="preserve"> and violence </w:t>
      </w:r>
      <w:r w:rsidRPr="00087A72">
        <w:rPr>
          <w:rStyle w:val="Emphasis"/>
          <w:rFonts w:cstheme="majorHAnsi"/>
        </w:rPr>
        <w:t>based on identity.</w:t>
      </w:r>
      <w:r w:rsidRPr="00087A72">
        <w:rPr>
          <w:rFonts w:cstheme="majorHAnsi"/>
          <w:sz w:val="16"/>
        </w:rPr>
        <w:t xml:space="preserve"> We want to move </w:t>
      </w:r>
      <w:r w:rsidRPr="00087A72">
        <w:rPr>
          <w:rFonts w:cstheme="majorHAnsi"/>
          <w:b/>
          <w:u w:val="single"/>
        </w:rPr>
        <w:t xml:space="preserve">from rigid settler identities toward processes of </w:t>
      </w:r>
      <w:r w:rsidRPr="00087A72">
        <w:rPr>
          <w:rStyle w:val="Emphasis"/>
          <w:rFonts w:cstheme="majorHAnsi"/>
        </w:rPr>
        <w:t>subjectification based on who and what we are related to, including humans, plants, minerals, waters, and stars</w:t>
      </w:r>
      <w:r w:rsidRPr="00087A72">
        <w:rPr>
          <w:rFonts w:cstheme="majorHAnsi"/>
          <w:b/>
          <w:u w:val="single"/>
        </w:rPr>
        <w:t>. We seek to undo dialectical thinking and recognize the singularity of every existent outside state taxonomy and organizational</w:t>
      </w:r>
      <w:r w:rsidRPr="00087A72">
        <w:rPr>
          <w:rFonts w:cstheme="majorHAnsi"/>
          <w:sz w:val="16"/>
        </w:rPr>
        <w:t xml:space="preserve"> system. As Deleuze writes, the Spinozan principle asserts that </w:t>
      </w:r>
      <w:r w:rsidRPr="00087A72">
        <w:rPr>
          <w:rFonts w:cstheme="majorHAnsi"/>
          <w:b/>
          <w:u w:val="single"/>
        </w:rPr>
        <w:t xml:space="preserve">negation is nothing, because </w:t>
      </w:r>
      <w:r w:rsidRPr="00087A72">
        <w:rPr>
          <w:rFonts w:cstheme="majorHAnsi"/>
          <w:sz w:val="16"/>
        </w:rPr>
        <w:t xml:space="preserve">absolutely </w:t>
      </w:r>
      <w:r w:rsidRPr="00087A72">
        <w:rPr>
          <w:rFonts w:cstheme="majorHAnsi"/>
          <w:b/>
          <w:u w:val="single"/>
        </w:rPr>
        <w:t>nothing</w:t>
      </w:r>
      <w:r w:rsidRPr="00087A72">
        <w:rPr>
          <w:rFonts w:cstheme="majorHAnsi"/>
          <w:sz w:val="16"/>
        </w:rPr>
        <w:t xml:space="preserve"> ever </w:t>
      </w:r>
      <w:r w:rsidRPr="00087A72">
        <w:rPr>
          <w:rFonts w:cstheme="majorHAnsi"/>
          <w:b/>
          <w:u w:val="single"/>
        </w:rPr>
        <w:t>lacks anything. Negation is a being of reason</w:t>
      </w:r>
      <w:r w:rsidRPr="00087A72">
        <w:rPr>
          <w:rFonts w:cstheme="majorHAnsi"/>
          <w:sz w:val="16"/>
        </w:rPr>
        <w:t xml:space="preserve">, or rather of comparison, </w:t>
      </w:r>
      <w:r w:rsidRPr="00087A72">
        <w:rPr>
          <w:rFonts w:cstheme="majorHAnsi"/>
          <w:b/>
          <w:u w:val="single"/>
        </w:rPr>
        <w:t>which results from our grouping together</w:t>
      </w:r>
      <w:r w:rsidRPr="00087A72">
        <w:rPr>
          <w:rFonts w:cstheme="majorHAnsi"/>
          <w:sz w:val="16"/>
        </w:rPr>
        <w:t xml:space="preserve"> all sorts </w:t>
      </w:r>
      <w:r w:rsidRPr="00087A72">
        <w:rPr>
          <w:rFonts w:cstheme="majorHAnsi"/>
          <w:b/>
          <w:u w:val="single"/>
        </w:rPr>
        <w:t>of distinct beings so as to refer them to one and the same fictitious ideal</w:t>
      </w:r>
      <w:r w:rsidRPr="00087A72">
        <w:rPr>
          <w:rFonts w:cstheme="majorHAnsi"/>
          <w:sz w:val="16"/>
        </w:rPr>
        <w:t xml:space="preserve">, in the name of which we say that one or another of them falls short of the ideal.61 The concepts of identity and lack in the colonial project are used to organize difference and diversity into dichotomies or taxonomies. </w:t>
      </w:r>
      <w:r w:rsidRPr="00087A72">
        <w:rPr>
          <w:rFonts w:cstheme="majorHAnsi"/>
          <w:b/>
          <w:u w:val="single"/>
        </w:rPr>
        <w:t>Categories and subcategories of difference are</w:t>
      </w:r>
      <w:r w:rsidRPr="00087A72">
        <w:rPr>
          <w:rFonts w:cstheme="majorHAnsi"/>
          <w:sz w:val="16"/>
        </w:rPr>
        <w:t xml:space="preserve">, without exception, </w:t>
      </w:r>
      <w:r w:rsidRPr="00087A72">
        <w:rPr>
          <w:rFonts w:cstheme="majorHAnsi"/>
          <w:b/>
          <w:u w:val="single"/>
        </w:rPr>
        <w:t>hierarchical and saturated in power relations</w:t>
      </w:r>
      <w:r w:rsidRPr="00087A72">
        <w:rPr>
          <w:rFonts w:cstheme="majorHAnsi"/>
          <w:sz w:val="16"/>
        </w:rPr>
        <w:t xml:space="preserve">, where to be </w:t>
      </w:r>
      <w:r w:rsidRPr="00087A72">
        <w:rPr>
          <w:rFonts w:cstheme="majorHAnsi"/>
          <w:b/>
          <w:u w:val="single"/>
        </w:rPr>
        <w:t>identified with</w:t>
      </w:r>
      <w:r w:rsidRPr="00087A72">
        <w:rPr>
          <w:rFonts w:cstheme="majorHAnsi"/>
          <w:sz w:val="16"/>
        </w:rPr>
        <w:t xml:space="preserve"> or different from is inextricably tied to </w:t>
      </w:r>
      <w:r w:rsidRPr="00087A72">
        <w:rPr>
          <w:rFonts w:cstheme="majorHAnsi"/>
          <w:b/>
          <w:u w:val="single"/>
        </w:rPr>
        <w:t>access, affordances, and annulments.</w:t>
      </w:r>
      <w:r w:rsidRPr="00087A72">
        <w:rPr>
          <w:rFonts w:cstheme="majorHAnsi"/>
          <w:sz w:val="16"/>
        </w:rPr>
        <w:t xml:space="preserve"> In Spinoza and Deleuze, </w:t>
      </w:r>
      <w:r w:rsidRPr="00087A72">
        <w:rPr>
          <w:rStyle w:val="Emphasis"/>
          <w:rFonts w:cstheme="majorHAnsi"/>
        </w:rPr>
        <w:t>alternatively, difference is immanent to life and</w:t>
      </w:r>
      <w:r w:rsidRPr="00087A72">
        <w:rPr>
          <w:rFonts w:cstheme="majorHAnsi"/>
          <w:sz w:val="16"/>
        </w:rPr>
        <w:t xml:space="preserve"> the </w:t>
      </w:r>
      <w:r w:rsidRPr="00087A72">
        <w:rPr>
          <w:rStyle w:val="Emphasis"/>
          <w:rFonts w:cstheme="majorHAnsi"/>
        </w:rPr>
        <w:t>affirmation of distinctiveness and singularity have the capacity to break up transcendent systems of organization.</w:t>
      </w:r>
      <w:r w:rsidRPr="00087A72">
        <w:rPr>
          <w:rFonts w:cstheme="majorHAnsi"/>
          <w:sz w:val="16"/>
        </w:rPr>
        <w:t xml:space="preserve"> Deleuze proposes that </w:t>
      </w:r>
      <w:r w:rsidRPr="00087A72">
        <w:rPr>
          <w:rFonts w:cstheme="majorHAnsi"/>
          <w:b/>
          <w:u w:val="single"/>
        </w:rPr>
        <w:t>catastrophe offers a new right to thought that can open up transcendence in such a way that one can actually apprehend</w:t>
      </w:r>
      <w:r w:rsidRPr="00087A72">
        <w:rPr>
          <w:rFonts w:cstheme="majorHAnsi"/>
          <w:sz w:val="16"/>
        </w:rPr>
        <w:t xml:space="preserve">, in at least an instance, </w:t>
      </w:r>
      <w:r w:rsidRPr="00087A72">
        <w:rPr>
          <w:rFonts w:cstheme="majorHAnsi"/>
          <w:b/>
          <w:u w:val="single"/>
        </w:rPr>
        <w:t>the whole of life as a system of interconnected forces and flows</w:t>
      </w:r>
      <w:r w:rsidRPr="00087A72">
        <w:rPr>
          <w:rFonts w:cstheme="majorHAnsi"/>
          <w:sz w:val="16"/>
        </w:rPr>
        <w:t xml:space="preserve">. This thought of </w:t>
      </w:r>
      <w:r w:rsidRPr="00087A72">
        <w:rPr>
          <w:rFonts w:cstheme="majorHAnsi"/>
          <w:b/>
          <w:u w:val="single"/>
        </w:rPr>
        <w:t xml:space="preserve">immanence is particularly useful to apprehend how colonialism naturalizes hierarchy and attempts to repress </w:t>
      </w:r>
      <w:r w:rsidRPr="00087A72">
        <w:rPr>
          <w:rFonts w:cstheme="majorHAnsi"/>
          <w:sz w:val="16"/>
        </w:rPr>
        <w:t xml:space="preserve">the infinitely </w:t>
      </w:r>
      <w:r w:rsidRPr="00087A72">
        <w:rPr>
          <w:rFonts w:cstheme="majorHAnsi"/>
          <w:b/>
          <w:u w:val="single"/>
        </w:rPr>
        <w:t>diverse</w:t>
      </w:r>
      <w:r w:rsidRPr="00087A72">
        <w:rPr>
          <w:rFonts w:cstheme="majorHAnsi"/>
          <w:sz w:val="16"/>
        </w:rPr>
        <w:t xml:space="preserve"> ways that the flows and </w:t>
      </w:r>
      <w:r w:rsidRPr="00087A72">
        <w:rPr>
          <w:rFonts w:cstheme="majorHAnsi"/>
          <w:b/>
          <w:u w:val="single"/>
        </w:rPr>
        <w:t>forces of life</w:t>
      </w:r>
      <w:r w:rsidRPr="00087A72">
        <w:rPr>
          <w:rFonts w:cstheme="majorHAnsi"/>
          <w:sz w:val="16"/>
        </w:rPr>
        <w:t xml:space="preserve"> continually reassemble. </w:t>
      </w:r>
      <w:r w:rsidRPr="00087A72">
        <w:rPr>
          <w:rStyle w:val="Emphasis"/>
          <w:rFonts w:cstheme="majorHAnsi"/>
        </w:rPr>
        <w:t>The quest is not to see any difference, but to see difference in itself – the complete singularity of an existent without reference to what it is not</w:t>
      </w:r>
      <w:r w:rsidRPr="00087A72">
        <w:rPr>
          <w:rFonts w:cstheme="majorHAnsi"/>
          <w:sz w:val="16"/>
        </w:rPr>
        <w:t xml:space="preserve">, what it lacks, </w:t>
      </w:r>
      <w:r w:rsidRPr="00087A72">
        <w:rPr>
          <w:rStyle w:val="Emphasis"/>
          <w:rFonts w:cstheme="majorHAnsi"/>
        </w:rPr>
        <w:t>or to any other set of abstract codes.</w:t>
      </w:r>
      <w:r w:rsidRPr="00087A72">
        <w:rPr>
          <w:rFonts w:cstheme="majorHAnsi"/>
          <w:b/>
          <w:sz w:val="16"/>
        </w:rPr>
        <w:t xml:space="preserve"> </w:t>
      </w:r>
      <w:r w:rsidRPr="00087A72">
        <w:rPr>
          <w:rFonts w:cstheme="majorHAnsi"/>
          <w:b/>
          <w:u w:val="single"/>
        </w:rPr>
        <w:t>Such a thought better sensitizes us to apprehending how current social structures and rationality work</w:t>
      </w:r>
      <w:r w:rsidRPr="00087A72">
        <w:rPr>
          <w:rFonts w:cstheme="majorHAnsi"/>
          <w:sz w:val="16"/>
        </w:rPr>
        <w:t xml:space="preserve"> to organize, prevent, extract, and control the living flows. Furthermore, </w:t>
      </w:r>
      <w:r w:rsidRPr="00087A72">
        <w:rPr>
          <w:rFonts w:cstheme="majorHAnsi"/>
          <w:b/>
          <w:u w:val="single"/>
        </w:rPr>
        <w:t>it allows us to glimpse the processes at work in the formation of our own subjectivities. We are not proposing</w:t>
      </w:r>
      <w:r w:rsidRPr="00087A72">
        <w:rPr>
          <w:rFonts w:cstheme="majorHAnsi"/>
          <w:sz w:val="16"/>
        </w:rPr>
        <w:t xml:space="preserve"> here that </w:t>
      </w:r>
      <w:r w:rsidRPr="00087A72">
        <w:rPr>
          <w:rFonts w:cstheme="majorHAnsi"/>
          <w:b/>
          <w:u w:val="single"/>
        </w:rPr>
        <w:t>living in immanence is an option.</w:t>
      </w:r>
      <w:r w:rsidRPr="00087A72">
        <w:rPr>
          <w:rFonts w:cstheme="majorHAnsi"/>
          <w:sz w:val="16"/>
        </w:rPr>
        <w:t xml:space="preserve"> </w:t>
      </w:r>
      <w:r w:rsidRPr="00087A72">
        <w:rPr>
          <w:rStyle w:val="Emphasis"/>
          <w:rFonts w:cstheme="majorHAnsi"/>
        </w:rPr>
        <w:t>We are proposing that life is immanence and that recognizing that fact can help us to map how the state, Western rationality, and settler subjects disfigure life</w:t>
      </w:r>
      <w:r w:rsidRPr="00087A72">
        <w:rPr>
          <w:rFonts w:cstheme="majorHAnsi"/>
          <w:sz w:val="16"/>
        </w:rPr>
        <w:t xml:space="preserve"> in order </w:t>
      </w:r>
      <w:r w:rsidRPr="00087A72">
        <w:rPr>
          <w:rStyle w:val="Emphasis"/>
          <w:rFonts w:cstheme="majorHAnsi"/>
        </w:rPr>
        <w:t>to extract from it what they need to extend themselves.</w:t>
      </w:r>
      <w:r w:rsidRPr="00087A72">
        <w:rPr>
          <w:rFonts w:cstheme="majorHAnsi"/>
          <w:sz w:val="16"/>
        </w:rPr>
        <w:t xml:space="preserve"> All transcendental, categorical, or universal settler principles are anathema to the immanent subjectivity that we are mapping here as their alternative. We therefore entirely reject the set of universal standards instituted, yet betrayed, in settler colonies by the state, church, and educational systems. We understand that the moralisms of the church, </w:t>
      </w:r>
      <w:r w:rsidRPr="00087A72">
        <w:rPr>
          <w:rFonts w:cstheme="majorHAnsi"/>
          <w:b/>
          <w:u w:val="single"/>
        </w:rPr>
        <w:t>the democratic promise of equality issued by the state</w:t>
      </w:r>
      <w:r w:rsidRPr="00087A72">
        <w:rPr>
          <w:rFonts w:cstheme="majorHAnsi"/>
          <w:sz w:val="16"/>
        </w:rPr>
        <w:t xml:space="preserve">, and the pseudo-science of the fields of anthropology, history, and psychiatry </w:t>
      </w:r>
      <w:r w:rsidRPr="00087A72">
        <w:rPr>
          <w:rFonts w:cstheme="majorHAnsi"/>
          <w:b/>
          <w:u w:val="single"/>
        </w:rPr>
        <w:t>are all founded on a transcendental image that has undermined Indigenous lives</w:t>
      </w:r>
      <w:r w:rsidRPr="00087A72">
        <w:rPr>
          <w:rFonts w:cstheme="majorHAnsi"/>
          <w:sz w:val="16"/>
        </w:rPr>
        <w:t xml:space="preserve"> and worldviews and marginalized immanent and revolutionary subjectivities. </w:t>
      </w:r>
      <w:r w:rsidRPr="00087A72">
        <w:rPr>
          <w:rStyle w:val="Emphasis"/>
          <w:rFonts w:cstheme="majorHAnsi"/>
        </w:rPr>
        <w:t>A new immanent settler subjectivity that rejects the dictates of a transcendental god, state, or knowledge moves toward an ethics of accountability</w:t>
      </w:r>
      <w:r w:rsidRPr="00087A72">
        <w:rPr>
          <w:rFonts w:cstheme="majorHAnsi"/>
          <w:sz w:val="16"/>
        </w:rPr>
        <w:t xml:space="preserve"> to the immanent relations that constitute it. </w:t>
      </w:r>
      <w:r w:rsidRPr="00087A72">
        <w:rPr>
          <w:rFonts w:cstheme="majorHAnsi"/>
          <w:b/>
          <w:u w:val="single"/>
        </w:rPr>
        <w:t xml:space="preserve">We seek to dislodge ourselves from the dominant power and change the effects of that power toward a collective community building and immanent auto-productivity. </w:t>
      </w:r>
      <w:r w:rsidRPr="00087A72">
        <w:rPr>
          <w:rStyle w:val="Emphasis"/>
          <w:rFonts w:cstheme="majorHAnsi"/>
        </w:rPr>
        <w:t>Such relationships</w:t>
      </w:r>
      <w:r w:rsidRPr="00087A72">
        <w:rPr>
          <w:rFonts w:cstheme="majorHAnsi"/>
          <w:sz w:val="16"/>
        </w:rPr>
        <w:t xml:space="preserve"> move alongside recognition politics by the state through laws and rights, but more critically </w:t>
      </w:r>
      <w:r w:rsidRPr="00087A72">
        <w:rPr>
          <w:rStyle w:val="Emphasis"/>
          <w:rFonts w:cstheme="majorHAnsi"/>
        </w:rPr>
        <w:t>act to undo the state’s power to subject others to rights and laws.</w:t>
      </w:r>
      <w:r w:rsidRPr="00087A72">
        <w:rPr>
          <w:rFonts w:cstheme="majorHAnsi"/>
          <w:sz w:val="16"/>
        </w:rPr>
        <w:t xml:space="preserve"> It is a call </w:t>
      </w:r>
      <w:r w:rsidRPr="00087A72">
        <w:rPr>
          <w:rStyle w:val="Emphasis"/>
          <w:rFonts w:cstheme="majorHAnsi"/>
        </w:rPr>
        <w:t>to rethink power, agency, and freedom through a situated accountability based on responsibility, allegiance, and affiliation.</w:t>
      </w:r>
      <w:r w:rsidRPr="00087A72">
        <w:rPr>
          <w:rFonts w:cstheme="majorHAnsi"/>
          <w:sz w:val="16"/>
        </w:rPr>
        <w:t xml:space="preserve"> Ethics here is about active forces and increasing relationality, affect, and capacity to act. It therefore calls for singularized mappings of power and responsible negotiations en route to a different world.</w:t>
      </w:r>
    </w:p>
    <w:p w:rsidR="00E82B76" w:rsidRPr="00087A72" w:rsidRDefault="00E82B76" w:rsidP="00E82B76">
      <w:pPr>
        <w:pStyle w:val="Heading4"/>
      </w:pPr>
      <w:r w:rsidRPr="00087A72">
        <w:t>Settler colonialism maintains itself through the everyday, repetitive acts of practices, presences, and speech acts. Loyalty to an ethic of decolonization requires a refusal of the affirmative as a repudiation of the Settler subject’s ongoing attempt to achieve the end of Indigenous life. Only by an iterative process of refusal can cultivate cracks in the Settler psyche.</w:t>
      </w:r>
    </w:p>
    <w:p w:rsidR="00E82B76" w:rsidRPr="00087A72" w:rsidRDefault="00E82B76" w:rsidP="00E82B76">
      <w:r w:rsidRPr="00087A72">
        <w:rPr>
          <w:rStyle w:val="Style13ptBold"/>
        </w:rPr>
        <w:t>Henderson 15</w:t>
      </w:r>
      <w:r w:rsidRPr="00087A72">
        <w:t xml:space="preserve"> (Phil, Doctoral Student at the University of Victoria "Imagoed communities: the psychosocial space of settler colonialism" Settler Colonial Studies DOI: 10.1080/2201473X.2015.1092194, pp. 10-14) NIJ</w:t>
      </w:r>
    </w:p>
    <w:p w:rsidR="00E82B76" w:rsidRPr="00087A72" w:rsidRDefault="00E82B76" w:rsidP="00E82B76">
      <w:pPr>
        <w:rPr>
          <w:sz w:val="12"/>
        </w:rPr>
      </w:pPr>
      <w:r w:rsidRPr="00087A72">
        <w:rPr>
          <w:sz w:val="12"/>
        </w:rPr>
        <w:t xml:space="preserve">Facing assertive indigenous presences within settler colonial spaces, </w:t>
      </w:r>
      <w:r w:rsidRPr="00087A72">
        <w:rPr>
          <w:rStyle w:val="Emphasis"/>
        </w:rPr>
        <w:t>settlers must answer the legitimate charge that their daily life – in all its banality – is predicated upon the privileges produced by ongoing genocide.</w:t>
      </w:r>
      <w:r w:rsidRPr="00087A72">
        <w:rPr>
          <w:sz w:val="12"/>
        </w:rPr>
        <w:t xml:space="preserve"> </w:t>
      </w:r>
      <w:r w:rsidRPr="00087A72">
        <w:rPr>
          <w:rStyle w:val="StyleUnderline"/>
        </w:rPr>
        <w:t>The jarring nature of such charges offers an irreconcilable challenge to settlers qua settlers.</w:t>
      </w:r>
      <w:r w:rsidRPr="00087A72">
        <w:rPr>
          <w:sz w:val="12"/>
        </w:rPr>
        <w:t xml:space="preserve">64 </w:t>
      </w:r>
      <w:r w:rsidRPr="00087A72">
        <w:rPr>
          <w:rStyle w:val="StyleUnderline"/>
        </w:rPr>
        <w:t>Should these charges become impossible to ignore, they threaten to explode the imago of settler colonialism, which had hitherto operated within the settler psyche in a relatively smooth and benign manner. This explosion is potentiated by the revelation of even a portion of the violence that is required to make settler life possible. If, for example, settlers are forced to see ‘their’ beach as a site of murder and ongoing colonization, it becomes more difficult to sustain it within the imaginary as a site of frivolity.</w:t>
      </w:r>
      <w:r w:rsidRPr="00087A72">
        <w:rPr>
          <w:sz w:val="12"/>
        </w:rPr>
        <w:t xml:space="preserve">65 As Brown writes, in the ‘loss of horizons, order, and identity’ the subject experiences a sense of enormous vulnerability.66 Threatened with this ‘loss of containment’, the settler subject embarks down the road to psychosis.67 Thus, to parlay Brown’s thesis to the settler colonial context, </w:t>
      </w:r>
      <w:r w:rsidRPr="00087A72">
        <w:rPr>
          <w:rStyle w:val="StyleUnderline"/>
        </w:rPr>
        <w:t>the uncontrollable rage that indigenous presences induce within the settler is not evidence of the strength of settlers, but rather of a subject lashing out on the brink of its own dissolution. This panic – this rabid and insatiable anger – is always already at the core of the settler as a subject.</w:t>
      </w:r>
      <w:r w:rsidRPr="00087A72">
        <w:rPr>
          <w:sz w:val="12"/>
        </w:rPr>
        <w:t xml:space="preserve"> As Lorenzo Veracini observes, </w:t>
      </w:r>
      <w:r w:rsidRPr="00087A72">
        <w:rPr>
          <w:rStyle w:val="StyleUnderline"/>
        </w:rPr>
        <w:t xml:space="preserve">the settler necessarily remains in a disposition of aggression ‘even after indigenous alterities have ceased to be threatening’. </w:t>
      </w:r>
      <w:r w:rsidRPr="00087A72">
        <w:rPr>
          <w:sz w:val="12"/>
        </w:rPr>
        <w:t xml:space="preserve">68 </w:t>
      </w:r>
      <w:r w:rsidRPr="00087A72">
        <w:rPr>
          <w:rStyle w:val="StyleUnderline"/>
        </w:rPr>
        <w:t>This disposition results from the precarity inherent in the maintenance of settler colonialism’s imago, wherein any and all indigenous presences threaten subjective dissolution of the settler as such.</w:t>
      </w:r>
      <w:r w:rsidRPr="00087A72">
        <w:rPr>
          <w:sz w:val="12"/>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w:t>
      </w:r>
      <w:r w:rsidRPr="00087A72">
        <w:rPr>
          <w:rStyle w:val="StyleUnderline"/>
        </w:rPr>
        <w:t>Their desire to produce a firm imago means that settlers are also always already in a psychically defensive position – that is, the settler’s offensive position</w:t>
      </w:r>
      <w:r w:rsidRPr="00087A72">
        <w:rPr>
          <w:sz w:val="12"/>
        </w:rPr>
        <w:t xml:space="preserve"> on occupied land </w:t>
      </w:r>
      <w:r w:rsidRPr="00087A72">
        <w:rPr>
          <w:rStyle w:val="StyleUnderline"/>
        </w:rPr>
        <w:t>is sustained through a defensive posture. For while settlers desire the total erasure of indigenous populations, the attendant desire to disappear their own identity as settlers necessitates the suppression of both desires, if the subject’s reliance on settler colonial power structure is to be psychically naturalized. Settlers’ reactions to indigenous peoples fit, almost universally, with the two ego defense responses</w:t>
      </w:r>
      <w:r w:rsidRPr="00087A72">
        <w:rPr>
          <w:sz w:val="12"/>
        </w:rPr>
        <w:t xml:space="preserve"> that Sigmund Freud observed. </w:t>
      </w:r>
      <w:r w:rsidRPr="00087A72">
        <w:rPr>
          <w:rStyle w:val="StyleUnderline"/>
        </w:rPr>
        <w:t>The first of these defenses is to attempt a complete conversion of the suppressed desire into a new idea.</w:t>
      </w:r>
      <w:r w:rsidRPr="00087A72">
        <w:rPr>
          <w:sz w:val="12"/>
        </w:rPr>
        <w:t xml:space="preserve"> In settler colonial contexts, </w:t>
      </w:r>
      <w:r w:rsidRPr="00087A72">
        <w:rPr>
          <w:rStyle w:val="StyleUnderline"/>
        </w:rPr>
        <w:t xml:space="preserve">this requires averting attention from the violence of dispossession; as such, settlers often suggest that they aim to create a ‘city on the hill’. </w:t>
      </w:r>
      <w:r w:rsidRPr="00087A72">
        <w:rPr>
          <w:sz w:val="12"/>
        </w:rPr>
        <w:t xml:space="preserve">70 Freud noted that </w:t>
      </w:r>
      <w:r w:rsidRPr="00087A72">
        <w:rPr>
          <w:rStyle w:val="StyleUnderline"/>
        </w:rPr>
        <w:t>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w:t>
      </w:r>
      <w:r w:rsidRPr="00087A72">
        <w:rPr>
          <w:sz w:val="12"/>
        </w:rPr>
        <w:t xml:space="preserve">71 As we have already seen, </w:t>
      </w:r>
      <w:r w:rsidRPr="00087A72">
        <w:rPr>
          <w:rStyle w:val="StyleUnderline"/>
        </w:rPr>
        <w:t>this obsession at once solidifies the power of the settler state, thereby naturalizing the settler and simultaneously perpetuating the processes of erasing indigenous peoples.</w:t>
      </w:r>
      <w:r w:rsidRPr="00087A72">
        <w:rPr>
          <w:sz w:val="12"/>
        </w:rPr>
        <w:t xml:space="preserve"> Psychic defenses are intended to secure the subject from pain, and whether that pain originates inside or outside the psyche is inconsequential. Because of the threat that indigeneity presents to the phantasmatic wholeness of settler colonialism, settlers must always remain suspended in a state of arrested development between these defensive positions. Despite any pretensions to the contrary, </w:t>
      </w:r>
      <w:r w:rsidRPr="00087A72">
        <w:rPr>
          <w:rStyle w:val="StyleUnderline"/>
        </w:rPr>
        <w:t>the settler is necessarily a parochial subject who continuously coils, reacts, disavows, and lashes out, when confronted with his dependency on indigenous peoples and their territory.</w:t>
      </w:r>
      <w:r w:rsidRPr="00087A72">
        <w:rPr>
          <w:sz w:val="12"/>
        </w:rPr>
        <w:t xml:space="preserve">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w:t>
      </w:r>
      <w:r w:rsidRPr="00087A72">
        <w:rPr>
          <w:rStyle w:val="StyleUnderline"/>
        </w:rPr>
        <w:t xml:space="preserve"> </w:t>
      </w:r>
      <w:r w:rsidRPr="00087A72">
        <w:rPr>
          <w:rStyle w:val="Emphasis"/>
        </w:rPr>
        <w:t xml:space="preserve">decolonization must include an analysis of the dominant ‘self-disciplining colonial subject’. </w:t>
      </w:r>
      <w:r w:rsidRPr="00087A72">
        <w:rPr>
          <w:sz w:val="12"/>
        </w:rPr>
        <w:t xml:space="preserve">73 However, as this discussion of subjective precarity demonstrates, the degree of to which these disciplinary or phenomenological processes are complete should not be overstated. For settler-allies must also examine and cultivate the ways in which settler subjects fail to be totally disciplined. Evidence of this incompletion is apparent in the subject’s arrested state of development. </w:t>
      </w:r>
      <w:r w:rsidRPr="00087A72">
        <w:rPr>
          <w:rStyle w:val="StyleUnderline"/>
        </w:rPr>
        <w:t xml:space="preserve">Discovering the instability at the core of the settler subject, indeed of all subjects, is the central conceit of psychoanalysis. </w:t>
      </w:r>
      <w:r w:rsidRPr="00087A72">
        <w:rPr>
          <w:sz w:val="12"/>
        </w:rPr>
        <w:t xml:space="preserve">This exception of at least partial failure to fully subjectivize the settler is also what sets my account apart from Rifkin’s. His phenomenology falls into the trap that Jacqueline Rose observes within many sociological accounts of the subject: that of assuming a successful internalization of norms. From the psychoanalytical perspective, </w:t>
      </w:r>
      <w:r w:rsidRPr="00087A72">
        <w:rPr>
          <w:rStyle w:val="StyleUnderline"/>
        </w:rPr>
        <w:t>the ‘unconscious constantly reveals the “failure”’ of internalization.</w:t>
      </w:r>
      <w:r w:rsidRPr="00087A72">
        <w:rPr>
          <w:sz w:val="12"/>
        </w:rPr>
        <w:t xml:space="preserve">74 As we have seen, </w:t>
      </w:r>
      <w:r w:rsidRPr="00087A72">
        <w:rPr>
          <w:rStyle w:val="StyleUnderline"/>
        </w:rPr>
        <w:t>within settler subjects this can be expressed as an irrational anxiety that expresses itself whenever a settler is confronted with the facts regarding their colonizing status. Under conditions of total subjectification, such charges ought to be unintelligible to the settler.</w:t>
      </w:r>
      <w:r w:rsidRPr="00087A72">
        <w:rPr>
          <w:sz w:val="12"/>
        </w:rPr>
        <w:t xml:space="preserve"> Thus, </w:t>
      </w:r>
      <w:r w:rsidRPr="00087A72">
        <w:rPr>
          <w:rStyle w:val="StyleUnderline"/>
        </w:rPr>
        <w:t>the process of subject formation is always in slippage and never totalized as others might suggest.</w:t>
      </w:r>
      <w:r w:rsidRPr="00087A72">
        <w:rPr>
          <w:sz w:val="12"/>
        </w:rPr>
        <w:t xml:space="preserve">75 </w:t>
      </w:r>
      <w:r w:rsidRPr="00087A72">
        <w:rPr>
          <w:rStyle w:val="Emphasis"/>
        </w:rPr>
        <w:t>Because of this precarity, the settler subject is prone to violence and lashing out; but the subject in slippage also provides an avenue by which the process of settler colonialism can be subverted – creating cracks in a phantasmatic wholeness which can be opened wider.</w:t>
      </w:r>
      <w:r w:rsidRPr="00087A72">
        <w:rPr>
          <w:sz w:val="12"/>
        </w:rPr>
        <w:t xml:space="preserve"> Breakages of this sort offer an opportunity to pursue what Paulette Regan calls a ‘restorying’ of settler colonial history and culture, to decanter settler mythologies built upon and within the dispossession of indigenous peoples.76 </w:t>
      </w:r>
      <w:r w:rsidRPr="00087A72">
        <w:rPr>
          <w:rStyle w:val="Emphasis"/>
        </w:rPr>
        <w:t>The cultivation of these cracks is a necessary part of decolonizing work, as it continues to panic and thus to destabilize settler subjects. Resistance to settler colonialism</w:t>
      </w:r>
      <w:r w:rsidRPr="00087A72">
        <w:rPr>
          <w:sz w:val="12"/>
        </w:rPr>
        <w:t xml:space="preserve"> does not occur only in highly visible moments like the famous conflict at Kanesatake and Kahnawake,77 it also </w:t>
      </w:r>
      <w:r w:rsidRPr="00087A72">
        <w:rPr>
          <w:rStyle w:val="Emphasis"/>
        </w:rPr>
        <w:t>occurs in reiterative and disruptive practices, presences, and speech acts.</w:t>
      </w:r>
      <w:r w:rsidRPr="00087A72">
        <w:rPr>
          <w:sz w:val="12"/>
        </w:rPr>
        <w:t xml:space="preserve"> Goeman correctly observes that </w:t>
      </w:r>
      <w:r w:rsidRPr="00087A72">
        <w:rPr>
          <w:rStyle w:val="Emphasis"/>
        </w:rPr>
        <w:t>the ‘repetitive practices of everyday life’ are what give settler spaces their meaning, as they provide a degree of naturalness to the settler imago and its psychic investments.</w:t>
      </w:r>
      <w:r w:rsidRPr="00087A72">
        <w:rPr>
          <w:sz w:val="12"/>
        </w:rPr>
        <w:t xml:space="preserve">78 As such, </w:t>
      </w:r>
      <w:r w:rsidRPr="00087A72">
        <w:rPr>
          <w:rStyle w:val="StyleUnderline"/>
        </w:rPr>
        <w:t xml:space="preserve">to disrupt the ease of these repetitions is at once to striate radically the otherwise smooth spaces of settler colonialism and also to disrupt the easy (re)production of the settler subject. </w:t>
      </w:r>
      <w:r w:rsidRPr="00087A72">
        <w:rPr>
          <w:sz w:val="12"/>
        </w:rPr>
        <w:t xml:space="preserve">Goeman calls these subversive acts the ‘micro-politics of resistance’, which historically took the form of ‘moving fences, not cooperating with census enumerators, sometimes disrupting survey parties’ amongst other process.79 These acts panic the subject that is disciplined as a product of settler colonial power, by forcing encounters with the sovereign indigenous peoples that were imagined to be gone. This reveals to the settler, if only fleetingly, the violence that founds and sustains the settler colonial relationship. While such practices may not overthrow the settler colonial system, they do subvert its logics by insistently drawing attention to the ongoing presence of indigenous peoples who refuse erasure. 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Island.80 The micro-politics of the movement strengthen indigenous subjects and their spatialities, while leaving an indelible imprint in the settler psyche. Predictably, rage and resentment were provoked in some settlers;81 however, Idle No More also drew thousands of settler-allies into the streets and renewed conversations about the necessity of nation-to-nation relationships. With settler colonial spaces disrupted and a relationship of domination made impossible to ignore, in the tradition of centuries of indigenous resistance, Idle No More put the settler subject into serious flux once more. Conclusion Settler colonialism has been distinguished from colonialism proper by what Wolfe calls its ‘logic of elimination’, which requires the erasure of indigenous peoples from the colonized territory. This is accomplished through a variety of mechanisms that range from outright violence to policies of gradual elimination. Ultimately, </w:t>
      </w:r>
      <w:r w:rsidRPr="00087A72">
        <w:rPr>
          <w:rStyle w:val="StyleUnderline"/>
        </w:rPr>
        <w:t xml:space="preserve">settler colonialism is perpetuated through a double move: to erase indigenous peoples and then to disappear settlers by naturalizing the violence inherent their existence in colonized territory. </w:t>
      </w:r>
      <w:r w:rsidRPr="00087A72">
        <w:rPr>
          <w:sz w:val="12"/>
        </w:rPr>
        <w:t xml:space="preserve">This is accomplished through the production of spatialities bereft of indigeneity. Out of this spatial logic, an imago of settler society is produced that binds settlers both psychically and socially to each other and to the colonized spaces. </w:t>
      </w:r>
      <w:r w:rsidRPr="00087A72">
        <w:rPr>
          <w:rStyle w:val="StyleUnderline"/>
        </w:rPr>
        <w:t>The continual (re)production of a settler colonial imago is necessary to secure the psychic horizons of the settler subject; it is also inextricably bound up with an insatiable need to constantly renew the erasure of indigenous peoples.</w:t>
      </w:r>
      <w:r w:rsidRPr="00087A72">
        <w:rPr>
          <w:sz w:val="12"/>
        </w:rPr>
        <w:t xml:space="preserve"> Thus, in order to secure its continued survival as a subject, the settler must always strive to maintain the conditions of settler colonialism. </w:t>
      </w:r>
      <w:r w:rsidRPr="00087A72">
        <w:rPr>
          <w:rStyle w:val="Emphasis"/>
        </w:rPr>
        <w:t>Total erasure of indigeneity is the grotesque desire of the settler that must be constantly disrupted.</w:t>
      </w:r>
      <w:r w:rsidRPr="00087A72">
        <w:rPr>
          <w:sz w:val="12"/>
        </w:rPr>
        <w:t xml:space="preserve"> Where indigenous peoples have persisted as an insurgent presence in the settler imago, they are always already threatening this disruption of the settler subject at its very core. </w:t>
      </w:r>
      <w:r w:rsidRPr="00087A72">
        <w:rPr>
          <w:rStyle w:val="StyleUnderline"/>
        </w:rPr>
        <w:t>For while the affirmation of indigeneity can induce panic, and subsequently rage, in the settler, it also opens a crack within the imago – that is, within the settler subject itself – through which an ethic of decolonization can emerge.</w:t>
      </w:r>
      <w:r w:rsidRPr="00087A72">
        <w:rPr>
          <w:sz w:val="12"/>
        </w:rPr>
        <w:t xml:space="preserve"> While it seems that settler colonialism is propelled by a tightly circuitous movement of subject formation, projection, and (re)formation, the presence of indigenous peoples in ongoing and sovereign relationship with the land serves as a powerful blockage of to the smoothness of this process.</w:t>
      </w:r>
    </w:p>
    <w:p w:rsidR="00E82B76" w:rsidRPr="00087A72" w:rsidRDefault="00E82B76" w:rsidP="00E82B76"/>
    <w:p w:rsidR="009556BB" w:rsidRPr="00087A72" w:rsidRDefault="009556BB" w:rsidP="009556BB">
      <w:pPr>
        <w:pStyle w:val="Heading3"/>
      </w:pPr>
      <w:r w:rsidRPr="00087A72">
        <w:t>1NC – TOPR2 (Contagion)</w:t>
      </w:r>
    </w:p>
    <w:p w:rsidR="0004585D" w:rsidRPr="00087A72" w:rsidRDefault="0004585D" w:rsidP="0004585D">
      <w:pPr>
        <w:pStyle w:val="Heading4"/>
      </w:pPr>
      <w:r w:rsidRPr="00087A72">
        <w:t>The genocide of the Native is the quilting point for the signifiers “politics” and “subjectivity” to adhere itself to meaning. However, unable to obtain perfect completion—that more perfect union—the Political becomes an accelerating cycle of death driven violence against the Native.</w:t>
      </w:r>
    </w:p>
    <w:p w:rsidR="0004585D" w:rsidRPr="00087A72" w:rsidRDefault="0004585D" w:rsidP="0004585D">
      <w:r w:rsidRPr="00087A72">
        <w:rPr>
          <w:rStyle w:val="Style13ptBold"/>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95-100) NIJ</w:t>
      </w:r>
    </w:p>
    <w:p w:rsidR="0004585D" w:rsidRPr="00087A72" w:rsidRDefault="0004585D" w:rsidP="0004585D">
      <w:pPr>
        <w:rPr>
          <w:sz w:val="12"/>
        </w:rPr>
      </w:pPr>
      <w:r w:rsidRPr="00087A72">
        <w:rPr>
          <w:sz w:val="12"/>
        </w:rPr>
        <w:t xml:space="preserve">Whiteness, the Child, and the Logics of Futurity Against the politicized topographies and temporalities of indigeneity and race, I now move into a consideration of the contributions of psychoanalytic theory to the questions of politics and time presented thus far. </w:t>
      </w:r>
      <w:r w:rsidRPr="00087A72">
        <w:rPr>
          <w:rStyle w:val="StyleUnderline"/>
        </w:rPr>
        <w:t>The kinds of questions psychoanalysis is interested in asking, the registers upon which it performs analysis, and its unique emphasis on temporality, language, and difference provide an excellent conceptual apparatus through which we might begin to trouble/problematize stable, taken-for-granted oppositions between psychic and social, personal and political, self and other.</w:t>
      </w:r>
      <w:r w:rsidRPr="00087A72">
        <w:rPr>
          <w:sz w:val="12"/>
        </w:rPr>
        <w:t xml:space="preserve"> Freud’s interest in time is evident in his work on the uncanny, and in his inaugural work on what we might now call trauma studies and conditions we now call post-traumatic stress disorder (PTSD). For Freud, this theory of hysteria introduces a provocative temporality in which traumatic events reoccur, flashing up in perfect replication of themselves, as though happening again and again. In his diagnosis of so-called shell-shocked soldiers returning from World War I, Freud was keenly aware that time did not always progress along an even plane. Though Freud’s analysis of trauma is captivating and critically rich, it is not within my purview here to take on the full extent of this scholarship. Instead, what is most salient to my analysis are the capacities of psychoanalytic theory to move critique outside and beyond prevailing notions of time and narratives of progress that only mean moving forward. This chapter writes from a stance that views it as imperative that scholarship reaches beyond, and thinks outside, the paradigms that invented it. </w:t>
      </w:r>
      <w:r w:rsidRPr="00087A72">
        <w:rPr>
          <w:rStyle w:val="StyleUnderline"/>
        </w:rPr>
        <w:t>Psychoanalytic theory, with its idiosyncratic temporal logics</w:t>
      </w:r>
      <w:r w:rsidRPr="00087A72">
        <w:rPr>
          <w:sz w:val="12"/>
        </w:rPr>
        <w:t>—particularly in conjunction with Foucauldian theory—</w:t>
      </w:r>
      <w:r w:rsidRPr="00087A72">
        <w:rPr>
          <w:rStyle w:val="StyleUnderline"/>
        </w:rPr>
        <w:t>offers a productive and robust way to critique the continuing primacy of normative disciplines whose chronologics have historically warranted a politics that kills in the name of life. Such an approach allows us to hold in productive tension any definition of “the political” as stable and finite, with—as in the case of liberal political philosophy—the legally constructed “person” as its primary epistemological unit. This conceptual capacity of psychoanalysis</w:t>
      </w:r>
      <w:r w:rsidRPr="00087A72">
        <w:rPr>
          <w:sz w:val="12"/>
        </w:rPr>
        <w:t xml:space="preserve">, in turn, </w:t>
      </w:r>
      <w:r w:rsidRPr="00087A72">
        <w:rPr>
          <w:rStyle w:val="StyleUnderline"/>
        </w:rPr>
        <w:t>allows us to politicize a form of life and modality of corporeal personhood hitherto constructed as what</w:t>
      </w:r>
      <w:r w:rsidRPr="00087A72">
        <w:rPr>
          <w:sz w:val="12"/>
        </w:rPr>
        <w:t xml:space="preserve">, in Bataillean parlance, </w:t>
      </w:r>
      <w:r w:rsidRPr="00087A72">
        <w:rPr>
          <w:rStyle w:val="StyleUnderline"/>
        </w:rPr>
        <w:t>we might call colonialism’s accursed share—colonialism’s pure waste.</w:t>
      </w:r>
      <w:r w:rsidRPr="00087A72">
        <w:rPr>
          <w:sz w:val="12"/>
        </w:rPr>
        <w:t xml:space="preserve"> Additionally, </w:t>
      </w:r>
      <w:r w:rsidRPr="00087A72">
        <w:rPr>
          <w:rStyle w:val="StyleUnderline"/>
        </w:rPr>
        <w:t>psychoanalytic notions of the death drive, whose proper movement is explicitly circular, allows us to begin to locate the child within logics of futurity, onto which is laminated a kind of indelible whiteness.</w:t>
      </w:r>
      <w:r w:rsidRPr="00087A72">
        <w:rPr>
          <w:sz w:val="12"/>
        </w:rPr>
        <w:t xml:space="preserve"> For the purpose of my analysis I engage Lacanian psychoanalysis, limiting myself to a consideration of the structure of the drives and to a Lacanian conceptualization of language, and its role in the formation of self and the suturing of the psyche to sociality. Freud, as Teresa De Lauretis (2008) emphasizes, elaborated the death drive between the First and Second World Wars, in a Europe living “under the shadow of death and the threat of biological and cultural genocide” (1). Situating her analysis of the death drive in the contemporary moment, De Lauretis points to this contextual, historical darkening, writing: “I wonder whether our epistemologies can sustain the impact of the real … If I return to Freud’s notion of an unconscious death drive, it is because it conveys the sense and the force of something in human reality that resists discursive articulation as well as political diplomacy, an otherness that haunts the dream of a common world” (9). Using psychoanalysis as reading practice, Freud’s suspicion that human life, both individual and social, is compromised from the beginning by something that undermines it, works against it, is (darkly?) generative. </w:t>
      </w:r>
      <w:r w:rsidRPr="00087A72">
        <w:rPr>
          <w:rStyle w:val="StyleUnderline"/>
        </w:rPr>
        <w:t>The death drive indicates a tension bordering psychic and libidinal relations, which marks Freud’s radical break with Cartesian rationality and points to a negativity that counteracts the optimistic affirmations of human perfectability. This dimension of radical negativity cannot be reduced to an expression of alienated social conditions, nor is it entirely something the body does on its own.</w:t>
      </w:r>
      <w:r w:rsidRPr="00087A72">
        <w:rPr>
          <w:sz w:val="12"/>
        </w:rPr>
        <w:t xml:space="preserve"> Theorized as the destruction drive, the antagonism drive, or sometimes, simply “the drive,” </w:t>
      </w:r>
      <w:r w:rsidRPr="00087A72">
        <w:rPr>
          <w:rStyle w:val="StyleUnderline"/>
        </w:rPr>
        <w:t>it is impossible to escape.</w:t>
      </w:r>
      <w:r w:rsidRPr="00087A72">
        <w:rPr>
          <w:sz w:val="12"/>
        </w:rPr>
        <w:t xml:space="preserve"> In psychoanalytic theory, therefore, particularly in the clinical setting, </w:t>
      </w:r>
      <w:r w:rsidRPr="00087A72">
        <w:rPr>
          <w:rStyle w:val="StyleUnderline"/>
        </w:rPr>
        <w:t>the objective is not to overcome the drive, but rather to come to terms with it, in</w:t>
      </w:r>
      <w:r w:rsidRPr="00087A72">
        <w:rPr>
          <w:sz w:val="12"/>
        </w:rPr>
        <w:t xml:space="preserve"> what Slovenian Lacanian psychoanalytic theorist Slavoj Žižek (1989) calls </w:t>
      </w:r>
      <w:r w:rsidRPr="00087A72">
        <w:rPr>
          <w:rStyle w:val="StyleUnderline"/>
        </w:rPr>
        <w:t xml:space="preserve">“its terrifying dimension” </w:t>
      </w:r>
      <w:r w:rsidRPr="00087A72">
        <w:rPr>
          <w:sz w:val="12"/>
        </w:rPr>
        <w:t xml:space="preserve">(4). </w:t>
      </w:r>
      <w:r w:rsidRPr="00087A72">
        <w:rPr>
          <w:rStyle w:val="StyleUnderline"/>
        </w:rPr>
        <w:t>It is a fundamental axiom of Lacanian psychoanalytic theory that attempts to abolish the drive antagonism are precisely the source of totalitarian temptation.</w:t>
      </w:r>
      <w:r w:rsidRPr="00087A72">
        <w:rPr>
          <w:sz w:val="12"/>
        </w:rPr>
        <w:t xml:space="preserve"> Žižek writes: </w:t>
      </w:r>
      <w:r w:rsidRPr="00087A72">
        <w:rPr>
          <w:rStyle w:val="StyleUnderline"/>
        </w:rPr>
        <w:t>“The greatest mass murders and holocausts have always been perpetrated in the name of man as harmonious being, of a New Man without antagonistic tension”</w:t>
      </w:r>
      <w:r w:rsidRPr="00087A72">
        <w:rPr>
          <w:sz w:val="12"/>
        </w:rPr>
        <w:t xml:space="preserve"> (5). </w:t>
      </w:r>
      <w:r w:rsidRPr="00087A72">
        <w:rPr>
          <w:rStyle w:val="StyleUnderline"/>
        </w:rPr>
        <w:t>So it is that</w:t>
      </w:r>
      <w:r w:rsidRPr="00087A72">
        <w:rPr>
          <w:sz w:val="12"/>
        </w:rPr>
        <w:t xml:space="preserve"> one of Canada’s greatest atrocities— </w:t>
      </w:r>
      <w:r w:rsidRPr="00087A72">
        <w:rPr>
          <w:rStyle w:val="StyleUnderline"/>
        </w:rPr>
        <w:t>the genocide of its First Peoples—took place in the name o</w:t>
      </w:r>
      <w:r w:rsidRPr="00087A72">
        <w:rPr>
          <w:sz w:val="12"/>
        </w:rPr>
        <w:t xml:space="preserve">f Canada itself, that sought </w:t>
      </w:r>
      <w:r w:rsidRPr="00087A72">
        <w:rPr>
          <w:rStyle w:val="StyleUnderline"/>
        </w:rPr>
        <w:t>progress and unification as a single body politic with claims on a shared futurity.</w:t>
      </w:r>
      <w:r w:rsidRPr="00087A72">
        <w:rPr>
          <w:sz w:val="12"/>
        </w:rPr>
        <w:t xml:space="preserve"> The fulfillment of this destiny relied upon the negation of the other, the bad race, the dangerous race, the race that stood outside the purview of the norm and had no share in its time-zone, the ones called to live in the between space—as nobody. </w:t>
      </w:r>
      <w:r w:rsidRPr="00087A72">
        <w:rPr>
          <w:rStyle w:val="StyleUnderline"/>
        </w:rPr>
        <w:t>As the relatively more benign civilization policies failed to convert Aboriginal forms of life into separate but civilized</w:t>
      </w:r>
      <w:r w:rsidRPr="00087A72">
        <w:rPr>
          <w:sz w:val="12"/>
        </w:rPr>
        <w:t xml:space="preserve">, Christian communities on reserves, </w:t>
      </w:r>
      <w:r w:rsidRPr="00087A72">
        <w:rPr>
          <w:rStyle w:val="StyleUnderline"/>
        </w:rPr>
        <w:t>the federal government intensified its tactics. Policies became more aggressive. As these more aggressive policies</w:t>
      </w:r>
      <w:r w:rsidRPr="00087A72">
        <w:rPr>
          <w:sz w:val="12"/>
        </w:rPr>
        <w:t xml:space="preserve"> (such as enfranchisement) </w:t>
      </w:r>
      <w:r w:rsidRPr="00087A72">
        <w:rPr>
          <w:rStyle w:val="StyleUnderline"/>
        </w:rPr>
        <w:t>also failed, the federal government intensified its tactics once again, escalating the stakes and the strategies towards the horizon of assimilation. This ‘doubling down’ in the face of failure is a primary trace effect of the death drive, and indeed, it is not unreasonable to argue that the federal government Indian policy has, since confederation, been death driven. Because the aim of fully eradicating the otherness of the other can only fail</w:t>
      </w:r>
      <w:r w:rsidRPr="00087A72">
        <w:rPr>
          <w:sz w:val="12"/>
        </w:rPr>
        <w:t>—in Freudian parlance, it cannot be mastered—</w:t>
      </w:r>
      <w:r w:rsidRPr="00087A72">
        <w:rPr>
          <w:rStyle w:val="StyleUnderline"/>
        </w:rPr>
        <w:t>the trajectory of the aiming turns in a circularity, orbiting around that which can never be had: perfection. Caught in death drive circularity, the aiming towards the objective</w:t>
      </w:r>
      <w:r w:rsidRPr="00087A72">
        <w:rPr>
          <w:sz w:val="12"/>
        </w:rPr>
        <w:t xml:space="preserve"> (i.e. a unified body politic) </w:t>
      </w:r>
      <w:r w:rsidRPr="00087A72">
        <w:rPr>
          <w:rStyle w:val="StyleUnderline"/>
        </w:rPr>
        <w:t>authorizes, and indeed recruits, escalating violence in the interest of—finally—closing the open.</w:t>
      </w:r>
      <w:r w:rsidRPr="00087A72">
        <w:rPr>
          <w:sz w:val="12"/>
        </w:rPr>
        <w:t xml:space="preserve"> For Žižek, </w:t>
      </w:r>
      <w:r w:rsidRPr="00087A72">
        <w:rPr>
          <w:rStyle w:val="StyleUnderline"/>
        </w:rPr>
        <w:t>this compulsive ‘doubling-down’ in the face of failure to arrive at the impossible horizon of perfection tips towards totalitarian temptation, which</w:t>
      </w:r>
      <w:r w:rsidRPr="00087A72">
        <w:rPr>
          <w:sz w:val="12"/>
        </w:rPr>
        <w:t xml:space="preserve">, he tells us, </w:t>
      </w:r>
      <w:r w:rsidRPr="00087A72">
        <w:rPr>
          <w:rStyle w:val="StyleUnderline"/>
        </w:rPr>
        <w:t>is implicated in the drive to unify a singular body politic, a new man without antagonistic tension. The drive aims for the return to a moment of unity before the intrusion of language and the entrance of the subject into what Lacan calls the Symbolic—the universe of symbols in which all human subjects share. Because this economy of signifiers operates through a modality of difference by association, on the premise that language does not reflect or carry within it universal a priori meaning, spirit, or Truth, signifiers are always and already sliding along a chain of signification that is never truly fixed.</w:t>
      </w:r>
      <w:r w:rsidRPr="00087A72">
        <w:rPr>
          <w:sz w:val="12"/>
        </w:rPr>
        <w:t xml:space="preserve"> Rather, for Lacan, </w:t>
      </w:r>
      <w:r w:rsidRPr="00087A72">
        <w:rPr>
          <w:rStyle w:val="StyleUnderline"/>
        </w:rPr>
        <w:t>meaning is constructed through quilting points, durable concepts that affix ideas to their signifiers and which, in their durability, structure entire fields of meaning.</w:t>
      </w:r>
      <w:r w:rsidRPr="00087A72">
        <w:rPr>
          <w:sz w:val="12"/>
        </w:rPr>
        <w:t xml:space="preserve"> For Lacan, </w:t>
      </w:r>
      <w:r w:rsidRPr="00087A72">
        <w:rPr>
          <w:rStyle w:val="StyleUnderline"/>
        </w:rPr>
        <w:t>subjects are formed by their entrance into this system of sliding difference from a pre-linguistic state retroactively constructed through nostalgic affective associations with unity, perfection, and completion. The loss or lack occurs in the imaginary, the order of presence and absence, and is formalized in the symbolic. This is experienced by the subject as a loss of that to which she/he can never again return, but for which she/he perpetually yearns, and toward which she/he perpetually moves. The circularity of movement toward this impossible horizon is precisely the movement of the drive.</w:t>
      </w:r>
      <w:r w:rsidRPr="00087A72">
        <w:rPr>
          <w:sz w:val="12"/>
        </w:rPr>
        <w:t xml:space="preserve"> It is my argument that the concept of </w:t>
      </w:r>
      <w:r w:rsidRPr="00087A72">
        <w:rPr>
          <w:rStyle w:val="Emphasis"/>
        </w:rPr>
        <w:t>“the Indian” is a quilting point through which the field of politics</w:t>
      </w:r>
      <w:r w:rsidRPr="00087A72">
        <w:rPr>
          <w:sz w:val="12"/>
        </w:rPr>
        <w:t xml:space="preserve"> in Canada </w:t>
      </w:r>
      <w:r w:rsidRPr="00087A72">
        <w:rPr>
          <w:rStyle w:val="Emphasis"/>
        </w:rPr>
        <w:t>is sutured into signification, a durable concept that organizes the meaning of nation, citizen, sovereignty, and subjecthood.</w:t>
      </w:r>
      <w:r w:rsidRPr="00087A72">
        <w:rPr>
          <w:sz w:val="12"/>
        </w:rPr>
        <w:t xml:space="preserve"> Further, </w:t>
      </w:r>
      <w:r w:rsidRPr="00087A72">
        <w:rPr>
          <w:rStyle w:val="StyleUnderline"/>
        </w:rPr>
        <w:t>the hypoxic vision of national unity and a harmonious white(ned) citizenry is a movement propelled by the drive, a circularity impelled by the belief that what is lacking in the present can be made good in the future—an imaginary that activates/harnesses a kind of libidinal energy that is, by its very nature, inexhaustible. It matters, in the instance of the</w:t>
      </w:r>
      <w:r w:rsidRPr="00087A72">
        <w:rPr>
          <w:sz w:val="12"/>
        </w:rPr>
        <w:t xml:space="preserve"> Canadian </w:t>
      </w:r>
      <w:r w:rsidRPr="00087A72">
        <w:rPr>
          <w:rStyle w:val="StyleUnderline"/>
        </w:rPr>
        <w:t>Indian Residential Schools</w:t>
      </w:r>
      <w:r w:rsidRPr="00087A72">
        <w:rPr>
          <w:sz w:val="12"/>
        </w:rPr>
        <w:t xml:space="preserve"> and their mandate, </w:t>
      </w:r>
      <w:r w:rsidRPr="00087A72">
        <w:rPr>
          <w:rStyle w:val="StyleUnderline"/>
        </w:rPr>
        <w:t>that before child subjects enter into the structuration of language/the Symbolic, their bodies are already marked as disprized, abject, inscribed into the signification for, and</w:t>
      </w:r>
      <w:r w:rsidRPr="00087A72">
        <w:rPr>
          <w:sz w:val="12"/>
        </w:rPr>
        <w:t xml:space="preserve">, I argue, </w:t>
      </w:r>
      <w:r w:rsidRPr="00087A72">
        <w:rPr>
          <w:rStyle w:val="StyleUnderline"/>
        </w:rPr>
        <w:t>as, loss itself.</w:t>
      </w:r>
      <w:r w:rsidRPr="00087A72">
        <w:rPr>
          <w:sz w:val="12"/>
        </w:rPr>
        <w:t xml:space="preserve"> As I have argued above, reading through psychoanalytic theory facilitates a conceptualization of subject-formation that includes the role of signification in the contouring of subject/ivities. This analytic rubric is importantly brought to bear in my analysis of “the child” the Canadian Indian Residential School System announces into presence: </w:t>
      </w:r>
      <w:r w:rsidRPr="00087A72">
        <w:rPr>
          <w:rStyle w:val="StyleUnderline"/>
        </w:rPr>
        <w:t>a child fundamentally and constitutively tied to a death whose temporal structure is always deferred, always impartial, always unfolding, and yet always still to be.</w:t>
      </w:r>
      <w:r w:rsidRPr="00087A72">
        <w:rPr>
          <w:sz w:val="12"/>
        </w:rPr>
        <w:t xml:space="preserve"> Indeed, </w:t>
      </w:r>
      <w:r w:rsidRPr="00087A72">
        <w:rPr>
          <w:rStyle w:val="StyleUnderline"/>
        </w:rPr>
        <w:t>even in circumstances in which her/his mode of being in the world is not a deliberate practice of making- spectral, “the child” remains a notoriously ambivalent, slippery signifier. This plasticity</w:t>
      </w:r>
      <w:r w:rsidRPr="00087A72">
        <w:rPr>
          <w:sz w:val="12"/>
        </w:rPr>
        <w:t>—differently stated, this over-abundant availability of “the child” as concept—</w:t>
      </w:r>
      <w:r w:rsidRPr="00087A72">
        <w:rPr>
          <w:rStyle w:val="StyleUnderline"/>
        </w:rPr>
        <w:t>takes on an interesting significance within political thought, functioning not as that which is politicized, but as the signifier in whose name the political mobilizes itself.</w:t>
      </w:r>
      <w:r w:rsidRPr="00087A72">
        <w:rPr>
          <w:sz w:val="12"/>
        </w:rPr>
        <w:t xml:space="preserve"> In this way, </w:t>
      </w:r>
      <w:r w:rsidRPr="00087A72">
        <w:rPr>
          <w:rStyle w:val="StyleUnderline"/>
        </w:rPr>
        <w:t>the child functions as the absolute outside to political thought and the logics of its temporality, functioning instead to condition its possibilities and organize, from beyond its borders, its spatial and temporal limits.</w:t>
      </w:r>
      <w:r w:rsidRPr="00087A72">
        <w:rPr>
          <w:sz w:val="12"/>
        </w:rPr>
        <w:t xml:space="preserve"> An example of this conceptualization of the child as signifier—and certainly one of the more provocative articulations of this phenomena in the contemporary neoliberal moment—is the polemic Lee develops in his monograph No Future: Queer Theory and the Death Drive. For Edelman, the Child—in its conflation with the kind of futurity toward which the teleology of (neo)liberal discourse is mobilized—is not simply important to contemporary politics, but is that which “serves to regulate political discourse [itself]” (ii). Indeed, as Edelman points out, “the figural Child alone embodies the citizen as ideal, entitled to claim full rights to its future share in the nation’s good, though always at the cost of limiting the rights ‘real’ citizens are allowed. For the social exists to preserve for this universalized subject, this fantasmatic Child, a national freedom more highly valued than the actuality of freedom itself” (ii). In Edelman’s polemic, </w:t>
      </w:r>
      <w:r w:rsidRPr="00087A72">
        <w:rPr>
          <w:rStyle w:val="Emphasis"/>
        </w:rPr>
        <w:t>it goes without saying that the figural child is a white child</w:t>
      </w:r>
      <w:r w:rsidRPr="00087A72">
        <w:rPr>
          <w:sz w:val="12"/>
        </w:rPr>
        <w:t xml:space="preserve"> and that children of colour, children of mixed heritage, </w:t>
      </w:r>
      <w:r w:rsidRPr="00087A72">
        <w:rPr>
          <w:rStyle w:val="StyleUnderline"/>
        </w:rPr>
        <w:t>Indian children</w:t>
      </w:r>
      <w:r w:rsidRPr="00087A72">
        <w:rPr>
          <w:sz w:val="12"/>
        </w:rPr>
        <w:t xml:space="preserve">—within the Ideological State Apparatus of the Indian Residential Schools—far from carrying the over-abundant significance Edelman so adeptly parses, signify on only the most spectral of registers. This child, I argue, as a kind of spectral(ized) partial subject, </w:t>
      </w:r>
      <w:r w:rsidRPr="00087A72">
        <w:rPr>
          <w:rStyle w:val="StyleUnderline"/>
        </w:rPr>
        <w:t>instantiates a subjectivity simultaneously over-exposed to the political and over-determined by the word of the law, while barely accorded even the status of bare life. This is a subject that is hailed into a circularity of misrecognition in a relationship with death that is virtually inescapable. This relationship with death is the suture that connects this subject to the social.</w:t>
      </w:r>
      <w:r w:rsidRPr="00087A72">
        <w:rPr>
          <w:sz w:val="12"/>
        </w:rPr>
        <w:t xml:space="preserve"> Edelman’s argument does not address racialized formations of self-hood, but is no less relevant to the argument I seek to develop here. Indeed, it is perhaps all the keener in what it omits—which is the child of color. This omission points to the level of signification and the way in which the whitened child is effortlessly lifted from the problematically raced body—the body whose racialized status is found problematic. This fantasy of purification through signification speaks, in ways that are eloquent and disturbing in equal measure, precisely the fantasy of the Canadian Indian Residential School System: that the body of the Indian could be left behind in a transcendent movement away from the vexatious quagmire posed by the Indian body toward the realm of what Kantian philosophy calls pure spirit, the realm of whiteness, purity, and hypoxic visions of what Edelman calls, “a national freedom more highly valued than the actuality of freedom itself” (ii). This fantasy of corporeal abandonment points to the latent desire of Western philosophical thought that seeks, through the disavowal of bodily finitude and a fetishization of the logos, access to purity of form, a fantasy that relegates, leaves trapped, the sometimes racialized, sometimes feminized other, mired in flesh and finitude from which it is allowed no escape. </w:t>
      </w:r>
      <w:r w:rsidRPr="00087A72">
        <w:rPr>
          <w:rStyle w:val="StyleUnderline"/>
        </w:rPr>
        <w:t>The Indigenous person</w:t>
      </w:r>
      <w:r w:rsidRPr="00087A72">
        <w:rPr>
          <w:sz w:val="12"/>
        </w:rPr>
        <w:t xml:space="preserve">, we remember from Hegel’s Lectures on the Philosophy of World History, </w:t>
      </w:r>
      <w:r w:rsidRPr="00087A72">
        <w:rPr>
          <w:rStyle w:val="StyleUnderline"/>
        </w:rPr>
        <w:t>is imagined as always already outside the teleology of history, already extinct. This way of understanding difference, through the rubric of historical progress, remains central to liberal and neoliberal political thought, economic practices, and policies in the current moment.</w:t>
      </w:r>
      <w:r w:rsidRPr="00087A72">
        <w:rPr>
          <w:sz w:val="12"/>
        </w:rPr>
        <w:t xml:space="preserve"> Prising the child away from the Indian, meanwhile, continues to have important implications in the way we imagine colonial forms, not only of life, but also of death.</w:t>
      </w:r>
    </w:p>
    <w:p w:rsidR="0004585D" w:rsidRPr="00087A72" w:rsidRDefault="0004585D" w:rsidP="0004585D">
      <w:pPr>
        <w:pStyle w:val="Heading4"/>
      </w:pPr>
      <w:r w:rsidRPr="00087A72">
        <w:t xml:space="preserve">Disabilities are the product of colonial practices. Even by definition disabling is a result of colonial practices. Indigenous people themselves are the disabled, </w:t>
      </w:r>
    </w:p>
    <w:p w:rsidR="0004585D" w:rsidRPr="00087A72" w:rsidRDefault="0004585D" w:rsidP="0004585D">
      <w:pPr>
        <w:rPr>
          <w:rStyle w:val="Style13ptBold"/>
        </w:rPr>
      </w:pPr>
      <w:r w:rsidRPr="00087A72">
        <w:rPr>
          <w:rStyle w:val="Style13ptBold"/>
        </w:rPr>
        <w:t>Meekosha 2011</w:t>
      </w:r>
      <w:r w:rsidRPr="00087A72">
        <w:t>(Helen, School of Social Sciences and International Relations, University of New South Wales “Decolonising disability: thinking and acting globally” 26:6, pp.671-673)</w:t>
      </w:r>
    </w:p>
    <w:p w:rsidR="0004585D" w:rsidRPr="00087A72" w:rsidRDefault="0004585D" w:rsidP="0004585D">
      <w:pPr>
        <w:rPr>
          <w:sz w:val="8"/>
        </w:rPr>
      </w:pPr>
      <w:r w:rsidRPr="00087A72">
        <w:rPr>
          <w:sz w:val="8"/>
        </w:rPr>
        <w:t xml:space="preserve">The centrality of colonialism The fundamental </w:t>
      </w:r>
      <w:r w:rsidRPr="00087A72">
        <w:rPr>
          <w:rStyle w:val="StyleUnderline"/>
        </w:rPr>
        <w:t xml:space="preserve">business of colonisation involved structural, cultural, economic and political domination, </w:t>
      </w:r>
      <w:r w:rsidRPr="00087A72">
        <w:rPr>
          <w:sz w:val="8"/>
        </w:rPr>
        <w:t xml:space="preserve">usually by peoples from the Northern European metropole – over peoples from the south. The USA and Russia were also involved in colonisation of indigenous peoples overland. Writing in 1989, Ashcroft, Griffins, and Tiffin estimated that 75% of the global populations have had their lives shaped by colonialism (1989, 1). </w:t>
      </w:r>
      <w:r w:rsidRPr="00087A72">
        <w:rPr>
          <w:rStyle w:val="StyleUnderline"/>
        </w:rPr>
        <w:t>Colonisation has come to denote many relationships. Within disability studies the concept of ‘colonisation’ has been used to represent the medical and professional power exerted over disabled people</w:t>
      </w:r>
      <w:r w:rsidRPr="00087A72">
        <w:rPr>
          <w:sz w:val="8"/>
        </w:rPr>
        <w:t xml:space="preserve"> (Hirsch 2000). On the </w:t>
      </w:r>
      <w:r w:rsidRPr="00087A72">
        <w:rPr>
          <w:rStyle w:val="Emphasis"/>
        </w:rPr>
        <w:t xml:space="preserve">672 </w:t>
      </w:r>
      <w:r w:rsidRPr="00087A72">
        <w:rPr>
          <w:sz w:val="8"/>
        </w:rPr>
        <w:t>other hand</w:t>
      </w:r>
      <w:r w:rsidRPr="00087A72">
        <w:rPr>
          <w:rStyle w:val="StyleUnderline"/>
        </w:rPr>
        <w:t>, ‘disabling’ is used as a metaphor for negative change that occurred as a result of colonisation in colonial/postcolonial studies</w:t>
      </w:r>
      <w:r w:rsidRPr="00087A72">
        <w:rPr>
          <w:sz w:val="8"/>
        </w:rPr>
        <w:t xml:space="preserve">. Scott, for example, argues </w:t>
      </w:r>
      <w:r w:rsidRPr="00087A72">
        <w:rPr>
          <w:rStyle w:val="StyleUnderline"/>
        </w:rPr>
        <w:t>that colonisation is concerned with ‘disabling old forms of life by systemically breaking down their conditions’</w:t>
      </w:r>
      <w:r w:rsidRPr="00087A72">
        <w:rPr>
          <w:sz w:val="8"/>
        </w:rPr>
        <w:t xml:space="preserve"> (2005, 25). Colonial invasions were justified on the basis that the inhabitants of places such as South America, Africa and Australia were godless and primitive savages. </w:t>
      </w:r>
      <w:r w:rsidRPr="00087A72">
        <w:rPr>
          <w:rStyle w:val="StyleUnderline"/>
        </w:rPr>
        <w:t>These ‘barely human’ stereotypes have resonance for disabled peoples worldwide.</w:t>
      </w:r>
      <w:r w:rsidRPr="00087A72">
        <w:rPr>
          <w:sz w:val="8"/>
        </w:rPr>
        <w:t xml:space="preserve"> The invasion of Australia was deemed legitimate under what later came to be called in the twentieth century ‘terra nullius’ (land that belonged to nobody). Unlike other colonial invasions there was little attempt at connection with the established peoples. The sweeping power of the colonialists allowed killings, theft of land, destruction of prior culture and the disabling of indigenous peoples. Indeed, some believed that because indigenous peoples were incapable of being ‘civilised’ they were doomed to die out. </w:t>
      </w:r>
      <w:r w:rsidRPr="00087A72">
        <w:rPr>
          <w:rStyle w:val="StyleUnderline"/>
        </w:rPr>
        <w:t>As non-humans they were not considered fit to reproduce, and many were forcibility removed and incarcerated in camps</w:t>
      </w:r>
      <w:r w:rsidRPr="00087A72">
        <w:rPr>
          <w:sz w:val="8"/>
        </w:rPr>
        <w:t xml:space="preserve">. Men were made to work in the pastoral workforce in Northern Australia and women and girls in the domestic workforce across the Outback. Australian Aborigines were excluded from the census until 1967 (although heads of cattle were counted). </w:t>
      </w:r>
      <w:r w:rsidRPr="00087A72">
        <w:rPr>
          <w:rStyle w:val="StyleUnderline"/>
        </w:rPr>
        <w:t>Disabling the indigenous population was then, as now, specifically related to colonial power. In this context the process of disabling has to be seen as a total dehumanising process and must include the destruction of physical, the emotional, psychic, economic and cultural life</w:t>
      </w:r>
      <w:r w:rsidRPr="00087A72">
        <w:rPr>
          <w:sz w:val="8"/>
        </w:rPr>
        <w:t xml:space="preserve">. It is not comparable with the scale of impairment in the rest of Australia or indeed in the British metropole. </w:t>
      </w:r>
      <w:r w:rsidRPr="00087A72">
        <w:rPr>
          <w:rStyle w:val="StyleUnderline"/>
        </w:rPr>
        <w:t>Appropriation of the land of indigenous peoples was and still is a particularly important part of the disabling process</w:t>
      </w:r>
      <w:r w:rsidRPr="00087A72">
        <w:rPr>
          <w:sz w:val="8"/>
        </w:rPr>
        <w:t xml:space="preserve">. In Brazil, the impact of colonial consolidation of land into large plantations dominated by single crops destroyed the previous diverse and sustainable way of life and reduced the population to a ‘humbling set of economic and psychosocial dependencies on their essentially feudal landlords’ (Scheper-Hughes 1992, 32). </w:t>
      </w:r>
      <w:r w:rsidRPr="00087A72">
        <w:rPr>
          <w:rStyle w:val="StyleUnderline"/>
        </w:rPr>
        <w:t>These dependencies were disabling and one of the keys to understanding the complexities of the disabling process may well be to understand the nature of enforced dependency. Thus the Northern disability studies differentiation between chronic illness, impairment and disability cannot usefully explain the contemporary lived experiences of indigenous peoples</w:t>
      </w:r>
      <w:r w:rsidRPr="00087A72">
        <w:rPr>
          <w:sz w:val="8"/>
        </w:rPr>
        <w:t xml:space="preserve">. </w:t>
      </w:r>
      <w:r w:rsidRPr="00087A72">
        <w:rPr>
          <w:rStyle w:val="StyleUnderline"/>
        </w:rPr>
        <w:t>To analyse the experience of disabled people in the context of the establishment of a new social order of exiled and colonised people ruled over by an alien bourgeoisie requires a different set of methodologies and frameworks from those formulated in the Northern metropole</w:t>
      </w:r>
      <w:r w:rsidRPr="00087A72">
        <w:rPr>
          <w:sz w:val="8"/>
        </w:rPr>
        <w:t xml:space="preserve">. In examining that new social order in penal colonies we also need to address the issue of who was transported – </w:t>
      </w:r>
      <w:r w:rsidRPr="00087A72">
        <w:rPr>
          <w:rStyle w:val="StyleUnderline"/>
        </w:rPr>
        <w:t>the criminal classes, the poor, petty thieves and homeless, but also people with mental illnesses and developmental/cognitive impairments.</w:t>
      </w:r>
      <w:r w:rsidRPr="00087A72">
        <w:rPr>
          <w:sz w:val="8"/>
        </w:rPr>
        <w:t xml:space="preserve"> Moreover, the </w:t>
      </w:r>
      <w:r w:rsidRPr="00087A72">
        <w:rPr>
          <w:rStyle w:val="StyleUnderline"/>
        </w:rPr>
        <w:t>violence of colonisation inevitably produced impaired beings as a result of the hard life in the colonies.</w:t>
      </w:r>
      <w:r w:rsidRPr="00087A72">
        <w:rPr>
          <w:sz w:val="8"/>
        </w:rPr>
        <w:t xml:space="preserve"> </w:t>
      </w:r>
      <w:r w:rsidRPr="00087A72">
        <w:rPr>
          <w:rStyle w:val="StyleUnderline"/>
        </w:rPr>
        <w:t xml:space="preserve">While for indigenous peoples colonisation was catastrophic, for many of those transported or who arrived as free settlers it was not much better. </w:t>
      </w:r>
      <w:r w:rsidRPr="00087A72">
        <w:rPr>
          <w:sz w:val="8"/>
        </w:rPr>
        <w:t xml:space="preserve">Like confinement, the practice of exiling undesirable members of a population has a long and heterogeneous history (Redfield 2005, 55). Race and disability in the global South are fluid concepts. This has been the case both in colonial and contemporary times. Devlieger reports that ‘disability as a category of discourse is foreign to sub-Saharan African thought’ (2005, 693). King also reports that Indigenous Australians have different ways of discussing changes in bodily function (2006, 8). In her work with indigenous peoples, Ariotti (1999) </w:t>
      </w:r>
      <w:r w:rsidRPr="00087A72">
        <w:rPr>
          <w:rStyle w:val="Emphasis"/>
        </w:rPr>
        <w:t xml:space="preserve">673 </w:t>
      </w:r>
      <w:r w:rsidRPr="00087A72">
        <w:rPr>
          <w:sz w:val="8"/>
        </w:rPr>
        <w:t>described disability as an alien concept</w:t>
      </w:r>
      <w:r w:rsidRPr="00087A72">
        <w:rPr>
          <w:rStyle w:val="StyleUnderline"/>
        </w:rPr>
        <w:t xml:space="preserve">. The idea of racial and gender supremacy of the Northern Hemisphere is very much tied to the production of disability </w:t>
      </w:r>
      <w:r w:rsidRPr="00087A72">
        <w:rPr>
          <w:sz w:val="8"/>
        </w:rPr>
        <w:t xml:space="preserve">in the global South </w:t>
      </w:r>
      <w:r w:rsidRPr="00087A72">
        <w:rPr>
          <w:rStyle w:val="StyleUnderline"/>
        </w:rPr>
        <w:t>and racialised evolutionary hierarchies constructed the colonised as backward, infantile and animal-like</w:t>
      </w:r>
      <w:r w:rsidRPr="00087A72">
        <w:rPr>
          <w:sz w:val="8"/>
        </w:rPr>
        <w:t xml:space="preserve">. We cannot meaningfully separate the racialised subaltern from the disabled subaltern in the process of colonisation. Parekh discusses fluidity of subaltern identities in the Indian context – transgender, intersex, low-caste and disabled people all interact (2007, 154) – and argues that there are both solidarities and competitions between marginalised groups. </w:t>
      </w:r>
      <w:r w:rsidRPr="00087A72">
        <w:rPr>
          <w:rStyle w:val="StyleUnderline"/>
        </w:rPr>
        <w:t>In colonial times both disabled and racialised individuals were institutionalised to contain resistance and prevent the ‘pollution’ of the wider population</w:t>
      </w:r>
      <w:r w:rsidRPr="00087A72">
        <w:rPr>
          <w:sz w:val="8"/>
        </w:rPr>
        <w:t xml:space="preserve">. Removal of children from family and community has for centuries been justified on the basis of disability, as has removal of children on the basis of race and gender. The colonial authorities, with assistance from missionaries, established institutions to contain and control those among the colonised that were viewed as dissident and abnormal. The removal of indigenous children in Australia was an attempt to normalise them into European ways, and this paralleled the establishment of early institutions for disabled people and ‘wayward’ girls. </w:t>
      </w:r>
      <w:r w:rsidRPr="00087A72">
        <w:rPr>
          <w:rStyle w:val="StyleUnderline"/>
        </w:rPr>
        <w:t>Race, gender and disability collide in this treatment of many children – removed from families and communities to endure harsh discipline and retraining for servile low-status jobs</w:t>
      </w:r>
      <w:r w:rsidRPr="00087A72">
        <w:rPr>
          <w:sz w:val="8"/>
        </w:rPr>
        <w:t xml:space="preserve"> (Meekosha 2006). In India, institutionalisation of disabled people began with the British. The promotion of custody rather than care was an attempt to break traditional culture (Bhambhani 2005, 668). Similar initiatives were developed in colonial Africa (Devlieger 2005, 694).</w:t>
      </w:r>
    </w:p>
    <w:p w:rsidR="00414088" w:rsidRPr="00087A72" w:rsidRDefault="00414088" w:rsidP="00414088">
      <w:pPr>
        <w:pStyle w:val="Heading4"/>
        <w:rPr>
          <w:rFonts w:cstheme="majorHAnsi"/>
        </w:rPr>
      </w:pPr>
      <w:r w:rsidRPr="00087A72">
        <w:rPr>
          <w:rFonts w:cstheme="majorHAnsi"/>
        </w:rPr>
        <w:t xml:space="preserve">Affirmations of immigrants constitutes a discursive mythology of </w:t>
      </w:r>
      <w:r w:rsidRPr="00087A72">
        <w:rPr>
          <w:rStyle w:val="Style13ptBold"/>
          <w:rFonts w:cstheme="majorHAnsi"/>
          <w:b/>
        </w:rPr>
        <w:t>immigration</w:t>
      </w:r>
      <w:r w:rsidRPr="00087A72">
        <w:rPr>
          <w:rFonts w:cstheme="majorHAnsi"/>
        </w:rPr>
        <w:t xml:space="preserve"> which renders the erasure of the indigenous savage inevitable – immigrant social justice cannot be fused with indigenous struggle</w:t>
      </w:r>
    </w:p>
    <w:p w:rsidR="00414088" w:rsidRPr="00087A72" w:rsidRDefault="00414088" w:rsidP="00414088">
      <w:pPr>
        <w:rPr>
          <w:rFonts w:cstheme="majorHAnsi"/>
        </w:rPr>
      </w:pPr>
      <w:r w:rsidRPr="00087A72">
        <w:rPr>
          <w:rStyle w:val="Style13ptBold"/>
          <w:rFonts w:cstheme="majorHAnsi"/>
        </w:rPr>
        <w:t>Dauvergne 16</w:t>
      </w:r>
      <w:r w:rsidRPr="00087A72">
        <w:rPr>
          <w:rFonts w:cstheme="majorHAnsi"/>
        </w:rPr>
        <w:t xml:space="preserve"> (Catherine, She is the eighth dean of the Peter A. Allard School of Law. Professor Dauvergne has been working in the area of refugee, immigration, and citizenship law over the past quarter of a century, “Immigration and the End of Settler Societies”,</w:t>
      </w:r>
      <w:r w:rsidRPr="00087A72">
        <w:rPr>
          <w:rFonts w:cstheme="majorHAnsi"/>
          <w:i/>
        </w:rPr>
        <w:t xml:space="preserve"> Cambridge University Press</w:t>
      </w:r>
      <w:r w:rsidRPr="00087A72">
        <w:rPr>
          <w:rFonts w:cstheme="majorHAnsi"/>
        </w:rPr>
        <w:t>, pp. 10-13)//vikas</w:t>
      </w:r>
    </w:p>
    <w:p w:rsidR="00414088" w:rsidRPr="00087A72" w:rsidRDefault="00414088" w:rsidP="00414088">
      <w:pPr>
        <w:rPr>
          <w:rFonts w:cstheme="majorHAnsi"/>
          <w:sz w:val="16"/>
        </w:rPr>
      </w:pPr>
      <w:r w:rsidRPr="00087A72">
        <w:rPr>
          <w:rFonts w:cstheme="majorHAnsi"/>
          <w:sz w:val="16"/>
        </w:rPr>
        <w:t xml:space="preserve">Throughout the entire first century of global migration regulation, from the early 1900s to the present, a distinction between settler societies and others has informed and predicted patterns of migration and migration regulation. This distinction served as a guide to strategies of recruitment and reception, to global alliances around migration questions, to approaches to asylum, and to citizenship. This era has now come to a close. The work of this book is to demonstrate how and why this is so, and to outline what new predictors or patterns of migration and migration regulation may now be valuable. </w:t>
      </w:r>
      <w:r w:rsidRPr="00087A72">
        <w:rPr>
          <w:rStyle w:val="Emphasis"/>
          <w:rFonts w:cstheme="majorHAnsi"/>
        </w:rPr>
        <w:t>Global migration regulation first developed in</w:t>
      </w:r>
      <w:r w:rsidRPr="00087A72">
        <w:rPr>
          <w:rFonts w:cstheme="majorHAnsi"/>
          <w:sz w:val="16"/>
        </w:rPr>
        <w:t xml:space="preserve"> the context of </w:t>
      </w:r>
      <w:r w:rsidRPr="00087A72">
        <w:rPr>
          <w:rStyle w:val="Emphasis"/>
          <w:rFonts w:cstheme="majorHAnsi"/>
        </w:rPr>
        <w:t>settler societies</w:t>
      </w:r>
      <w:r w:rsidRPr="00087A72">
        <w:rPr>
          <w:rFonts w:cstheme="majorHAnsi"/>
          <w:b/>
          <w:u w:val="single"/>
        </w:rPr>
        <w:t>, and their demise contains key markers</w:t>
      </w:r>
      <w:r w:rsidRPr="00087A72">
        <w:rPr>
          <w:rFonts w:cstheme="majorHAnsi"/>
          <w:sz w:val="16"/>
        </w:rPr>
        <w:t xml:space="preserve"> for the future. To understand why any of this matters, however, it is first crucial to understand how </w:t>
      </w:r>
      <w:r w:rsidRPr="00087A72">
        <w:rPr>
          <w:rFonts w:cstheme="majorHAnsi"/>
          <w:b/>
          <w:u w:val="single"/>
        </w:rPr>
        <w:t>the concept of a settler society ordered global migration for more than a century</w:t>
      </w:r>
      <w:r w:rsidRPr="00087A72">
        <w:rPr>
          <w:rFonts w:cstheme="majorHAnsi"/>
          <w:sz w:val="16"/>
        </w:rPr>
        <w:t xml:space="preserve">. This chapter begins with unraveling this ordering, and then examines the legal architecture of migration in the settler society and considers the insights of critiques of the settler society concept. </w:t>
      </w:r>
      <w:r w:rsidRPr="00087A72">
        <w:rPr>
          <w:rFonts w:cstheme="majorHAnsi"/>
          <w:b/>
          <w:u w:val="single"/>
        </w:rPr>
        <w:t>Settler society</w:t>
      </w:r>
      <w:r w:rsidRPr="00087A72">
        <w:rPr>
          <w:rFonts w:cstheme="majorHAnsi"/>
          <w:sz w:val="16"/>
        </w:rPr>
        <w:t xml:space="preserve"> is not a scientific category. It </w:t>
      </w:r>
      <w:r w:rsidRPr="00087A72">
        <w:rPr>
          <w:rFonts w:cstheme="majorHAnsi"/>
          <w:b/>
          <w:u w:val="single"/>
        </w:rPr>
        <w:t>is an idea with a core of meaning, and considerable slippage around the edges.</w:t>
      </w:r>
      <w:r w:rsidRPr="00087A72">
        <w:rPr>
          <w:rFonts w:cstheme="majorHAnsi"/>
          <w:sz w:val="16"/>
        </w:rPr>
        <w:t xml:space="preserve"> One is just as likely to see the term used by social commentators and politicians as by academics. This low-key omnipresence is part of its importance – it has slipped into everyday discourse. A rigorous definition is not helpful, as my purpose is not to stake out and police boundaries of a certain category. Indeed, some of the work of this book depends on a degree of wobbliness in the concept, on its ability to mean different things at different times or for different people. But it is important to set out the broad parameters of the idea. When a journalist, a politician, or a geographer talks about a settler society, we do know what they mean.1 </w:t>
      </w:r>
      <w:r w:rsidRPr="00087A72">
        <w:rPr>
          <w:rStyle w:val="Emphasis"/>
          <w:rFonts w:cstheme="majorHAnsi"/>
        </w:rPr>
        <w:t>A mythology of immigration is the core of the settler society.</w:t>
      </w:r>
      <w:r w:rsidRPr="00087A72">
        <w:rPr>
          <w:rFonts w:cstheme="majorHAnsi"/>
          <w:b/>
          <w:u w:val="single"/>
        </w:rPr>
        <w:t xml:space="preserve"> Settler societies were built from</w:t>
      </w:r>
      <w:r w:rsidRPr="00087A72">
        <w:rPr>
          <w:rFonts w:cstheme="majorHAnsi"/>
          <w:sz w:val="16"/>
        </w:rPr>
        <w:t xml:space="preserve"> the ground up by </w:t>
      </w:r>
      <w:r w:rsidRPr="00087A72">
        <w:rPr>
          <w:rFonts w:cstheme="majorHAnsi"/>
          <w:b/>
          <w:u w:val="single"/>
        </w:rPr>
        <w:t>people who left European nations and sought</w:t>
      </w:r>
      <w:r w:rsidRPr="00087A72">
        <w:rPr>
          <w:rFonts w:cstheme="majorHAnsi"/>
          <w:sz w:val="16"/>
        </w:rPr>
        <w:t xml:space="preserve"> permanent </w:t>
      </w:r>
      <w:r w:rsidRPr="00087A72">
        <w:rPr>
          <w:rFonts w:cstheme="majorHAnsi"/>
          <w:b/>
          <w:u w:val="single"/>
        </w:rPr>
        <w:t>homes in the New World.</w:t>
      </w:r>
      <w:r w:rsidRPr="00087A72">
        <w:rPr>
          <w:rFonts w:cstheme="majorHAnsi"/>
          <w:sz w:val="16"/>
        </w:rPr>
        <w:t xml:space="preserve"> In an era of colonial empires, settler societies were a distinct chapter in the dominant colonizing narrative. While these were, of course, colonies of European empires, their ostensible “emptiness” distinguished them from colonies in Africa, Asia, and the Indian subcontinent. </w:t>
      </w:r>
      <w:r w:rsidRPr="00087A72">
        <w:rPr>
          <w:rStyle w:val="Emphasis"/>
          <w:rFonts w:cstheme="majorHAnsi"/>
        </w:rPr>
        <w:t>Settler societies were not simply colonized; they were populated</w:t>
      </w:r>
      <w:r w:rsidRPr="00087A72">
        <w:rPr>
          <w:rFonts w:cstheme="majorHAnsi"/>
          <w:sz w:val="16"/>
        </w:rPr>
        <w:t xml:space="preserve"> by Europeans. So complete were these acts of population that the societies came to regard themselves as somehow European. For the settler society, immigration was a nation-building imperative. One of the imprecisions in understanding settler societies turns on whether to draw a distinction between those places where European settlement came to completely dominate and define, and those places where resistance to settlement was more robust, and thus by the early twenty-first century they are no longer completely defined by their settlers. For this reason, Australia, Canada, the United States, and New Zealand are the paradigmatic settler societies. South Africa, Zimbabwe, Mexico, Peru, Israel, Algeria, and others fit more awkwardly into the box. One way to capture this distinction is to consider how the settler society emerges from colonial status. The processes bringing independence to settler societies do not belong to the late-twentieth-century story of decolonization. In the case of the United States, independence was staked out well before the first era of massive global migration. For the other three exemplars, independence was an incremental and amiable process. The ongoing struggles of decolonization are not part of the narrative in either case, and most of the rubric of the post-colonial is inapt. The centrality of immigration mythology has several vital consequences. First among these is that </w:t>
      </w:r>
      <w:r w:rsidRPr="00087A72">
        <w:rPr>
          <w:rFonts w:cstheme="majorHAnsi"/>
          <w:b/>
          <w:u w:val="single"/>
        </w:rPr>
        <w:t>the paradigmatic settler societies</w:t>
      </w:r>
      <w:r w:rsidRPr="00087A72">
        <w:rPr>
          <w:rFonts w:cstheme="majorHAnsi"/>
          <w:sz w:val="16"/>
        </w:rPr>
        <w:t xml:space="preserve">, Canada, Australia, New Zealand, and the United States, </w:t>
      </w:r>
      <w:r w:rsidRPr="00087A72">
        <w:rPr>
          <w:rFonts w:cstheme="majorHAnsi"/>
          <w:b/>
          <w:u w:val="single"/>
        </w:rPr>
        <w:t xml:space="preserve">understand themselves as being nations built through migration. </w:t>
      </w:r>
      <w:r w:rsidRPr="00087A72">
        <w:rPr>
          <w:rFonts w:cstheme="majorHAnsi"/>
          <w:sz w:val="16"/>
        </w:rPr>
        <w:t xml:space="preserve">While this story plays out differently in each of these places, the </w:t>
      </w:r>
      <w:r w:rsidRPr="00087A72">
        <w:rPr>
          <w:rFonts w:cstheme="majorHAnsi"/>
          <w:b/>
          <w:u w:val="single"/>
        </w:rPr>
        <w:t>variations do not disrupt a strong migration core to the story of national identity.</w:t>
      </w:r>
      <w:r w:rsidRPr="00087A72">
        <w:rPr>
          <w:rFonts w:cstheme="majorHAnsi"/>
          <w:sz w:val="16"/>
        </w:rPr>
        <w:t xml:space="preserve"> In the United States the War of Independence and the Civil War are foundational moments but the founders themselves are from else- where. Canada cogitates on the French fact in Quebec, and Australia in its maturity embraces the convict stain. Possibly the greatest variation of the narrative is heard in New Zealand, where the indigenous Maori have been more persistent than original inhabitants in the other three, and thus the mythology of immigration as foundational has been more persistently disrupted. Perhaps this is why, of these four countries, only New Zealand does not have a major national immigration museum.2 There is a certain irony here, of course, as the contemporary prominence of the Maori as compared to indigenous populations elsewhere is partially related to New Zealand’s measured approach to immigration in the early settler colonial period. Aiming to build a “better Britain,” New Zealand focused on migrant purity and thus reduced migrant numbers, and this is a contributing factor to somewhat less complete dominance over the indigenous population.3 Within this group, Canada, Australia, and New Zealand are often selected as the comparator group, and the United States is considered to be the outlier.4 This grouping places the emphasis on colonial history. From my perspective, however, the United States fits squarely in the frame, as my focus is on the place of immigration in national institutions and the contemporary shape of immigration policies and politics. Excluding the United States from this picture amounts to excluding the most powerful example of all. The inter- twining of migration and national identity is part of the settler ethos, and reaches all aspects of the national imagination. </w:t>
      </w:r>
      <w:r w:rsidRPr="00087A72">
        <w:rPr>
          <w:rFonts w:cstheme="majorHAnsi"/>
          <w:b/>
          <w:u w:val="single"/>
        </w:rPr>
        <w:t>This is a key aspect of national identity in the United States</w:t>
      </w:r>
      <w:r w:rsidRPr="00087A72">
        <w:rPr>
          <w:rFonts w:cstheme="majorHAnsi"/>
          <w:sz w:val="16"/>
        </w:rPr>
        <w:t xml:space="preserve">, possibly more strongly embraced than anywhere else on Earth. In each state, </w:t>
      </w:r>
      <w:r w:rsidRPr="00087A72">
        <w:rPr>
          <w:rFonts w:cstheme="majorHAnsi"/>
          <w:b/>
          <w:u w:val="single"/>
        </w:rPr>
        <w:t>this intertwining continues to shape migration policy and politics</w:t>
      </w:r>
      <w:r w:rsidRPr="00087A72">
        <w:rPr>
          <w:rFonts w:cstheme="majorHAnsi"/>
          <w:sz w:val="16"/>
        </w:rPr>
        <w:t xml:space="preserve">. The United States examples of the </w:t>
      </w:r>
      <w:r w:rsidRPr="00087A72">
        <w:rPr>
          <w:rStyle w:val="Emphasis"/>
          <w:rFonts w:cstheme="majorHAnsi"/>
        </w:rPr>
        <w:t>green card lottery and contemporary DREAM Act activism</w:t>
      </w:r>
      <w:r w:rsidRPr="00087A72">
        <w:rPr>
          <w:rFonts w:cstheme="majorHAnsi"/>
          <w:b/>
          <w:u w:val="single"/>
        </w:rPr>
        <w:t xml:space="preserve"> are</w:t>
      </w:r>
      <w:r w:rsidRPr="00087A72">
        <w:rPr>
          <w:rFonts w:cstheme="majorHAnsi"/>
          <w:sz w:val="16"/>
        </w:rPr>
        <w:t xml:space="preserve"> among the most poignant </w:t>
      </w:r>
      <w:r w:rsidRPr="00087A72">
        <w:rPr>
          <w:rFonts w:cstheme="majorHAnsi"/>
          <w:b/>
          <w:u w:val="single"/>
        </w:rPr>
        <w:t>examples.</w:t>
      </w:r>
      <w:r w:rsidRPr="00087A72">
        <w:rPr>
          <w:rFonts w:cstheme="majorHAnsi"/>
          <w:sz w:val="16"/>
        </w:rPr>
        <w:t xml:space="preserve"> Another distinguishing feature of the settler society is that </w:t>
      </w:r>
      <w:r w:rsidRPr="00087A72">
        <w:rPr>
          <w:rFonts w:cstheme="majorHAnsi"/>
          <w:b/>
          <w:u w:val="single"/>
        </w:rPr>
        <w:t xml:space="preserve">the </w:t>
      </w:r>
      <w:r w:rsidRPr="00087A72">
        <w:rPr>
          <w:rStyle w:val="Emphasis"/>
          <w:rFonts w:cstheme="majorHAnsi"/>
        </w:rPr>
        <w:t>mythology of migration has been</w:t>
      </w:r>
      <w:r w:rsidRPr="00087A72">
        <w:rPr>
          <w:rFonts w:cstheme="majorHAnsi"/>
          <w:sz w:val="16"/>
        </w:rPr>
        <w:t xml:space="preserve">, throughout most of these nations’ histories, </w:t>
      </w:r>
      <w:r w:rsidRPr="00087A72">
        <w:rPr>
          <w:rStyle w:val="Emphasis"/>
          <w:rFonts w:cstheme="majorHAnsi"/>
        </w:rPr>
        <w:t xml:space="preserve">translated into a contemporary commitment to ongoing migration. </w:t>
      </w:r>
      <w:r w:rsidRPr="00087A72">
        <w:rPr>
          <w:rFonts w:cstheme="majorHAnsi"/>
          <w:b/>
          <w:u w:val="single"/>
        </w:rPr>
        <w:t>These</w:t>
      </w:r>
      <w:r w:rsidRPr="00087A72">
        <w:rPr>
          <w:rFonts w:cstheme="majorHAnsi"/>
          <w:sz w:val="16"/>
        </w:rPr>
        <w:t xml:space="preserve"> countries </w:t>
      </w:r>
      <w:r w:rsidRPr="00087A72">
        <w:rPr>
          <w:rFonts w:cstheme="majorHAnsi"/>
          <w:b/>
          <w:u w:val="single"/>
        </w:rPr>
        <w:t>were</w:t>
      </w:r>
      <w:r w:rsidRPr="00087A72">
        <w:rPr>
          <w:rFonts w:cstheme="majorHAnsi"/>
          <w:sz w:val="16"/>
        </w:rPr>
        <w:t xml:space="preserve"> the </w:t>
      </w:r>
      <w:r w:rsidRPr="00087A72">
        <w:rPr>
          <w:rFonts w:cstheme="majorHAnsi"/>
          <w:b/>
          <w:u w:val="single"/>
        </w:rPr>
        <w:t xml:space="preserve">predominant recipients of much of the great wave of global migration </w:t>
      </w:r>
      <w:r w:rsidRPr="00087A72">
        <w:rPr>
          <w:rFonts w:cstheme="majorHAnsi"/>
          <w:sz w:val="16"/>
        </w:rPr>
        <w:t xml:space="preserve">that took place </w:t>
      </w:r>
      <w:r w:rsidRPr="00087A72">
        <w:rPr>
          <w:rFonts w:cstheme="majorHAnsi"/>
          <w:b/>
          <w:u w:val="single"/>
        </w:rPr>
        <w:t>between the late 1880s and early 1920s.</w:t>
      </w:r>
      <w:r w:rsidRPr="00087A72">
        <w:rPr>
          <w:rFonts w:cstheme="majorHAnsi"/>
          <w:sz w:val="16"/>
        </w:rPr>
        <w:t xml:space="preserve"> David Held and his co-authors published an analysis comparing the intensity and effects of various phases of global migration and concluded that what they termed the “trans- atlantic surge of 1880 to 1920” was the most intense phase of global migration up to their 1999 publication date. Whether current conditions would exceed that surge on Held’s measurement is unclear.5 While widespread immigration restriction began in earnest in the early decades of the twentieth century, </w:t>
      </w:r>
      <w:r w:rsidRPr="00087A72">
        <w:rPr>
          <w:rFonts w:cstheme="majorHAnsi"/>
          <w:b/>
          <w:u w:val="single"/>
        </w:rPr>
        <w:t xml:space="preserve">these </w:t>
      </w:r>
      <w:r w:rsidRPr="00087A72">
        <w:rPr>
          <w:rStyle w:val="Emphasis"/>
          <w:rFonts w:cstheme="majorHAnsi"/>
        </w:rPr>
        <w:t>states continued to welcome many categories of migrants</w:t>
      </w:r>
      <w:r w:rsidRPr="00087A72">
        <w:rPr>
          <w:rFonts w:cstheme="majorHAnsi"/>
          <w:sz w:val="16"/>
        </w:rPr>
        <w:t xml:space="preserve">. Rather than closing their doors completely, </w:t>
      </w:r>
      <w:r w:rsidRPr="00087A72">
        <w:rPr>
          <w:rFonts w:cstheme="majorHAnsi"/>
          <w:b/>
          <w:u w:val="single"/>
        </w:rPr>
        <w:t xml:space="preserve">they sought </w:t>
      </w:r>
      <w:r w:rsidRPr="00087A72">
        <w:rPr>
          <w:rStyle w:val="Emphasis"/>
          <w:rFonts w:cstheme="majorHAnsi"/>
        </w:rPr>
        <w:t>to organize and control who would enter</w:t>
      </w:r>
      <w:r w:rsidRPr="00087A72">
        <w:rPr>
          <w:rFonts w:cstheme="majorHAnsi"/>
          <w:sz w:val="16"/>
        </w:rPr>
        <w:t xml:space="preserve">. And throughout the twentieth century, at varying points, each sought out particular groups of migrants as a remedy for some social or economic ill. Indeed, even into the second decade of the twenty-first century, Canada, Australia, and New Zealand are actively recruiting migrants in specified categories, and </w:t>
      </w:r>
      <w:r w:rsidRPr="00087A72">
        <w:rPr>
          <w:rFonts w:cstheme="majorHAnsi"/>
          <w:b/>
          <w:u w:val="single"/>
        </w:rPr>
        <w:t>the United States continues to be home to more permanent and temporary migrants than any other nation on earth.</w:t>
      </w:r>
      <w:r w:rsidRPr="00087A72">
        <w:rPr>
          <w:rFonts w:cstheme="majorHAnsi"/>
          <w:sz w:val="16"/>
        </w:rPr>
        <w:t xml:space="preserve">6 The </w:t>
      </w:r>
      <w:r w:rsidRPr="00087A72">
        <w:rPr>
          <w:rFonts w:cstheme="majorHAnsi"/>
          <w:b/>
          <w:u w:val="single"/>
        </w:rPr>
        <w:t>commitment to migration in these states has been deep and ongoing.</w:t>
      </w:r>
      <w:r w:rsidRPr="00087A72">
        <w:rPr>
          <w:rFonts w:cstheme="majorHAnsi"/>
          <w:sz w:val="16"/>
        </w:rPr>
        <w:t xml:space="preserve"> The shared </w:t>
      </w:r>
      <w:r w:rsidRPr="00087A72">
        <w:rPr>
          <w:rStyle w:val="Emphasis"/>
          <w:rFonts w:cstheme="majorHAnsi"/>
        </w:rPr>
        <w:t>mythology of immigration</w:t>
      </w:r>
      <w:r w:rsidRPr="00087A72">
        <w:rPr>
          <w:rFonts w:cstheme="majorHAnsi"/>
          <w:sz w:val="16"/>
        </w:rPr>
        <w:t xml:space="preserve"> also </w:t>
      </w:r>
      <w:r w:rsidRPr="00087A72">
        <w:rPr>
          <w:rStyle w:val="Emphasis"/>
          <w:rFonts w:cstheme="majorHAnsi"/>
        </w:rPr>
        <w:t>serves to mask the savage destruction of indigenous peoples</w:t>
      </w:r>
      <w:r w:rsidRPr="00087A72">
        <w:rPr>
          <w:rFonts w:cstheme="majorHAnsi"/>
          <w:b/>
          <w:u w:val="single"/>
        </w:rPr>
        <w:t xml:space="preserve"> and ways of life that is</w:t>
      </w:r>
      <w:r w:rsidRPr="00087A72">
        <w:rPr>
          <w:rFonts w:cstheme="majorHAnsi"/>
          <w:sz w:val="16"/>
        </w:rPr>
        <w:t xml:space="preserve"> also </w:t>
      </w:r>
      <w:r w:rsidRPr="00087A72">
        <w:rPr>
          <w:rFonts w:cstheme="majorHAnsi"/>
          <w:b/>
          <w:u w:val="single"/>
        </w:rPr>
        <w:t>shared across these nations. The</w:t>
      </w:r>
      <w:r w:rsidRPr="00087A72">
        <w:rPr>
          <w:rFonts w:cstheme="majorHAnsi"/>
          <w:sz w:val="16"/>
        </w:rPr>
        <w:t xml:space="preserve"> very </w:t>
      </w:r>
      <w:r w:rsidRPr="00087A72">
        <w:rPr>
          <w:rFonts w:cstheme="majorHAnsi"/>
          <w:b/>
          <w:u w:val="single"/>
        </w:rPr>
        <w:t>idea of “settlers” suggests that there was a wild land in need of taming</w:t>
      </w:r>
      <w:r w:rsidRPr="00087A72">
        <w:rPr>
          <w:rFonts w:cstheme="majorHAnsi"/>
          <w:sz w:val="16"/>
        </w:rPr>
        <w:t xml:space="preserve">, of settlement. And thus in each of these places </w:t>
      </w:r>
      <w:r w:rsidRPr="00087A72">
        <w:rPr>
          <w:rFonts w:cstheme="majorHAnsi"/>
          <w:b/>
          <w:u w:val="single"/>
        </w:rPr>
        <w:t xml:space="preserve">the </w:t>
      </w:r>
      <w:r w:rsidRPr="00087A72">
        <w:rPr>
          <w:rStyle w:val="Emphasis"/>
          <w:rFonts w:cstheme="majorHAnsi"/>
        </w:rPr>
        <w:t xml:space="preserve">founding mythology has included the intrepid frontiersman battling </w:t>
      </w:r>
      <w:r w:rsidRPr="00087A72">
        <w:rPr>
          <w:rFonts w:cstheme="majorHAnsi"/>
          <w:b/>
          <w:u w:val="single"/>
        </w:rPr>
        <w:t xml:space="preserve">the </w:t>
      </w:r>
      <w:r w:rsidRPr="00087A72">
        <w:rPr>
          <w:rStyle w:val="Emphasis"/>
          <w:rFonts w:cstheme="majorHAnsi"/>
        </w:rPr>
        <w:t>savagery</w:t>
      </w:r>
      <w:r w:rsidRPr="00087A72">
        <w:rPr>
          <w:rFonts w:cstheme="majorHAnsi"/>
          <w:b/>
          <w:u w:val="single"/>
        </w:rPr>
        <w:t xml:space="preserve"> of land and people to transform the place</w:t>
      </w:r>
      <w:r w:rsidRPr="00087A72">
        <w:rPr>
          <w:rFonts w:cstheme="majorHAnsi"/>
          <w:sz w:val="16"/>
        </w:rPr>
        <w:t xml:space="preserve"> into a terrain of fences and measures. And law. The idea of Canada, Australia, or </w:t>
      </w:r>
      <w:r w:rsidRPr="00087A72">
        <w:rPr>
          <w:rStyle w:val="Emphasis"/>
          <w:rFonts w:cstheme="majorHAnsi"/>
        </w:rPr>
        <w:t>the United States being a nation of migration is</w:t>
      </w:r>
      <w:r w:rsidRPr="00087A72">
        <w:rPr>
          <w:rFonts w:cstheme="majorHAnsi"/>
          <w:sz w:val="16"/>
        </w:rPr>
        <w:t xml:space="preserve"> such </w:t>
      </w:r>
      <w:r w:rsidRPr="00087A72">
        <w:rPr>
          <w:rStyle w:val="Emphasis"/>
          <w:rFonts w:cstheme="majorHAnsi"/>
        </w:rPr>
        <w:t>a profound</w:t>
      </w:r>
      <w:r w:rsidRPr="00087A72">
        <w:rPr>
          <w:rFonts w:cstheme="majorHAnsi"/>
          <w:sz w:val="16"/>
        </w:rPr>
        <w:t xml:space="preserve"> and effective </w:t>
      </w:r>
      <w:r w:rsidRPr="00087A72">
        <w:rPr>
          <w:rStyle w:val="Emphasis"/>
          <w:rFonts w:cstheme="majorHAnsi"/>
        </w:rPr>
        <w:t>silencer of the trajectory of indigenous life</w:t>
      </w:r>
      <w:r w:rsidRPr="00087A72">
        <w:rPr>
          <w:rFonts w:cstheme="majorHAnsi"/>
          <w:b/>
          <w:u w:val="single"/>
        </w:rPr>
        <w:t xml:space="preserve"> that it is deeply challenging to bring indigenous peoples into a story</w:t>
      </w:r>
      <w:r w:rsidRPr="00087A72">
        <w:rPr>
          <w:rFonts w:cstheme="majorHAnsi"/>
          <w:sz w:val="16"/>
        </w:rPr>
        <w:t xml:space="preserve"> of the immigrant nation. </w:t>
      </w:r>
      <w:r w:rsidRPr="00087A72">
        <w:rPr>
          <w:rFonts w:cstheme="majorHAnsi"/>
          <w:b/>
          <w:u w:val="single"/>
        </w:rPr>
        <w:t>While contemporary social justice politics</w:t>
      </w:r>
      <w:r w:rsidRPr="00087A72">
        <w:rPr>
          <w:rFonts w:cstheme="majorHAnsi"/>
          <w:sz w:val="16"/>
        </w:rPr>
        <w:t xml:space="preserve"> often </w:t>
      </w:r>
      <w:r w:rsidRPr="00087A72">
        <w:rPr>
          <w:rFonts w:cstheme="majorHAnsi"/>
          <w:b/>
          <w:u w:val="single"/>
        </w:rPr>
        <w:t>sees allegiances between</w:t>
      </w:r>
      <w:r w:rsidRPr="00087A72">
        <w:rPr>
          <w:rFonts w:cstheme="majorHAnsi"/>
          <w:sz w:val="16"/>
        </w:rPr>
        <w:t xml:space="preserve"> new </w:t>
      </w:r>
      <w:r w:rsidRPr="00087A72">
        <w:rPr>
          <w:rFonts w:cstheme="majorHAnsi"/>
          <w:b/>
          <w:u w:val="single"/>
        </w:rPr>
        <w:t>migrants and indigenous peoples</w:t>
      </w:r>
      <w:r w:rsidRPr="00087A72">
        <w:rPr>
          <w:rFonts w:cstheme="majorHAnsi"/>
          <w:sz w:val="16"/>
        </w:rPr>
        <w:t xml:space="preserve"> as those at the margins of these societies, the </w:t>
      </w:r>
      <w:r w:rsidRPr="00087A72">
        <w:rPr>
          <w:rFonts w:cstheme="majorHAnsi"/>
          <w:b/>
          <w:u w:val="single"/>
        </w:rPr>
        <w:t xml:space="preserve">claims of these groups are not articulated in the same terms, and </w:t>
      </w:r>
      <w:r w:rsidRPr="00087A72">
        <w:rPr>
          <w:rFonts w:cstheme="majorHAnsi"/>
          <w:sz w:val="16"/>
        </w:rPr>
        <w:t xml:space="preserve">the </w:t>
      </w:r>
      <w:r w:rsidRPr="00087A72">
        <w:rPr>
          <w:rFonts w:cstheme="majorHAnsi"/>
          <w:b/>
          <w:u w:val="single"/>
        </w:rPr>
        <w:t>allegiance rarely reaches the level of shared demands or joint manifestos</w:t>
      </w:r>
      <w:r w:rsidRPr="00087A72">
        <w:rPr>
          <w:rFonts w:cstheme="majorHAnsi"/>
          <w:sz w:val="16"/>
        </w:rPr>
        <w:t xml:space="preserve">. Indeed, it is the reality that these states are nations of immigrants that is the most damaging fact to be overcome in the struggle for indigenous justice and social inclusion. </w:t>
      </w:r>
      <w:r w:rsidRPr="00087A72">
        <w:rPr>
          <w:rFonts w:cstheme="majorHAnsi"/>
          <w:b/>
          <w:u w:val="single"/>
        </w:rPr>
        <w:t>Settler societies share this past and present trajectory.</w:t>
      </w:r>
      <w:r w:rsidRPr="00087A72">
        <w:rPr>
          <w:rFonts w:cstheme="majorHAnsi"/>
          <w:sz w:val="16"/>
        </w:rPr>
        <w:t xml:space="preserve"> The idea that there can be such a thing as </w:t>
      </w:r>
      <w:r w:rsidRPr="00087A72">
        <w:rPr>
          <w:rStyle w:val="Emphasis"/>
          <w:rFonts w:cstheme="majorHAnsi"/>
        </w:rPr>
        <w:t>a “nation of immigration” has become commonplace</w:t>
      </w:r>
      <w:r w:rsidRPr="00087A72">
        <w:rPr>
          <w:rFonts w:cstheme="majorHAnsi"/>
          <w:sz w:val="16"/>
        </w:rPr>
        <w:t>. It structures the way we think about immigration, the way we regulate it, and the way we study it. Understanding how this is so is, therefore, key to seeing why the end of settler societies matters. This chapter now takes up each of these ideas in turn, situating the settler society in immigration thought, regulation, and critique.</w:t>
      </w:r>
    </w:p>
    <w:p w:rsidR="003373E6" w:rsidRPr="00087A72" w:rsidRDefault="003373E6" w:rsidP="003373E6">
      <w:pPr>
        <w:pStyle w:val="Heading4"/>
      </w:pPr>
      <w:r w:rsidRPr="00087A72">
        <w:t>The affirmative’s theorization of toxicity and animacy relies upon an anti-Native secular foundation which must deny personhood to “inanimate” objects. This logic inevitably recreates not simply the non-humanity, but the non-animacy of Native bodies, justifying genocide.</w:t>
      </w:r>
    </w:p>
    <w:p w:rsidR="003373E6" w:rsidRPr="00087A72" w:rsidRDefault="003373E6" w:rsidP="003373E6">
      <w:r w:rsidRPr="00087A72">
        <w:rPr>
          <w:rStyle w:val="Style13ptBold"/>
        </w:rPr>
        <w:t>Johnson 17</w:t>
      </w:r>
      <w:r w:rsidRPr="00087A72">
        <w:t xml:space="preserve"> (Brittany, Research Assistant at the Alberta Centre for Child, Family &amp; Community Research and Graduate Student at the University of Alberta “Indigenous Relationality: Women, Sex, and The Animate,” pp. 9-13) NIJ</w:t>
      </w:r>
    </w:p>
    <w:p w:rsidR="003373E6" w:rsidRPr="00087A72" w:rsidRDefault="003373E6" w:rsidP="003373E6">
      <w:pPr>
        <w:rPr>
          <w:sz w:val="12"/>
        </w:rPr>
      </w:pPr>
      <w:r w:rsidRPr="00087A72">
        <w:rPr>
          <w:rStyle w:val="StyleUnderline"/>
        </w:rPr>
        <w:t>If you are unable to embrace your sexual, relational self, unable to identify as a sexual being or to celebrate relationality—as Indigenous women’s personhood was removed historically, and continues to be ignored—then the idea of Indigenous female sexuality becomes queer in and of itself; the queerness of Indigenous female sexuality includes all those who identify as women, but as I discuss, it is important to understand that my use of the term “queer” is not only based on Two Spirit or other gender-queer sexualities.</w:t>
      </w:r>
      <w:r w:rsidRPr="00087A72">
        <w:rPr>
          <w:sz w:val="12"/>
        </w:rPr>
        <w:t xml:space="preserve"> In the introduction of Queering the Non/Human, Noreen Giffney and Myra Hird discuss what exactly it means to be human, and what it means in relationship with the terms “queer” and “theory.” They say that using </w:t>
      </w:r>
      <w:r w:rsidRPr="00087A72">
        <w:rPr>
          <w:rStyle w:val="StyleUnderline"/>
        </w:rPr>
        <w:t>the term “queer” is “a concerted effort to make sense of, and make space in, a world that has given up on us”</w:t>
      </w:r>
      <w:r w:rsidRPr="00087A72">
        <w:rPr>
          <w:sz w:val="12"/>
        </w:rPr>
        <w:t xml:space="preserve"> (4). </w:t>
      </w:r>
      <w:r w:rsidRPr="00087A72">
        <w:rPr>
          <w:rStyle w:val="StyleUnderline"/>
        </w:rPr>
        <w:t>From an Indigenous perspective, the “world that has given up on us” has additionally marginalized Indigenous “queer” persons, and the very term “queer” itself may not be the best term for an Indigenous understanding of non-heteronormative sexualities, as the very act of Indigenous persons having sexualities is queer: how can a person without the political and human status of a person have sexuality without being viewed as deviant, as, in fact, queer? If this person has relations with the same sex, in a multi/more-than-sexual orgy, with an other-thanhuman being, how much more queer and unaccepted is their form of relating?</w:t>
      </w:r>
      <w:r w:rsidRPr="00087A72">
        <w:rPr>
          <w:sz w:val="12"/>
        </w:rPr>
        <w:t xml:space="preserve"> Giffney and Hird state that “how we do queer theory invoke[s] considerations of what we do with queer theory” (12). Throughout my thesis, I subvert expected modes of engaging with queer theory; this unexpected use of queer theory in turn informs what it is I do with this different approach to queer theory: it is not so much a methodology “to unpick binaries and reread gaps, silences and in-between spaces” (5), but is rather a queering of that which is considered to be queer, a challenging of those spaces and places that are not discussed in much of queer theory, a challenging of the personhood and animacy of what we do with queer theory. In my understanding, queer theory is always changing and fluctuating, and there is a necessary space for specifically Indigenous queer theory that is not predicated on Two-Spirit critique alone. </w:t>
      </w:r>
      <w:r w:rsidRPr="00087A72">
        <w:rPr>
          <w:rStyle w:val="StyleUnderline"/>
        </w:rPr>
        <w:t>To make use of queer theory in an Indigenous sense, we must make sure that we do queer theory from within an Indigenous framework. The link between queer and theory “is not so much an active/passive relation as an intra-active one; their enfolding an act of ‘becoming-otherwise’”</w:t>
      </w:r>
      <w:r w:rsidRPr="00087A72">
        <w:rPr>
          <w:sz w:val="12"/>
        </w:rPr>
        <w:t xml:space="preserve"> (12). </w:t>
      </w:r>
      <w:r w:rsidRPr="00087A72">
        <w:rPr>
          <w:rStyle w:val="StyleUnderline"/>
        </w:rPr>
        <w:t>Through an Indigenous understanding of relationality, the “becoming-otherwise” is a becoming-person, a struggle to maintain our inter-relations within a suffocating settler sexuality; to become-person when your personhood has been so far removed is an act of decolonization, and is a queering of the settler sexuality that has been imposed. To become-person is to become animate, is to come alive.</w:t>
      </w:r>
      <w:r w:rsidRPr="00087A72">
        <w:rPr>
          <w:sz w:val="12"/>
        </w:rPr>
        <w:t xml:space="preserve"> In essence, </w:t>
      </w:r>
      <w:r w:rsidRPr="00087A72">
        <w:rPr>
          <w:rStyle w:val="StyleUnderline"/>
        </w:rPr>
        <w:t>for someone who is Indigenous to not only claim the status of “human” but to also become a “person” is a queer act in and of itself; to become animate is to defy the objectivity of settler colonial views of what it means to be “Indigenous.” Animacy</w:t>
      </w:r>
      <w:r w:rsidRPr="00087A72">
        <w:rPr>
          <w:sz w:val="12"/>
        </w:rPr>
        <w:t xml:space="preserve">, in one Indigenous understanding, </w:t>
      </w:r>
      <w:r w:rsidRPr="00087A72">
        <w:rPr>
          <w:rStyle w:val="StyleUnderline"/>
        </w:rPr>
        <w:t>is deeply embedded in our cultural traditions and in our life experiences. It is not simply a theory; it is a tangible way of understanding the world around us</w:t>
      </w:r>
      <w:r w:rsidRPr="00087A72">
        <w:rPr>
          <w:sz w:val="12"/>
        </w:rPr>
        <w:t xml:space="preserve"> and is a defensible translation of key understandings within wâhkôhtowin, a term that I will discuss in greater detail throughout. Wâhkôhtowin, as described by nehiyaw writer and scholar Neal McLeod in Cree Narrative Memory, not only grounds our collective memory, but also necessarily points to the importance of our relationships with the entirety of creation (14). Wâhkôhtowin “keeps narrative memory grounded and embedded within an individual’s life stories. It also grounds the transmission of Cree narrative memory: people tell stories to other people who are part of the stories and who assume the moral responsibility to remember” (15, italicization mine). Part of being connected to each other through an understanding of wâhkôhtowin is having not only the ability to define our world and our relationships via oral accounts and stories as we have since time immemorial, but also the responsibility to remember. If we do not remember the words of our ancestors, what will we be left with? If we do not learn our ancestral languages and the teachings embedded within the very words themselves, how can we say that we are working to decolonize the colonial systems of thought and knowledge transmission in which we find ourselves trapped? How can we remember that which we do not actively seek to understand and then pass on to others so that they too can remember? </w:t>
      </w:r>
      <w:r w:rsidRPr="00087A72">
        <w:rPr>
          <w:rStyle w:val="StyleUnderline"/>
        </w:rPr>
        <w:t>According to Mel Chen, animacy is “a specific kind of affective and material construct that is not only nonneutral in relation to animals, humans, and living and dead things, but is shaped by race and sexuality, mapping various biopolitical realizations of animacy”</w:t>
      </w:r>
      <w:r w:rsidRPr="00087A72">
        <w:rPr>
          <w:sz w:val="12"/>
        </w:rPr>
        <w:t xml:space="preserve"> (5). </w:t>
      </w:r>
      <w:r w:rsidRPr="00087A72">
        <w:rPr>
          <w:rStyle w:val="StyleUnderline"/>
        </w:rPr>
        <w:t>I agree with Chen that culture and society work to shape animacy, however, language and its relation to the concept of “animacy” seems to be left out of Chen’s understanding; animacy is, in and of itself, animate. If I am to understand animacy as being merely an affective and material construct</w:t>
      </w:r>
      <w:r w:rsidRPr="00087A72">
        <w:rPr>
          <w:sz w:val="12"/>
        </w:rPr>
        <w:t>—a construct through which I discuss wâhkôhtowin—</w:t>
      </w:r>
      <w:r w:rsidRPr="00087A72">
        <w:rPr>
          <w:rStyle w:val="StyleUnderline"/>
        </w:rPr>
        <w:t>then I am not truly taking an Indigenous approach to animacy; our approaches to animacy are non-static and include more than just that which is seen and that which is unseen.</w:t>
      </w:r>
      <w:r w:rsidRPr="00087A72">
        <w:rPr>
          <w:sz w:val="12"/>
        </w:rPr>
        <w:t xml:space="preserve"> Moreover, this approach must incorporate Indigenous languages (nehiyawewin, in this case). </w:t>
      </w:r>
      <w:r w:rsidRPr="00087A72">
        <w:rPr>
          <w:rStyle w:val="StyleUnderline"/>
        </w:rPr>
        <w:t>Throughout Chen’s text I find that there is a missing discussion of the other-than-animal, non-bodied, or the unseen</w:t>
      </w:r>
      <w:r w:rsidRPr="00087A72">
        <w:rPr>
          <w:sz w:val="12"/>
        </w:rPr>
        <w:t xml:space="preserve">; all of which are a part of wâhkôhtowin, </w:t>
      </w:r>
      <w:r w:rsidRPr="00087A72">
        <w:rPr>
          <w:rStyle w:val="StyleUnderline"/>
        </w:rPr>
        <w:t>a part of the animate world, albeit in different forms and different (non)bodies and the unseen.</w:t>
      </w:r>
      <w:r w:rsidRPr="00087A72">
        <w:rPr>
          <w:sz w:val="12"/>
        </w:rPr>
        <w:t xml:space="preserve"> In one section of their text, </w:t>
      </w:r>
      <w:r w:rsidRPr="00087A72">
        <w:rPr>
          <w:rStyle w:val="Emphasis"/>
        </w:rPr>
        <w:t>Chen talks about toxicity, stating that toxicity is “a condition, one that is too complex to imagine as a property of one or another individual or group or something that could itself be so easily bounded”</w:t>
      </w:r>
      <w:r w:rsidRPr="00087A72">
        <w:rPr>
          <w:sz w:val="12"/>
        </w:rPr>
        <w:t xml:space="preserve"> (196). </w:t>
      </w:r>
      <w:r w:rsidRPr="00087A72">
        <w:rPr>
          <w:rStyle w:val="StyleUnderline"/>
        </w:rPr>
        <w:t xml:space="preserve">Essentially, toxicity is not animate or inanimate, but is rather a condition of (in)animate bodies joining together. Chen goes on to discuss how when a toxin comes into our bodily system, it can have negative affects such as changing the way we think, act, and feel; essentially, to be intoxicated is to experience change in our selves. </w:t>
      </w:r>
      <w:r w:rsidRPr="00087A72">
        <w:rPr>
          <w:rStyle w:val="Emphasis"/>
        </w:rPr>
        <w:t>While this discussion of toxicity begins to get at the unseen or the (non)bodied that I mention, what I find missing from this discussion is that which is not microscopic or tangible/measurable: that which is spirit, is part of dreams, is relational.</w:t>
      </w:r>
      <w:r w:rsidRPr="00087A72">
        <w:rPr>
          <w:sz w:val="12"/>
        </w:rPr>
        <w:t xml:space="preserve"> </w:t>
      </w:r>
      <w:r w:rsidRPr="00087A72">
        <w:rPr>
          <w:rStyle w:val="StyleUnderline"/>
        </w:rPr>
        <w:t>A large part of the colonization of these relations is done using the language of the colonizers, as in English, “the only way to be animate, to be worthy of respect and moral concern, is to be a human”</w:t>
      </w:r>
      <w:r w:rsidRPr="00087A72">
        <w:rPr>
          <w:sz w:val="12"/>
        </w:rPr>
        <w:t xml:space="preserve"> (Kimmerer 57). </w:t>
      </w:r>
      <w:r w:rsidRPr="00087A72">
        <w:rPr>
          <w:rStyle w:val="Emphasis"/>
        </w:rPr>
        <w:t xml:space="preserve">Discussing other-than-humans—which is understood as animal, vegetable, mineral, more or less—as non-persons is particularly troubling in that not discussing those Nations or persons that do not belong to a colonial understanding of what each other-than-human category means leaves out a large part of what could be understood </w:t>
      </w:r>
      <w:r w:rsidRPr="00087A72">
        <w:rPr>
          <w:sz w:val="12"/>
        </w:rPr>
        <w:t xml:space="preserve">through the lens of wâhkôhtowin </w:t>
      </w:r>
      <w:r w:rsidRPr="00087A72">
        <w:rPr>
          <w:rStyle w:val="Emphasis"/>
        </w:rPr>
        <w:t>as animate.</w:t>
      </w:r>
      <w:r w:rsidRPr="00087A72">
        <w:rPr>
          <w:sz w:val="12"/>
        </w:rPr>
        <w:t xml:space="preserve"> </w:t>
      </w:r>
      <w:r w:rsidRPr="00087A72">
        <w:rPr>
          <w:rStyle w:val="StyleUnderline"/>
        </w:rPr>
        <w:t>Without meaning to, such non-Indigenous understandings can be seen</w:t>
      </w:r>
      <w:r w:rsidRPr="00087A72">
        <w:rPr>
          <w:sz w:val="12"/>
        </w:rPr>
        <w:t xml:space="preserve"> in a nehiyaw worldview </w:t>
      </w:r>
      <w:r w:rsidRPr="00087A72">
        <w:rPr>
          <w:rStyle w:val="StyleUnderline"/>
        </w:rPr>
        <w:t>as essentially denigrating these relations; they are de-personed. I choose to use the word de-personed because other-than-human, otherthan-animal, (non)bodied, or the unseen are all persons, and so to invoke the idea of non-human can be seen as diminishing their existence.</w:t>
      </w:r>
      <w:r w:rsidRPr="00087A72">
        <w:rPr>
          <w:sz w:val="12"/>
        </w:rPr>
        <w:t xml:space="preserve"> This diminishing is directly connected to the idea of dehumanization, a term which is also problematic, but I include it here due to my discussion of Chen’s work. </w:t>
      </w:r>
      <w:r w:rsidRPr="00087A72">
        <w:rPr>
          <w:rStyle w:val="StyleUnderline"/>
        </w:rPr>
        <w:t>Chen says, “One form of what is understood as dehumanization involves the removal of qualities especially cherished as human; at other times, dehumanization involves the more active making of an object”</w:t>
      </w:r>
      <w:r w:rsidRPr="00087A72">
        <w:rPr>
          <w:sz w:val="12"/>
        </w:rPr>
        <w:t xml:space="preserve"> (43). </w:t>
      </w:r>
      <w:r w:rsidRPr="00087A72">
        <w:rPr>
          <w:rStyle w:val="StyleUnderline"/>
        </w:rPr>
        <w:t xml:space="preserve">If we take away those qualities that are supposedly only human, then what we are left with is “animal” or a being with other-than-human qualities devoid of, or with lesser, value. We do a disservice to our relations when we categorize them via colonial understandings of humanness rather than seeing them as persons; each person has unique qualities that should be honoured and respected through their place and space within relationality, within community. What do we make then of Indigenous bodies, Indigenous persons, when these bodies are not only not human, they are also not persons? Indigenous bodies and persons have been “dehumanized” under colonial structures of Indigenous subjugation but they have also been de-personed; their bodies and personhood were viewed not as human—a category held in the highest regard—but as animalistic, which is a negative label under heteronormative colonial thinking. Under this same line of thinking, Indigenous bodies and persons were viewed as objects in the making of the terms such as the “drunken Indian,” “dirty half-breed,” and “noble savage”; they were viewed as inanimate. </w:t>
      </w:r>
      <w:r w:rsidRPr="00087A72">
        <w:rPr>
          <w:sz w:val="12"/>
        </w:rPr>
        <w:t xml:space="preserve">According to Saulteaux/Métis scholar Janice Acoose, </w:t>
      </w:r>
      <w:r w:rsidRPr="00087A72">
        <w:rPr>
          <w:rStyle w:val="StyleUnderline"/>
        </w:rPr>
        <w:t xml:space="preserve">Indigenous women have long been considered that which is to be objectified, dehumanized, and made into objects to be acted upon, all which is structured into the ways in which western society views the Indigenous female body: </w:t>
      </w:r>
      <w:r w:rsidRPr="00087A72">
        <w:rPr>
          <w:sz w:val="12"/>
        </w:rPr>
        <w:t xml:space="preserve">most often, as the “squaw” (37). To build on this, </w:t>
      </w:r>
      <w:r w:rsidRPr="00087A72">
        <w:rPr>
          <w:rStyle w:val="StyleUnderline"/>
        </w:rPr>
        <w:t>Indigenous bodies were first stripped of human qualities: dehumanized, and then depersoned.</w:t>
      </w:r>
      <w:r w:rsidRPr="00087A72">
        <w:rPr>
          <w:sz w:val="12"/>
        </w:rPr>
        <w:t xml:space="preserve"> Potawatomi scholar and writer Robin Kimmerer eloquently describes the “grammar of animacy.” She writes: </w:t>
      </w:r>
      <w:r w:rsidRPr="00087A72">
        <w:rPr>
          <w:rStyle w:val="StyleUnderline"/>
        </w:rPr>
        <w:t>This is the grammar of animacy</w:t>
      </w:r>
      <w:r w:rsidRPr="00087A72">
        <w:rPr>
          <w:sz w:val="12"/>
        </w:rPr>
        <w:t xml:space="preserve">…In English, </w:t>
      </w:r>
      <w:r w:rsidRPr="00087A72">
        <w:rPr>
          <w:rStyle w:val="StyleUnderline"/>
        </w:rPr>
        <w:t>we never refer to a member of our family, or indeed to any person, as it. That would be a profound act of disrespect. It robs a person of selfhood and kinship, reducing a person to a mere thing. So it is that in Potawatomi and most other indigenous languages, we use the same words to address the living world as we would use for our family. Because they are our family.</w:t>
      </w:r>
      <w:r w:rsidRPr="00087A72">
        <w:rPr>
          <w:sz w:val="12"/>
        </w:rPr>
        <w:t xml:space="preserve"> (55) This statement is as true in nehiyawewin as it is in Potawatomi: we address all of our relations as family, as connections, as animate beings deserving of personhood. So too do we understand language itself as being animate.</w:t>
      </w:r>
    </w:p>
    <w:p w:rsidR="0004585D" w:rsidRPr="00087A72" w:rsidRDefault="0004585D" w:rsidP="0004585D">
      <w:pPr>
        <w:pStyle w:val="Heading4"/>
      </w:pPr>
      <w:r w:rsidRPr="00087A72">
        <w:t>Settler colonialism turns any impact calculus because how you understand value and ethical calculus are all ontologically dependent on Native genocide. The genocide of the Native clears the way for intra-Settler discussions of ethical value. To be alive is to stand upon this Indian burial ground we call the world—to be alive is to be unethical.</w:t>
      </w:r>
    </w:p>
    <w:p w:rsidR="0004585D" w:rsidRPr="00087A72" w:rsidRDefault="0004585D" w:rsidP="0004585D">
      <w:r w:rsidRPr="00087A72">
        <w:rPr>
          <w:rStyle w:val="Style13ptBold"/>
        </w:rPr>
        <w:t>Wilderson 10</w:t>
      </w:r>
      <w:r w:rsidRPr="00087A72">
        <w:t xml:space="preserve"> (Frank, Full Professor of Drama and African American studies at the University of California, Irvine </w:t>
      </w:r>
      <w:r w:rsidRPr="00087A72">
        <w:rPr>
          <w:i/>
        </w:rPr>
        <w:t>Red, White, and Black: Cinema and the Structure of U.S. Antagonisms</w:t>
      </w:r>
      <w:r w:rsidRPr="00087A72">
        <w:t xml:space="preserve"> pp. 214-220) NIJ</w:t>
      </w:r>
    </w:p>
    <w:p w:rsidR="0004585D" w:rsidRPr="00087A72" w:rsidRDefault="0004585D" w:rsidP="0004585D">
      <w:pPr>
        <w:rPr>
          <w:sz w:val="12"/>
        </w:rPr>
      </w:pPr>
      <w:r w:rsidRPr="00087A72">
        <w:rPr>
          <w:rStyle w:val="StyleUnderline"/>
        </w:rPr>
        <w:t>Mogie’s surrealist demand, “send me a big…fat woman …[to] cover up all the cracks in my shack,” goes to the heart of the matter.</w:t>
      </w:r>
      <w:r w:rsidRPr="00087A72">
        <w:rPr>
          <w:sz w:val="12"/>
        </w:rPr>
        <w:t xml:space="preserve"> </w:t>
      </w:r>
      <w:r w:rsidRPr="00087A72">
        <w:rPr>
          <w:rStyle w:val="Emphasis"/>
        </w:rPr>
        <w:t xml:space="preserve">Red flesh can only be restored, ethically, through the destruction of White bodies, because the corporeality of the indigenous has been consumed by and gone into the making of the Settler’s corporeality. Mogie wants what he has lost; not just his labor power, not just his language or land, but the raw material of his flesh. And, like most “grassroots Indians,” he knows precisely where it went—into the Settler’s “body”—and thus he knows precisely from where to repossess it. </w:t>
      </w:r>
      <w:r w:rsidRPr="00087A72">
        <w:rPr>
          <w:sz w:val="12"/>
        </w:rPr>
        <w:t xml:space="preserve">Though Mogie’s shack is small, we know from earlier scenes that it has at least two rooms. Therefore, </w:t>
      </w:r>
      <w:r w:rsidRPr="00087A72">
        <w:rPr>
          <w:rStyle w:val="StyleUnderline"/>
        </w:rPr>
        <w:t>to stretch a White woman across its interior, window-to-window, wall-to-wall, corner-to-corner, and then stretch her across the door, would be to reconfigure her body into grotesque and unrecognizable dimensions. There are serious doubts as to whether a White woman</w:t>
      </w:r>
      <w:r w:rsidRPr="00087A72">
        <w:rPr>
          <w:sz w:val="12"/>
        </w:rPr>
        <w:t xml:space="preserve">, even as large a White woman as Mogie Yellow Lodge is demanding from the President, “the Great White Father in Washington,” </w:t>
      </w:r>
      <w:r w:rsidRPr="00087A72">
        <w:rPr>
          <w:rStyle w:val="StyleUnderline"/>
        </w:rPr>
        <w:t>would survive such an ordeal. Imagine such a demand being made, such wallpapering taking place, en mass</w:t>
      </w:r>
      <w:r w:rsidRPr="00087A72">
        <w:rPr>
          <w:sz w:val="12"/>
        </w:rPr>
        <w:t xml:space="preserve">, on a scale which even Mogie’s inebriated imagination has not yet grasped. [General Andrew Jackson] instructed his troops to cut the noses of the corpses so that no one would be able to challenge the body count. They had bushel baskets full of noses that they brought back. This [practice] got him elected President. [He] campaigned on the basis that he had never met a recalcitrant Indian that he had not killed and never killed an Indian that he had not scalped and that anybody who wanted to question the validity of what he was saying was invited to tea in his parlor that evening so he could display the scalps and prove his point. [He] rode with a saddle bridle made out of the skin of an opposing Indian leader. This is the President of the United States. (Churchill: Book Tour Speech July 31, 2004) </w:t>
      </w:r>
      <w:r w:rsidRPr="00087A72">
        <w:rPr>
          <w:rStyle w:val="StyleUnderline"/>
        </w:rPr>
        <w:t>One begins to see how wallpapering or insulating one’s room not with “bushel baskets” of White female skin but with even one White woman is simply out of the question. Mogie’s demand, then, is laughed off—managed, constrained, marginalized—by the script.</w:t>
      </w:r>
      <w:r w:rsidRPr="00087A72">
        <w:rPr>
          <w:sz w:val="12"/>
        </w:rPr>
        <w:t xml:space="preserve"> “Hey, ya wanna see me piss in my pants?” are the words he is made to utter next. Words portrayed as the surreal ruminations of an Indian who has reached the end of his inebriated tether, and not as the wisdom of a man who could lead his people. </w:t>
      </w:r>
      <w:r w:rsidRPr="00087A72">
        <w:rPr>
          <w:rStyle w:val="Emphasis"/>
        </w:rPr>
        <w:t xml:space="preserve">The film is nervous in the face of Mogie’s demand not because of its absurdity but because of its authority. But Mogie is demanding no more of the Great White Father, no more of civil society, than he has already given. In fact, he is demanding less. </w:t>
      </w:r>
      <w:r w:rsidRPr="00087A72">
        <w:rPr>
          <w:sz w:val="12"/>
        </w:rPr>
        <w:t xml:space="preserve">His surrealism indicates a qualitatively similar ontological relationship between the Red and the White as exists between the Black and the White. The Middle Passage turns, for example, Ashanti spatial and temporal capacity into spatial and temporal incapacity—a body into flesh. This process begins as early as the 1200s for the Slave. lxxvi </w:t>
      </w:r>
      <w:r w:rsidRPr="00087A72">
        <w:rPr>
          <w:rStyle w:val="StyleUnderline"/>
        </w:rPr>
        <w:t>By the 1530s, Modernity is more self-conscious of its coordinates, and Whiteness begins its ontological consolidation and negative knowledge of itself by turning</w:t>
      </w:r>
      <w:r w:rsidRPr="00087A72">
        <w:rPr>
          <w:sz w:val="12"/>
        </w:rPr>
        <w:t xml:space="preserve"> (part of) </w:t>
      </w:r>
      <w:r w:rsidRPr="00087A72">
        <w:rPr>
          <w:rStyle w:val="StyleUnderline"/>
        </w:rPr>
        <w:t>the Aztec body</w:t>
      </w:r>
      <w:r w:rsidRPr="00087A72">
        <w:rPr>
          <w:sz w:val="12"/>
        </w:rPr>
        <w:t xml:space="preserve">, for example, </w:t>
      </w:r>
      <w:r w:rsidRPr="00087A72">
        <w:rPr>
          <w:rStyle w:val="StyleUnderline"/>
        </w:rPr>
        <w:t>into Indian flesh</w:t>
      </w:r>
      <w:r w:rsidRPr="00087A72">
        <w:rPr>
          <w:sz w:val="12"/>
        </w:rPr>
        <w:t xml:space="preserve"> (Judy (Dis)Forming the American Canon 81). </w:t>
      </w:r>
      <w:r w:rsidRPr="00087A72">
        <w:rPr>
          <w:rStyle w:val="StyleUnderline"/>
        </w:rPr>
        <w:t xml:space="preserve">In this moment the White body completes itself and proceeds to lay the groundwork for the intra-Settler ensemble of questions foundational to its ethical dilemmas (i.e., Marxism, feminism, psychoanalysis). In the final analysis, Settler ontology is guaranteed by way of a negative knowledge of what it is not, rather than by way of its positive claims of what it is. Ontological Whiteness is secured not through its cultural, economic, or gendered identities; but by the fact that it cannot be known (positioned) by genocide </w:t>
      </w:r>
      <w:r w:rsidRPr="00087A72">
        <w:rPr>
          <w:sz w:val="12"/>
        </w:rPr>
        <w:t xml:space="preserve">(or by Accumulation and Fungibility). </w:t>
      </w:r>
      <w:r w:rsidRPr="00087A72">
        <w:rPr>
          <w:rStyle w:val="StyleUnderline"/>
        </w:rPr>
        <w:t xml:space="preserve">This negative knowledge has its pleasures… </w:t>
      </w:r>
      <w:r w:rsidRPr="00087A72">
        <w:rPr>
          <w:sz w:val="12"/>
        </w:rPr>
        <w:t xml:space="preserve">[Unlike Jackson’s army of the early 19 th century, the 16 th century Dutch] didn’t take the noses and they didn’t take the scalps. They took whole heads because they wanted to identify the fact that they had eradicated the entire leadership of the opposition. They brought the heads back to the central square in New Amsterdam [now Manhattan] where the citizenry began to celebrate. They turned it into a sport. People who had participated in the expedition had themselves a jolly game of kick ball using the heads and the citizenry sat around and cheered…(Churchill 7/31/04) </w:t>
      </w:r>
      <w:r w:rsidRPr="00087A72">
        <w:rPr>
          <w:rStyle w:val="StyleUnderline"/>
        </w:rPr>
        <w:t xml:space="preserve">…has a sense of affilial inclusion and filial longevity… </w:t>
      </w:r>
      <w:r w:rsidRPr="00087A72">
        <w:rPr>
          <w:sz w:val="12"/>
        </w:rPr>
        <w:t xml:space="preserve">[In 1864, the 3 rd Regiment of the U.S. Calvary] returned to Denver [Colorado] with their trophies [the vaginas of Native American women stapled to the front of their hats] and held a triumphal parade. [They] proceeded down Larimore Street…and the good citizenry stood up and cheered wildly...[T]he Rocky Mountain News [described it as] “an unparalleled feat of martial prowess that would live forever in the annals of the history and nobility of the race.” (7/31/04) </w:t>
      </w:r>
      <w:r w:rsidRPr="00087A72">
        <w:rPr>
          <w:rStyle w:val="StyleUnderline"/>
        </w:rPr>
        <w:t xml:space="preserve">…has a capacity for territorial integrity… </w:t>
      </w:r>
      <w:r w:rsidRPr="00087A72">
        <w:rPr>
          <w:sz w:val="12"/>
        </w:rPr>
        <w:t xml:space="preserve">Scalp bounties…were officially claimed bounties that were placed on Indians in every antecedent colony in the Eastern Seaboard—French, English, and Spanish. I don’t know about the Dutch. They killed all the Indians around before they had the chance to need a bounty. But from the antecedent colonies this law transferred to every state and territory in forty-eight contiguous states. (7/31/04) </w:t>
      </w:r>
      <w:r w:rsidRPr="00087A72">
        <w:rPr>
          <w:rStyle w:val="StyleUnderline"/>
        </w:rPr>
        <w:t xml:space="preserve">…that is, it has the capacity to transform Clearing from a verb into Clearing as a noun… </w:t>
      </w:r>
      <w:r w:rsidRPr="00087A72">
        <w:rPr>
          <w:sz w:val="12"/>
        </w:rPr>
        <w:t xml:space="preserve">Every [state in the union] placed a bounty on Indians, any Indians, all Indians. [For example in the] Pennsylvania colony in the 1740s, the bounty [was] forty pounds sterling for proof of death of an adult male Indian. That proof of death being in the form of a scalp or a bloody red skin…Proof of death in that form got the bearer of the proof forty pounds sterling. Forty pounds sterling in the 1740s was equivalent to the annual wage of your average farmer. This is big business. Twenty pounds sterling would be paid for proof of death in the same form of an adult female. Ten pounds sterling for proof of death of a child, a child being defined as human being of either sex under ten years of age down to and, yes, including the fetus…In Texas this law was not rescinded until 1887, [when] the debate in the Texas legislature concluded that there was no reason to continue because there was no long sufficient numbers of living Indians in the entire state of Texas to warrant the continuation of it. It had accomplished its purpose. (7/31/04) </w:t>
      </w:r>
      <w:r w:rsidRPr="00087A72">
        <w:rPr>
          <w:rStyle w:val="StyleUnderline"/>
        </w:rPr>
        <w:t>…and just like that, Little Baby Civil Society was walking on its own two feet. To Grown-up Civil Society</w:t>
      </w:r>
      <w:r w:rsidRPr="00087A72">
        <w:rPr>
          <w:sz w:val="12"/>
        </w:rPr>
        <w:t xml:space="preserve"> (Mogie’s “Great White Father in Washington”) </w:t>
      </w:r>
      <w:r w:rsidRPr="00087A72">
        <w:rPr>
          <w:rStyle w:val="StyleUnderline"/>
        </w:rPr>
        <w:t xml:space="preserve">Mogie Yellow Lodge submits his own “personal” genocide reparations bill. A bill that accounts for the perfect symmetry through which Whiteness has formed a body (from the genitals to the body politic) out of “Savage” flesh. The symmetry’s perfection becomes clear when one realizes that today’s 1.6%-to-80.6%, “Savage”-to-Settler ratio is a pure inversion of the sixteenth century’s “Savage” to Settler ratio. </w:t>
      </w:r>
      <w:r w:rsidRPr="00087A72">
        <w:rPr>
          <w:sz w:val="12"/>
        </w:rPr>
        <w:t xml:space="preserve">lxxvii </w:t>
      </w:r>
      <w:r w:rsidRPr="00087A72">
        <w:rPr>
          <w:rStyle w:val="StyleUnderline"/>
        </w:rPr>
        <w:t>“Send me a big woman. A fat woman! So that when I sleep with her she’ll cover up all the cracks in my shack and stop the wind from blowing through” is a demand so ethically pure that the film finds it unbearable and, as such, is unable (unwilling?) to let Mogie state it without irony.</w:t>
      </w:r>
      <w:r w:rsidRPr="00087A72">
        <w:rPr>
          <w:sz w:val="12"/>
        </w:rPr>
        <w:t xml:space="preserve"> And yet, Mogie’s outbursts like this—“outbursts” because they are generally infrequent and contained by pity or humor—are the few moments when the film engages the ethical dilemmas of the Settler/“Savage” antagonism (genocide and its impossible semiotics) instead of the ethical dilemmas of the Settler/“Savage” conflict (sovereignty and its semiotics of loss). Again, </w:t>
      </w:r>
      <w:r w:rsidRPr="00087A72">
        <w:rPr>
          <w:rStyle w:val="Emphasis"/>
        </w:rPr>
        <w:t>it is not that Mogie’s demand is absurd and unethical, but rather that it is a demand so pure in its ethicality that it threatens the quotidian prohibitions which, in Modernity, constrain ethics. The demand is far too ethical</w:t>
      </w:r>
      <w:r w:rsidRPr="00087A72">
        <w:rPr>
          <w:sz w:val="12"/>
        </w:rPr>
        <w:t xml:space="preserve"> for the film to embrace and elaborate at the level of narrative. It is a demand that must be policed by sovereign powers. Exploring Skins’ cinematic strategies reveals this containment as an effort to manage the spectator’s interpellation by the dilemmas of Mogie’s ruination and by they demand that ushers forth from his “flesh.” </w:t>
      </w:r>
      <w:r w:rsidRPr="00087A72">
        <w:rPr>
          <w:rStyle w:val="StyleUnderline"/>
        </w:rPr>
        <w:t>Mogie’s surrealism seeks to cull power directly from the subjectivity of the Settler, what Ward Churchill calls the “imperial integrity of the US itself”</w:t>
      </w:r>
      <w:r w:rsidRPr="00087A72">
        <w:rPr>
          <w:sz w:val="12"/>
        </w:rPr>
        <w:t xml:space="preserve"> (Marxism and Native Americans 202). </w:t>
      </w:r>
      <w:r w:rsidRPr="00087A72">
        <w:rPr>
          <w:rStyle w:val="StyleUnderline"/>
        </w:rPr>
        <w:t>This idea of culling power, resources, and Human life directly from the imperial integrity of the US, especially when we think that imperial integrity through the banality of White bodies</w:t>
      </w:r>
      <w:r w:rsidRPr="00087A72">
        <w:rPr>
          <w:sz w:val="12"/>
        </w:rPr>
        <w:t xml:space="preserve"> (in other words, through the “innocence” of today’s citizen), is indicative of the kind of unflinching paradigmatic analyses which allowed Ward Churchill to embrace the 9/11 attack on the World Trade Center within forty-eight hours of its occurrence, a moment in time when Settler Marxists and Settler progressives either suddenly became mute, or stumbled over their own tongues in half-hearted attempts to simultaneously condemn the attack and explain its political and historical rationale. Churchill’s embrace of the event is not synonymous with either celebration or condemnation. It goes without saying that Churchill also refused to be interpellated by the pageantry of mourning that followed in the wake of 9-1-1. But Settler radicals and progressives assailed him for meditating on the attack from within the questions of the genocided “Savage,” rather than from within an ensemble of questions allied with Settler’s grammar of suffering, exploitation and alienation. </w:t>
      </w:r>
      <w:r w:rsidRPr="00087A72">
        <w:rPr>
          <w:rStyle w:val="StyleUnderline"/>
        </w:rPr>
        <w:t xml:space="preserve">People on the Left tried to shame Churchill for embracing incoherent terror </w:t>
      </w:r>
      <w:r w:rsidRPr="00087A72">
        <w:rPr>
          <w:sz w:val="12"/>
        </w:rPr>
        <w:t xml:space="preserve">(suicide bombers) </w:t>
      </w:r>
      <w:r w:rsidRPr="00087A72">
        <w:rPr>
          <w:rStyle w:val="StyleUnderline"/>
        </w:rPr>
        <w:t>instead of morally and politically sanctioned revolutionary action</w:t>
      </w:r>
      <w:r w:rsidRPr="00087A72">
        <w:rPr>
          <w:sz w:val="12"/>
        </w:rPr>
        <w:t xml:space="preserve"> (like the Zapatistas or the Sandanistas). </w:t>
      </w:r>
      <w:r w:rsidRPr="00087A72">
        <w:rPr>
          <w:rStyle w:val="StyleUnderline"/>
        </w:rPr>
        <w:t>Others chided him for advocating violence in any form.</w:t>
      </w:r>
      <w:r w:rsidRPr="00087A72">
        <w:rPr>
          <w:sz w:val="12"/>
        </w:rPr>
        <w:t xml:space="preserve"> Many said that now is not the time for a scathing critique; “our” nation is in mourning. And there were those who wagged their finger and reminded him that there were members of the working class (not just police agents and investment bankers) who died in the Twin Towers. These nay-sayers all made their arguments at the level of experience, and Churchill, rather handily, answered them at the level as well. But I am neither interested in his interlocutors’ chiding nor in his response. </w:t>
      </w:r>
      <w:r w:rsidRPr="00087A72">
        <w:rPr>
          <w:rStyle w:val="StyleUnderline"/>
        </w:rPr>
        <w:t>The Left’s attack on Churchill’s embrace of the 9-1-1 attacks is important not for the social issues it raises, the myriad of things it claims it is concerned about, but rather for the grammar of suffering shared across the board, those building blocks through which loss is conceptualized in such a way that makes it impossible for the “Savage” to function, grammatically, as their paradigm of suffering, and even less as its paradigmatic agent for change. Had Churchill’s interlocutors been more honest, they would have used fewer words—not draped their rejoinders with the veil of issues from the realm of experience</w:t>
      </w:r>
      <w:r w:rsidRPr="00087A72">
        <w:rPr>
          <w:sz w:val="12"/>
        </w:rPr>
        <w:t xml:space="preserve"> (i.e., tactics) —</w:t>
      </w:r>
      <w:r w:rsidRPr="00087A72">
        <w:rPr>
          <w:rStyle w:val="StyleUnderline"/>
        </w:rPr>
        <w:t xml:space="preserve">and said, quite simply, </w:t>
      </w:r>
      <w:r w:rsidRPr="00087A72">
        <w:rPr>
          <w:rStyle w:val="Emphasis"/>
        </w:rPr>
        <w:t xml:space="preserve">“We will not be led by the ‘Savage;’ death is not an element constituent of our ontology.” </w:t>
      </w:r>
      <w:r w:rsidRPr="00087A72">
        <w:rPr>
          <w:sz w:val="12"/>
        </w:rPr>
        <w:t xml:space="preserve">Unlike the narrative and cinematic strategies of Skins, Churchill’s meditation on 9-1-1 embraces, rather than contains, Mogie Yellow Lodge’s demand. </w:t>
      </w:r>
      <w:r w:rsidRPr="00087A72">
        <w:rPr>
          <w:rStyle w:val="StyleUnderline"/>
        </w:rPr>
        <w:t>Churchill’s work is authorized by Mogie Yellow Lodge’s grammar of suffering which, inter alia, forecloses upon Churchill’s passing judgment on the tactical ethics of either the attack on the World Trade Center or, for that matter, Mogie’s attack on the body of White femininity. Churchill accepts this foreclosure and works off of it. He does not feel constrained by it but finds it enabling of a quality of reflection that would be otherwise inconceivable: There can be no defensible suggestion that those who attacked the Pentagon and the WTC on 9-1-1 were seeking to get even with the U.S. Still less is there a basis for claims that they “started” something, or that the U.S. has anything to get even with them for. Quite the contrary. For the attackers to have arguably “evened the score” for Iraqi’s dead children alone, it would have been necessary for them to have killed a hundred times the number of Americans who actually died. This in itself, however would have allowed them to attain parity in terms of real numbers. The U.S. population is about fifteen times the size of Iraq’s. Hence, for the attackers to have achieved a proportionally equivalent impact, it would have been necessary that they kill some 7.5 million Americans</w:t>
      </w:r>
      <w:r w:rsidRPr="00087A72">
        <w:rPr>
          <w:sz w:val="12"/>
        </w:rPr>
        <w:t xml:space="preserve">. (On the Justice of Roosting Chickens: Reflections on the Consequences of U.S. Imperial Arrogance and Criminality 14) Churchill reflects upon the event of 9-1-1 in such a way as to make it impossible to talk about it as an event. This is a marker of the philosophical brilliance and rhetorical dexterity foundational to Churchill’s thirty-odd books, articles, and recorded speeches. This dexterity allows the work to be conversant with the actual details and “facts” of the event (as presented and cathedralized by White civil society). </w:t>
      </w:r>
      <w:r w:rsidRPr="00087A72">
        <w:rPr>
          <w:rStyle w:val="StyleUnderline"/>
        </w:rPr>
        <w:t>Yet instead of becoming mired in the bog of concerns which makes the event as “event”</w:t>
      </w:r>
      <w:r w:rsidRPr="00087A72">
        <w:rPr>
          <w:sz w:val="12"/>
        </w:rPr>
        <w:t xml:space="preserve"> (details and common sense ethics) </w:t>
      </w:r>
      <w:r w:rsidRPr="00087A72">
        <w:rPr>
          <w:rStyle w:val="StyleUnderline"/>
        </w:rPr>
        <w:t>Churchill jettisons common sense and presses the details into service of an ensemble of questions animated by the ethical dilemmas of “Savage,” and not Settler, ontology.</w:t>
      </w:r>
      <w:r w:rsidRPr="00087A72">
        <w:rPr>
          <w:sz w:val="12"/>
        </w:rPr>
        <w:t xml:space="preserve"> He can do this on behalf of those who are not even Native Americans (in this passage, Iraqis) because he provides them with the “Savage” as a lens through which they can do ethnographic and political work on the Settler as specimen. In other words, </w:t>
      </w:r>
      <w:r w:rsidRPr="00087A72">
        <w:rPr>
          <w:rStyle w:val="StyleUnderline"/>
        </w:rPr>
        <w:t>in his chapter on 9-1-1, his argument is made in such a way that, to be interpellated, the reader must adjust the logic of his/her political experience to fit the logic of “Savage” genocidal ontology—and not vice versa.</w:t>
      </w:r>
      <w:r w:rsidRPr="00087A72">
        <w:rPr>
          <w:sz w:val="12"/>
        </w:rPr>
        <w:t xml:space="preserve"> The reader must be subordinated to, and incorporated by, Redness, or else the reader will experience the piece in the same way that the viewer is meant to experience Mogie Yellow Lodge: as a scandal, as a problem in need of fixing. </w:t>
      </w:r>
      <w:r w:rsidRPr="00087A72">
        <w:rPr>
          <w:rStyle w:val="StyleUnderline"/>
        </w:rPr>
        <w:t>Churchill continues to subordinate the “facts” of 9-1-1 to an ethical examination of Settlerism by reminding the reader that the U.S. is “fifteen times the size” of Iraq, therefore 9-1-1 would have had to have had a death toll of “7.5 million Americans” in order to have “achieved a proportionately equivalent impact”</w:t>
      </w:r>
      <w:r w:rsidRPr="00087A72">
        <w:rPr>
          <w:sz w:val="12"/>
        </w:rPr>
        <w:t xml:space="preserve"> (14). </w:t>
      </w:r>
      <w:r w:rsidRPr="00087A72">
        <w:rPr>
          <w:rStyle w:val="StyleUnderline"/>
        </w:rPr>
        <w:t>In the very next paragraph, Churchill corrects himself and insists that 7.5 million is the number of American children the attackers would have had to have killed in order to achieve parity. This is followed by a list of even more corrections, in which Churchill recalculates the meaning of parity based solely on the U.S.’s deracination of Iraq since 1990 (further down the correctives will lead him to the “Savage” and to the Slave). True parity would result in 7.5 million dead American children, 15 million dead American adults, the obliteration of “sewage, water sanitation and electrical plants, food production/storage capacity, hospitals, pharmaceutical production facilities, communication centers and much more.” The effects of which would mean not just mass death but “a surviving population wracked by malnutrition an endemic disease”</w:t>
      </w:r>
      <w:r w:rsidRPr="00087A72">
        <w:rPr>
          <w:sz w:val="12"/>
        </w:rPr>
        <w:t xml:space="preserve"> (14). </w:t>
      </w:r>
      <w:r w:rsidRPr="00087A72">
        <w:rPr>
          <w:rStyle w:val="StyleUnderline"/>
        </w:rPr>
        <w:t>“Indeed, applying such standards of ‘pay back’ vis-à-vis American Indians alone would require a lethal reduction in the U.S. population…of between 96 and 99 percent”</w:t>
      </w:r>
      <w:r w:rsidRPr="00087A72">
        <w:rPr>
          <w:sz w:val="12"/>
        </w:rPr>
        <w:t xml:space="preserve"> (15). </w:t>
      </w:r>
      <w:r w:rsidRPr="00087A72">
        <w:rPr>
          <w:rStyle w:val="Emphasis"/>
        </w:rPr>
        <w:t>Suddenly, Mogie Yellow Lodge’s demand for parity (just one big fat White woman to cover up the cracks in his shack) sounds downright generous. Mogie is demanding one Settler, a far cry from demanding parity for ontological death. Were he to demand parity the U.S. “would run out of people long before it ran out of compensatory obligation”</w:t>
      </w:r>
      <w:r w:rsidRPr="00087A72">
        <w:rPr>
          <w:sz w:val="12"/>
        </w:rPr>
        <w:t xml:space="preserve"> (Churchill Roosting Chickens 14-15).</w:t>
      </w:r>
    </w:p>
    <w:p w:rsidR="00414088" w:rsidRPr="00087A72" w:rsidRDefault="00414088" w:rsidP="00414088">
      <w:pPr>
        <w:pStyle w:val="Heading4"/>
      </w:pPr>
      <w:r w:rsidRPr="00087A72">
        <w:t xml:space="preserve">You misdiagnose the root cause of your problem, not matter what is done the ideas of the settler and the non-native are entrenched through your method – instead we must embrace the alt </w:t>
      </w:r>
    </w:p>
    <w:p w:rsidR="00414088" w:rsidRPr="00087A72" w:rsidRDefault="00414088" w:rsidP="00414088">
      <w:pPr>
        <w:rPr>
          <w:sz w:val="16"/>
          <w:szCs w:val="16"/>
        </w:rPr>
      </w:pPr>
      <w:r w:rsidRPr="00087A72">
        <w:rPr>
          <w:rStyle w:val="Style13ptBold"/>
        </w:rPr>
        <w:t xml:space="preserve">Rifkin 2013 </w:t>
      </w:r>
      <w:r w:rsidRPr="00087A72">
        <w:rPr>
          <w:rStyle w:val="Style13ptBold"/>
          <w:b w:val="0"/>
          <w:sz w:val="16"/>
          <w:szCs w:val="16"/>
        </w:rPr>
        <w:t xml:space="preserve">(Mark Rifkin, Professor. US Ethnic Literature University of North Carolina – Greensboro research primarily focuses on Native American writing and politics from the eighteenth century onward, exploring the ways that Indigenous peoples have negotiated U.S. racial and imperial formations.  “Settler common sense” </w:t>
      </w:r>
      <w:r w:rsidRPr="00087A72">
        <w:rPr>
          <w:rStyle w:val="Style13ptBold"/>
          <w:b w:val="0"/>
          <w:i/>
          <w:sz w:val="16"/>
          <w:szCs w:val="16"/>
        </w:rPr>
        <w:t>Settler Colonial Studies</w:t>
      </w:r>
      <w:r w:rsidRPr="00087A72">
        <w:rPr>
          <w:rStyle w:val="Style13ptBold"/>
          <w:b w:val="0"/>
          <w:sz w:val="16"/>
          <w:szCs w:val="16"/>
        </w:rPr>
        <w:t xml:space="preserve">, 2013, Vol. 3, pp. 324-326) [JS] </w:t>
      </w:r>
    </w:p>
    <w:p w:rsidR="00414088" w:rsidRPr="00087A72" w:rsidRDefault="00414088" w:rsidP="00414088">
      <w:pPr>
        <w:rPr>
          <w:sz w:val="16"/>
        </w:rPr>
      </w:pPr>
      <w:r w:rsidRPr="00087A72">
        <w:rPr>
          <w:sz w:val="16"/>
        </w:rPr>
        <w:t>In Settler Colonialism and the Transformation of Anthropology, Patrick Wolfe argues, “</w:t>
      </w:r>
      <w:r w:rsidRPr="00087A72">
        <w:rPr>
          <w:rStyle w:val="StyleUnderline"/>
        </w:rPr>
        <w:t>Settler colonies were (are) premised on the elimination of native societies. The split tensing reflects a determinate feature of settler colonization</w:t>
      </w:r>
      <w:r w:rsidRPr="00087A72">
        <w:rPr>
          <w:sz w:val="16"/>
        </w:rPr>
        <w:t xml:space="preserve">. The colonizers come to stay – invasion is a structure not an event.”5 Offering perhaps the most prominent definition of </w:t>
      </w:r>
      <w:r w:rsidRPr="00087A72">
        <w:rPr>
          <w:rStyle w:val="StyleUnderline"/>
        </w:rPr>
        <w:t>settler colonialism</w:t>
      </w:r>
      <w:r w:rsidRPr="00087A72">
        <w:rPr>
          <w:sz w:val="16"/>
        </w:rPr>
        <w:t xml:space="preserve">, Wolfe’s formulation emphasizes the fact that </w:t>
      </w:r>
      <w:r w:rsidRPr="00087A72">
        <w:rPr>
          <w:rStyle w:val="StyleUnderline"/>
        </w:rPr>
        <w:t>it cannot be localized within a specific period of removal or extermination</w:t>
      </w:r>
      <w:r w:rsidRPr="00087A72">
        <w:rPr>
          <w:sz w:val="16"/>
        </w:rPr>
        <w:t xml:space="preserve"> </w:t>
      </w:r>
      <w:r w:rsidRPr="00087A72">
        <w:rPr>
          <w:rStyle w:val="StyleUnderline"/>
        </w:rPr>
        <w:t>and that it persists as a determinative feature of national territoriality and identity</w:t>
      </w:r>
      <w:r w:rsidRPr="00087A72">
        <w:rPr>
          <w:sz w:val="16"/>
        </w:rPr>
        <w:t>. He argues that</w:t>
      </w:r>
      <w:r w:rsidRPr="00087A72">
        <w:rPr>
          <w:rStyle w:val="StyleUnderline"/>
        </w:rPr>
        <w:t xml:space="preserve"> a “logic of elimination” drives settler governance and sociality, describing “the settler-colonial will” as “a historical force that ultimately derives from the primal drive to expansion that is generally glossed as capitalism</w:t>
      </w:r>
      <w:r w:rsidRPr="00087A72">
        <w:rPr>
          <w:sz w:val="16"/>
        </w:rPr>
        <w:t>” (167), and in “Settler Colonialism and the Elimination of the Native,” he observes that “elimination is an organizing principle of settler-colonial society rather than a one-off (and superceded) occurrence”, adding, “</w:t>
      </w:r>
      <w:r w:rsidRPr="00087A72">
        <w:rPr>
          <w:rStyle w:val="StyleUnderline"/>
        </w:rPr>
        <w:t>Settler colonialism destroys to replace</w:t>
      </w:r>
      <w:r w:rsidRPr="00087A72">
        <w:rPr>
          <w:sz w:val="16"/>
        </w:rPr>
        <w:t>.”6 Rather than being superseded after an initial moment/period of conquest, however, colonization persists since “</w:t>
      </w:r>
      <w:r w:rsidRPr="00087A72">
        <w:rPr>
          <w:rStyle w:val="StyleUnderline"/>
        </w:rPr>
        <w:t>the logic of elimination marks a return whereby the native repressed continues to structure settler-colonial society</w:t>
      </w:r>
      <w:r w:rsidRPr="00087A72">
        <w:rPr>
          <w:sz w:val="16"/>
        </w:rPr>
        <w:t xml:space="preserve">” (390), and “the process of replacement maintains the refractory imprint of the native counter-claim” (389). Yet, when and how do projects of elimination and replacement become geographies of everyday non-Native occupancy that do not understand themselves as predicated on colonial occupation or on a history of settler-Indigenous relation (even though they are), and what are the contours and effects of such experiences of inhabitance and belonging? In characterizing settlement as a “structure”, “logic”, and a “will”, Wolfe seeks to integrate the multivalent aspects of ongoing processes of non-Native expropriation and superintendence, but doing so potentially sidesteps the question of how official governmental initiatives and framings become normalized as the setting for everyday non-Native being and action in ways that cannot be captured solely by reference to “the murderous activities of the frontier rabble” (392–3). In Aileen Moreton-Robinson’s work, </w:t>
      </w:r>
      <w:r w:rsidRPr="00087A72">
        <w:rPr>
          <w:rStyle w:val="StyleUnderline"/>
        </w:rPr>
        <w:t>whiteness functions as the central way of understanding the domination and displacement of Indigenous peoples by non-Natives</w:t>
      </w:r>
      <w:r w:rsidRPr="00087A72">
        <w:rPr>
          <w:sz w:val="16"/>
        </w:rPr>
        <w:t>.7 In “Writing Off Indigenous Sovereignty,” she argues, “</w:t>
      </w:r>
      <w:r w:rsidRPr="00087A72">
        <w:rPr>
          <w:rStyle w:val="Emphasis"/>
        </w:rPr>
        <w:t>As a regime of power, patriarchal White sovereignty operates ideologically, materially and discursively to reproduce and maintain its investment in the nation as a white possession</w:t>
      </w:r>
      <w:r w:rsidRPr="00087A72">
        <w:rPr>
          <w:sz w:val="16"/>
        </w:rPr>
        <w:t>”, and in “Writing Off Treaties”, she suggests, “</w:t>
      </w:r>
      <w:r w:rsidRPr="00087A72">
        <w:rPr>
          <w:rStyle w:val="StyleUnderline"/>
        </w:rPr>
        <w:t>At an ontological level the structure of subjective possession occurs through the imposition of one’s will-to-be on the thing which is perceived to lack will, thus it is open to being possessed</w:t>
      </w:r>
      <w:r w:rsidRPr="00087A72">
        <w:rPr>
          <w:sz w:val="16"/>
        </w:rPr>
        <w:t xml:space="preserve">,” such that “possession ... </w:t>
      </w:r>
      <w:r w:rsidRPr="00087A72">
        <w:rPr>
          <w:rStyle w:val="StyleUnderline"/>
        </w:rPr>
        <w:t>forms part of the ontological structure of white subjectivity</w:t>
      </w:r>
      <w:r w:rsidRPr="00087A72">
        <w:rPr>
          <w:sz w:val="16"/>
        </w:rPr>
        <w:t xml:space="preserve">”.8 </w:t>
      </w:r>
      <w:r w:rsidRPr="00087A72">
        <w:rPr>
          <w:rStyle w:val="Emphasis"/>
        </w:rPr>
        <w:t>Whiteness, then, instantiates a property logic in which subjectivity, placemaking, and political belonging turn on the exertion of a right to untrammelled ownership</w:t>
      </w:r>
      <w:r w:rsidRPr="00087A72">
        <w:rPr>
          <w:sz w:val="16"/>
        </w:rPr>
        <w:t xml:space="preserve"> and in which </w:t>
      </w:r>
      <w:r w:rsidRPr="00087A72">
        <w:rPr>
          <w:rStyle w:val="Emphasis"/>
        </w:rPr>
        <w:t>that process of manufacturing legitimacy for non-Native occupation appears as a self-evident, unquestionable, and invisible frame through which to assess Indigenous voices, claims, and presence</w:t>
      </w:r>
      <w:r w:rsidRPr="00087A72">
        <w:rPr>
          <w:sz w:val="16"/>
        </w:rPr>
        <w:t>. She further observes, “</w:t>
      </w:r>
      <w:r w:rsidRPr="00087A72">
        <w:rPr>
          <w:rStyle w:val="StyleUnderline"/>
        </w:rPr>
        <w:t>it is the legally defined and asserted territorial sovereignty [of the settler nation] that provides the context for national identifications of whiteness” while “one benefits everyday from being tied to a nation that has and continues to constitute itself as a white possession”</w:t>
      </w:r>
      <w:r w:rsidRPr="00087A72">
        <w:rPr>
          <w:sz w:val="16"/>
        </w:rPr>
        <w:t xml:space="preserve"> (85). Tracing a dialectical relation between policy and the everyday, she notes in “Writing Off Indigenous Sovereignty” that the “possessive investment in patriarchal white sovereignty is enhanced through private property ownership. This security produces affect that is encapsulated in a sense of home and place, mobilising an affirmation of a white national identity” (95). Thus, her work raises the issue of how the legal discourses that sustain the settler-state’s “territorial sovereignty” become ordinary through the “affect” of belonging and emplacement generated by “private property”, which reciprocally reinvests in the “white national identity” as its condition of possibility. Yet, “whiteness” names the juridical assertion of authority over Indigenous peoples and lands, the quotidian experience of selfhood and embodiment as a settler subject, and </w:t>
      </w:r>
      <w:r w:rsidRPr="00087A72">
        <w:rPr>
          <w:rStyle w:val="StyleUnderline"/>
        </w:rPr>
        <w:t>the movement(s) between them in ways that can cast settler affect as merely the passive vehicle for a pre-constituted set of state initiatives which settler subjects, in their investment in whiteness (as identity and/or identification), inherently extend and realize.</w:t>
      </w:r>
      <w:r w:rsidRPr="00087A72">
        <w:rPr>
          <w:sz w:val="16"/>
        </w:rPr>
        <w:t xml:space="preserve">9 </w:t>
      </w:r>
      <w:r w:rsidRPr="00087A72">
        <w:rPr>
          <w:rStyle w:val="StyleUnderline"/>
        </w:rPr>
        <w:t>The processes by which legislative and administrative agendas come to function as an animating part of daily life, the differences such realization and localization make in the terms and trajectories of those explicit projects, and the possibilities for forms of disjuncture between the state apparatus and everyday experience are bracketed by the positing of a clear, direct, and inevitable relation characterized as “ontological”.</w:t>
      </w:r>
      <w:r w:rsidRPr="00087A72">
        <w:rPr>
          <w:sz w:val="16"/>
        </w:rPr>
        <w:t xml:space="preserve"> For Jodi Byrd, the deployment of Indianness as a mobile figure works as the principal mode of US settler colonialism. She observes that “colonization and racialization ... have often been conflated”, in ways that “tend to be sited along the axis of inclusion/exclusion”.10 </w:t>
      </w:r>
      <w:r w:rsidRPr="00087A72">
        <w:rPr>
          <w:rStyle w:val="StyleUnderline"/>
        </w:rPr>
        <w:t>Doing so places emphasis on the belonging of citizenship as remediation for past and present violence, thereby “mask[ing] the territoriality of conquest by assigning colonization to the racialized body, which is then policed in its degrees from whiteness</w:t>
      </w:r>
      <w:r w:rsidRPr="00087A72">
        <w:rPr>
          <w:sz w:val="16"/>
        </w:rPr>
        <w:t>” (xxiv). Suggesting that the “</w:t>
      </w:r>
      <w:r w:rsidRPr="00087A72">
        <w:rPr>
          <w:rStyle w:val="StyleUnderline"/>
        </w:rPr>
        <w:t>cacophony of competing struggles for hegemony ... misdirect and cloud attention from the underlying structures of settler colonialism”</w:t>
      </w:r>
      <w:r w:rsidRPr="00087A72">
        <w:rPr>
          <w:sz w:val="16"/>
        </w:rPr>
        <w:t xml:space="preserve"> (xvii), s</w:t>
      </w:r>
      <w:r w:rsidRPr="00087A72">
        <w:rPr>
          <w:rStyle w:val="StyleUnderline"/>
        </w:rPr>
        <w:t>he argues that the latter work through translating indigeneity as Indianness, casting place-based political collectivities as (racialized) populations subject to US jurisdiction and management</w:t>
      </w:r>
      <w:r w:rsidRPr="00087A72">
        <w:rPr>
          <w:sz w:val="16"/>
        </w:rPr>
        <w:t>: “</w:t>
      </w:r>
      <w:r w:rsidRPr="00087A72">
        <w:rPr>
          <w:rStyle w:val="Emphasis"/>
        </w:rPr>
        <w:t>the Indian is left nowhere and everywhere within the ontological premises through which U.S. empire orients, imagines, and critiques itself</w:t>
      </w:r>
      <w:r w:rsidRPr="00087A72">
        <w:rPr>
          <w:sz w:val="16"/>
        </w:rPr>
        <w:t>”; “</w:t>
      </w:r>
      <w:r w:rsidRPr="00087A72">
        <w:rPr>
          <w:rStyle w:val="Emphasis"/>
        </w:rPr>
        <w:t>ideas of Indians and Indianness have served as the ontological ground through which U.S. settler colonialism enacts itself</w:t>
      </w:r>
      <w:r w:rsidRPr="00087A72">
        <w:rPr>
          <w:sz w:val="16"/>
        </w:rPr>
        <w:t xml:space="preserve">” (xix).11 </w:t>
      </w:r>
      <w:r w:rsidRPr="00087A72">
        <w:rPr>
          <w:rStyle w:val="Emphasis"/>
        </w:rPr>
        <w:t>In presenting Indianization as providing the “ontological premises” and serving as the “ontological ground” for US identity and policy,</w:t>
      </w:r>
      <w:r w:rsidRPr="00087A72">
        <w:rPr>
          <w:sz w:val="16"/>
        </w:rPr>
        <w:t xml:space="preserve"> Byrd powerfully links the (re)production of Indianness to a range of political and critical projects and the displacement of the geopolitics of Indigenous sovereignty. She observes that </w:t>
      </w:r>
      <w:r w:rsidRPr="00087A72">
        <w:rPr>
          <w:rStyle w:val="StyleUnderline"/>
        </w:rPr>
        <w:t xml:space="preserve">“imperialism has forced settlers and arrivants </w:t>
      </w:r>
      <w:r w:rsidRPr="00087A72">
        <w:rPr>
          <w:sz w:val="16"/>
        </w:rPr>
        <w:t xml:space="preserve">[her term for non-White non-Natives] </w:t>
      </w:r>
      <w:r w:rsidRPr="00087A72">
        <w:rPr>
          <w:rStyle w:val="StyleUnderline"/>
        </w:rPr>
        <w:t>to cathect the space of the native as their home</w:t>
      </w:r>
      <w:r w:rsidRPr="00087A72">
        <w:rPr>
          <w:sz w:val="16"/>
        </w:rPr>
        <w:t>” (xxxix), but how is such cathexis contingently engendered in everyday ways? Although Byrd gestures in this direction, her focus on the foundationality and historical continuity of the dynamics she addresses emphasizes their role as a coherent and consistent “underlying structure” rather than how they gain scope, motion, and force through reiterative yet shifting formations, practices, and inclinations.</w:t>
      </w:r>
    </w:p>
    <w:p w:rsidR="0004585D" w:rsidRPr="00087A72" w:rsidRDefault="0004585D" w:rsidP="0004585D">
      <w:pPr>
        <w:pStyle w:val="Heading4"/>
        <w:rPr>
          <w:rFonts w:cstheme="majorHAnsi"/>
        </w:rPr>
      </w:pPr>
      <w:r w:rsidRPr="00087A72">
        <w:rPr>
          <w:rFonts w:cstheme="majorHAnsi"/>
        </w:rPr>
        <w:t>Thus, refuse the affirmative as an ethical confrontation with catastrophe that functions as an affirmation of the affective vulnerability of the present. Only through confronting genocide not as a historical event or one impact amongst others, but as ongoing catastrophe imminent to settler subjectivity can disrupt the arborescent form of the Settler scaled from the world down to the individual.</w:t>
      </w:r>
    </w:p>
    <w:p w:rsidR="0004585D" w:rsidRPr="00087A72" w:rsidRDefault="0004585D" w:rsidP="0004585D">
      <w:pPr>
        <w:rPr>
          <w:rFonts w:cstheme="majorHAnsi"/>
        </w:rPr>
      </w:pPr>
      <w:r w:rsidRPr="00087A72">
        <w:rPr>
          <w:rStyle w:val="Style13ptBold"/>
          <w:rFonts w:cstheme="majorHAnsi"/>
        </w:rPr>
        <w:t>Kouri and Skott-Myhre 15</w:t>
      </w:r>
      <w:r w:rsidRPr="00087A72">
        <w:rPr>
          <w:rFonts w:cstheme="majorHAnsi"/>
        </w:rPr>
        <w:t xml:space="preserve"> (Scott and Hans, “Catastrophe: a transversal mapping of colonialism and settler subjectivity,” Settler Colonial Studies, Issue Number, No. 3, pp. 12-13)//vikas</w:t>
      </w:r>
    </w:p>
    <w:p w:rsidR="0004585D" w:rsidRPr="00087A72" w:rsidRDefault="0004585D" w:rsidP="0004585D">
      <w:pPr>
        <w:rPr>
          <w:rFonts w:cstheme="majorHAnsi"/>
          <w:sz w:val="16"/>
        </w:rPr>
      </w:pPr>
      <w:r w:rsidRPr="00087A72">
        <w:rPr>
          <w:rFonts w:cstheme="majorHAnsi"/>
          <w:sz w:val="16"/>
        </w:rPr>
        <w:t xml:space="preserve">Deleuze and Guattari’s conceptualization of catastrophe juxtaposes two senses of the word, the representational and the actual. </w:t>
      </w:r>
      <w:r w:rsidRPr="00087A72">
        <w:rPr>
          <w:rFonts w:cstheme="majorHAnsi"/>
          <w:b/>
          <w:u w:val="single"/>
        </w:rPr>
        <w:t>Representing catastrophe as an abstract or historic occurrence distances us from its effects, while recreating ourselves as expressions of catastrophe allows it to function as an actual present.</w:t>
      </w:r>
      <w:r w:rsidRPr="00087A72">
        <w:rPr>
          <w:rFonts w:cstheme="majorHAnsi"/>
          <w:sz w:val="16"/>
        </w:rPr>
        <w:t xml:space="preserve"> It is </w:t>
      </w:r>
      <w:r w:rsidRPr="00087A72">
        <w:rPr>
          <w:rFonts w:cstheme="majorHAnsi"/>
          <w:b/>
          <w:u w:val="single"/>
        </w:rPr>
        <w:t>through a sobering acknowledgment of the present as a state of catastrophe</w:t>
      </w:r>
      <w:r w:rsidRPr="00087A72">
        <w:rPr>
          <w:rFonts w:cstheme="majorHAnsi"/>
          <w:sz w:val="16"/>
        </w:rPr>
        <w:t xml:space="preserve"> – an admission that takes up history in our current spatial, corporeal, and conceptual makeup – </w:t>
      </w:r>
      <w:r w:rsidRPr="00087A72">
        <w:rPr>
          <w:rFonts w:cstheme="majorHAnsi"/>
          <w:b/>
          <w:u w:val="single"/>
        </w:rPr>
        <w:t>and an endurance of the shame and anger that accompanies such</w:t>
      </w:r>
      <w:r w:rsidRPr="00087A72">
        <w:rPr>
          <w:rFonts w:cstheme="majorHAnsi"/>
          <w:sz w:val="16"/>
        </w:rPr>
        <w:t xml:space="preserve"> a revulsive </w:t>
      </w:r>
      <w:r w:rsidRPr="00087A72">
        <w:rPr>
          <w:rFonts w:cstheme="majorHAnsi"/>
          <w:b/>
          <w:u w:val="single"/>
        </w:rPr>
        <w:t>analysis that new ethical subjectivities can be forged.</w:t>
      </w:r>
      <w:r w:rsidRPr="00087A72">
        <w:rPr>
          <w:rFonts w:cstheme="majorHAnsi"/>
          <w:sz w:val="16"/>
        </w:rPr>
        <w:t xml:space="preserve"> A </w:t>
      </w:r>
      <w:r w:rsidRPr="00087A72">
        <w:rPr>
          <w:rFonts w:cstheme="majorHAnsi"/>
          <w:b/>
          <w:u w:val="single"/>
        </w:rPr>
        <w:t>yes-saying to the present</w:t>
      </w:r>
      <w:r w:rsidRPr="00087A72">
        <w:rPr>
          <w:rFonts w:cstheme="majorHAnsi"/>
          <w:sz w:val="16"/>
        </w:rPr>
        <w:t xml:space="preserve">, to </w:t>
      </w:r>
      <w:r w:rsidRPr="00087A72">
        <w:rPr>
          <w:rFonts w:cstheme="majorHAnsi"/>
          <w:b/>
          <w:u w:val="single"/>
        </w:rPr>
        <w:t>all of the present</w:t>
      </w:r>
      <w:r w:rsidRPr="00087A72">
        <w:rPr>
          <w:rFonts w:cstheme="majorHAnsi"/>
          <w:sz w:val="16"/>
        </w:rPr>
        <w:t xml:space="preserve">, </w:t>
      </w:r>
      <w:r w:rsidRPr="00087A72">
        <w:rPr>
          <w:rFonts w:cstheme="majorHAnsi"/>
          <w:b/>
          <w:u w:val="single"/>
        </w:rPr>
        <w:t>moves beyond</w:t>
      </w:r>
      <w:r w:rsidRPr="00087A72">
        <w:rPr>
          <w:rFonts w:cstheme="majorHAnsi"/>
          <w:sz w:val="16"/>
        </w:rPr>
        <w:t xml:space="preserve"> an </w:t>
      </w:r>
      <w:r w:rsidRPr="00087A72">
        <w:rPr>
          <w:rFonts w:cstheme="majorHAnsi"/>
          <w:b/>
          <w:u w:val="single"/>
        </w:rPr>
        <w:t>acceptance of things as they are and affirms all that could be</w:t>
      </w:r>
      <w:r w:rsidRPr="00087A72">
        <w:rPr>
          <w:rFonts w:cstheme="majorHAnsi"/>
          <w:sz w:val="16"/>
        </w:rPr>
        <w:t xml:space="preserve">, since </w:t>
      </w:r>
      <w:r w:rsidRPr="00087A72">
        <w:rPr>
          <w:rFonts w:cstheme="majorHAnsi"/>
          <w:b/>
          <w:u w:val="single"/>
        </w:rPr>
        <w:t>the actual is not what we are but</w:t>
      </w:r>
      <w:r w:rsidRPr="00087A72">
        <w:rPr>
          <w:rFonts w:cstheme="majorHAnsi"/>
          <w:sz w:val="16"/>
        </w:rPr>
        <w:t xml:space="preserve">, rather, </w:t>
      </w:r>
      <w:r w:rsidRPr="00087A72">
        <w:rPr>
          <w:rFonts w:cstheme="majorHAnsi"/>
          <w:b/>
          <w:u w:val="single"/>
        </w:rPr>
        <w:t>what we become</w:t>
      </w:r>
      <w:r w:rsidRPr="00087A72">
        <w:rPr>
          <w:rFonts w:cstheme="majorHAnsi"/>
          <w:sz w:val="16"/>
        </w:rPr>
        <w:t xml:space="preserve">, </w:t>
      </w:r>
      <w:r w:rsidRPr="00087A72">
        <w:rPr>
          <w:rFonts w:cstheme="majorHAnsi"/>
          <w:b/>
          <w:u w:val="single"/>
        </w:rPr>
        <w:t>what we are in the process of becoming</w:t>
      </w:r>
      <w:r w:rsidRPr="00087A72">
        <w:rPr>
          <w:rFonts w:cstheme="majorHAnsi"/>
          <w:sz w:val="16"/>
        </w:rPr>
        <w:t xml:space="preserve"> – that is to say, the Other, our becoming-other. </w:t>
      </w:r>
      <w:r w:rsidRPr="00087A72">
        <w:rPr>
          <w:rFonts w:cstheme="majorHAnsi"/>
          <w:b/>
          <w:u w:val="single"/>
        </w:rPr>
        <w:t>The present</w:t>
      </w:r>
      <w:r w:rsidRPr="00087A72">
        <w:rPr>
          <w:rFonts w:cstheme="majorHAnsi"/>
          <w:sz w:val="16"/>
        </w:rPr>
        <w:t xml:space="preserve">, on the contrary, </w:t>
      </w:r>
      <w:r w:rsidRPr="00087A72">
        <w:rPr>
          <w:rFonts w:cstheme="majorHAnsi"/>
          <w:b/>
          <w:u w:val="single"/>
        </w:rPr>
        <w:t>is what we are and, thereby, what already we are ceasing to be.</w:t>
      </w:r>
      <w:r w:rsidRPr="00087A72">
        <w:rPr>
          <w:rFonts w:cstheme="majorHAnsi"/>
          <w:sz w:val="16"/>
        </w:rPr>
        <w:t xml:space="preserve">58 To be clear, </w:t>
      </w:r>
      <w:r w:rsidRPr="00087A72">
        <w:rPr>
          <w:rStyle w:val="Emphasis"/>
          <w:rFonts w:cstheme="majorHAnsi"/>
        </w:rPr>
        <w:t>affirmation is not an acceptance of the way things are nor a hopeful projection of a future predicated on growth-oriented investments</w:t>
      </w:r>
      <w:r w:rsidRPr="00087A72">
        <w:rPr>
          <w:rFonts w:cstheme="majorHAnsi"/>
          <w:sz w:val="16"/>
        </w:rPr>
        <w:t xml:space="preserve"> in security, accumulation, and comfort, </w:t>
      </w:r>
      <w:r w:rsidRPr="00087A72">
        <w:rPr>
          <w:rStyle w:val="Emphasis"/>
          <w:rFonts w:cstheme="majorHAnsi"/>
        </w:rPr>
        <w:t>but a view of temporality as dynamic dependency and affective and corporeal vulnerability.</w:t>
      </w:r>
      <w:r w:rsidRPr="00087A72">
        <w:rPr>
          <w:rFonts w:cstheme="majorHAnsi"/>
          <w:sz w:val="16"/>
        </w:rPr>
        <w:t xml:space="preserve"> Our </w:t>
      </w:r>
      <w:r w:rsidRPr="00087A72">
        <w:rPr>
          <w:rFonts w:cstheme="majorHAnsi"/>
          <w:b/>
          <w:u w:val="single"/>
        </w:rPr>
        <w:t>present</w:t>
      </w:r>
      <w:r w:rsidRPr="00087A72">
        <w:rPr>
          <w:rFonts w:cstheme="majorHAnsi"/>
          <w:sz w:val="16"/>
        </w:rPr>
        <w:t xml:space="preserve"> is here </w:t>
      </w:r>
      <w:r w:rsidRPr="00087A72">
        <w:rPr>
          <w:rFonts w:cstheme="majorHAnsi"/>
          <w:b/>
          <w:u w:val="single"/>
        </w:rPr>
        <w:t>recast as our very undoing</w:t>
      </w:r>
      <w:r w:rsidRPr="00087A72">
        <w:rPr>
          <w:rFonts w:cstheme="majorHAnsi"/>
          <w:sz w:val="16"/>
        </w:rPr>
        <w:t xml:space="preserve">; it is </w:t>
      </w:r>
      <w:r w:rsidRPr="00087A72">
        <w:rPr>
          <w:rFonts w:cstheme="majorHAnsi"/>
          <w:b/>
          <w:u w:val="single"/>
        </w:rPr>
        <w:t>a present of living relations that is in a perpetual state of change.</w:t>
      </w:r>
      <w:r w:rsidRPr="00087A72">
        <w:rPr>
          <w:rFonts w:cstheme="majorHAnsi"/>
          <w:sz w:val="16"/>
        </w:rPr>
        <w:t xml:space="preserve"> The present is a ceaseless flow of becoming that </w:t>
      </w:r>
      <w:r w:rsidRPr="00087A72">
        <w:rPr>
          <w:rFonts w:cstheme="majorHAnsi"/>
          <w:b/>
          <w:u w:val="single"/>
        </w:rPr>
        <w:t>undermines a settled identity.</w:t>
      </w:r>
      <w:r w:rsidRPr="00087A72">
        <w:rPr>
          <w:rFonts w:cstheme="majorHAnsi"/>
          <w:sz w:val="16"/>
        </w:rPr>
        <w:t xml:space="preserve"> Concerns with settler subjectivity as an abstract entity continue to withdraw us from the living present in which we are composed through our relationships. What this means for us is that </w:t>
      </w:r>
      <w:r w:rsidRPr="00087A72">
        <w:rPr>
          <w:rFonts w:cstheme="majorHAnsi"/>
          <w:b/>
          <w:u w:val="single"/>
        </w:rPr>
        <w:t>rather than ask who or what we are, we must ask about our capacities and relationships. What has been foreclosed through</w:t>
      </w:r>
      <w:r w:rsidRPr="00087A72">
        <w:rPr>
          <w:rFonts w:cstheme="majorHAnsi"/>
          <w:sz w:val="16"/>
        </w:rPr>
        <w:t xml:space="preserve"> the </w:t>
      </w:r>
      <w:r w:rsidRPr="00087A72">
        <w:rPr>
          <w:rFonts w:cstheme="majorHAnsi"/>
          <w:b/>
          <w:u w:val="single"/>
        </w:rPr>
        <w:t>separations, closures, and biopolitics</w:t>
      </w:r>
      <w:r w:rsidRPr="00087A72">
        <w:rPr>
          <w:rFonts w:cstheme="majorHAnsi"/>
          <w:sz w:val="16"/>
        </w:rPr>
        <w:t xml:space="preserve"> of settler colonialism? What might still be extractable through vulnerability, endurance, sobriety, and confrontation with catastrophe? Who do we become when representations, repressions, and negative affects are transformed into positive affects and action? </w:t>
      </w:r>
      <w:r w:rsidRPr="00087A72">
        <w:rPr>
          <w:rFonts w:cstheme="majorHAnsi"/>
          <w:b/>
          <w:u w:val="single"/>
        </w:rPr>
        <w:t>The violence of settler colonialism</w:t>
      </w:r>
      <w:r w:rsidRPr="00087A72">
        <w:rPr>
          <w:rFonts w:cstheme="majorHAnsi"/>
          <w:sz w:val="16"/>
        </w:rPr>
        <w:t>, as Tuck and Yang insist, ‘</w:t>
      </w:r>
      <w:r w:rsidRPr="00087A72">
        <w:rPr>
          <w:rFonts w:cstheme="majorHAnsi"/>
          <w:b/>
          <w:u w:val="single"/>
        </w:rPr>
        <w:t>is not temporally contained in the arrival of the settler but</w:t>
      </w:r>
      <w:r w:rsidRPr="00087A72">
        <w:rPr>
          <w:rFonts w:cstheme="majorHAnsi"/>
          <w:sz w:val="16"/>
        </w:rPr>
        <w:t xml:space="preserve"> is </w:t>
      </w:r>
      <w:r w:rsidRPr="00087A72">
        <w:rPr>
          <w:rFonts w:cstheme="majorHAnsi"/>
          <w:b/>
          <w:u w:val="single"/>
        </w:rPr>
        <w:t>reasserted each day of occupation</w:t>
      </w:r>
      <w:r w:rsidRPr="00087A72">
        <w:rPr>
          <w:rFonts w:cstheme="majorHAnsi"/>
          <w:sz w:val="16"/>
        </w:rPr>
        <w:t xml:space="preserve">’, 59 </w:t>
      </w:r>
      <w:r w:rsidRPr="00087A72">
        <w:rPr>
          <w:rStyle w:val="Emphasis"/>
          <w:rFonts w:cstheme="majorHAnsi"/>
        </w:rPr>
        <w:t>yet we argue that we have to resist the belief that the current state of affairs and its</w:t>
      </w:r>
      <w:r w:rsidRPr="00087A72">
        <w:rPr>
          <w:rFonts w:cstheme="majorHAnsi"/>
          <w:sz w:val="16"/>
        </w:rPr>
        <w:t xml:space="preserve"> sets of </w:t>
      </w:r>
      <w:r w:rsidRPr="00087A72">
        <w:rPr>
          <w:rStyle w:val="Emphasis"/>
          <w:rFonts w:cstheme="majorHAnsi"/>
        </w:rPr>
        <w:t>relations are the only possible ones.</w:t>
      </w:r>
      <w:r w:rsidRPr="00087A72">
        <w:rPr>
          <w:rFonts w:cstheme="majorHAnsi"/>
          <w:sz w:val="16"/>
        </w:rPr>
        <w:t xml:space="preserve"> While acknowledging that decolonization is specifically about the restitution of Indigenous lands,60 </w:t>
      </w:r>
      <w:r w:rsidRPr="00087A72">
        <w:rPr>
          <w:rFonts w:cstheme="majorHAnsi"/>
          <w:b/>
          <w:u w:val="single"/>
        </w:rPr>
        <w:t>we persist in considering that undoing the colonial mind and its apparatus is important in reconfiguring</w:t>
      </w:r>
      <w:r w:rsidRPr="00087A72">
        <w:rPr>
          <w:rFonts w:cstheme="majorHAnsi"/>
          <w:sz w:val="16"/>
        </w:rPr>
        <w:t xml:space="preserve"> contemporary </w:t>
      </w:r>
      <w:r w:rsidRPr="00087A72">
        <w:rPr>
          <w:rFonts w:cstheme="majorHAnsi"/>
          <w:b/>
          <w:u w:val="single"/>
        </w:rPr>
        <w:t>relations and developing a new society. We are</w:t>
      </w:r>
      <w:r w:rsidRPr="00087A72">
        <w:rPr>
          <w:rFonts w:cstheme="majorHAnsi"/>
          <w:sz w:val="16"/>
        </w:rPr>
        <w:t xml:space="preserve"> not asking our fellow settlers to leave their homes to join the anticolonial revolution, but </w:t>
      </w:r>
      <w:r w:rsidRPr="00087A72">
        <w:rPr>
          <w:rFonts w:cstheme="majorHAnsi"/>
          <w:b/>
          <w:u w:val="single"/>
        </w:rPr>
        <w:t>suggesting</w:t>
      </w:r>
      <w:r w:rsidRPr="00087A72">
        <w:rPr>
          <w:rFonts w:cstheme="majorHAnsi"/>
          <w:sz w:val="16"/>
        </w:rPr>
        <w:t xml:space="preserve"> precisely </w:t>
      </w:r>
      <w:r w:rsidRPr="00087A72">
        <w:rPr>
          <w:rFonts w:cstheme="majorHAnsi"/>
          <w:b/>
          <w:u w:val="single"/>
        </w:rPr>
        <w:t xml:space="preserve">the opposite: </w:t>
      </w:r>
      <w:r w:rsidRPr="00087A72">
        <w:rPr>
          <w:rStyle w:val="Emphasis"/>
          <w:rFonts w:cstheme="majorHAnsi"/>
        </w:rPr>
        <w:t>to make your home and life the revolution itself.</w:t>
      </w:r>
      <w:r w:rsidRPr="00087A72">
        <w:rPr>
          <w:rFonts w:cstheme="majorHAnsi"/>
          <w:sz w:val="16"/>
        </w:rPr>
        <w:t xml:space="preserve"> We are seeking </w:t>
      </w:r>
      <w:r w:rsidRPr="00087A72">
        <w:rPr>
          <w:rFonts w:cstheme="majorHAnsi"/>
          <w:b/>
          <w:u w:val="single"/>
        </w:rPr>
        <w:t>ways of being radically present on Indigenous territory, a radicality that undermines the state, Western identity formations, and settler futures.</w:t>
      </w:r>
      <w:r w:rsidRPr="00087A72">
        <w:rPr>
          <w:rFonts w:cstheme="majorHAnsi"/>
          <w:sz w:val="16"/>
        </w:rPr>
        <w:t xml:space="preserve"> And because colonialism and capitalism have always been at least partially successful of recuperating revolutionary modes of production this process must be ongoing and specific to circumstance. We are interested in the production of </w:t>
      </w:r>
      <w:r w:rsidRPr="00087A72">
        <w:rPr>
          <w:rFonts w:cstheme="majorHAnsi"/>
          <w:b/>
          <w:u w:val="single"/>
        </w:rPr>
        <w:t>subjectivities that are not founded on binaries between who we are and who we are not</w:t>
      </w:r>
      <w:r w:rsidRPr="00087A72">
        <w:rPr>
          <w:rFonts w:cstheme="majorHAnsi"/>
          <w:sz w:val="16"/>
        </w:rPr>
        <w:t xml:space="preserve"> – </w:t>
      </w:r>
      <w:r w:rsidRPr="00087A72">
        <w:rPr>
          <w:rStyle w:val="Emphasis"/>
          <w:rFonts w:cstheme="majorHAnsi"/>
        </w:rPr>
        <w:t>without</w:t>
      </w:r>
      <w:r w:rsidRPr="00087A72">
        <w:rPr>
          <w:rFonts w:cstheme="majorHAnsi"/>
          <w:sz w:val="16"/>
        </w:rPr>
        <w:t xml:space="preserve">, of course, </w:t>
      </w:r>
      <w:r w:rsidRPr="00087A72">
        <w:rPr>
          <w:rStyle w:val="Emphasis"/>
          <w:rFonts w:cstheme="majorHAnsi"/>
        </w:rPr>
        <w:t>interfering with Indigenous politics of identity or ignoring differential distributions of injustice</w:t>
      </w:r>
      <w:r w:rsidRPr="00087A72">
        <w:rPr>
          <w:rFonts w:cstheme="majorHAnsi"/>
          <w:sz w:val="16"/>
        </w:rPr>
        <w:t xml:space="preserve"> and violence </w:t>
      </w:r>
      <w:r w:rsidRPr="00087A72">
        <w:rPr>
          <w:rStyle w:val="Emphasis"/>
          <w:rFonts w:cstheme="majorHAnsi"/>
        </w:rPr>
        <w:t>based on identity.</w:t>
      </w:r>
      <w:r w:rsidRPr="00087A72">
        <w:rPr>
          <w:rFonts w:cstheme="majorHAnsi"/>
          <w:sz w:val="16"/>
        </w:rPr>
        <w:t xml:space="preserve"> We want to move </w:t>
      </w:r>
      <w:r w:rsidRPr="00087A72">
        <w:rPr>
          <w:rFonts w:cstheme="majorHAnsi"/>
          <w:b/>
          <w:u w:val="single"/>
        </w:rPr>
        <w:t xml:space="preserve">from rigid settler identities toward processes of </w:t>
      </w:r>
      <w:r w:rsidRPr="00087A72">
        <w:rPr>
          <w:rStyle w:val="Emphasis"/>
          <w:rFonts w:cstheme="majorHAnsi"/>
        </w:rPr>
        <w:t>subjectification based on who and what we are related to, including humans, plants, minerals, waters, and stars</w:t>
      </w:r>
      <w:r w:rsidRPr="00087A72">
        <w:rPr>
          <w:rFonts w:cstheme="majorHAnsi"/>
          <w:b/>
          <w:u w:val="single"/>
        </w:rPr>
        <w:t>. We seek to undo dialectical thinking and recognize the singularity of every existent outside state taxonomy and organizational</w:t>
      </w:r>
      <w:r w:rsidRPr="00087A72">
        <w:rPr>
          <w:rFonts w:cstheme="majorHAnsi"/>
          <w:sz w:val="16"/>
        </w:rPr>
        <w:t xml:space="preserve"> system. As Deleuze writes, the Spinozan principle asserts that </w:t>
      </w:r>
      <w:r w:rsidRPr="00087A72">
        <w:rPr>
          <w:rFonts w:cstheme="majorHAnsi"/>
          <w:b/>
          <w:u w:val="single"/>
        </w:rPr>
        <w:t xml:space="preserve">negation is nothing, because </w:t>
      </w:r>
      <w:r w:rsidRPr="00087A72">
        <w:rPr>
          <w:rFonts w:cstheme="majorHAnsi"/>
          <w:sz w:val="16"/>
        </w:rPr>
        <w:t xml:space="preserve">absolutely </w:t>
      </w:r>
      <w:r w:rsidRPr="00087A72">
        <w:rPr>
          <w:rFonts w:cstheme="majorHAnsi"/>
          <w:b/>
          <w:u w:val="single"/>
        </w:rPr>
        <w:t>nothing</w:t>
      </w:r>
      <w:r w:rsidRPr="00087A72">
        <w:rPr>
          <w:rFonts w:cstheme="majorHAnsi"/>
          <w:sz w:val="16"/>
        </w:rPr>
        <w:t xml:space="preserve"> ever </w:t>
      </w:r>
      <w:r w:rsidRPr="00087A72">
        <w:rPr>
          <w:rFonts w:cstheme="majorHAnsi"/>
          <w:b/>
          <w:u w:val="single"/>
        </w:rPr>
        <w:t>lacks anything. Negation is a being of reason</w:t>
      </w:r>
      <w:r w:rsidRPr="00087A72">
        <w:rPr>
          <w:rFonts w:cstheme="majorHAnsi"/>
          <w:sz w:val="16"/>
        </w:rPr>
        <w:t xml:space="preserve">, or rather of comparison, </w:t>
      </w:r>
      <w:r w:rsidRPr="00087A72">
        <w:rPr>
          <w:rFonts w:cstheme="majorHAnsi"/>
          <w:b/>
          <w:u w:val="single"/>
        </w:rPr>
        <w:t>which results from our grouping together</w:t>
      </w:r>
      <w:r w:rsidRPr="00087A72">
        <w:rPr>
          <w:rFonts w:cstheme="majorHAnsi"/>
          <w:sz w:val="16"/>
        </w:rPr>
        <w:t xml:space="preserve"> all sorts </w:t>
      </w:r>
      <w:r w:rsidRPr="00087A72">
        <w:rPr>
          <w:rFonts w:cstheme="majorHAnsi"/>
          <w:b/>
          <w:u w:val="single"/>
        </w:rPr>
        <w:t>of distinct beings so as to refer them to one and the same fictitious ideal</w:t>
      </w:r>
      <w:r w:rsidRPr="00087A72">
        <w:rPr>
          <w:rFonts w:cstheme="majorHAnsi"/>
          <w:sz w:val="16"/>
        </w:rPr>
        <w:t xml:space="preserve">, in the name of which we say that one or another of them falls short of the ideal.61 The concepts of identity and lack in the colonial project are used to organize difference and diversity into dichotomies or taxonomies. </w:t>
      </w:r>
      <w:r w:rsidRPr="00087A72">
        <w:rPr>
          <w:rFonts w:cstheme="majorHAnsi"/>
          <w:b/>
          <w:u w:val="single"/>
        </w:rPr>
        <w:t>Categories and subcategories of difference are</w:t>
      </w:r>
      <w:r w:rsidRPr="00087A72">
        <w:rPr>
          <w:rFonts w:cstheme="majorHAnsi"/>
          <w:sz w:val="16"/>
        </w:rPr>
        <w:t xml:space="preserve">, without exception, </w:t>
      </w:r>
      <w:r w:rsidRPr="00087A72">
        <w:rPr>
          <w:rFonts w:cstheme="majorHAnsi"/>
          <w:b/>
          <w:u w:val="single"/>
        </w:rPr>
        <w:t>hierarchical and saturated in power relations</w:t>
      </w:r>
      <w:r w:rsidRPr="00087A72">
        <w:rPr>
          <w:rFonts w:cstheme="majorHAnsi"/>
          <w:sz w:val="16"/>
        </w:rPr>
        <w:t xml:space="preserve">, where to be </w:t>
      </w:r>
      <w:r w:rsidRPr="00087A72">
        <w:rPr>
          <w:rFonts w:cstheme="majorHAnsi"/>
          <w:b/>
          <w:u w:val="single"/>
        </w:rPr>
        <w:t>identified with</w:t>
      </w:r>
      <w:r w:rsidRPr="00087A72">
        <w:rPr>
          <w:rFonts w:cstheme="majorHAnsi"/>
          <w:sz w:val="16"/>
        </w:rPr>
        <w:t xml:space="preserve"> or different from is inextricably tied to </w:t>
      </w:r>
      <w:r w:rsidRPr="00087A72">
        <w:rPr>
          <w:rFonts w:cstheme="majorHAnsi"/>
          <w:b/>
          <w:u w:val="single"/>
        </w:rPr>
        <w:t>access, affordances, and annulments.</w:t>
      </w:r>
      <w:r w:rsidRPr="00087A72">
        <w:rPr>
          <w:rFonts w:cstheme="majorHAnsi"/>
          <w:sz w:val="16"/>
        </w:rPr>
        <w:t xml:space="preserve"> In Spinoza and Deleuze, </w:t>
      </w:r>
      <w:r w:rsidRPr="00087A72">
        <w:rPr>
          <w:rStyle w:val="Emphasis"/>
          <w:rFonts w:cstheme="majorHAnsi"/>
        </w:rPr>
        <w:t>alternatively, difference is immanent to life and</w:t>
      </w:r>
      <w:r w:rsidRPr="00087A72">
        <w:rPr>
          <w:rFonts w:cstheme="majorHAnsi"/>
          <w:sz w:val="16"/>
        </w:rPr>
        <w:t xml:space="preserve"> the </w:t>
      </w:r>
      <w:r w:rsidRPr="00087A72">
        <w:rPr>
          <w:rStyle w:val="Emphasis"/>
          <w:rFonts w:cstheme="majorHAnsi"/>
        </w:rPr>
        <w:t>affirmation of distinctiveness and singularity have the capacity to break up transcendent systems of organization.</w:t>
      </w:r>
      <w:r w:rsidRPr="00087A72">
        <w:rPr>
          <w:rFonts w:cstheme="majorHAnsi"/>
          <w:sz w:val="16"/>
        </w:rPr>
        <w:t xml:space="preserve"> Deleuze proposes that </w:t>
      </w:r>
      <w:r w:rsidRPr="00087A72">
        <w:rPr>
          <w:rFonts w:cstheme="majorHAnsi"/>
          <w:b/>
          <w:u w:val="single"/>
        </w:rPr>
        <w:t>catastrophe offers a new right to thought that can open up transcendence in such a way that one can actually apprehend</w:t>
      </w:r>
      <w:r w:rsidRPr="00087A72">
        <w:rPr>
          <w:rFonts w:cstheme="majorHAnsi"/>
          <w:sz w:val="16"/>
        </w:rPr>
        <w:t xml:space="preserve">, in at least an instance, </w:t>
      </w:r>
      <w:r w:rsidRPr="00087A72">
        <w:rPr>
          <w:rFonts w:cstheme="majorHAnsi"/>
          <w:b/>
          <w:u w:val="single"/>
        </w:rPr>
        <w:t>the whole of life as a system of interconnected forces and flows</w:t>
      </w:r>
      <w:r w:rsidRPr="00087A72">
        <w:rPr>
          <w:rFonts w:cstheme="majorHAnsi"/>
          <w:sz w:val="16"/>
        </w:rPr>
        <w:t xml:space="preserve">. This thought of </w:t>
      </w:r>
      <w:r w:rsidRPr="00087A72">
        <w:rPr>
          <w:rFonts w:cstheme="majorHAnsi"/>
          <w:b/>
          <w:u w:val="single"/>
        </w:rPr>
        <w:t xml:space="preserve">immanence is particularly useful to apprehend how colonialism naturalizes hierarchy and attempts to repress </w:t>
      </w:r>
      <w:r w:rsidRPr="00087A72">
        <w:rPr>
          <w:rFonts w:cstheme="majorHAnsi"/>
          <w:sz w:val="16"/>
        </w:rPr>
        <w:t xml:space="preserve">the infinitely </w:t>
      </w:r>
      <w:r w:rsidRPr="00087A72">
        <w:rPr>
          <w:rFonts w:cstheme="majorHAnsi"/>
          <w:b/>
          <w:u w:val="single"/>
        </w:rPr>
        <w:t>diverse</w:t>
      </w:r>
      <w:r w:rsidRPr="00087A72">
        <w:rPr>
          <w:rFonts w:cstheme="majorHAnsi"/>
          <w:sz w:val="16"/>
        </w:rPr>
        <w:t xml:space="preserve"> ways that the flows and </w:t>
      </w:r>
      <w:r w:rsidRPr="00087A72">
        <w:rPr>
          <w:rFonts w:cstheme="majorHAnsi"/>
          <w:b/>
          <w:u w:val="single"/>
        </w:rPr>
        <w:t>forces of life</w:t>
      </w:r>
      <w:r w:rsidRPr="00087A72">
        <w:rPr>
          <w:rFonts w:cstheme="majorHAnsi"/>
          <w:sz w:val="16"/>
        </w:rPr>
        <w:t xml:space="preserve"> continually reassemble. </w:t>
      </w:r>
      <w:r w:rsidRPr="00087A72">
        <w:rPr>
          <w:rStyle w:val="Emphasis"/>
          <w:rFonts w:cstheme="majorHAnsi"/>
        </w:rPr>
        <w:t>The quest is not to see any difference, but to see difference in itself – the complete singularity of an existent without reference to what it is not</w:t>
      </w:r>
      <w:r w:rsidRPr="00087A72">
        <w:rPr>
          <w:rFonts w:cstheme="majorHAnsi"/>
          <w:sz w:val="16"/>
        </w:rPr>
        <w:t xml:space="preserve">, what it lacks, </w:t>
      </w:r>
      <w:r w:rsidRPr="00087A72">
        <w:rPr>
          <w:rStyle w:val="Emphasis"/>
          <w:rFonts w:cstheme="majorHAnsi"/>
        </w:rPr>
        <w:t>or to any other set of abstract codes.</w:t>
      </w:r>
      <w:r w:rsidRPr="00087A72">
        <w:rPr>
          <w:rFonts w:cstheme="majorHAnsi"/>
          <w:b/>
          <w:sz w:val="16"/>
        </w:rPr>
        <w:t xml:space="preserve"> </w:t>
      </w:r>
      <w:r w:rsidRPr="00087A72">
        <w:rPr>
          <w:rFonts w:cstheme="majorHAnsi"/>
          <w:b/>
          <w:u w:val="single"/>
        </w:rPr>
        <w:t>Such a thought better sensitizes us to apprehending how current social structures and rationality work</w:t>
      </w:r>
      <w:r w:rsidRPr="00087A72">
        <w:rPr>
          <w:rFonts w:cstheme="majorHAnsi"/>
          <w:sz w:val="16"/>
        </w:rPr>
        <w:t xml:space="preserve"> to organize, prevent, extract, and control the living flows. Furthermore, </w:t>
      </w:r>
      <w:r w:rsidRPr="00087A72">
        <w:rPr>
          <w:rFonts w:cstheme="majorHAnsi"/>
          <w:b/>
          <w:u w:val="single"/>
        </w:rPr>
        <w:t>it allows us to glimpse the processes at work in the formation of our own subjectivities. We are not proposing</w:t>
      </w:r>
      <w:r w:rsidRPr="00087A72">
        <w:rPr>
          <w:rFonts w:cstheme="majorHAnsi"/>
          <w:sz w:val="16"/>
        </w:rPr>
        <w:t xml:space="preserve"> here that </w:t>
      </w:r>
      <w:r w:rsidRPr="00087A72">
        <w:rPr>
          <w:rFonts w:cstheme="majorHAnsi"/>
          <w:b/>
          <w:u w:val="single"/>
        </w:rPr>
        <w:t>living in immanence is an option.</w:t>
      </w:r>
      <w:r w:rsidRPr="00087A72">
        <w:rPr>
          <w:rFonts w:cstheme="majorHAnsi"/>
          <w:sz w:val="16"/>
        </w:rPr>
        <w:t xml:space="preserve"> </w:t>
      </w:r>
      <w:r w:rsidRPr="00087A72">
        <w:rPr>
          <w:rStyle w:val="Emphasis"/>
          <w:rFonts w:cstheme="majorHAnsi"/>
        </w:rPr>
        <w:t>We are proposing that life is immanence and that recognizing that fact can help us to map how the state, Western rationality, and settler subjects disfigure life</w:t>
      </w:r>
      <w:r w:rsidRPr="00087A72">
        <w:rPr>
          <w:rFonts w:cstheme="majorHAnsi"/>
          <w:sz w:val="16"/>
        </w:rPr>
        <w:t xml:space="preserve"> in order </w:t>
      </w:r>
      <w:r w:rsidRPr="00087A72">
        <w:rPr>
          <w:rStyle w:val="Emphasis"/>
          <w:rFonts w:cstheme="majorHAnsi"/>
        </w:rPr>
        <w:t>to extract from it what they need to extend themselves.</w:t>
      </w:r>
      <w:r w:rsidRPr="00087A72">
        <w:rPr>
          <w:rFonts w:cstheme="majorHAnsi"/>
          <w:sz w:val="16"/>
        </w:rPr>
        <w:t xml:space="preserve"> All transcendental, categorical, or universal settler principles are anathema to the immanent subjectivity that we are mapping here as their alternative. We therefore entirely reject the set of universal standards instituted, yet betrayed, in settler colonies by the state, church, and educational systems. We understand that the moralisms of the church, </w:t>
      </w:r>
      <w:r w:rsidRPr="00087A72">
        <w:rPr>
          <w:rFonts w:cstheme="majorHAnsi"/>
          <w:b/>
          <w:u w:val="single"/>
        </w:rPr>
        <w:t>the democratic promise of equality issued by the state</w:t>
      </w:r>
      <w:r w:rsidRPr="00087A72">
        <w:rPr>
          <w:rFonts w:cstheme="majorHAnsi"/>
          <w:sz w:val="16"/>
        </w:rPr>
        <w:t xml:space="preserve">, and the pseudo-science of the fields of anthropology, history, and psychiatry </w:t>
      </w:r>
      <w:r w:rsidRPr="00087A72">
        <w:rPr>
          <w:rFonts w:cstheme="majorHAnsi"/>
          <w:b/>
          <w:u w:val="single"/>
        </w:rPr>
        <w:t>are all founded on a transcendental image that has undermined Indigenous lives</w:t>
      </w:r>
      <w:r w:rsidRPr="00087A72">
        <w:rPr>
          <w:rFonts w:cstheme="majorHAnsi"/>
          <w:sz w:val="16"/>
        </w:rPr>
        <w:t xml:space="preserve"> and worldviews and marginalized immanent and revolutionary subjectivities. </w:t>
      </w:r>
      <w:r w:rsidRPr="00087A72">
        <w:rPr>
          <w:rStyle w:val="Emphasis"/>
          <w:rFonts w:cstheme="majorHAnsi"/>
        </w:rPr>
        <w:t>A new immanent settler subjectivity that rejects the dictates of a transcendental god, state, or knowledge moves toward an ethics of accountability</w:t>
      </w:r>
      <w:r w:rsidRPr="00087A72">
        <w:rPr>
          <w:rFonts w:cstheme="majorHAnsi"/>
          <w:sz w:val="16"/>
        </w:rPr>
        <w:t xml:space="preserve"> to the immanent relations that constitute it. </w:t>
      </w:r>
      <w:r w:rsidRPr="00087A72">
        <w:rPr>
          <w:rFonts w:cstheme="majorHAnsi"/>
          <w:b/>
          <w:u w:val="single"/>
        </w:rPr>
        <w:t xml:space="preserve">We seek to dislodge ourselves from the dominant power and change the effects of that power toward a collective community building and immanent auto-productivity. </w:t>
      </w:r>
      <w:r w:rsidRPr="00087A72">
        <w:rPr>
          <w:rStyle w:val="Emphasis"/>
          <w:rFonts w:cstheme="majorHAnsi"/>
        </w:rPr>
        <w:t>Such relationships</w:t>
      </w:r>
      <w:r w:rsidRPr="00087A72">
        <w:rPr>
          <w:rFonts w:cstheme="majorHAnsi"/>
          <w:sz w:val="16"/>
        </w:rPr>
        <w:t xml:space="preserve"> move alongside recognition politics by the state through laws and rights, but more critically </w:t>
      </w:r>
      <w:r w:rsidRPr="00087A72">
        <w:rPr>
          <w:rStyle w:val="Emphasis"/>
          <w:rFonts w:cstheme="majorHAnsi"/>
        </w:rPr>
        <w:t>act to undo the state’s power to subject others to rights and laws.</w:t>
      </w:r>
      <w:r w:rsidRPr="00087A72">
        <w:rPr>
          <w:rFonts w:cstheme="majorHAnsi"/>
          <w:sz w:val="16"/>
        </w:rPr>
        <w:t xml:space="preserve"> It is a call </w:t>
      </w:r>
      <w:r w:rsidRPr="00087A72">
        <w:rPr>
          <w:rStyle w:val="Emphasis"/>
          <w:rFonts w:cstheme="majorHAnsi"/>
        </w:rPr>
        <w:t>to rethink power, agency, and freedom through a situated accountability based on responsibility, allegiance, and affiliation.</w:t>
      </w:r>
      <w:r w:rsidRPr="00087A72">
        <w:rPr>
          <w:rFonts w:cstheme="majorHAnsi"/>
          <w:sz w:val="16"/>
        </w:rPr>
        <w:t xml:space="preserve"> Ethics here is about active forces and increasing relationality, affect, and capacity to act. It therefore calls for singularized mappings of power and responsible negotiations en route to a different world.</w:t>
      </w:r>
    </w:p>
    <w:p w:rsidR="0004585D" w:rsidRPr="00087A72" w:rsidRDefault="0004585D" w:rsidP="0004585D">
      <w:pPr>
        <w:pStyle w:val="Heading4"/>
      </w:pPr>
      <w:r w:rsidRPr="00087A72">
        <w:t>Settler colonialism maintains itself through the everyday, repetitive acts of practices, presences, and speech acts. Loyalty to an ethic of decolonization requires a refusal of the affirmative as a repudiation of the Settler subject’s ongoing attempt to achieve the end of Indigenous life. Only by an iterative process of refusal can cultivate cracks in the Settler psyche.</w:t>
      </w:r>
    </w:p>
    <w:p w:rsidR="0004585D" w:rsidRPr="00087A72" w:rsidRDefault="0004585D" w:rsidP="0004585D">
      <w:r w:rsidRPr="00087A72">
        <w:rPr>
          <w:rStyle w:val="Style13ptBold"/>
        </w:rPr>
        <w:t>Henderson 15</w:t>
      </w:r>
      <w:r w:rsidRPr="00087A72">
        <w:t xml:space="preserve"> (Phil, Doctoral Student at the University of Victoria "Imagoed communities: the psychosocial space of settler colonialism" Settler Colonial Studies DOI: 10.1080/2201473X.2015.1092194, pp. 10-14) NIJ</w:t>
      </w:r>
    </w:p>
    <w:p w:rsidR="0004585D" w:rsidRPr="00087A72" w:rsidRDefault="0004585D" w:rsidP="0004585D">
      <w:pPr>
        <w:rPr>
          <w:sz w:val="12"/>
        </w:rPr>
      </w:pPr>
      <w:r w:rsidRPr="00087A72">
        <w:rPr>
          <w:sz w:val="12"/>
        </w:rPr>
        <w:t xml:space="preserve">Facing assertive indigenous presences within settler colonial spaces, </w:t>
      </w:r>
      <w:r w:rsidRPr="00087A72">
        <w:rPr>
          <w:rStyle w:val="Emphasis"/>
        </w:rPr>
        <w:t>settlers must answer the legitimate charge that their daily life – in all its banality – is predicated upon the privileges produced by ongoing genocide.</w:t>
      </w:r>
      <w:r w:rsidRPr="00087A72">
        <w:rPr>
          <w:sz w:val="12"/>
        </w:rPr>
        <w:t xml:space="preserve"> </w:t>
      </w:r>
      <w:r w:rsidRPr="00087A72">
        <w:rPr>
          <w:rStyle w:val="StyleUnderline"/>
        </w:rPr>
        <w:t>The jarring nature of such charges offers an irreconcilable challenge to settlers qua settlers.</w:t>
      </w:r>
      <w:r w:rsidRPr="00087A72">
        <w:rPr>
          <w:sz w:val="12"/>
        </w:rPr>
        <w:t xml:space="preserve">64 </w:t>
      </w:r>
      <w:r w:rsidRPr="00087A72">
        <w:rPr>
          <w:rStyle w:val="StyleUnderline"/>
        </w:rPr>
        <w:t>Should these charges become impossible to ignore, they threaten to explode the imago of settler colonialism, which had hitherto operated within the settler psyche in a relatively smooth and benign manner. This explosion is potentiated by the revelation of even a portion of the violence that is required to make settler life possible. If, for example, settlers are forced to see ‘their’ beach as a site of murder and ongoing colonization, it becomes more difficult to sustain it within the imaginary as a site of frivolity.</w:t>
      </w:r>
      <w:r w:rsidRPr="00087A72">
        <w:rPr>
          <w:sz w:val="12"/>
        </w:rPr>
        <w:t xml:space="preserve">65 As Brown writes, in the ‘loss of horizons, order, and identity’ the subject experiences a sense of enormous vulnerability.66 Threatened with this ‘loss of containment’, the settler subject embarks down the road to psychosis.67 Thus, to parlay Brown’s thesis to the settler colonial context, </w:t>
      </w:r>
      <w:r w:rsidRPr="00087A72">
        <w:rPr>
          <w:rStyle w:val="StyleUnderline"/>
        </w:rPr>
        <w:t>the uncontrollable rage that indigenous presences induce within the settler is not evidence of the strength of settlers, but rather of a subject lashing out on the brink of its own dissolution. This panic – this rabid and insatiable anger – is always already at the core of the settler as a subject.</w:t>
      </w:r>
      <w:r w:rsidRPr="00087A72">
        <w:rPr>
          <w:sz w:val="12"/>
        </w:rPr>
        <w:t xml:space="preserve"> As Lorenzo Veracini observes, </w:t>
      </w:r>
      <w:r w:rsidRPr="00087A72">
        <w:rPr>
          <w:rStyle w:val="StyleUnderline"/>
        </w:rPr>
        <w:t xml:space="preserve">the settler necessarily remains in a disposition of aggression ‘even after indigenous alterities have ceased to be threatening’. </w:t>
      </w:r>
      <w:r w:rsidRPr="00087A72">
        <w:rPr>
          <w:sz w:val="12"/>
        </w:rPr>
        <w:t xml:space="preserve">68 </w:t>
      </w:r>
      <w:r w:rsidRPr="00087A72">
        <w:rPr>
          <w:rStyle w:val="StyleUnderline"/>
        </w:rPr>
        <w:t>This disposition results from the precarity inherent in the maintenance of settler colonialism’s imago, wherein any and all indigenous presences threaten subjective dissolution of the settler as such.</w:t>
      </w:r>
      <w:r w:rsidRPr="00087A72">
        <w:rPr>
          <w:sz w:val="12"/>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w:t>
      </w:r>
      <w:r w:rsidRPr="00087A72">
        <w:rPr>
          <w:rStyle w:val="StyleUnderline"/>
        </w:rPr>
        <w:t>Their desire to produce a firm imago means that settlers are also always already in a psychically defensive position – that is, the settler’s offensive position</w:t>
      </w:r>
      <w:r w:rsidRPr="00087A72">
        <w:rPr>
          <w:sz w:val="12"/>
        </w:rPr>
        <w:t xml:space="preserve"> on occupied land </w:t>
      </w:r>
      <w:r w:rsidRPr="00087A72">
        <w:rPr>
          <w:rStyle w:val="StyleUnderline"/>
        </w:rPr>
        <w:t>is sustained through a defensive posture. For while settlers desire the total erasure of indigenous populations, the attendant desire to disappear their own identity as settlers necessitates the suppression of both desires, if the subject’s reliance on settler colonial power structure is to be psychically naturalized. Settlers’ reactions to indigenous peoples fit, almost universally, with the two ego defense responses</w:t>
      </w:r>
      <w:r w:rsidRPr="00087A72">
        <w:rPr>
          <w:sz w:val="12"/>
        </w:rPr>
        <w:t xml:space="preserve"> that Sigmund Freud observed. </w:t>
      </w:r>
      <w:r w:rsidRPr="00087A72">
        <w:rPr>
          <w:rStyle w:val="StyleUnderline"/>
        </w:rPr>
        <w:t>The first of these defenses is to attempt a complete conversion of the suppressed desire into a new idea.</w:t>
      </w:r>
      <w:r w:rsidRPr="00087A72">
        <w:rPr>
          <w:sz w:val="12"/>
        </w:rPr>
        <w:t xml:space="preserve"> In settler colonial contexts, </w:t>
      </w:r>
      <w:r w:rsidRPr="00087A72">
        <w:rPr>
          <w:rStyle w:val="StyleUnderline"/>
        </w:rPr>
        <w:t xml:space="preserve">this requires averting attention from the violence of dispossession; as such, settlers often suggest that they aim to create a ‘city on the hill’. </w:t>
      </w:r>
      <w:r w:rsidRPr="00087A72">
        <w:rPr>
          <w:sz w:val="12"/>
        </w:rPr>
        <w:t xml:space="preserve">70 Freud noted that </w:t>
      </w:r>
      <w:r w:rsidRPr="00087A72">
        <w:rPr>
          <w:rStyle w:val="StyleUnderline"/>
        </w:rPr>
        <w:t>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w:t>
      </w:r>
      <w:r w:rsidRPr="00087A72">
        <w:rPr>
          <w:sz w:val="12"/>
        </w:rPr>
        <w:t xml:space="preserve">71 As we have already seen, </w:t>
      </w:r>
      <w:r w:rsidRPr="00087A72">
        <w:rPr>
          <w:rStyle w:val="StyleUnderline"/>
        </w:rPr>
        <w:t>this obsession at once solidifies the power of the settler state, thereby naturalizing the settler and simultaneously perpetuating the processes of erasing indigenous peoples.</w:t>
      </w:r>
      <w:r w:rsidRPr="00087A72">
        <w:rPr>
          <w:sz w:val="12"/>
        </w:rPr>
        <w:t xml:space="preserve"> Psychic defenses are intended to secure the subject from pain, and whether that pain originates inside or outside the psyche is inconsequential. Because of the threat that indigeneity presents to the phantasmatic wholeness of settler colonialism, settlers must always remain suspended in a state of arrested development between these defensive positions. Despite any pretensions to the contrary, </w:t>
      </w:r>
      <w:r w:rsidRPr="00087A72">
        <w:rPr>
          <w:rStyle w:val="StyleUnderline"/>
        </w:rPr>
        <w:t>the settler is necessarily a parochial subject who continuously coils, reacts, disavows, and lashes out, when confronted with his dependency on indigenous peoples and their territory.</w:t>
      </w:r>
      <w:r w:rsidRPr="00087A72">
        <w:rPr>
          <w:sz w:val="12"/>
        </w:rPr>
        <w:t xml:space="preserve">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w:t>
      </w:r>
      <w:r w:rsidRPr="00087A72">
        <w:rPr>
          <w:rStyle w:val="StyleUnderline"/>
        </w:rPr>
        <w:t xml:space="preserve"> </w:t>
      </w:r>
      <w:r w:rsidRPr="00087A72">
        <w:rPr>
          <w:rStyle w:val="Emphasis"/>
        </w:rPr>
        <w:t xml:space="preserve">decolonization must include an analysis of the dominant ‘self-disciplining colonial subject’. </w:t>
      </w:r>
      <w:r w:rsidRPr="00087A72">
        <w:rPr>
          <w:sz w:val="12"/>
        </w:rPr>
        <w:t xml:space="preserve">73 However, as this discussion of subjective precarity demonstrates, the degree of to which these disciplinary or phenomenological processes are complete should not be overstated. For settler-allies must also examine and cultivate the ways in which settler subjects fail to be totally disciplined. Evidence of this incompletion is apparent in the subject’s arrested state of development. </w:t>
      </w:r>
      <w:r w:rsidRPr="00087A72">
        <w:rPr>
          <w:rStyle w:val="StyleUnderline"/>
        </w:rPr>
        <w:t xml:space="preserve">Discovering the instability at the core of the settler subject, indeed of all subjects, is the central conceit of psychoanalysis. </w:t>
      </w:r>
      <w:r w:rsidRPr="00087A72">
        <w:rPr>
          <w:sz w:val="12"/>
        </w:rPr>
        <w:t xml:space="preserve">This exception of at least partial failure to fully subjectivize the settler is also what sets my account apart from Rifkin’s. His phenomenology falls into the trap that Jacqueline Rose observes within many sociological accounts of the subject: that of assuming a successful internalization of norms. From the psychoanalytical perspective, </w:t>
      </w:r>
      <w:r w:rsidRPr="00087A72">
        <w:rPr>
          <w:rStyle w:val="StyleUnderline"/>
        </w:rPr>
        <w:t>the ‘unconscious constantly reveals the “failure”’ of internalization.</w:t>
      </w:r>
      <w:r w:rsidRPr="00087A72">
        <w:rPr>
          <w:sz w:val="12"/>
        </w:rPr>
        <w:t xml:space="preserve">74 As we have seen, </w:t>
      </w:r>
      <w:r w:rsidRPr="00087A72">
        <w:rPr>
          <w:rStyle w:val="StyleUnderline"/>
        </w:rPr>
        <w:t>within settler subjects this can be expressed as an irrational anxiety that expresses itself whenever a settler is confronted with the facts regarding their colonizing status. Under conditions of total subjectification, such charges ought to be unintelligible to the settler.</w:t>
      </w:r>
      <w:r w:rsidRPr="00087A72">
        <w:rPr>
          <w:sz w:val="12"/>
        </w:rPr>
        <w:t xml:space="preserve"> Thus, </w:t>
      </w:r>
      <w:r w:rsidRPr="00087A72">
        <w:rPr>
          <w:rStyle w:val="StyleUnderline"/>
        </w:rPr>
        <w:t>the process of subject formation is always in slippage and never totalized as others might suggest.</w:t>
      </w:r>
      <w:r w:rsidRPr="00087A72">
        <w:rPr>
          <w:sz w:val="12"/>
        </w:rPr>
        <w:t xml:space="preserve">75 </w:t>
      </w:r>
      <w:r w:rsidRPr="00087A72">
        <w:rPr>
          <w:rStyle w:val="Emphasis"/>
        </w:rPr>
        <w:t>Because of this precarity, the settler subject is prone to violence and lashing out; but the subject in slippage also provides an avenue by which the process of settler colonialism can be subverted – creating cracks in a phantasmatic wholeness which can be opened wider.</w:t>
      </w:r>
      <w:r w:rsidRPr="00087A72">
        <w:rPr>
          <w:sz w:val="12"/>
        </w:rPr>
        <w:t xml:space="preserve"> Breakages of this sort offer an opportunity to pursue what Paulette Regan calls a ‘restorying’ of settler colonial history and culture, to decanter settler mythologies built upon and within the dispossession of indigenous peoples.76 </w:t>
      </w:r>
      <w:r w:rsidRPr="00087A72">
        <w:rPr>
          <w:rStyle w:val="Emphasis"/>
        </w:rPr>
        <w:t>The cultivation of these cracks is a necessary part of decolonizing work, as it continues to panic and thus to destabilize settler subjects. Resistance to settler colonialism</w:t>
      </w:r>
      <w:r w:rsidRPr="00087A72">
        <w:rPr>
          <w:sz w:val="12"/>
        </w:rPr>
        <w:t xml:space="preserve"> does not occur only in highly visible moments like the famous conflict at Kanesatake and Kahnawake,77 it also </w:t>
      </w:r>
      <w:r w:rsidRPr="00087A72">
        <w:rPr>
          <w:rStyle w:val="Emphasis"/>
        </w:rPr>
        <w:t>occurs in reiterative and disruptive practices, presences, and speech acts.</w:t>
      </w:r>
      <w:r w:rsidRPr="00087A72">
        <w:rPr>
          <w:sz w:val="12"/>
        </w:rPr>
        <w:t xml:space="preserve"> Goeman correctly observes that </w:t>
      </w:r>
      <w:r w:rsidRPr="00087A72">
        <w:rPr>
          <w:rStyle w:val="Emphasis"/>
        </w:rPr>
        <w:t>the ‘repetitive practices of everyday life’ are what give settler spaces their meaning, as they provide a degree of naturalness to the settler imago and its psychic investments.</w:t>
      </w:r>
      <w:r w:rsidRPr="00087A72">
        <w:rPr>
          <w:sz w:val="12"/>
        </w:rPr>
        <w:t xml:space="preserve">78 As such, </w:t>
      </w:r>
      <w:r w:rsidRPr="00087A72">
        <w:rPr>
          <w:rStyle w:val="StyleUnderline"/>
        </w:rPr>
        <w:t xml:space="preserve">to disrupt the ease of these repetitions is at once to striate radically the otherwise smooth spaces of settler colonialism and also to disrupt the easy (re)production of the settler subject. </w:t>
      </w:r>
      <w:r w:rsidRPr="00087A72">
        <w:rPr>
          <w:sz w:val="12"/>
        </w:rPr>
        <w:t xml:space="preserve">Goeman calls these subversive acts the ‘micro-politics of resistance’, which historically took the form of ‘moving fences, not cooperating with census enumerators, sometimes disrupting survey parties’ amongst other process.79 These acts panic the subject that is disciplined as a product of settler colonial power, by forcing encounters with the sovereign indigenous peoples that were imagined to be gone. This reveals to the settler, if only fleetingly, the violence that founds and sustains the settler colonial relationship. While such practices may not overthrow the settler colonial system, they do subvert its logics by insistently drawing attention to the ongoing presence of indigenous peoples who refuse erasure. 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Island.80 The micro-politics of the movement strengthen indigenous subjects and their spatialities, while leaving an indelible imprint in the settler psyche. Predictably, rage and resentment were provoked in some settlers;81 however, Idle No More also drew thousands of settler-allies into the streets and renewed conversations about the necessity of nation-to-nation relationships. With settler colonial spaces disrupted and a relationship of domination made impossible to ignore, in the tradition of centuries of indigenous resistance, Idle No More put the settler subject into serious flux once more. Conclusion Settler colonialism has been distinguished from colonialism proper by what Wolfe calls its ‘logic of elimination’, which requires the erasure of indigenous peoples from the colonized territory. This is accomplished through a variety of mechanisms that range from outright violence to policies of gradual elimination. Ultimately, </w:t>
      </w:r>
      <w:r w:rsidRPr="00087A72">
        <w:rPr>
          <w:rStyle w:val="StyleUnderline"/>
        </w:rPr>
        <w:t xml:space="preserve">settler colonialism is perpetuated through a double move: to erase indigenous peoples and then to disappear settlers by naturalizing the violence inherent their existence in colonized territory. </w:t>
      </w:r>
      <w:r w:rsidRPr="00087A72">
        <w:rPr>
          <w:sz w:val="12"/>
        </w:rPr>
        <w:t xml:space="preserve">This is accomplished through the production of spatialities bereft of indigeneity. Out of this spatial logic, an imago of settler society is produced that binds settlers both psychically and socially to each other and to the colonized spaces. </w:t>
      </w:r>
      <w:r w:rsidRPr="00087A72">
        <w:rPr>
          <w:rStyle w:val="StyleUnderline"/>
        </w:rPr>
        <w:t>The continual (re)production of a settler colonial imago is necessary to secure the psychic horizons of the settler subject; it is also inextricably bound up with an insatiable need to constantly renew the erasure of indigenous peoples.</w:t>
      </w:r>
      <w:r w:rsidRPr="00087A72">
        <w:rPr>
          <w:sz w:val="12"/>
        </w:rPr>
        <w:t xml:space="preserve"> Thus, in order to secure its continued survival as a subject, the settler must always strive to maintain the conditions of settler colonialism. </w:t>
      </w:r>
      <w:r w:rsidRPr="00087A72">
        <w:rPr>
          <w:rStyle w:val="Emphasis"/>
        </w:rPr>
        <w:t>Total erasure of indigeneity is the grotesque desire of the settler that must be constantly disrupted.</w:t>
      </w:r>
      <w:r w:rsidRPr="00087A72">
        <w:rPr>
          <w:sz w:val="12"/>
        </w:rPr>
        <w:t xml:space="preserve"> Where indigenous peoples have persisted as an insurgent presence in the settler imago, they are always already threatening this disruption of the settler subject at its very core. </w:t>
      </w:r>
      <w:r w:rsidRPr="00087A72">
        <w:rPr>
          <w:rStyle w:val="StyleUnderline"/>
        </w:rPr>
        <w:t>For while the affirmation of indigeneity can induce panic, and subsequently rage, in the settler, it also opens a crack within the imago – that is, within the settler subject itself – through which an ethic of decolonization can emerge.</w:t>
      </w:r>
      <w:r w:rsidRPr="00087A72">
        <w:rPr>
          <w:sz w:val="12"/>
        </w:rPr>
        <w:t xml:space="preserve"> While it seems that settler colonialism is propelled by a tightly circuitous movement of subject formation, projection, and (re)formation, the presence of indigenous peoples in ongoing and sovereign relationship with the land serves as a powerful blockage of to the smoothness of this process.</w:t>
      </w:r>
    </w:p>
    <w:p w:rsidR="009556BB" w:rsidRPr="00087A72" w:rsidRDefault="009556BB" w:rsidP="009556BB">
      <w:pPr>
        <w:pStyle w:val="Heading3"/>
      </w:pPr>
      <w:r w:rsidRPr="00087A72">
        <w:t>1NC – TOPR3 (Queer Migration)</w:t>
      </w:r>
    </w:p>
    <w:p w:rsidR="00414088" w:rsidRPr="00087A72" w:rsidRDefault="00414088" w:rsidP="00414088">
      <w:pPr>
        <w:pStyle w:val="Heading4"/>
      </w:pPr>
      <w:r w:rsidRPr="00087A72">
        <w:t>The genocide of the Native is the quilting point for the signifiers “politics” and “subjectivity” to adhere itself to meaning. However, unable to obtain perfect completion—that more perfect union—the Political becomes an accelerating cycle of death driven violence against the Native.</w:t>
      </w:r>
    </w:p>
    <w:p w:rsidR="00414088" w:rsidRPr="00087A72" w:rsidRDefault="00414088" w:rsidP="00414088">
      <w:r w:rsidRPr="00087A72">
        <w:rPr>
          <w:rStyle w:val="Style13ptBold"/>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95-100) NIJ</w:t>
      </w:r>
    </w:p>
    <w:p w:rsidR="00414088" w:rsidRPr="00087A72" w:rsidRDefault="00414088" w:rsidP="00414088">
      <w:pPr>
        <w:rPr>
          <w:sz w:val="12"/>
        </w:rPr>
      </w:pPr>
      <w:r w:rsidRPr="00087A72">
        <w:rPr>
          <w:sz w:val="12"/>
        </w:rPr>
        <w:t xml:space="preserve">Whiteness, the Child, and the Logics of Futurity Against the politicized topographies and temporalities of indigeneity and race, I now move into a consideration of the contributions of psychoanalytic theory to the questions of politics and time presented thus far. </w:t>
      </w:r>
      <w:r w:rsidRPr="00087A72">
        <w:rPr>
          <w:rStyle w:val="StyleUnderline"/>
        </w:rPr>
        <w:t>The kinds of questions psychoanalysis is interested in asking, the registers upon which it performs analysis, and its unique emphasis on temporality, language, and difference provide an excellent conceptual apparatus through which we might begin to trouble/problematize stable, taken-for-granted oppositions between psychic and social, personal and political, self and other.</w:t>
      </w:r>
      <w:r w:rsidRPr="00087A72">
        <w:rPr>
          <w:sz w:val="12"/>
        </w:rPr>
        <w:t xml:space="preserve"> Freud’s interest in time is evident in his work on the uncanny, and in his inaugural work on what we might now call trauma studies and conditions we now call post-traumatic stress disorder (PTSD). For Freud, this theory of hysteria introduces a provocative temporality in which traumatic events reoccur, flashing up in perfect replication of themselves, as though happening again and again. In his diagnosis of so-called shell-shocked soldiers returning from World War I, Freud was keenly aware that time did not always progress along an even plane. Though Freud’s analysis of trauma is captivating and critically rich, it is not within my purview here to take on the full extent of this scholarship. Instead, what is most salient to my analysis are the capacities of psychoanalytic theory to move critique outside and beyond prevailing notions of time and narratives of progress that only mean moving forward. This chapter writes from a stance that views it as imperative that scholarship reaches beyond, and thinks outside, the paradigms that invented it. </w:t>
      </w:r>
      <w:r w:rsidRPr="00087A72">
        <w:rPr>
          <w:rStyle w:val="StyleUnderline"/>
        </w:rPr>
        <w:t>Psychoanalytic theory, with its idiosyncratic temporal logics</w:t>
      </w:r>
      <w:r w:rsidRPr="00087A72">
        <w:rPr>
          <w:sz w:val="12"/>
        </w:rPr>
        <w:t>—particularly in conjunction with Foucauldian theory—</w:t>
      </w:r>
      <w:r w:rsidRPr="00087A72">
        <w:rPr>
          <w:rStyle w:val="StyleUnderline"/>
        </w:rPr>
        <w:t>offers a productive and robust way to critique the continuing primacy of normative disciplines whose chronologics have historically warranted a politics that kills in the name of life. Such an approach allows us to hold in productive tension any definition of “the political” as stable and finite, with—as in the case of liberal political philosophy—the legally constructed “person” as its primary epistemological unit. This conceptual capacity of psychoanalysis</w:t>
      </w:r>
      <w:r w:rsidRPr="00087A72">
        <w:rPr>
          <w:sz w:val="12"/>
        </w:rPr>
        <w:t xml:space="preserve">, in turn, </w:t>
      </w:r>
      <w:r w:rsidRPr="00087A72">
        <w:rPr>
          <w:rStyle w:val="StyleUnderline"/>
        </w:rPr>
        <w:t>allows us to politicize a form of life and modality of corporeal personhood hitherto constructed as what</w:t>
      </w:r>
      <w:r w:rsidRPr="00087A72">
        <w:rPr>
          <w:sz w:val="12"/>
        </w:rPr>
        <w:t xml:space="preserve">, in Bataillean parlance, </w:t>
      </w:r>
      <w:r w:rsidRPr="00087A72">
        <w:rPr>
          <w:rStyle w:val="StyleUnderline"/>
        </w:rPr>
        <w:t>we might call colonialism’s accursed share—colonialism’s pure waste.</w:t>
      </w:r>
      <w:r w:rsidRPr="00087A72">
        <w:rPr>
          <w:sz w:val="12"/>
        </w:rPr>
        <w:t xml:space="preserve"> Additionally, </w:t>
      </w:r>
      <w:r w:rsidRPr="00087A72">
        <w:rPr>
          <w:rStyle w:val="StyleUnderline"/>
        </w:rPr>
        <w:t>psychoanalytic notions of the death drive, whose proper movement is explicitly circular, allows us to begin to locate the child within logics of futurity, onto which is laminated a kind of indelible whiteness.</w:t>
      </w:r>
      <w:r w:rsidRPr="00087A72">
        <w:rPr>
          <w:sz w:val="12"/>
        </w:rPr>
        <w:t xml:space="preserve"> For the purpose of my analysis I engage Lacanian psychoanalysis, limiting myself to a consideration of the structure of the drives and to a Lacanian conceptualization of language, and its role in the formation of self and the suturing of the psyche to sociality. Freud, as Teresa De Lauretis (2008) emphasizes, elaborated the death drive between the First and Second World Wars, in a Europe living “under the shadow of death and the threat of biological and cultural genocide” (1). Situating her analysis of the death drive in the contemporary moment, De Lauretis points to this contextual, historical darkening, writing: “I wonder whether our epistemologies can sustain the impact of the real … If I return to Freud’s notion of an unconscious death drive, it is because it conveys the sense and the force of something in human reality that resists discursive articulation as well as political diplomacy, an otherness that haunts the dream of a common world” (9). Using psychoanalysis as reading practice, Freud’s suspicion that human life, both individual and social, is compromised from the beginning by something that undermines it, works against it, is (darkly?) generative. </w:t>
      </w:r>
      <w:r w:rsidRPr="00087A72">
        <w:rPr>
          <w:rStyle w:val="StyleUnderline"/>
        </w:rPr>
        <w:t>The death drive indicates a tension bordering psychic and libidinal relations, which marks Freud’s radical break with Cartesian rationality and points to a negativity that counteracts the optimistic affirmations of human perfectability. This dimension of radical negativity cannot be reduced to an expression of alienated social conditions, nor is it entirely something the body does on its own.</w:t>
      </w:r>
      <w:r w:rsidRPr="00087A72">
        <w:rPr>
          <w:sz w:val="12"/>
        </w:rPr>
        <w:t xml:space="preserve"> Theorized as the destruction drive, the antagonism drive, or sometimes, simply “the drive,” </w:t>
      </w:r>
      <w:r w:rsidRPr="00087A72">
        <w:rPr>
          <w:rStyle w:val="StyleUnderline"/>
        </w:rPr>
        <w:t>it is impossible to escape.</w:t>
      </w:r>
      <w:r w:rsidRPr="00087A72">
        <w:rPr>
          <w:sz w:val="12"/>
        </w:rPr>
        <w:t xml:space="preserve"> In psychoanalytic theory, therefore, particularly in the clinical setting, </w:t>
      </w:r>
      <w:r w:rsidRPr="00087A72">
        <w:rPr>
          <w:rStyle w:val="StyleUnderline"/>
        </w:rPr>
        <w:t>the objective is not to overcome the drive, but rather to come to terms with it, in</w:t>
      </w:r>
      <w:r w:rsidRPr="00087A72">
        <w:rPr>
          <w:sz w:val="12"/>
        </w:rPr>
        <w:t xml:space="preserve"> what Slovenian Lacanian psychoanalytic theorist Slavoj Žižek (1989) calls </w:t>
      </w:r>
      <w:r w:rsidRPr="00087A72">
        <w:rPr>
          <w:rStyle w:val="StyleUnderline"/>
        </w:rPr>
        <w:t xml:space="preserve">“its terrifying dimension” </w:t>
      </w:r>
      <w:r w:rsidRPr="00087A72">
        <w:rPr>
          <w:sz w:val="12"/>
        </w:rPr>
        <w:t xml:space="preserve">(4). </w:t>
      </w:r>
      <w:r w:rsidRPr="00087A72">
        <w:rPr>
          <w:rStyle w:val="StyleUnderline"/>
        </w:rPr>
        <w:t>It is a fundamental axiom of Lacanian psychoanalytic theory that attempts to abolish the drive antagonism are precisely the source of totalitarian temptation.</w:t>
      </w:r>
      <w:r w:rsidRPr="00087A72">
        <w:rPr>
          <w:sz w:val="12"/>
        </w:rPr>
        <w:t xml:space="preserve"> Žižek writes: </w:t>
      </w:r>
      <w:r w:rsidRPr="00087A72">
        <w:rPr>
          <w:rStyle w:val="StyleUnderline"/>
        </w:rPr>
        <w:t>“The greatest mass murders and holocausts have always been perpetrated in the name of man as harmonious being, of a New Man without antagonistic tension”</w:t>
      </w:r>
      <w:r w:rsidRPr="00087A72">
        <w:rPr>
          <w:sz w:val="12"/>
        </w:rPr>
        <w:t xml:space="preserve"> (5). </w:t>
      </w:r>
      <w:r w:rsidRPr="00087A72">
        <w:rPr>
          <w:rStyle w:val="StyleUnderline"/>
        </w:rPr>
        <w:t>So it is that</w:t>
      </w:r>
      <w:r w:rsidRPr="00087A72">
        <w:rPr>
          <w:sz w:val="12"/>
        </w:rPr>
        <w:t xml:space="preserve"> one of Canada’s greatest atrocities— </w:t>
      </w:r>
      <w:r w:rsidRPr="00087A72">
        <w:rPr>
          <w:rStyle w:val="StyleUnderline"/>
        </w:rPr>
        <w:t>the genocide of its First Peoples—took place in the name o</w:t>
      </w:r>
      <w:r w:rsidRPr="00087A72">
        <w:rPr>
          <w:sz w:val="12"/>
        </w:rPr>
        <w:t xml:space="preserve">f Canada itself, that sought </w:t>
      </w:r>
      <w:r w:rsidRPr="00087A72">
        <w:rPr>
          <w:rStyle w:val="StyleUnderline"/>
        </w:rPr>
        <w:t>progress and unification as a single body politic with claims on a shared futurity.</w:t>
      </w:r>
      <w:r w:rsidRPr="00087A72">
        <w:rPr>
          <w:sz w:val="12"/>
        </w:rPr>
        <w:t xml:space="preserve"> The fulfillment of this destiny relied upon the negation of the other, the bad race, the dangerous race, the race that stood outside the purview of the norm and had no share in its time-zone, the ones called to live in the between space—as nobody. </w:t>
      </w:r>
      <w:r w:rsidRPr="00087A72">
        <w:rPr>
          <w:rStyle w:val="StyleUnderline"/>
        </w:rPr>
        <w:t>As the relatively more benign civilization policies failed to convert Aboriginal forms of life into separate but civilized</w:t>
      </w:r>
      <w:r w:rsidRPr="00087A72">
        <w:rPr>
          <w:sz w:val="12"/>
        </w:rPr>
        <w:t xml:space="preserve">, Christian communities on reserves, </w:t>
      </w:r>
      <w:r w:rsidRPr="00087A72">
        <w:rPr>
          <w:rStyle w:val="StyleUnderline"/>
        </w:rPr>
        <w:t>the federal government intensified its tactics. Policies became more aggressive. As these more aggressive policies</w:t>
      </w:r>
      <w:r w:rsidRPr="00087A72">
        <w:rPr>
          <w:sz w:val="12"/>
        </w:rPr>
        <w:t xml:space="preserve"> (such as enfranchisement) </w:t>
      </w:r>
      <w:r w:rsidRPr="00087A72">
        <w:rPr>
          <w:rStyle w:val="StyleUnderline"/>
        </w:rPr>
        <w:t>also failed, the federal government intensified its tactics once again, escalating the stakes and the strategies towards the horizon of assimilation. This ‘doubling down’ in the face of failure is a primary trace effect of the death drive, and indeed, it is not unreasonable to argue that the federal government Indian policy has, since confederation, been death driven. Because the aim of fully eradicating the otherness of the other can only fail</w:t>
      </w:r>
      <w:r w:rsidRPr="00087A72">
        <w:rPr>
          <w:sz w:val="12"/>
        </w:rPr>
        <w:t>—in Freudian parlance, it cannot be mastered—</w:t>
      </w:r>
      <w:r w:rsidRPr="00087A72">
        <w:rPr>
          <w:rStyle w:val="StyleUnderline"/>
        </w:rPr>
        <w:t>the trajectory of the aiming turns in a circularity, orbiting around that which can never be had: perfection. Caught in death drive circularity, the aiming towards the objective</w:t>
      </w:r>
      <w:r w:rsidRPr="00087A72">
        <w:rPr>
          <w:sz w:val="12"/>
        </w:rPr>
        <w:t xml:space="preserve"> (i.e. a unified body politic) </w:t>
      </w:r>
      <w:r w:rsidRPr="00087A72">
        <w:rPr>
          <w:rStyle w:val="StyleUnderline"/>
        </w:rPr>
        <w:t>authorizes, and indeed recruits, escalating violence in the interest of—finally—closing the open.</w:t>
      </w:r>
      <w:r w:rsidRPr="00087A72">
        <w:rPr>
          <w:sz w:val="12"/>
        </w:rPr>
        <w:t xml:space="preserve"> For Žižek, </w:t>
      </w:r>
      <w:r w:rsidRPr="00087A72">
        <w:rPr>
          <w:rStyle w:val="StyleUnderline"/>
        </w:rPr>
        <w:t>this compulsive ‘doubling-down’ in the face of failure to arrive at the impossible horizon of perfection tips towards totalitarian temptation, which</w:t>
      </w:r>
      <w:r w:rsidRPr="00087A72">
        <w:rPr>
          <w:sz w:val="12"/>
        </w:rPr>
        <w:t xml:space="preserve">, he tells us, </w:t>
      </w:r>
      <w:r w:rsidRPr="00087A72">
        <w:rPr>
          <w:rStyle w:val="StyleUnderline"/>
        </w:rPr>
        <w:t>is implicated in the drive to unify a singular body politic, a new man without antagonistic tension. The drive aims for the return to a moment of unity before the intrusion of language and the entrance of the subject into what Lacan calls the Symbolic—the universe of symbols in which all human subjects share. Because this economy of signifiers operates through a modality of difference by association, on the premise that language does not reflect or carry within it universal a priori meaning, spirit, or Truth, signifiers are always and already sliding along a chain of signification that is never truly fixed.</w:t>
      </w:r>
      <w:r w:rsidRPr="00087A72">
        <w:rPr>
          <w:sz w:val="12"/>
        </w:rPr>
        <w:t xml:space="preserve"> Rather, for Lacan, </w:t>
      </w:r>
      <w:r w:rsidRPr="00087A72">
        <w:rPr>
          <w:rStyle w:val="StyleUnderline"/>
        </w:rPr>
        <w:t>meaning is constructed through quilting points, durable concepts that affix ideas to their signifiers and which, in their durability, structure entire fields of meaning.</w:t>
      </w:r>
      <w:r w:rsidRPr="00087A72">
        <w:rPr>
          <w:sz w:val="12"/>
        </w:rPr>
        <w:t xml:space="preserve"> For Lacan, </w:t>
      </w:r>
      <w:r w:rsidRPr="00087A72">
        <w:rPr>
          <w:rStyle w:val="StyleUnderline"/>
        </w:rPr>
        <w:t>subjects are formed by their entrance into this system of sliding difference from a pre-linguistic state retroactively constructed through nostalgic affective associations with unity, perfection, and completion. The loss or lack occurs in the imaginary, the order of presence and absence, and is formalized in the symbolic. This is experienced by the subject as a loss of that to which she/he can never again return, but for which she/he perpetually yearns, and toward which she/he perpetually moves. The circularity of movement toward this impossible horizon is precisely the movement of the drive.</w:t>
      </w:r>
      <w:r w:rsidRPr="00087A72">
        <w:rPr>
          <w:sz w:val="12"/>
        </w:rPr>
        <w:t xml:space="preserve"> It is my argument that the concept of </w:t>
      </w:r>
      <w:r w:rsidRPr="00087A72">
        <w:rPr>
          <w:rStyle w:val="Emphasis"/>
        </w:rPr>
        <w:t>“the Indian” is a quilting point through which the field of politics</w:t>
      </w:r>
      <w:r w:rsidRPr="00087A72">
        <w:rPr>
          <w:sz w:val="12"/>
        </w:rPr>
        <w:t xml:space="preserve"> in Canada </w:t>
      </w:r>
      <w:r w:rsidRPr="00087A72">
        <w:rPr>
          <w:rStyle w:val="Emphasis"/>
        </w:rPr>
        <w:t>is sutured into signification, a durable concept that organizes the meaning of nation, citizen, sovereignty, and subjecthood.</w:t>
      </w:r>
      <w:r w:rsidRPr="00087A72">
        <w:rPr>
          <w:sz w:val="12"/>
        </w:rPr>
        <w:t xml:space="preserve"> Further, </w:t>
      </w:r>
      <w:r w:rsidRPr="00087A72">
        <w:rPr>
          <w:rStyle w:val="StyleUnderline"/>
        </w:rPr>
        <w:t>the hypoxic vision of national unity and a harmonious white(ned) citizenry is a movement propelled by the drive, a circularity impelled by the belief that what is lacking in the present can be made good in the future—an imaginary that activates/harnesses a kind of libidinal energy that is, by its very nature, inexhaustible. It matters, in the instance of the</w:t>
      </w:r>
      <w:r w:rsidRPr="00087A72">
        <w:rPr>
          <w:sz w:val="12"/>
        </w:rPr>
        <w:t xml:space="preserve"> Canadian </w:t>
      </w:r>
      <w:r w:rsidRPr="00087A72">
        <w:rPr>
          <w:rStyle w:val="StyleUnderline"/>
        </w:rPr>
        <w:t>Indian Residential Schools</w:t>
      </w:r>
      <w:r w:rsidRPr="00087A72">
        <w:rPr>
          <w:sz w:val="12"/>
        </w:rPr>
        <w:t xml:space="preserve"> and their mandate, </w:t>
      </w:r>
      <w:r w:rsidRPr="00087A72">
        <w:rPr>
          <w:rStyle w:val="StyleUnderline"/>
        </w:rPr>
        <w:t>that before child subjects enter into the structuration of language/the Symbolic, their bodies are already marked as disprized, abject, inscribed into the signification for, and</w:t>
      </w:r>
      <w:r w:rsidRPr="00087A72">
        <w:rPr>
          <w:sz w:val="12"/>
        </w:rPr>
        <w:t xml:space="preserve">, I argue, </w:t>
      </w:r>
      <w:r w:rsidRPr="00087A72">
        <w:rPr>
          <w:rStyle w:val="StyleUnderline"/>
        </w:rPr>
        <w:t>as, loss itself.</w:t>
      </w:r>
      <w:r w:rsidRPr="00087A72">
        <w:rPr>
          <w:sz w:val="12"/>
        </w:rPr>
        <w:t xml:space="preserve"> As I have argued above, reading through psychoanalytic theory facilitates a conceptualization of subject-formation that includes the role of signification in the contouring of subject/ivities. This analytic rubric is importantly brought to bear in my analysis of “the child” the Canadian Indian Residential School System announces into presence: </w:t>
      </w:r>
      <w:r w:rsidRPr="00087A72">
        <w:rPr>
          <w:rStyle w:val="StyleUnderline"/>
        </w:rPr>
        <w:t>a child fundamentally and constitutively tied to a death whose temporal structure is always deferred, always impartial, always unfolding, and yet always still to be.</w:t>
      </w:r>
      <w:r w:rsidRPr="00087A72">
        <w:rPr>
          <w:sz w:val="12"/>
        </w:rPr>
        <w:t xml:space="preserve"> Indeed, </w:t>
      </w:r>
      <w:r w:rsidRPr="00087A72">
        <w:rPr>
          <w:rStyle w:val="StyleUnderline"/>
        </w:rPr>
        <w:t>even in circumstances in which her/his mode of being in the world is not a deliberate practice of making- spectral, “the child” remains a notoriously ambivalent, slippery signifier. This plasticity</w:t>
      </w:r>
      <w:r w:rsidRPr="00087A72">
        <w:rPr>
          <w:sz w:val="12"/>
        </w:rPr>
        <w:t>—differently stated, this over-abundant availability of “the child” as concept—</w:t>
      </w:r>
      <w:r w:rsidRPr="00087A72">
        <w:rPr>
          <w:rStyle w:val="StyleUnderline"/>
        </w:rPr>
        <w:t>takes on an interesting significance within political thought, functioning not as that which is politicized, but as the signifier in whose name the political mobilizes itself.</w:t>
      </w:r>
      <w:r w:rsidRPr="00087A72">
        <w:rPr>
          <w:sz w:val="12"/>
        </w:rPr>
        <w:t xml:space="preserve"> In this way, </w:t>
      </w:r>
      <w:r w:rsidRPr="00087A72">
        <w:rPr>
          <w:rStyle w:val="StyleUnderline"/>
        </w:rPr>
        <w:t>the child functions as the absolute outside to political thought and the logics of its temporality, functioning instead to condition its possibilities and organize, from beyond its borders, its spatial and temporal limits.</w:t>
      </w:r>
      <w:r w:rsidRPr="00087A72">
        <w:rPr>
          <w:sz w:val="12"/>
        </w:rPr>
        <w:t xml:space="preserve"> An example of this conceptualization of the child as signifier—and certainly one of the more provocative articulations of this phenomena in the contemporary neoliberal moment—is the polemic Lee develops in his monograph No Future: Queer Theory and the Death Drive. For Edelman, the Child—in its conflation with the kind of futurity toward which the teleology of (neo)liberal discourse is mobilized—is not simply important to contemporary politics, but is that which “serves to regulate political discourse [itself]” (ii). Indeed, as Edelman points out, “the figural Child alone embodies the citizen as ideal, entitled to claim full rights to its future share in the nation’s good, though always at the cost of limiting the rights ‘real’ citizens are allowed. For the social exists to preserve for this universalized subject, this fantasmatic Child, a national freedom more highly valued than the actuality of freedom itself” (ii). In Edelman’s polemic, </w:t>
      </w:r>
      <w:r w:rsidRPr="00087A72">
        <w:rPr>
          <w:rStyle w:val="Emphasis"/>
        </w:rPr>
        <w:t>it goes without saying that the figural child is a white child</w:t>
      </w:r>
      <w:r w:rsidRPr="00087A72">
        <w:rPr>
          <w:sz w:val="12"/>
        </w:rPr>
        <w:t xml:space="preserve"> and that children of colour, children of mixed heritage, </w:t>
      </w:r>
      <w:r w:rsidRPr="00087A72">
        <w:rPr>
          <w:rStyle w:val="StyleUnderline"/>
        </w:rPr>
        <w:t>Indian children</w:t>
      </w:r>
      <w:r w:rsidRPr="00087A72">
        <w:rPr>
          <w:sz w:val="12"/>
        </w:rPr>
        <w:t xml:space="preserve">—within the Ideological State Apparatus of the Indian Residential Schools—far from carrying the over-abundant significance Edelman so adeptly parses, signify on only the most spectral of registers. This child, I argue, as a kind of spectral(ized) partial subject, </w:t>
      </w:r>
      <w:r w:rsidRPr="00087A72">
        <w:rPr>
          <w:rStyle w:val="StyleUnderline"/>
        </w:rPr>
        <w:t>instantiates a subjectivity simultaneously over-exposed to the political and over-determined by the word of the law, while barely accorded even the status of bare life. This is a subject that is hailed into a circularity of misrecognition in a relationship with death that is virtually inescapable. This relationship with death is the suture that connects this subject to the social.</w:t>
      </w:r>
      <w:r w:rsidRPr="00087A72">
        <w:rPr>
          <w:sz w:val="12"/>
        </w:rPr>
        <w:t xml:space="preserve"> Edelman’s argument does not address racialized formations of self-hood, but is no less relevant to the argument I seek to develop here. Indeed, it is perhaps all the keener in what it omits—which is the child of color. This omission points to the level of signification and the way in which the whitened child is effortlessly lifted from the problematically raced body—the body whose racialized status is found problematic. This fantasy of purification through signification speaks, in ways that are eloquent and disturbing in equal measure, precisely the fantasy of the Canadian Indian Residential School System: that the body of the Indian could be left behind in a transcendent movement away from the vexatious quagmire posed by the Indian body toward the realm of what Kantian philosophy calls pure spirit, the realm of whiteness, purity, and hypoxic visions of what Edelman calls, “a national freedom more highly valued than the actuality of freedom itself” (ii). This fantasy of corporeal abandonment points to the latent desire of Western philosophical thought that seeks, through the disavowal of bodily finitude and a fetishization of the logos, access to purity of form, a fantasy that relegates, leaves trapped, the sometimes racialized, sometimes feminized other, mired in flesh and finitude from which it is allowed no escape. </w:t>
      </w:r>
      <w:r w:rsidRPr="00087A72">
        <w:rPr>
          <w:rStyle w:val="StyleUnderline"/>
        </w:rPr>
        <w:t>The Indigenous person</w:t>
      </w:r>
      <w:r w:rsidRPr="00087A72">
        <w:rPr>
          <w:sz w:val="12"/>
        </w:rPr>
        <w:t xml:space="preserve">, we remember from Hegel’s Lectures on the Philosophy of World History, </w:t>
      </w:r>
      <w:r w:rsidRPr="00087A72">
        <w:rPr>
          <w:rStyle w:val="StyleUnderline"/>
        </w:rPr>
        <w:t>is imagined as always already outside the teleology of history, already extinct. This way of understanding difference, through the rubric of historical progress, remains central to liberal and neoliberal political thought, economic practices, and policies in the current moment.</w:t>
      </w:r>
      <w:r w:rsidRPr="00087A72">
        <w:rPr>
          <w:sz w:val="12"/>
        </w:rPr>
        <w:t xml:space="preserve"> Prising the child away from the Indian, meanwhile, continues to have important implications in the way we imagine colonial forms, not only of life, but also of death.</w:t>
      </w:r>
    </w:p>
    <w:p w:rsidR="00414088" w:rsidRPr="00087A72" w:rsidRDefault="00414088" w:rsidP="00414088">
      <w:pPr>
        <w:pStyle w:val="Heading4"/>
      </w:pPr>
      <w:r w:rsidRPr="00087A72">
        <w:t>Queerness is predicated on a settler homonormative subjectivity that posits the “ideal” queer body as the white queer settler. This precludes the existence of the two-spirited indigenous body, locking the indigenous body into the violent heteronormative binary</w:t>
      </w:r>
    </w:p>
    <w:p w:rsidR="00414088" w:rsidRPr="00087A72" w:rsidRDefault="00414088" w:rsidP="00414088">
      <w:pPr>
        <w:spacing w:after="297"/>
        <w:ind w:left="-15" w:right="33"/>
        <w:rPr>
          <w:rFonts w:eastAsia="Calibri"/>
          <w:sz w:val="16"/>
        </w:rPr>
      </w:pPr>
      <w:r w:rsidRPr="00087A72">
        <w:rPr>
          <w:rFonts w:eastAsia="Calibri"/>
          <w:b/>
        </w:rPr>
        <w:t>Greensmith and Giwa 13</w:t>
      </w:r>
      <w:r w:rsidRPr="00087A72">
        <w:rPr>
          <w:rFonts w:eastAsia="Calibri"/>
        </w:rPr>
        <w:t xml:space="preserve"> </w:t>
      </w:r>
      <w:r w:rsidRPr="00087A72">
        <w:rPr>
          <w:rFonts w:eastAsia="Calibri"/>
          <w:sz w:val="16"/>
        </w:rPr>
        <w:t>(</w:t>
      </w:r>
      <w:r w:rsidRPr="00087A72">
        <w:rPr>
          <w:rStyle w:val="nlmstring-name"/>
          <w:rFonts w:eastAsiaTheme="majorEastAsia"/>
          <w:color w:val="000000"/>
          <w:sz w:val="16"/>
          <w:szCs w:val="18"/>
        </w:rPr>
        <w:t>Cameron Greensmith</w:t>
      </w:r>
      <w:r w:rsidRPr="00087A72">
        <w:rPr>
          <w:color w:val="000000"/>
          <w:sz w:val="16"/>
          <w:szCs w:val="18"/>
        </w:rPr>
        <w:t xml:space="preserve"> and </w:t>
      </w:r>
      <w:r w:rsidRPr="00087A72">
        <w:rPr>
          <w:rStyle w:val="nlmstring-name"/>
          <w:rFonts w:eastAsiaTheme="majorEastAsia"/>
          <w:color w:val="000000"/>
          <w:sz w:val="16"/>
          <w:szCs w:val="18"/>
        </w:rPr>
        <w:t>Sulaimon Giwa</w:t>
      </w:r>
      <w:r w:rsidRPr="00087A72">
        <w:rPr>
          <w:color w:val="000000"/>
          <w:sz w:val="16"/>
          <w:szCs w:val="18"/>
        </w:rPr>
        <w:t xml:space="preserve"> (</w:t>
      </w:r>
      <w:r w:rsidRPr="00087A72">
        <w:rPr>
          <w:i/>
          <w:iCs/>
          <w:color w:val="000000"/>
          <w:sz w:val="16"/>
          <w:szCs w:val="18"/>
        </w:rPr>
        <w:t>2013</w:t>
      </w:r>
      <w:r w:rsidRPr="00087A72">
        <w:rPr>
          <w:color w:val="000000"/>
          <w:sz w:val="16"/>
          <w:szCs w:val="18"/>
        </w:rPr>
        <w:t>) Challenging Settler Colonialism in Contemporary Queer Politics: Settler Homonationalism, Pride Toronto, and Two-Spirit Subjectivities. American Indian Culture and Research Journal: 2013, Vol. 37, No. 2, pp. 129-148.squirms)</w:t>
      </w:r>
      <w:r w:rsidRPr="00087A72">
        <w:rPr>
          <w:rFonts w:eastAsia="Calibri"/>
          <w:sz w:val="16"/>
        </w:rPr>
        <w:t xml:space="preserve"> </w:t>
      </w:r>
    </w:p>
    <w:p w:rsidR="00414088" w:rsidRPr="00087A72" w:rsidRDefault="00414088" w:rsidP="00414088">
      <w:pPr>
        <w:spacing w:after="297"/>
        <w:ind w:left="-15" w:right="33"/>
        <w:rPr>
          <w:sz w:val="16"/>
        </w:rPr>
      </w:pPr>
      <w:r w:rsidRPr="00087A72">
        <w:rPr>
          <w:b/>
          <w:u w:val="single"/>
        </w:rPr>
        <w:t>Settler homonationalism offers a theoretical framework for unsettling the production of normalized citizen-subjects within disruptions of heteronormativity.</w:t>
      </w:r>
      <w:r w:rsidRPr="00087A72">
        <w:rPr>
          <w:sz w:val="16"/>
        </w:rPr>
        <w:t xml:space="preserve"> </w:t>
      </w:r>
      <w:r w:rsidRPr="00087A72">
        <w:rPr>
          <w:b/>
          <w:u w:val="single"/>
        </w:rPr>
        <w:t>Heteronormativity is defined as the expectations, demands, and constraints produced when heterosexuality is taken for granted and normalized within a society or culture.</w:t>
      </w:r>
      <w:r w:rsidRPr="00087A72">
        <w:rPr>
          <w:sz w:val="16"/>
          <w:vertAlign w:val="superscript"/>
        </w:rPr>
        <w:t>42</w:t>
      </w:r>
      <w:r w:rsidRPr="00087A72">
        <w:rPr>
          <w:sz w:val="16"/>
        </w:rPr>
        <w:t xml:space="preserve"> Typically, Queer and Trans peoples attend Pride Toronto to interrupt heteronormativity—with overt, highly sexual, and very political statements of Queer and Trans identities—by bringing awareness to LGBTTIQQ2S diversity. </w:t>
      </w:r>
      <w:r w:rsidRPr="00087A72">
        <w:rPr>
          <w:b/>
          <w:u w:val="single"/>
        </w:rPr>
        <w:t>While diverse LGBTTIQQ2S communities in Toronto are showcased through the disruption of heteronormativity, they typically reinforce and normalize homonormativity. Lisa Duggan argues that homonormativity “upholds and sustains [heteronormativity] while promising the possibility of a demobilized gay constituency and privatized, depoliticized gay culture anchored in domesticity and consumption.”</w:t>
      </w:r>
      <w:r w:rsidRPr="00087A72">
        <w:rPr>
          <w:u w:val="single"/>
          <w:vertAlign w:val="superscript"/>
        </w:rPr>
        <w:t>43</w:t>
      </w:r>
      <w:r w:rsidRPr="00087A72">
        <w:rPr>
          <w:sz w:val="16"/>
        </w:rPr>
        <w:t xml:space="preserve"> Under the guise of neoliberalism, homonormativity produces and reproduces White gay and lesbian subjectivities. </w:t>
      </w:r>
      <w:r w:rsidRPr="00087A72">
        <w:rPr>
          <w:b/>
          <w:u w:val="single"/>
        </w:rPr>
        <w:t>Dismantling homonormativity brings attention to interlocking identities within queerness, where some</w:t>
      </w:r>
      <w:r w:rsidRPr="00087A72">
        <w:rPr>
          <w:i/>
          <w:u w:val="single"/>
        </w:rPr>
        <w:t xml:space="preserve"> </w:t>
      </w:r>
      <w:r w:rsidRPr="00087A72">
        <w:rPr>
          <w:b/>
          <w:u w:val="single"/>
        </w:rPr>
        <w:t xml:space="preserve">(mostly White) LGBTTIQQ2S identified peoples are afforded privilege (sexual, economic, racial, national, gendered, etc.). </w:t>
      </w:r>
      <w:r w:rsidRPr="00087A72">
        <w:rPr>
          <w:sz w:val="16"/>
        </w:rPr>
        <w:t>In settler-colonial Australia, Mark Markwel engaged with the hegemonic gay-male participation in Mardi Gras festivals and argued that “full participation in the festival is an expensive undertaking, especially when coupled with the costs of outfits; body treatments such as waxing, tanning, gym training, hairstyling, and party drugs; and, for tourists, accommodation and transportation costs.”</w:t>
      </w:r>
      <w:r w:rsidRPr="00087A72">
        <w:rPr>
          <w:sz w:val="16"/>
          <w:vertAlign w:val="superscript"/>
        </w:rPr>
        <w:t>44</w:t>
      </w:r>
      <w:r w:rsidRPr="00087A72">
        <w:rPr>
          <w:sz w:val="16"/>
        </w:rPr>
        <w:t xml:space="preserve"> </w:t>
      </w:r>
      <w:r w:rsidRPr="00087A72">
        <w:rPr>
          <w:b/>
          <w:u w:val="single"/>
        </w:rPr>
        <w:t>This perception of a normalized Pride participant obscures LGBTTIQQ2S peoples who live in poverty, are homeless, or are unable to participate for economic reasons.</w:t>
      </w:r>
      <w:r w:rsidRPr="00087A72">
        <w:rPr>
          <w:u w:val="single"/>
          <w:vertAlign w:val="superscript"/>
        </w:rPr>
        <w:t>45</w:t>
      </w:r>
      <w:r w:rsidRPr="00087A72">
        <w:rPr>
          <w:b/>
          <w:u w:val="single"/>
        </w:rPr>
        <w:t xml:space="preserve"> In this and other ways, Pride festivals produce homonormativity, masking and excluding already-marginalized representations of gendered and sexual difference</w:t>
      </w:r>
      <w:r w:rsidRPr="00087A72">
        <w:rPr>
          <w:sz w:val="16"/>
        </w:rPr>
        <w:t xml:space="preserve">. Pride festivals continue to be marketed as political, even as they are premised on the ability to consume. </w:t>
      </w:r>
      <w:r w:rsidRPr="00087A72">
        <w:rPr>
          <w:b/>
          <w:u w:val="single"/>
        </w:rPr>
        <w:t>The normalized Queer identity marketed by and within Pride festivals can itself be understood as homonormative. Jasbir Puar pushes Duggan’s use of homonormativity as it connects to the biopolitics of queerness,</w:t>
      </w:r>
      <w:r w:rsidRPr="00087A72">
        <w:rPr>
          <w:u w:val="single"/>
          <w:vertAlign w:val="superscript"/>
        </w:rPr>
        <w:t>46</w:t>
      </w:r>
      <w:r w:rsidRPr="00087A72">
        <w:rPr>
          <w:b/>
          <w:u w:val="single"/>
        </w:rPr>
        <w:t xml:space="preserve"> arguing that queerness is normalized within a neoliberal privatization of affect through its pandering for state and market recognition, its limited focus on rights, and its focus on same-but-different normalcy practices.</w:t>
      </w:r>
      <w:r w:rsidRPr="00087A72">
        <w:rPr>
          <w:u w:val="single"/>
          <w:vertAlign w:val="superscript"/>
        </w:rPr>
        <w:t>47</w:t>
      </w:r>
      <w:r w:rsidRPr="00087A72">
        <w:rPr>
          <w:b/>
          <w:u w:val="single"/>
        </w:rPr>
        <w:t xml:space="preserve"> Puar further posits that homonormativity is essential to the development of homonationalism</w:t>
      </w:r>
      <w:r w:rsidRPr="00087A72">
        <w:rPr>
          <w:sz w:val="16"/>
        </w:rPr>
        <w:t>.</w:t>
      </w:r>
      <w:r w:rsidRPr="00087A72">
        <w:rPr>
          <w:sz w:val="16"/>
          <w:vertAlign w:val="superscript"/>
        </w:rPr>
        <w:t>48</w:t>
      </w:r>
      <w:r w:rsidRPr="00087A72">
        <w:rPr>
          <w:sz w:val="16"/>
        </w:rPr>
        <w:t xml:space="preserve"> </w:t>
      </w:r>
      <w:r w:rsidRPr="00087A72">
        <w:rPr>
          <w:b/>
          <w:u w:val="single"/>
        </w:rPr>
        <w:t>Homonationalism requires Queers to be complicit in nationalistic projects that renounce and enact violence upon racialized and colonized peoples.</w:t>
      </w:r>
      <w:r w:rsidRPr="00087A72">
        <w:rPr>
          <w:u w:val="single"/>
          <w:vertAlign w:val="superscript"/>
        </w:rPr>
        <w:t>49</w:t>
      </w:r>
      <w:r w:rsidRPr="00087A72">
        <w:rPr>
          <w:b/>
          <w:u w:val="single"/>
        </w:rPr>
        <w:t xml:space="preserve"> The normalization of sexual subjects evokes the biopolitics of homonationalism: racialized subjects are excluded from White articulations of queerness and are simultaneously made Queer (monstrous, feminized, and abnormal).</w:t>
      </w:r>
      <w:r w:rsidRPr="00087A72">
        <w:rPr>
          <w:u w:val="single"/>
          <w:vertAlign w:val="superscript"/>
        </w:rPr>
        <w:t>50</w:t>
      </w:r>
      <w:r w:rsidRPr="00087A72">
        <w:rPr>
          <w:b/>
          <w:u w:val="single"/>
        </w:rPr>
        <w:t xml:space="preserve"> Homonationalism becomes a theoretical and activist tool because Queer citizen-subjects are implicated and complicit in projects of nationalism that deploy Whiteness as normal and natural</w:t>
      </w:r>
      <w:r w:rsidRPr="00087A72">
        <w:rPr>
          <w:sz w:val="16"/>
        </w:rPr>
        <w:t xml:space="preserve">. </w:t>
      </w:r>
      <w:r w:rsidRPr="00087A72">
        <w:rPr>
          <w:b/>
          <w:u w:val="single"/>
        </w:rPr>
        <w:t>Morgensen utilizes Puar’s homonationalism to take into account the biopolitics of settler colonialism that erases Indigenous peoples from the contemporary landscape and from settler sexuality.</w:t>
      </w:r>
      <w:r w:rsidRPr="00087A72">
        <w:rPr>
          <w:u w:val="single"/>
          <w:vertAlign w:val="superscript"/>
        </w:rPr>
        <w:t>51</w:t>
      </w:r>
      <w:r w:rsidRPr="00087A72">
        <w:rPr>
          <w:sz w:val="16"/>
        </w:rPr>
        <w:t xml:space="preserve"> Morgensen asserts that settler homonationalism is “an effect of U.S. [Q]ueer modernities forming amid the conquest of Native peoples and the settling of land.”</w:t>
      </w:r>
      <w:r w:rsidRPr="00087A72">
        <w:rPr>
          <w:sz w:val="16"/>
          <w:vertAlign w:val="superscript"/>
        </w:rPr>
        <w:t>52</w:t>
      </w:r>
      <w:r w:rsidRPr="00087A72">
        <w:rPr>
          <w:sz w:val="16"/>
        </w:rPr>
        <w:t xml:space="preserve"> The settler subject is entangled with the Queer subject, which typically pins queerness onto the bodies of non-Natives.</w:t>
      </w:r>
      <w:r w:rsidRPr="00087A72">
        <w:rPr>
          <w:sz w:val="16"/>
          <w:vertAlign w:val="superscript"/>
        </w:rPr>
        <w:t>53</w:t>
      </w:r>
      <w:r w:rsidRPr="00087A72">
        <w:rPr>
          <w:sz w:val="16"/>
        </w:rPr>
        <w:t xml:space="preserve"> </w:t>
      </w:r>
      <w:r w:rsidRPr="00087A72">
        <w:rPr>
          <w:b/>
          <w:u w:val="single"/>
        </w:rPr>
        <w:t>Settler homonationalism, moreover, is produced within contemporary Queer politics when Queer subjects are created “as agents of the violence of the settler state.”</w:t>
      </w:r>
      <w:r w:rsidRPr="00087A72">
        <w:rPr>
          <w:sz w:val="16"/>
          <w:vertAlign w:val="superscript"/>
        </w:rPr>
        <w:t>54</w:t>
      </w:r>
      <w:r w:rsidRPr="00087A72">
        <w:rPr>
          <w:sz w:val="16"/>
        </w:rPr>
        <w:t xml:space="preserve"> Morgensen implicates modern </w:t>
      </w:r>
      <w:r w:rsidRPr="00087A72">
        <w:rPr>
          <w:b/>
          <w:u w:val="single"/>
        </w:rPr>
        <w:t>Queer politics in a US context as repudiating Indigenous sovereignty and self-determination through modalities of neoliberalism and Queer settler liberation</w:t>
      </w:r>
      <w:r w:rsidRPr="00087A72">
        <w:rPr>
          <w:sz w:val="16"/>
        </w:rPr>
        <w:t>.</w:t>
      </w:r>
      <w:r w:rsidRPr="00087A72">
        <w:rPr>
          <w:sz w:val="16"/>
          <w:vertAlign w:val="superscript"/>
        </w:rPr>
        <w:t>55</w:t>
      </w:r>
      <w:r w:rsidRPr="00087A72">
        <w:rPr>
          <w:sz w:val="16"/>
        </w:rPr>
        <w:t xml:space="preserve"> Pride Toronto’s Queer politics are typically entrenched in neoliberal consumption practices, in which </w:t>
      </w:r>
      <w:r w:rsidRPr="00087A72">
        <w:rPr>
          <w:rStyle w:val="Emphasis"/>
        </w:rPr>
        <w:t>modalities of Queer inclusion reify settler homonationalism by disavowing Indigenous gendered and sexual differences, divergent modalities of sovereignty, and Indigenous decolonization</w:t>
      </w:r>
      <w:r w:rsidRPr="00087A72">
        <w:rPr>
          <w:sz w:val="16"/>
        </w:rPr>
        <w:t xml:space="preserve">. </w:t>
      </w:r>
    </w:p>
    <w:p w:rsidR="00414088" w:rsidRPr="00087A72" w:rsidRDefault="00414088" w:rsidP="00414088">
      <w:pPr>
        <w:pStyle w:val="Heading4"/>
        <w:rPr>
          <w:rFonts w:cstheme="majorHAnsi"/>
        </w:rPr>
      </w:pPr>
      <w:r w:rsidRPr="00087A72">
        <w:rPr>
          <w:rFonts w:cstheme="majorHAnsi"/>
        </w:rPr>
        <w:t xml:space="preserve">Affirmations of immigrants constitutes a discursive mythology of </w:t>
      </w:r>
      <w:r w:rsidRPr="00087A72">
        <w:rPr>
          <w:rStyle w:val="Style13ptBold"/>
          <w:rFonts w:cstheme="majorHAnsi"/>
          <w:b/>
        </w:rPr>
        <w:t>immigration</w:t>
      </w:r>
      <w:r w:rsidRPr="00087A72">
        <w:rPr>
          <w:rFonts w:cstheme="majorHAnsi"/>
        </w:rPr>
        <w:t xml:space="preserve"> which renders the erasure of the indigenous savage inevitable – immigrant social justice cannot be fused with indigenous struggle</w:t>
      </w:r>
    </w:p>
    <w:p w:rsidR="00414088" w:rsidRPr="00087A72" w:rsidRDefault="00414088" w:rsidP="00414088">
      <w:pPr>
        <w:rPr>
          <w:rFonts w:cstheme="majorHAnsi"/>
        </w:rPr>
      </w:pPr>
      <w:r w:rsidRPr="00087A72">
        <w:rPr>
          <w:rStyle w:val="Style13ptBold"/>
          <w:rFonts w:cstheme="majorHAnsi"/>
        </w:rPr>
        <w:t>Dauvergne 16</w:t>
      </w:r>
      <w:r w:rsidRPr="00087A72">
        <w:rPr>
          <w:rFonts w:cstheme="majorHAnsi"/>
        </w:rPr>
        <w:t xml:space="preserve"> (Catherine, She is the eighth dean of the Peter A. Allard School of Law. Professor Dauvergne has been working in the area of refugee, immigration, and citizenship law over the past quarter of a century, “Immigration and the End of Settler Societies”,</w:t>
      </w:r>
      <w:r w:rsidRPr="00087A72">
        <w:rPr>
          <w:rFonts w:cstheme="majorHAnsi"/>
          <w:i/>
        </w:rPr>
        <w:t xml:space="preserve"> Cambridge University Press</w:t>
      </w:r>
      <w:r w:rsidRPr="00087A72">
        <w:rPr>
          <w:rFonts w:cstheme="majorHAnsi"/>
        </w:rPr>
        <w:t>, pp. 10-13)//vikas</w:t>
      </w:r>
    </w:p>
    <w:p w:rsidR="00414088" w:rsidRPr="00087A72" w:rsidRDefault="00414088" w:rsidP="00414088">
      <w:pPr>
        <w:rPr>
          <w:rFonts w:cstheme="majorHAnsi"/>
          <w:sz w:val="16"/>
        </w:rPr>
      </w:pPr>
      <w:r w:rsidRPr="00087A72">
        <w:rPr>
          <w:rFonts w:cstheme="majorHAnsi"/>
          <w:sz w:val="16"/>
        </w:rPr>
        <w:t xml:space="preserve">Throughout the entire first century of global migration regulation, from the early 1900s to the present, a distinction between settler societies and others has informed and predicted patterns of migration and migration regulation. This distinction served as a guide to strategies of recruitment and reception, to global alliances around migration questions, to approaches to asylum, and to citizenship. This era has now come to a close. The work of this book is to demonstrate how and why this is so, and to outline what new predictors or patterns of migration and migration regulation may now be valuable. </w:t>
      </w:r>
      <w:r w:rsidRPr="00087A72">
        <w:rPr>
          <w:rStyle w:val="Emphasis"/>
          <w:rFonts w:cstheme="majorHAnsi"/>
        </w:rPr>
        <w:t>Global migration regulation first developed in</w:t>
      </w:r>
      <w:r w:rsidRPr="00087A72">
        <w:rPr>
          <w:rFonts w:cstheme="majorHAnsi"/>
          <w:sz w:val="16"/>
        </w:rPr>
        <w:t xml:space="preserve"> the context of </w:t>
      </w:r>
      <w:r w:rsidRPr="00087A72">
        <w:rPr>
          <w:rStyle w:val="Emphasis"/>
          <w:rFonts w:cstheme="majorHAnsi"/>
        </w:rPr>
        <w:t>settler societies</w:t>
      </w:r>
      <w:r w:rsidRPr="00087A72">
        <w:rPr>
          <w:rFonts w:cstheme="majorHAnsi"/>
          <w:b/>
          <w:u w:val="single"/>
        </w:rPr>
        <w:t>, and their demise contains key markers</w:t>
      </w:r>
      <w:r w:rsidRPr="00087A72">
        <w:rPr>
          <w:rFonts w:cstheme="majorHAnsi"/>
          <w:sz w:val="16"/>
        </w:rPr>
        <w:t xml:space="preserve"> for the future. To understand why any of this matters, however, it is first crucial to understand how </w:t>
      </w:r>
      <w:r w:rsidRPr="00087A72">
        <w:rPr>
          <w:rFonts w:cstheme="majorHAnsi"/>
          <w:b/>
          <w:u w:val="single"/>
        </w:rPr>
        <w:t>the concept of a settler society ordered global migration for more than a century</w:t>
      </w:r>
      <w:r w:rsidRPr="00087A72">
        <w:rPr>
          <w:rFonts w:cstheme="majorHAnsi"/>
          <w:sz w:val="16"/>
        </w:rPr>
        <w:t xml:space="preserve">. This chapter begins with unraveling this ordering, and then examines the legal architecture of migration in the settler society and considers the insights of critiques of the settler society concept. </w:t>
      </w:r>
      <w:r w:rsidRPr="00087A72">
        <w:rPr>
          <w:rFonts w:cstheme="majorHAnsi"/>
          <w:b/>
          <w:u w:val="single"/>
        </w:rPr>
        <w:t>Settler society</w:t>
      </w:r>
      <w:r w:rsidRPr="00087A72">
        <w:rPr>
          <w:rFonts w:cstheme="majorHAnsi"/>
          <w:sz w:val="16"/>
        </w:rPr>
        <w:t xml:space="preserve"> is not a scientific category. It </w:t>
      </w:r>
      <w:r w:rsidRPr="00087A72">
        <w:rPr>
          <w:rFonts w:cstheme="majorHAnsi"/>
          <w:b/>
          <w:u w:val="single"/>
        </w:rPr>
        <w:t>is an idea with a core of meaning, and considerable slippage around the edges.</w:t>
      </w:r>
      <w:r w:rsidRPr="00087A72">
        <w:rPr>
          <w:rFonts w:cstheme="majorHAnsi"/>
          <w:sz w:val="16"/>
        </w:rPr>
        <w:t xml:space="preserve"> One is just as likely to see the term used by social commentators and politicians as by academics. This low-key omnipresence is part of its importance – it has slipped into everyday discourse. A rigorous definition is not helpful, as my purpose is not to stake out and police boundaries of a certain category. Indeed, some of the work of this book depends on a degree of wobbliness in the concept, on its ability to mean different things at different times or for different people. But it is important to set out the broad parameters of the idea. When a journalist, a politician, or a geographer talks about a settler society, we do know what they mean.1 </w:t>
      </w:r>
      <w:r w:rsidRPr="00087A72">
        <w:rPr>
          <w:rStyle w:val="Emphasis"/>
          <w:rFonts w:cstheme="majorHAnsi"/>
        </w:rPr>
        <w:t>A mythology of immigration is the core of the settler society.</w:t>
      </w:r>
      <w:r w:rsidRPr="00087A72">
        <w:rPr>
          <w:rFonts w:cstheme="majorHAnsi"/>
          <w:b/>
          <w:u w:val="single"/>
        </w:rPr>
        <w:t xml:space="preserve"> Settler societies were built from</w:t>
      </w:r>
      <w:r w:rsidRPr="00087A72">
        <w:rPr>
          <w:rFonts w:cstheme="majorHAnsi"/>
          <w:sz w:val="16"/>
        </w:rPr>
        <w:t xml:space="preserve"> the ground up by </w:t>
      </w:r>
      <w:r w:rsidRPr="00087A72">
        <w:rPr>
          <w:rFonts w:cstheme="majorHAnsi"/>
          <w:b/>
          <w:u w:val="single"/>
        </w:rPr>
        <w:t>people who left European nations and sought</w:t>
      </w:r>
      <w:r w:rsidRPr="00087A72">
        <w:rPr>
          <w:rFonts w:cstheme="majorHAnsi"/>
          <w:sz w:val="16"/>
        </w:rPr>
        <w:t xml:space="preserve"> permanent </w:t>
      </w:r>
      <w:r w:rsidRPr="00087A72">
        <w:rPr>
          <w:rFonts w:cstheme="majorHAnsi"/>
          <w:b/>
          <w:u w:val="single"/>
        </w:rPr>
        <w:t>homes in the New World.</w:t>
      </w:r>
      <w:r w:rsidRPr="00087A72">
        <w:rPr>
          <w:rFonts w:cstheme="majorHAnsi"/>
          <w:sz w:val="16"/>
        </w:rPr>
        <w:t xml:space="preserve"> In an era of colonial empires, settler societies were a distinct chapter in the dominant colonizing narrative. While these were, of course, colonies of European empires, their ostensible “emptiness” distinguished them from colonies in Africa, Asia, and the Indian subcontinent. </w:t>
      </w:r>
      <w:r w:rsidRPr="00087A72">
        <w:rPr>
          <w:rStyle w:val="Emphasis"/>
          <w:rFonts w:cstheme="majorHAnsi"/>
        </w:rPr>
        <w:t>Settler societies were not simply colonized; they were populated</w:t>
      </w:r>
      <w:r w:rsidRPr="00087A72">
        <w:rPr>
          <w:rFonts w:cstheme="majorHAnsi"/>
          <w:sz w:val="16"/>
        </w:rPr>
        <w:t xml:space="preserve"> by Europeans. So complete were these acts of population that the societies came to regard themselves as somehow European. For the settler society, immigration was a nation-building imperative. One of the imprecisions in understanding settler societies turns on whether to draw a distinction between those places where European settlement came to completely dominate and define, and those places where resistance to settlement was more robust, and thus by the early twenty-first century they are no longer completely defined by their settlers. For this reason, Australia, Canada, the United States, and New Zealand are the paradigmatic settler societies. South Africa, Zimbabwe, Mexico, Peru, Israel, Algeria, and others fit more awkwardly into the box. One way to capture this distinction is to consider how the settler society emerges from colonial status. The processes bringing independence to settler societies do not belong to the late-twentieth-century story of decolonization. In the case of the United States, independence was staked out well before the first era of massive global migration. For the other three exemplars, independence was an incremental and amiable process. The ongoing struggles of decolonization are not part of the narrative in either case, and most of the rubric of the post-colonial is inapt. The centrality of immigration mythology has several vital consequences. First among these is that </w:t>
      </w:r>
      <w:r w:rsidRPr="00087A72">
        <w:rPr>
          <w:rFonts w:cstheme="majorHAnsi"/>
          <w:b/>
          <w:u w:val="single"/>
        </w:rPr>
        <w:t>the paradigmatic settler societies</w:t>
      </w:r>
      <w:r w:rsidRPr="00087A72">
        <w:rPr>
          <w:rFonts w:cstheme="majorHAnsi"/>
          <w:sz w:val="16"/>
        </w:rPr>
        <w:t xml:space="preserve">, Canada, Australia, New Zealand, and the United States, </w:t>
      </w:r>
      <w:r w:rsidRPr="00087A72">
        <w:rPr>
          <w:rFonts w:cstheme="majorHAnsi"/>
          <w:b/>
          <w:u w:val="single"/>
        </w:rPr>
        <w:t xml:space="preserve">understand themselves as being nations built through migration. </w:t>
      </w:r>
      <w:r w:rsidRPr="00087A72">
        <w:rPr>
          <w:rFonts w:cstheme="majorHAnsi"/>
          <w:sz w:val="16"/>
        </w:rPr>
        <w:t xml:space="preserve">While this story plays out differently in each of these places, the </w:t>
      </w:r>
      <w:r w:rsidRPr="00087A72">
        <w:rPr>
          <w:rFonts w:cstheme="majorHAnsi"/>
          <w:b/>
          <w:u w:val="single"/>
        </w:rPr>
        <w:t>variations do not disrupt a strong migration core to the story of national identity.</w:t>
      </w:r>
      <w:r w:rsidRPr="00087A72">
        <w:rPr>
          <w:rFonts w:cstheme="majorHAnsi"/>
          <w:sz w:val="16"/>
        </w:rPr>
        <w:t xml:space="preserve"> In the United States the War of Independence and the Civil War are foundational moments but the founders themselves are from else- where. Canada cogitates on the French fact in Quebec, and Australia in its maturity embraces the convict stain. Possibly the greatest variation of the narrative is heard in New Zealand, where the indigenous Maori have been more persistent than original inhabitants in the other three, and thus the mythology of immigration as foundational has been more persistently disrupted. Perhaps this is why, of these four countries, only New Zealand does not have a major national immigration museum.2 There is a certain irony here, of course, as the contemporary prominence of the Maori as compared to indigenous populations elsewhere is partially related to New Zealand’s measured approach to immigration in the early settler colonial period. Aiming to build a “better Britain,” New Zealand focused on migrant purity and thus reduced migrant numbers, and this is a contributing factor to somewhat less complete dominance over the indigenous population.3 Within this group, Canada, Australia, and New Zealand are often selected as the comparator group, and the United States is considered to be the outlier.4 This grouping places the emphasis on colonial history. From my perspective, however, the United States fits squarely in the frame, as my focus is on the place of immigration in national institutions and the contemporary shape of immigration policies and politics. Excluding the United States from this picture amounts to excluding the most powerful example of all. The inter- twining of migration and national identity is part of the settler ethos, and reaches all aspects of the national imagination. </w:t>
      </w:r>
      <w:r w:rsidRPr="00087A72">
        <w:rPr>
          <w:rFonts w:cstheme="majorHAnsi"/>
          <w:b/>
          <w:u w:val="single"/>
        </w:rPr>
        <w:t>This is a key aspect of national identity in the United States</w:t>
      </w:r>
      <w:r w:rsidRPr="00087A72">
        <w:rPr>
          <w:rFonts w:cstheme="majorHAnsi"/>
          <w:sz w:val="16"/>
        </w:rPr>
        <w:t xml:space="preserve">, possibly more strongly embraced than anywhere else on Earth. In each state, </w:t>
      </w:r>
      <w:r w:rsidRPr="00087A72">
        <w:rPr>
          <w:rFonts w:cstheme="majorHAnsi"/>
          <w:b/>
          <w:u w:val="single"/>
        </w:rPr>
        <w:t>this intertwining continues to shape migration policy and politics</w:t>
      </w:r>
      <w:r w:rsidRPr="00087A72">
        <w:rPr>
          <w:rFonts w:cstheme="majorHAnsi"/>
          <w:sz w:val="16"/>
        </w:rPr>
        <w:t xml:space="preserve">. The United States examples of the </w:t>
      </w:r>
      <w:r w:rsidRPr="00087A72">
        <w:rPr>
          <w:rStyle w:val="Emphasis"/>
          <w:rFonts w:cstheme="majorHAnsi"/>
        </w:rPr>
        <w:t>green card lottery and contemporary DREAM Act activism</w:t>
      </w:r>
      <w:r w:rsidRPr="00087A72">
        <w:rPr>
          <w:rFonts w:cstheme="majorHAnsi"/>
          <w:b/>
          <w:u w:val="single"/>
        </w:rPr>
        <w:t xml:space="preserve"> are</w:t>
      </w:r>
      <w:r w:rsidRPr="00087A72">
        <w:rPr>
          <w:rFonts w:cstheme="majorHAnsi"/>
          <w:sz w:val="16"/>
        </w:rPr>
        <w:t xml:space="preserve"> among the most poignant </w:t>
      </w:r>
      <w:r w:rsidRPr="00087A72">
        <w:rPr>
          <w:rFonts w:cstheme="majorHAnsi"/>
          <w:b/>
          <w:u w:val="single"/>
        </w:rPr>
        <w:t>examples.</w:t>
      </w:r>
      <w:r w:rsidRPr="00087A72">
        <w:rPr>
          <w:rFonts w:cstheme="majorHAnsi"/>
          <w:sz w:val="16"/>
        </w:rPr>
        <w:t xml:space="preserve"> Another distinguishing feature of the settler society is that </w:t>
      </w:r>
      <w:r w:rsidRPr="00087A72">
        <w:rPr>
          <w:rFonts w:cstheme="majorHAnsi"/>
          <w:b/>
          <w:u w:val="single"/>
        </w:rPr>
        <w:t xml:space="preserve">the </w:t>
      </w:r>
      <w:r w:rsidRPr="00087A72">
        <w:rPr>
          <w:rStyle w:val="Emphasis"/>
          <w:rFonts w:cstheme="majorHAnsi"/>
        </w:rPr>
        <w:t>mythology of migration has been</w:t>
      </w:r>
      <w:r w:rsidRPr="00087A72">
        <w:rPr>
          <w:rFonts w:cstheme="majorHAnsi"/>
          <w:sz w:val="16"/>
        </w:rPr>
        <w:t xml:space="preserve">, throughout most of these nations’ histories, </w:t>
      </w:r>
      <w:r w:rsidRPr="00087A72">
        <w:rPr>
          <w:rStyle w:val="Emphasis"/>
          <w:rFonts w:cstheme="majorHAnsi"/>
        </w:rPr>
        <w:t xml:space="preserve">translated into a contemporary commitment to ongoing migration. </w:t>
      </w:r>
      <w:r w:rsidRPr="00087A72">
        <w:rPr>
          <w:rFonts w:cstheme="majorHAnsi"/>
          <w:b/>
          <w:u w:val="single"/>
        </w:rPr>
        <w:t>These</w:t>
      </w:r>
      <w:r w:rsidRPr="00087A72">
        <w:rPr>
          <w:rFonts w:cstheme="majorHAnsi"/>
          <w:sz w:val="16"/>
        </w:rPr>
        <w:t xml:space="preserve"> countries </w:t>
      </w:r>
      <w:r w:rsidRPr="00087A72">
        <w:rPr>
          <w:rFonts w:cstheme="majorHAnsi"/>
          <w:b/>
          <w:u w:val="single"/>
        </w:rPr>
        <w:t>were</w:t>
      </w:r>
      <w:r w:rsidRPr="00087A72">
        <w:rPr>
          <w:rFonts w:cstheme="majorHAnsi"/>
          <w:sz w:val="16"/>
        </w:rPr>
        <w:t xml:space="preserve"> the </w:t>
      </w:r>
      <w:r w:rsidRPr="00087A72">
        <w:rPr>
          <w:rFonts w:cstheme="majorHAnsi"/>
          <w:b/>
          <w:u w:val="single"/>
        </w:rPr>
        <w:t xml:space="preserve">predominant recipients of much of the great wave of global migration </w:t>
      </w:r>
      <w:r w:rsidRPr="00087A72">
        <w:rPr>
          <w:rFonts w:cstheme="majorHAnsi"/>
          <w:sz w:val="16"/>
        </w:rPr>
        <w:t xml:space="preserve">that took place </w:t>
      </w:r>
      <w:r w:rsidRPr="00087A72">
        <w:rPr>
          <w:rFonts w:cstheme="majorHAnsi"/>
          <w:b/>
          <w:u w:val="single"/>
        </w:rPr>
        <w:t>between the late 1880s and early 1920s.</w:t>
      </w:r>
      <w:r w:rsidRPr="00087A72">
        <w:rPr>
          <w:rFonts w:cstheme="majorHAnsi"/>
          <w:sz w:val="16"/>
        </w:rPr>
        <w:t xml:space="preserve"> David Held and his co-authors published an analysis comparing the intensity and effects of various phases of global migration and concluded that what they termed the “trans- atlantic surge of 1880 to 1920” was the most intense phase of global migration up to their 1999 publication date. Whether current conditions would exceed that surge on Held’s measurement is unclear.5 While widespread immigration restriction began in earnest in the early decades of the twentieth century, </w:t>
      </w:r>
      <w:r w:rsidRPr="00087A72">
        <w:rPr>
          <w:rFonts w:cstheme="majorHAnsi"/>
          <w:b/>
          <w:u w:val="single"/>
        </w:rPr>
        <w:t xml:space="preserve">these </w:t>
      </w:r>
      <w:r w:rsidRPr="00087A72">
        <w:rPr>
          <w:rStyle w:val="Emphasis"/>
          <w:rFonts w:cstheme="majorHAnsi"/>
        </w:rPr>
        <w:t>states continued to welcome many categories of migrants</w:t>
      </w:r>
      <w:r w:rsidRPr="00087A72">
        <w:rPr>
          <w:rFonts w:cstheme="majorHAnsi"/>
          <w:sz w:val="16"/>
        </w:rPr>
        <w:t xml:space="preserve">. Rather than closing their doors completely, </w:t>
      </w:r>
      <w:r w:rsidRPr="00087A72">
        <w:rPr>
          <w:rFonts w:cstheme="majorHAnsi"/>
          <w:b/>
          <w:u w:val="single"/>
        </w:rPr>
        <w:t xml:space="preserve">they sought </w:t>
      </w:r>
      <w:r w:rsidRPr="00087A72">
        <w:rPr>
          <w:rStyle w:val="Emphasis"/>
          <w:rFonts w:cstheme="majorHAnsi"/>
        </w:rPr>
        <w:t>to organize and control who would enter</w:t>
      </w:r>
      <w:r w:rsidRPr="00087A72">
        <w:rPr>
          <w:rFonts w:cstheme="majorHAnsi"/>
          <w:sz w:val="16"/>
        </w:rPr>
        <w:t xml:space="preserve">. And throughout the twentieth century, at varying points, each sought out particular groups of migrants as a remedy for some social or economic ill. Indeed, even into the second decade of the twenty-first century, Canada, Australia, and New Zealand are actively recruiting migrants in specified categories, and </w:t>
      </w:r>
      <w:r w:rsidRPr="00087A72">
        <w:rPr>
          <w:rFonts w:cstheme="majorHAnsi"/>
          <w:b/>
          <w:u w:val="single"/>
        </w:rPr>
        <w:t>the United States continues to be home to more permanent and temporary migrants than any other nation on earth.</w:t>
      </w:r>
      <w:r w:rsidRPr="00087A72">
        <w:rPr>
          <w:rFonts w:cstheme="majorHAnsi"/>
          <w:sz w:val="16"/>
        </w:rPr>
        <w:t xml:space="preserve">6 The </w:t>
      </w:r>
      <w:r w:rsidRPr="00087A72">
        <w:rPr>
          <w:rFonts w:cstheme="majorHAnsi"/>
          <w:b/>
          <w:u w:val="single"/>
        </w:rPr>
        <w:t>commitment to migration in these states has been deep and ongoing.</w:t>
      </w:r>
      <w:r w:rsidRPr="00087A72">
        <w:rPr>
          <w:rFonts w:cstheme="majorHAnsi"/>
          <w:sz w:val="16"/>
        </w:rPr>
        <w:t xml:space="preserve"> The shared </w:t>
      </w:r>
      <w:r w:rsidRPr="00087A72">
        <w:rPr>
          <w:rStyle w:val="Emphasis"/>
          <w:rFonts w:cstheme="majorHAnsi"/>
        </w:rPr>
        <w:t>mythology of immigration</w:t>
      </w:r>
      <w:r w:rsidRPr="00087A72">
        <w:rPr>
          <w:rFonts w:cstheme="majorHAnsi"/>
          <w:sz w:val="16"/>
        </w:rPr>
        <w:t xml:space="preserve"> also </w:t>
      </w:r>
      <w:r w:rsidRPr="00087A72">
        <w:rPr>
          <w:rStyle w:val="Emphasis"/>
          <w:rFonts w:cstheme="majorHAnsi"/>
        </w:rPr>
        <w:t>serves to mask the savage destruction of indigenous peoples</w:t>
      </w:r>
      <w:r w:rsidRPr="00087A72">
        <w:rPr>
          <w:rFonts w:cstheme="majorHAnsi"/>
          <w:b/>
          <w:u w:val="single"/>
        </w:rPr>
        <w:t xml:space="preserve"> and ways of life that is</w:t>
      </w:r>
      <w:r w:rsidRPr="00087A72">
        <w:rPr>
          <w:rFonts w:cstheme="majorHAnsi"/>
          <w:sz w:val="16"/>
        </w:rPr>
        <w:t xml:space="preserve"> also </w:t>
      </w:r>
      <w:r w:rsidRPr="00087A72">
        <w:rPr>
          <w:rFonts w:cstheme="majorHAnsi"/>
          <w:b/>
          <w:u w:val="single"/>
        </w:rPr>
        <w:t>shared across these nations. The</w:t>
      </w:r>
      <w:r w:rsidRPr="00087A72">
        <w:rPr>
          <w:rFonts w:cstheme="majorHAnsi"/>
          <w:sz w:val="16"/>
        </w:rPr>
        <w:t xml:space="preserve"> very </w:t>
      </w:r>
      <w:r w:rsidRPr="00087A72">
        <w:rPr>
          <w:rFonts w:cstheme="majorHAnsi"/>
          <w:b/>
          <w:u w:val="single"/>
        </w:rPr>
        <w:t>idea of “settlers” suggests that there was a wild land in need of taming</w:t>
      </w:r>
      <w:r w:rsidRPr="00087A72">
        <w:rPr>
          <w:rFonts w:cstheme="majorHAnsi"/>
          <w:sz w:val="16"/>
        </w:rPr>
        <w:t xml:space="preserve">, of settlement. And thus in each of these places </w:t>
      </w:r>
      <w:r w:rsidRPr="00087A72">
        <w:rPr>
          <w:rFonts w:cstheme="majorHAnsi"/>
          <w:b/>
          <w:u w:val="single"/>
        </w:rPr>
        <w:t xml:space="preserve">the </w:t>
      </w:r>
      <w:r w:rsidRPr="00087A72">
        <w:rPr>
          <w:rStyle w:val="Emphasis"/>
          <w:rFonts w:cstheme="majorHAnsi"/>
        </w:rPr>
        <w:t xml:space="preserve">founding mythology has included the intrepid frontiersman battling </w:t>
      </w:r>
      <w:r w:rsidRPr="00087A72">
        <w:rPr>
          <w:rFonts w:cstheme="majorHAnsi"/>
          <w:b/>
          <w:u w:val="single"/>
        </w:rPr>
        <w:t xml:space="preserve">the </w:t>
      </w:r>
      <w:r w:rsidRPr="00087A72">
        <w:rPr>
          <w:rStyle w:val="Emphasis"/>
          <w:rFonts w:cstheme="majorHAnsi"/>
        </w:rPr>
        <w:t>savagery</w:t>
      </w:r>
      <w:r w:rsidRPr="00087A72">
        <w:rPr>
          <w:rFonts w:cstheme="majorHAnsi"/>
          <w:b/>
          <w:u w:val="single"/>
        </w:rPr>
        <w:t xml:space="preserve"> of land and people to transform the place</w:t>
      </w:r>
      <w:r w:rsidRPr="00087A72">
        <w:rPr>
          <w:rFonts w:cstheme="majorHAnsi"/>
          <w:sz w:val="16"/>
        </w:rPr>
        <w:t xml:space="preserve"> into a terrain of fences and measures. And law. The idea of Canada, Australia, or </w:t>
      </w:r>
      <w:r w:rsidRPr="00087A72">
        <w:rPr>
          <w:rStyle w:val="Emphasis"/>
          <w:rFonts w:cstheme="majorHAnsi"/>
        </w:rPr>
        <w:t>the United States being a nation of migration is</w:t>
      </w:r>
      <w:r w:rsidRPr="00087A72">
        <w:rPr>
          <w:rFonts w:cstheme="majorHAnsi"/>
          <w:sz w:val="16"/>
        </w:rPr>
        <w:t xml:space="preserve"> such </w:t>
      </w:r>
      <w:r w:rsidRPr="00087A72">
        <w:rPr>
          <w:rStyle w:val="Emphasis"/>
          <w:rFonts w:cstheme="majorHAnsi"/>
        </w:rPr>
        <w:t>a profound</w:t>
      </w:r>
      <w:r w:rsidRPr="00087A72">
        <w:rPr>
          <w:rFonts w:cstheme="majorHAnsi"/>
          <w:sz w:val="16"/>
        </w:rPr>
        <w:t xml:space="preserve"> and effective </w:t>
      </w:r>
      <w:r w:rsidRPr="00087A72">
        <w:rPr>
          <w:rStyle w:val="Emphasis"/>
          <w:rFonts w:cstheme="majorHAnsi"/>
        </w:rPr>
        <w:t>silencer of the trajectory of indigenous life</w:t>
      </w:r>
      <w:r w:rsidRPr="00087A72">
        <w:rPr>
          <w:rFonts w:cstheme="majorHAnsi"/>
          <w:b/>
          <w:u w:val="single"/>
        </w:rPr>
        <w:t xml:space="preserve"> that it is deeply challenging to bring indigenous peoples into a story</w:t>
      </w:r>
      <w:r w:rsidRPr="00087A72">
        <w:rPr>
          <w:rFonts w:cstheme="majorHAnsi"/>
          <w:sz w:val="16"/>
        </w:rPr>
        <w:t xml:space="preserve"> of the immigrant nation. </w:t>
      </w:r>
      <w:r w:rsidRPr="00087A72">
        <w:rPr>
          <w:rFonts w:cstheme="majorHAnsi"/>
          <w:b/>
          <w:u w:val="single"/>
        </w:rPr>
        <w:t>While contemporary social justice politics</w:t>
      </w:r>
      <w:r w:rsidRPr="00087A72">
        <w:rPr>
          <w:rFonts w:cstheme="majorHAnsi"/>
          <w:sz w:val="16"/>
        </w:rPr>
        <w:t xml:space="preserve"> often </w:t>
      </w:r>
      <w:r w:rsidRPr="00087A72">
        <w:rPr>
          <w:rFonts w:cstheme="majorHAnsi"/>
          <w:b/>
          <w:u w:val="single"/>
        </w:rPr>
        <w:t>sees allegiances between</w:t>
      </w:r>
      <w:r w:rsidRPr="00087A72">
        <w:rPr>
          <w:rFonts w:cstheme="majorHAnsi"/>
          <w:sz w:val="16"/>
        </w:rPr>
        <w:t xml:space="preserve"> new </w:t>
      </w:r>
      <w:r w:rsidRPr="00087A72">
        <w:rPr>
          <w:rFonts w:cstheme="majorHAnsi"/>
          <w:b/>
          <w:u w:val="single"/>
        </w:rPr>
        <w:t>migrants and indigenous peoples</w:t>
      </w:r>
      <w:r w:rsidRPr="00087A72">
        <w:rPr>
          <w:rFonts w:cstheme="majorHAnsi"/>
          <w:sz w:val="16"/>
        </w:rPr>
        <w:t xml:space="preserve"> as those at the margins of these societies, the </w:t>
      </w:r>
      <w:r w:rsidRPr="00087A72">
        <w:rPr>
          <w:rFonts w:cstheme="majorHAnsi"/>
          <w:b/>
          <w:u w:val="single"/>
        </w:rPr>
        <w:t xml:space="preserve">claims of these groups are not articulated in the same terms, and </w:t>
      </w:r>
      <w:r w:rsidRPr="00087A72">
        <w:rPr>
          <w:rFonts w:cstheme="majorHAnsi"/>
          <w:sz w:val="16"/>
        </w:rPr>
        <w:t xml:space="preserve">the </w:t>
      </w:r>
      <w:r w:rsidRPr="00087A72">
        <w:rPr>
          <w:rFonts w:cstheme="majorHAnsi"/>
          <w:b/>
          <w:u w:val="single"/>
        </w:rPr>
        <w:t>allegiance rarely reaches the level of shared demands or joint manifestos</w:t>
      </w:r>
      <w:r w:rsidRPr="00087A72">
        <w:rPr>
          <w:rFonts w:cstheme="majorHAnsi"/>
          <w:sz w:val="16"/>
        </w:rPr>
        <w:t xml:space="preserve">. Indeed, it is the reality that these states are nations of immigrants that is the most damaging fact to be overcome in the struggle for indigenous justice and social inclusion. </w:t>
      </w:r>
      <w:r w:rsidRPr="00087A72">
        <w:rPr>
          <w:rFonts w:cstheme="majorHAnsi"/>
          <w:b/>
          <w:u w:val="single"/>
        </w:rPr>
        <w:t>Settler societies share this past and present trajectory.</w:t>
      </w:r>
      <w:r w:rsidRPr="00087A72">
        <w:rPr>
          <w:rFonts w:cstheme="majorHAnsi"/>
          <w:sz w:val="16"/>
        </w:rPr>
        <w:t xml:space="preserve"> The idea that there can be such a thing as </w:t>
      </w:r>
      <w:r w:rsidRPr="00087A72">
        <w:rPr>
          <w:rStyle w:val="Emphasis"/>
          <w:rFonts w:cstheme="majorHAnsi"/>
        </w:rPr>
        <w:t>a “nation of immigration” has become commonplace</w:t>
      </w:r>
      <w:r w:rsidRPr="00087A72">
        <w:rPr>
          <w:rFonts w:cstheme="majorHAnsi"/>
          <w:sz w:val="16"/>
        </w:rPr>
        <w:t>. It structures the way we think about immigration, the way we regulate it, and the way we study it. Understanding how this is so is, therefore, key to seeing why the end of settler societies matters. This chapter now takes up each of these ideas in turn, situating the settler society in immigration thought, regulation, and critique.</w:t>
      </w:r>
    </w:p>
    <w:p w:rsidR="00091D3F" w:rsidRPr="00087A72" w:rsidRDefault="00091D3F" w:rsidP="00091D3F">
      <w:pPr>
        <w:pStyle w:val="Heading4"/>
      </w:pPr>
      <w:r w:rsidRPr="00087A72">
        <w:t>The nuclear family solidifies as the global model of the family only through settler colonialism. The settler colonial drive towards genocide ensures a constant reinvestment in the cisheteropatriarchal nuclear family.</w:t>
      </w:r>
    </w:p>
    <w:p w:rsidR="00091D3F" w:rsidRPr="00087A72" w:rsidRDefault="00091D3F" w:rsidP="00091D3F">
      <w:r w:rsidRPr="00087A72">
        <w:rPr>
          <w:rStyle w:val="Style13ptBold"/>
        </w:rPr>
        <w:t>Glenn 15</w:t>
      </w:r>
      <w:r w:rsidRPr="00087A72">
        <w:t xml:space="preserve"> (Evelyn Nakano, Professor of Gender &amp; Women's Studies and of Ethnic Studies at the University of California, Berkeley “Settler Colonialism as Structure: A Framework for Comparative Studies of U.S. Race and Gender Formation” Sociology of Race and Ethnicity vol. 1 pp. 55-61^*)</w:t>
      </w:r>
    </w:p>
    <w:p w:rsidR="00091D3F" w:rsidRPr="00087A72" w:rsidRDefault="00091D3F" w:rsidP="00091D3F">
      <w:r w:rsidRPr="00087A72">
        <w:rPr>
          <w:u w:val="single"/>
        </w:rPr>
        <w:t>Near the end of Indian armed resistance in the West in the 1880s, federal Indian policy turned decisively toward assimilation, or as it was often dubbed, “Americanization.” The aim was to phase out Indian treaty rights and other special statuses so as to absorb indigenous peoples into settler society</w:t>
      </w:r>
      <w:r w:rsidRPr="00087A72">
        <w:t xml:space="preserve">. </w:t>
      </w:r>
      <w:r w:rsidRPr="00087A72">
        <w:rPr>
          <w:sz w:val="18"/>
        </w:rPr>
        <w:t xml:space="preserve">The twin prongs of Indian assimilation policy were land allotments and education. Under the Dawes Act of 1887, the federal government divided tribal land into individual allotments. Heads of households were entitled to 160 acres, single individuals to 60 acres, and those under 18 to 40 acres (Debos 1973). </w:t>
      </w:r>
      <w:r w:rsidRPr="00087A72">
        <w:rPr>
          <w:u w:val="single"/>
        </w:rPr>
        <w:t>By allotting larger holdings to heads of households, the program was designed to encourage the formation of heteropatriarchal nuclear households.</w:t>
      </w:r>
      <w:r w:rsidRPr="00087A72">
        <w:t xml:space="preserve"> </w:t>
      </w:r>
      <w:r w:rsidRPr="00087A72">
        <w:rPr>
          <w:u w:val="single"/>
        </w:rPr>
        <w:t>Simultaneously, settlers conceived of themselves as more advanced and evolved, bringers of progress and enlightenment to the wilderness. Masculine whiteness thus became central to settler identity, a status closely tied to ownership of property and political sovereignty. The latter in turn articulated with heteropatriarchy, which rendered white manhood supreme with respect to control over property and self-rule. This entailed settler wives being denied an independent legal identity; instead, her identity was merged into that of her husband, and her property and labor were under his control. Further, it was presumed that “heteropatriarchal nuclear-domestic arrangements, in which the [white] father is both protector and leader should serve as the model for social arrangements of the state and its institutions</w:t>
      </w:r>
      <w:r w:rsidRPr="00087A72">
        <w:t xml:space="preserve">” </w:t>
      </w:r>
      <w:r w:rsidRPr="00087A72">
        <w:rPr>
          <w:sz w:val="18"/>
        </w:rPr>
        <w:t>(Arvin, Tuck, and Morrill 2013:13). Settlers may initially identify with the imperial power and submit to its rule, but over time their interactions with indigenes and experiences in the colony set them apart from the population in the metropole</w:t>
      </w:r>
      <w:r w:rsidRPr="00087A72">
        <w:t xml:space="preserve">. </w:t>
      </w:r>
      <w:r w:rsidRPr="00087A72">
        <w:rPr>
          <w:u w:val="single"/>
        </w:rPr>
        <w:t xml:space="preserve">American settlers attached their identity to the land itself, to the mythologized common experience of settlement, and often to the shared goal of self-government. Frontiersmen and women became symbols of what it meant to be American. </w:t>
      </w:r>
      <w:r w:rsidRPr="00087A72">
        <w:rPr>
          <w:sz w:val="18"/>
        </w:rPr>
        <w:t xml:space="preserve">This new identity helped to bridge differences of class, ethnicity, and nationality that might otherwise have divided them. Thus, there was greater equality among the settlers than existed at the time among inhabitants of the metropole. European immigrants to the United States who moved west to take advantage of inexpensive frontier lands were quickly granted American citizenship rights and considered equals among their peers in matters of local government. Some settlers also appropriated indigenous symbols, attributes, and skills, as in the case of American frontiersmen who wore buckskin and cowboys, range-riders, and backwoodsmen who adopted native trapping, hunting, and riding techniques. Turner’s ([1893] 1920:4) essay refers to frontiersmen discarding train travel for traveling by birch canoes, wearing hunting shirts and moccasins, planting Indian corn, and even shouting war cries and taking scalps in “orthodox Indian fashion.” Of course, the vast majority of white Americans did not actually ride canoes or wear buckskin. </w:t>
      </w:r>
      <w:r w:rsidRPr="00087A72">
        <w:rPr>
          <w:u w:val="single"/>
        </w:rPr>
        <w:t>This family-based colonization in combination with its rural character proved to be advantageous, enabling “a steady westward migration towards the agricultural frontier as the threat of Indian attack diminished” Settler ideology also defined appropriate gender relations within the settler family and community, variously using Indian, black, and “others” as negative foils. White settler society understood extreme gender differentiation as a mark of civilization and thus attempted to shape white womanhood toward domesticity and dependency. Importantly, white women were viewed as needing to be protected by white men, particularly from the dangers posed by the primitive or perverse male sexuality of Natives, slaves, and exogenous others. Thus, for example, lurid tales of Indian capture of white women and their rescue by white soldiers circulated widely in settler culture. Meanwhile, Indian, black, and exogenous women were viewed variously as shameless, docile, alluring, or unfeminine because they did “men’s work.” Settler colonialism also had different effects on men and women from subjugated groups as shown in several instances discussed in the main text. For example, it was mentioned that Indian women were more likely to be enslaved, while adult Indian men were more likely to be killed. Relatedly, Indian women were also more likely to be brought into settler households to be sex slaves and domestic servants</w:t>
      </w:r>
      <w:r w:rsidRPr="00087A72">
        <w:t xml:space="preserve">. </w:t>
      </w:r>
      <w:r w:rsidRPr="00087A72">
        <w:rPr>
          <w:sz w:val="18"/>
        </w:rPr>
        <w:t>As for the Chinese, although male laborers were eventually subject to exclusion, women had been legally excluded earlier and more stringently on the assumption that all Chinese women attempting to enter were prostitutes. In contrast, Mexican women were sometimes viewed more favorably than Mexican men and were thought to be appropriate wives for Anglo men. As for enslaved blacks, women were subjected to gender-specific violence such as rape but not exempted from the same kinds of physical punishment and heavy field labor to which slave men were subjected. I will now briefly consider the implications of the present analysis in relation to anti-racist politics. Given that many different groups have been victimized by racial violence, exclusion, and dehumanization, coalitions among racialized minorities are desirable and necessary. I suggest that coalitions are best built by recognizing the specific histories of racialized minorities other than our own. Our understandings ideally should reckon with (a) commonalities, (b) relations and connections, and (c) differences. All of these are highlighted by this settler colonial analysis. Many commonalities have emerged from the case analyses, including experiences of genocide and terrorism that have been inflicted, justified, and “forgotten” or deemphasized by settler society. Also having emerged are relations/connections in the experiences of different groups that complicate their positionality vis-àvis one another. Thus, for example, the analysis might lead us to ask whether and in what ways racialized minorities might position themselves in relation to the territorial dispossession of Native Americans. Finally, some significant differences have emerged; for example, only blacks were subjected to chattel slavery, which is a condition of social death and subjection by slave law that even those who worked under conditions of extreme coercion did not share.</w:t>
      </w:r>
    </w:p>
    <w:p w:rsidR="00414088" w:rsidRPr="00087A72" w:rsidRDefault="00414088" w:rsidP="00414088">
      <w:pPr>
        <w:pStyle w:val="Heading4"/>
      </w:pPr>
      <w:r w:rsidRPr="00087A72">
        <w:t>Settler colonialism turns any impact calculus because how you understand value and ethical calculus are all ontologically dependent on Native genocide. The genocide of the Native clears the way for intra-Settler discussions of ethical value. To be alive is to stand upon this Indian burial ground we call the world—to be alive is to be unethical.</w:t>
      </w:r>
    </w:p>
    <w:p w:rsidR="00414088" w:rsidRPr="00087A72" w:rsidRDefault="00414088" w:rsidP="00414088">
      <w:r w:rsidRPr="00087A72">
        <w:rPr>
          <w:rStyle w:val="Style13ptBold"/>
        </w:rPr>
        <w:t>Wilderson 10</w:t>
      </w:r>
      <w:r w:rsidRPr="00087A72">
        <w:t xml:space="preserve"> (Frank, Full Professor of Drama and African American studies at the University of California, Irvine </w:t>
      </w:r>
      <w:r w:rsidRPr="00087A72">
        <w:rPr>
          <w:i/>
        </w:rPr>
        <w:t>Red, White, and Black: Cinema and the Structure of U.S. Antagonisms</w:t>
      </w:r>
      <w:r w:rsidRPr="00087A72">
        <w:t xml:space="preserve"> pp. 214-220) NIJ</w:t>
      </w:r>
    </w:p>
    <w:p w:rsidR="00414088" w:rsidRPr="00087A72" w:rsidRDefault="00414088" w:rsidP="00414088">
      <w:pPr>
        <w:rPr>
          <w:sz w:val="12"/>
        </w:rPr>
      </w:pPr>
      <w:r w:rsidRPr="00087A72">
        <w:rPr>
          <w:rStyle w:val="StyleUnderline"/>
        </w:rPr>
        <w:t>Mogie’s surrealist demand, “send me a big…fat woman …[to] cover up all the cracks in my shack,” goes to the heart of the matter.</w:t>
      </w:r>
      <w:r w:rsidRPr="00087A72">
        <w:rPr>
          <w:sz w:val="12"/>
        </w:rPr>
        <w:t xml:space="preserve"> </w:t>
      </w:r>
      <w:r w:rsidRPr="00087A72">
        <w:rPr>
          <w:rStyle w:val="Emphasis"/>
        </w:rPr>
        <w:t xml:space="preserve">Red flesh can only be restored, ethically, through the destruction of White bodies, because the corporeality of the indigenous has been consumed by and gone into the making of the Settler’s corporeality. Mogie wants what he has lost; not just his labor power, not just his language or land, but the raw material of his flesh. And, like most “grassroots Indians,” he knows precisely where it went—into the Settler’s “body”—and thus he knows precisely from where to repossess it. </w:t>
      </w:r>
      <w:r w:rsidRPr="00087A72">
        <w:rPr>
          <w:sz w:val="12"/>
        </w:rPr>
        <w:t xml:space="preserve">Though Mogie’s shack is small, we know from earlier scenes that it has at least two rooms. Therefore, </w:t>
      </w:r>
      <w:r w:rsidRPr="00087A72">
        <w:rPr>
          <w:rStyle w:val="StyleUnderline"/>
        </w:rPr>
        <w:t>to stretch a White woman across its interior, window-to-window, wall-to-wall, corner-to-corner, and then stretch her across the door, would be to reconfigure her body into grotesque and unrecognizable dimensions. There are serious doubts as to whether a White woman</w:t>
      </w:r>
      <w:r w:rsidRPr="00087A72">
        <w:rPr>
          <w:sz w:val="12"/>
        </w:rPr>
        <w:t xml:space="preserve">, even as large a White woman as Mogie Yellow Lodge is demanding from the President, “the Great White Father in Washington,” </w:t>
      </w:r>
      <w:r w:rsidRPr="00087A72">
        <w:rPr>
          <w:rStyle w:val="StyleUnderline"/>
        </w:rPr>
        <w:t>would survive such an ordeal. Imagine such a demand being made, such wallpapering taking place, en mass</w:t>
      </w:r>
      <w:r w:rsidRPr="00087A72">
        <w:rPr>
          <w:sz w:val="12"/>
        </w:rPr>
        <w:t xml:space="preserve">, on a scale which even Mogie’s inebriated imagination has not yet grasped. [General Andrew Jackson] instructed his troops to cut the noses of the corpses so that no one would be able to challenge the body count. They had bushel baskets full of noses that they brought back. This [practice] got him elected President. [He] campaigned on the basis that he had never met a recalcitrant Indian that he had not killed and never killed an Indian that he had not scalped and that anybody who wanted to question the validity of what he was saying was invited to tea in his parlor that evening so he could display the scalps and prove his point. [He] rode with a saddle bridle made out of the skin of an opposing Indian leader. This is the President of the United States. (Churchill: Book Tour Speech July 31, 2004) </w:t>
      </w:r>
      <w:r w:rsidRPr="00087A72">
        <w:rPr>
          <w:rStyle w:val="StyleUnderline"/>
        </w:rPr>
        <w:t>One begins to see how wallpapering or insulating one’s room not with “bushel baskets” of White female skin but with even one White woman is simply out of the question. Mogie’s demand, then, is laughed off—managed, constrained, marginalized—by the script.</w:t>
      </w:r>
      <w:r w:rsidRPr="00087A72">
        <w:rPr>
          <w:sz w:val="12"/>
        </w:rPr>
        <w:t xml:space="preserve"> “Hey, ya wanna see me piss in my pants?” are the words he is made to utter next. Words portrayed as the surreal ruminations of an Indian who has reached the end of his inebriated tether, and not as the wisdom of a man who could lead his people. </w:t>
      </w:r>
      <w:r w:rsidRPr="00087A72">
        <w:rPr>
          <w:rStyle w:val="Emphasis"/>
        </w:rPr>
        <w:t xml:space="preserve">The film is nervous in the face of Mogie’s demand not because of its absurdity but because of its authority. But Mogie is demanding no more of the Great White Father, no more of civil society, than he has already given. In fact, he is demanding less. </w:t>
      </w:r>
      <w:r w:rsidRPr="00087A72">
        <w:rPr>
          <w:sz w:val="12"/>
        </w:rPr>
        <w:t xml:space="preserve">His surrealism indicates a qualitatively similar ontological relationship between the Red and the White as exists between the Black and the White. The Middle Passage turns, for example, Ashanti spatial and temporal capacity into spatial and temporal incapacity—a body into flesh. This process begins as early as the 1200s for the Slave. lxxvi </w:t>
      </w:r>
      <w:r w:rsidRPr="00087A72">
        <w:rPr>
          <w:rStyle w:val="StyleUnderline"/>
        </w:rPr>
        <w:t>By the 1530s, Modernity is more self-conscious of its coordinates, and Whiteness begins its ontological consolidation and negative knowledge of itself by turning</w:t>
      </w:r>
      <w:r w:rsidRPr="00087A72">
        <w:rPr>
          <w:sz w:val="12"/>
        </w:rPr>
        <w:t xml:space="preserve"> (part of) </w:t>
      </w:r>
      <w:r w:rsidRPr="00087A72">
        <w:rPr>
          <w:rStyle w:val="StyleUnderline"/>
        </w:rPr>
        <w:t>the Aztec body</w:t>
      </w:r>
      <w:r w:rsidRPr="00087A72">
        <w:rPr>
          <w:sz w:val="12"/>
        </w:rPr>
        <w:t xml:space="preserve">, for example, </w:t>
      </w:r>
      <w:r w:rsidRPr="00087A72">
        <w:rPr>
          <w:rStyle w:val="StyleUnderline"/>
        </w:rPr>
        <w:t>into Indian flesh</w:t>
      </w:r>
      <w:r w:rsidRPr="00087A72">
        <w:rPr>
          <w:sz w:val="12"/>
        </w:rPr>
        <w:t xml:space="preserve"> (Judy (Dis)Forming the American Canon 81). </w:t>
      </w:r>
      <w:r w:rsidRPr="00087A72">
        <w:rPr>
          <w:rStyle w:val="StyleUnderline"/>
        </w:rPr>
        <w:t xml:space="preserve">In this moment the White body completes itself and proceeds to lay the groundwork for the intra-Settler ensemble of questions foundational to its ethical dilemmas (i.e., Marxism, feminism, psychoanalysis). In the final analysis, Settler ontology is guaranteed by way of a negative knowledge of what it is not, rather than by way of its positive claims of what it is. Ontological Whiteness is secured not through its cultural, economic, or gendered identities; but by the fact that it cannot be known (positioned) by genocide </w:t>
      </w:r>
      <w:r w:rsidRPr="00087A72">
        <w:rPr>
          <w:sz w:val="12"/>
        </w:rPr>
        <w:t xml:space="preserve">(or by Accumulation and Fungibility). </w:t>
      </w:r>
      <w:r w:rsidRPr="00087A72">
        <w:rPr>
          <w:rStyle w:val="StyleUnderline"/>
        </w:rPr>
        <w:t xml:space="preserve">This negative knowledge has its pleasures… </w:t>
      </w:r>
      <w:r w:rsidRPr="00087A72">
        <w:rPr>
          <w:sz w:val="12"/>
        </w:rPr>
        <w:t xml:space="preserve">[Unlike Jackson’s army of the early 19 th century, the 16 th century Dutch] didn’t take the noses and they didn’t take the scalps. They took whole heads because they wanted to identify the fact that they had eradicated the entire leadership of the opposition. They brought the heads back to the central square in New Amsterdam [now Manhattan] where the citizenry began to celebrate. They turned it into a sport. People who had participated in the expedition had themselves a jolly game of kick ball using the heads and the citizenry sat around and cheered…(Churchill 7/31/04) </w:t>
      </w:r>
      <w:r w:rsidRPr="00087A72">
        <w:rPr>
          <w:rStyle w:val="StyleUnderline"/>
        </w:rPr>
        <w:t xml:space="preserve">…has a sense of affilial inclusion and filial longevity… </w:t>
      </w:r>
      <w:r w:rsidRPr="00087A72">
        <w:rPr>
          <w:sz w:val="12"/>
        </w:rPr>
        <w:t xml:space="preserve">[In 1864, the 3 rd Regiment of the U.S. Calvary] returned to Denver [Colorado] with their trophies [the vaginas of Native American women stapled to the front of their hats] and held a triumphal parade. [They] proceeded down Larimore Street…and the good citizenry stood up and cheered wildly...[T]he Rocky Mountain News [described it as] “an unparalleled feat of martial prowess that would live forever in the annals of the history and nobility of the race.” (7/31/04) </w:t>
      </w:r>
      <w:r w:rsidRPr="00087A72">
        <w:rPr>
          <w:rStyle w:val="StyleUnderline"/>
        </w:rPr>
        <w:t xml:space="preserve">…has a capacity for territorial integrity… </w:t>
      </w:r>
      <w:r w:rsidRPr="00087A72">
        <w:rPr>
          <w:sz w:val="12"/>
        </w:rPr>
        <w:t xml:space="preserve">Scalp bounties…were officially claimed bounties that were placed on Indians in every antecedent colony in the Eastern Seaboard—French, English, and Spanish. I don’t know about the Dutch. They killed all the Indians around before they had the chance to need a bounty. But from the antecedent colonies this law transferred to every state and territory in forty-eight contiguous states. (7/31/04) </w:t>
      </w:r>
      <w:r w:rsidRPr="00087A72">
        <w:rPr>
          <w:rStyle w:val="StyleUnderline"/>
        </w:rPr>
        <w:t xml:space="preserve">…that is, it has the capacity to transform Clearing from a verb into Clearing as a noun… </w:t>
      </w:r>
      <w:r w:rsidRPr="00087A72">
        <w:rPr>
          <w:sz w:val="12"/>
        </w:rPr>
        <w:t xml:space="preserve">Every [state in the union] placed a bounty on Indians, any Indians, all Indians. [For example in the] Pennsylvania colony in the 1740s, the bounty [was] forty pounds sterling for proof of death of an adult male Indian. That proof of death being in the form of a scalp or a bloody red skin…Proof of death in that form got the bearer of the proof forty pounds sterling. Forty pounds sterling in the 1740s was equivalent to the annual wage of your average farmer. This is big business. Twenty pounds sterling would be paid for proof of death in the same form of an adult female. Ten pounds sterling for proof of death of a child, a child being defined as human being of either sex under ten years of age down to and, yes, including the fetus…In Texas this law was not rescinded until 1887, [when] the debate in the Texas legislature concluded that there was no reason to continue because there was no long sufficient numbers of living Indians in the entire state of Texas to warrant the continuation of it. It had accomplished its purpose. (7/31/04) </w:t>
      </w:r>
      <w:r w:rsidRPr="00087A72">
        <w:rPr>
          <w:rStyle w:val="StyleUnderline"/>
        </w:rPr>
        <w:t>…and just like that, Little Baby Civil Society was walking on its own two feet. To Grown-up Civil Society</w:t>
      </w:r>
      <w:r w:rsidRPr="00087A72">
        <w:rPr>
          <w:sz w:val="12"/>
        </w:rPr>
        <w:t xml:space="preserve"> (Mogie’s “Great White Father in Washington”) </w:t>
      </w:r>
      <w:r w:rsidRPr="00087A72">
        <w:rPr>
          <w:rStyle w:val="StyleUnderline"/>
        </w:rPr>
        <w:t xml:space="preserve">Mogie Yellow Lodge submits his own “personal” genocide reparations bill. A bill that accounts for the perfect symmetry through which Whiteness has formed a body (from the genitals to the body politic) out of “Savage” flesh. The symmetry’s perfection becomes clear when one realizes that today’s 1.6%-to-80.6%, “Savage”-to-Settler ratio is a pure inversion of the sixteenth century’s “Savage” to Settler ratio. </w:t>
      </w:r>
      <w:r w:rsidRPr="00087A72">
        <w:rPr>
          <w:sz w:val="12"/>
        </w:rPr>
        <w:t xml:space="preserve">lxxvii </w:t>
      </w:r>
      <w:r w:rsidRPr="00087A72">
        <w:rPr>
          <w:rStyle w:val="StyleUnderline"/>
        </w:rPr>
        <w:t>“Send me a big woman. A fat woman! So that when I sleep with her she’ll cover up all the cracks in my shack and stop the wind from blowing through” is a demand so ethically pure that the film finds it unbearable and, as such, is unable (unwilling?) to let Mogie state it without irony.</w:t>
      </w:r>
      <w:r w:rsidRPr="00087A72">
        <w:rPr>
          <w:sz w:val="12"/>
        </w:rPr>
        <w:t xml:space="preserve"> And yet, Mogie’s outbursts like this—“outbursts” because they are generally infrequent and contained by pity or humor—are the few moments when the film engages the ethical dilemmas of the Settler/“Savage” antagonism (genocide and its impossible semiotics) instead of the ethical dilemmas of the Settler/“Savage” conflict (sovereignty and its semiotics of loss). Again, </w:t>
      </w:r>
      <w:r w:rsidRPr="00087A72">
        <w:rPr>
          <w:rStyle w:val="Emphasis"/>
        </w:rPr>
        <w:t>it is not that Mogie’s demand is absurd and unethical, but rather that it is a demand so pure in its ethicality that it threatens the quotidian prohibitions which, in Modernity, constrain ethics. The demand is far too ethical</w:t>
      </w:r>
      <w:r w:rsidRPr="00087A72">
        <w:rPr>
          <w:sz w:val="12"/>
        </w:rPr>
        <w:t xml:space="preserve"> for the film to embrace and elaborate at the level of narrative. It is a demand that must be policed by sovereign powers. Exploring Skins’ cinematic strategies reveals this containment as an effort to manage the spectator’s interpellation by the dilemmas of Mogie’s ruination and by they demand that ushers forth from his “flesh.” </w:t>
      </w:r>
      <w:r w:rsidRPr="00087A72">
        <w:rPr>
          <w:rStyle w:val="StyleUnderline"/>
        </w:rPr>
        <w:t>Mogie’s surrealism seeks to cull power directly from the subjectivity of the Settler, what Ward Churchill calls the “imperial integrity of the US itself”</w:t>
      </w:r>
      <w:r w:rsidRPr="00087A72">
        <w:rPr>
          <w:sz w:val="12"/>
        </w:rPr>
        <w:t xml:space="preserve"> (Marxism and Native Americans 202). </w:t>
      </w:r>
      <w:r w:rsidRPr="00087A72">
        <w:rPr>
          <w:rStyle w:val="StyleUnderline"/>
        </w:rPr>
        <w:t>This idea of culling power, resources, and Human life directly from the imperial integrity of the US, especially when we think that imperial integrity through the banality of White bodies</w:t>
      </w:r>
      <w:r w:rsidRPr="00087A72">
        <w:rPr>
          <w:sz w:val="12"/>
        </w:rPr>
        <w:t xml:space="preserve"> (in other words, through the “innocence” of today’s citizen), is indicative of the kind of unflinching paradigmatic analyses which allowed Ward Churchill to embrace the 9/11 attack on the World Trade Center within forty-eight hours of its occurrence, a moment in time when Settler Marxists and Settler progressives either suddenly became mute, or stumbled over their own tongues in half-hearted attempts to simultaneously condemn the attack and explain its political and historical rationale. Churchill’s embrace of the event is not synonymous with either celebration or condemnation. It goes without saying that Churchill also refused to be interpellated by the pageantry of mourning that followed in the wake of 9-1-1. But Settler radicals and progressives assailed him for meditating on the attack from within the questions of the genocided “Savage,” rather than from within an ensemble of questions allied with Settler’s grammar of suffering, exploitation and alienation. </w:t>
      </w:r>
      <w:r w:rsidRPr="00087A72">
        <w:rPr>
          <w:rStyle w:val="StyleUnderline"/>
        </w:rPr>
        <w:t xml:space="preserve">People on the Left tried to shame Churchill for embracing incoherent terror </w:t>
      </w:r>
      <w:r w:rsidRPr="00087A72">
        <w:rPr>
          <w:sz w:val="12"/>
        </w:rPr>
        <w:t xml:space="preserve">(suicide bombers) </w:t>
      </w:r>
      <w:r w:rsidRPr="00087A72">
        <w:rPr>
          <w:rStyle w:val="StyleUnderline"/>
        </w:rPr>
        <w:t>instead of morally and politically sanctioned revolutionary action</w:t>
      </w:r>
      <w:r w:rsidRPr="00087A72">
        <w:rPr>
          <w:sz w:val="12"/>
        </w:rPr>
        <w:t xml:space="preserve"> (like the Zapatistas or the Sandanistas). </w:t>
      </w:r>
      <w:r w:rsidRPr="00087A72">
        <w:rPr>
          <w:rStyle w:val="StyleUnderline"/>
        </w:rPr>
        <w:t>Others chided him for advocating violence in any form.</w:t>
      </w:r>
      <w:r w:rsidRPr="00087A72">
        <w:rPr>
          <w:sz w:val="12"/>
        </w:rPr>
        <w:t xml:space="preserve"> Many said that now is not the time for a scathing critique; “our” nation is in mourning. And there were those who wagged their finger and reminded him that there were members of the working class (not just police agents and investment bankers) who died in the Twin Towers. These nay-sayers all made their arguments at the level of experience, and Churchill, rather handily, answered them at the level as well. But I am neither interested in his interlocutors’ chiding nor in his response. </w:t>
      </w:r>
      <w:r w:rsidRPr="00087A72">
        <w:rPr>
          <w:rStyle w:val="StyleUnderline"/>
        </w:rPr>
        <w:t>The Left’s attack on Churchill’s embrace of the 9-1-1 attacks is important not for the social issues it raises, the myriad of things it claims it is concerned about, but rather for the grammar of suffering shared across the board, those building blocks through which loss is conceptualized in such a way that makes it impossible for the “Savage” to function, grammatically, as their paradigm of suffering, and even less as its paradigmatic agent for change. Had Churchill’s interlocutors been more honest, they would have used fewer words—not draped their rejoinders with the veil of issues from the realm of experience</w:t>
      </w:r>
      <w:r w:rsidRPr="00087A72">
        <w:rPr>
          <w:sz w:val="12"/>
        </w:rPr>
        <w:t xml:space="preserve"> (i.e., tactics) —</w:t>
      </w:r>
      <w:r w:rsidRPr="00087A72">
        <w:rPr>
          <w:rStyle w:val="StyleUnderline"/>
        </w:rPr>
        <w:t xml:space="preserve">and said, quite simply, </w:t>
      </w:r>
      <w:r w:rsidRPr="00087A72">
        <w:rPr>
          <w:rStyle w:val="Emphasis"/>
        </w:rPr>
        <w:t xml:space="preserve">“We will not be led by the ‘Savage;’ death is not an element constituent of our ontology.” </w:t>
      </w:r>
      <w:r w:rsidRPr="00087A72">
        <w:rPr>
          <w:sz w:val="12"/>
        </w:rPr>
        <w:t xml:space="preserve">Unlike the narrative and cinematic strategies of Skins, Churchill’s meditation on 9-1-1 embraces, rather than contains, Mogie Yellow Lodge’s demand. </w:t>
      </w:r>
      <w:r w:rsidRPr="00087A72">
        <w:rPr>
          <w:rStyle w:val="StyleUnderline"/>
        </w:rPr>
        <w:t>Churchill’s work is authorized by Mogie Yellow Lodge’s grammar of suffering which, inter alia, forecloses upon Churchill’s passing judgment on the tactical ethics of either the attack on the World Trade Center or, for that matter, Mogie’s attack on the body of White femininity. Churchill accepts this foreclosure and works off of it. He does not feel constrained by it but finds it enabling of a quality of reflection that would be otherwise inconceivable: There can be no defensible suggestion that those who attacked the Pentagon and the WTC on 9-1-1 were seeking to get even with the U.S. Still less is there a basis for claims that they “started” something, or that the U.S. has anything to get even with them for. Quite the contrary. For the attackers to have arguably “evened the score” for Iraqi’s dead children alone, it would have been necessary for them to have killed a hundred times the number of Americans who actually died. This in itself, however would have allowed them to attain parity in terms of real numbers. The U.S. population is about fifteen times the size of Iraq’s. Hence, for the attackers to have achieved a proportionally equivalent impact, it would have been necessary that they kill some 7.5 million Americans</w:t>
      </w:r>
      <w:r w:rsidRPr="00087A72">
        <w:rPr>
          <w:sz w:val="12"/>
        </w:rPr>
        <w:t xml:space="preserve">. (On the Justice of Roosting Chickens: Reflections on the Consequences of U.S. Imperial Arrogance and Criminality 14) Churchill reflects upon the event of 9-1-1 in such a way as to make it impossible to talk about it as an event. This is a marker of the philosophical brilliance and rhetorical dexterity foundational to Churchill’s thirty-odd books, articles, and recorded speeches. This dexterity allows the work to be conversant with the actual details and “facts” of the event (as presented and cathedralized by White civil society). </w:t>
      </w:r>
      <w:r w:rsidRPr="00087A72">
        <w:rPr>
          <w:rStyle w:val="StyleUnderline"/>
        </w:rPr>
        <w:t>Yet instead of becoming mired in the bog of concerns which makes the event as “event”</w:t>
      </w:r>
      <w:r w:rsidRPr="00087A72">
        <w:rPr>
          <w:sz w:val="12"/>
        </w:rPr>
        <w:t xml:space="preserve"> (details and common sense ethics) </w:t>
      </w:r>
      <w:r w:rsidRPr="00087A72">
        <w:rPr>
          <w:rStyle w:val="StyleUnderline"/>
        </w:rPr>
        <w:t>Churchill jettisons common sense and presses the details into service of an ensemble of questions animated by the ethical dilemmas of “Savage,” and not Settler, ontology.</w:t>
      </w:r>
      <w:r w:rsidRPr="00087A72">
        <w:rPr>
          <w:sz w:val="12"/>
        </w:rPr>
        <w:t xml:space="preserve"> He can do this on behalf of those who are not even Native Americans (in this passage, Iraqis) because he provides them with the “Savage” as a lens through which they can do ethnographic and political work on the Settler as specimen. In other words, </w:t>
      </w:r>
      <w:r w:rsidRPr="00087A72">
        <w:rPr>
          <w:rStyle w:val="StyleUnderline"/>
        </w:rPr>
        <w:t>in his chapter on 9-1-1, his argument is made in such a way that, to be interpellated, the reader must adjust the logic of his/her political experience to fit the logic of “Savage” genocidal ontology—and not vice versa.</w:t>
      </w:r>
      <w:r w:rsidRPr="00087A72">
        <w:rPr>
          <w:sz w:val="12"/>
        </w:rPr>
        <w:t xml:space="preserve"> The reader must be subordinated to, and incorporated by, Redness, or else the reader will experience the piece in the same way that the viewer is meant to experience Mogie Yellow Lodge: as a scandal, as a problem in need of fixing. </w:t>
      </w:r>
      <w:r w:rsidRPr="00087A72">
        <w:rPr>
          <w:rStyle w:val="StyleUnderline"/>
        </w:rPr>
        <w:t>Churchill continues to subordinate the “facts” of 9-1-1 to an ethical examination of Settlerism by reminding the reader that the U.S. is “fifteen times the size” of Iraq, therefore 9-1-1 would have had to have had a death toll of “7.5 million Americans” in order to have “achieved a proportionately equivalent impact”</w:t>
      </w:r>
      <w:r w:rsidRPr="00087A72">
        <w:rPr>
          <w:sz w:val="12"/>
        </w:rPr>
        <w:t xml:space="preserve"> (14). </w:t>
      </w:r>
      <w:r w:rsidRPr="00087A72">
        <w:rPr>
          <w:rStyle w:val="StyleUnderline"/>
        </w:rPr>
        <w:t>In the very next paragraph, Churchill corrects himself and insists that 7.5 million is the number of American children the attackers would have had to have killed in order to achieve parity. This is followed by a list of even more corrections, in which Churchill recalculates the meaning of parity based solely on the U.S.’s deracination of Iraq since 1990 (further down the correctives will lead him to the “Savage” and to the Slave). True parity would result in 7.5 million dead American children, 15 million dead American adults, the obliteration of “sewage, water sanitation and electrical plants, food production/storage capacity, hospitals, pharmaceutical production facilities, communication centers and much more.” The effects of which would mean not just mass death but “a surviving population wracked by malnutrition an endemic disease”</w:t>
      </w:r>
      <w:r w:rsidRPr="00087A72">
        <w:rPr>
          <w:sz w:val="12"/>
        </w:rPr>
        <w:t xml:space="preserve"> (14). </w:t>
      </w:r>
      <w:r w:rsidRPr="00087A72">
        <w:rPr>
          <w:rStyle w:val="StyleUnderline"/>
        </w:rPr>
        <w:t>“Indeed, applying such standards of ‘pay back’ vis-à-vis American Indians alone would require a lethal reduction in the U.S. population…of between 96 and 99 percent”</w:t>
      </w:r>
      <w:r w:rsidRPr="00087A72">
        <w:rPr>
          <w:sz w:val="12"/>
        </w:rPr>
        <w:t xml:space="preserve"> (15). </w:t>
      </w:r>
      <w:r w:rsidRPr="00087A72">
        <w:rPr>
          <w:rStyle w:val="Emphasis"/>
        </w:rPr>
        <w:t>Suddenly, Mogie Yellow Lodge’s demand for parity (just one big fat White woman to cover up the cracks in his shack) sounds downright generous. Mogie is demanding one Settler, a far cry from demanding parity for ontological death. Were he to demand parity the U.S. “would run out of people long before it ran out of compensatory obligation”</w:t>
      </w:r>
      <w:r w:rsidRPr="00087A72">
        <w:rPr>
          <w:sz w:val="12"/>
        </w:rPr>
        <w:t xml:space="preserve"> (Churchill Roosting Chickens 14-15).</w:t>
      </w:r>
    </w:p>
    <w:p w:rsidR="00414088" w:rsidRPr="00087A72" w:rsidRDefault="00414088" w:rsidP="00414088">
      <w:pPr>
        <w:pStyle w:val="Heading4"/>
      </w:pPr>
      <w:r w:rsidRPr="00087A72">
        <w:t xml:space="preserve">You misdiagnose the root cause of your problem, not matter what is done the ideas of the settler and the non-native are entrenched through your method – instead we must embrace the alt </w:t>
      </w:r>
    </w:p>
    <w:p w:rsidR="00414088" w:rsidRPr="00087A72" w:rsidRDefault="00414088" w:rsidP="00414088">
      <w:pPr>
        <w:rPr>
          <w:sz w:val="16"/>
          <w:szCs w:val="16"/>
        </w:rPr>
      </w:pPr>
      <w:r w:rsidRPr="00087A72">
        <w:rPr>
          <w:rStyle w:val="Style13ptBold"/>
        </w:rPr>
        <w:t xml:space="preserve">Rifkin 2013 </w:t>
      </w:r>
      <w:r w:rsidRPr="00087A72">
        <w:rPr>
          <w:rStyle w:val="Style13ptBold"/>
          <w:b w:val="0"/>
          <w:sz w:val="16"/>
          <w:szCs w:val="16"/>
        </w:rPr>
        <w:t xml:space="preserve">(Mark Rifkin, Professor. US Ethnic Literature University of North Carolina – Greensboro research primarily focuses on Native American writing and politics from the eighteenth century onward, exploring the ways that Indigenous peoples have negotiated U.S. racial and imperial formations.  “Settler common sense” </w:t>
      </w:r>
      <w:r w:rsidRPr="00087A72">
        <w:rPr>
          <w:rStyle w:val="Style13ptBold"/>
          <w:b w:val="0"/>
          <w:i/>
          <w:sz w:val="16"/>
          <w:szCs w:val="16"/>
        </w:rPr>
        <w:t>Settler Colonial Studies</w:t>
      </w:r>
      <w:r w:rsidRPr="00087A72">
        <w:rPr>
          <w:rStyle w:val="Style13ptBold"/>
          <w:b w:val="0"/>
          <w:sz w:val="16"/>
          <w:szCs w:val="16"/>
        </w:rPr>
        <w:t xml:space="preserve">, 2013, Vol. 3, pp. 324-326) [JS] </w:t>
      </w:r>
    </w:p>
    <w:p w:rsidR="00414088" w:rsidRPr="00087A72" w:rsidRDefault="00414088" w:rsidP="00414088">
      <w:pPr>
        <w:rPr>
          <w:sz w:val="16"/>
        </w:rPr>
      </w:pPr>
      <w:r w:rsidRPr="00087A72">
        <w:rPr>
          <w:sz w:val="16"/>
        </w:rPr>
        <w:t>In Settler Colonialism and the Transformation of Anthropology, Patrick Wolfe argues, “</w:t>
      </w:r>
      <w:r w:rsidRPr="00087A72">
        <w:rPr>
          <w:rStyle w:val="StyleUnderline"/>
        </w:rPr>
        <w:t>Settler colonies were (are) premised on the elimination of native societies. The split tensing reflects a determinate feature of settler colonization</w:t>
      </w:r>
      <w:r w:rsidRPr="00087A72">
        <w:rPr>
          <w:sz w:val="16"/>
        </w:rPr>
        <w:t xml:space="preserve">. The colonizers come to stay – invasion is a structure not an event.”5 Offering perhaps the most prominent definition of </w:t>
      </w:r>
      <w:r w:rsidRPr="00087A72">
        <w:rPr>
          <w:rStyle w:val="StyleUnderline"/>
        </w:rPr>
        <w:t>settler colonialism</w:t>
      </w:r>
      <w:r w:rsidRPr="00087A72">
        <w:rPr>
          <w:sz w:val="16"/>
        </w:rPr>
        <w:t xml:space="preserve">, Wolfe’s formulation emphasizes the fact that </w:t>
      </w:r>
      <w:r w:rsidRPr="00087A72">
        <w:rPr>
          <w:rStyle w:val="StyleUnderline"/>
        </w:rPr>
        <w:t>it cannot be localized within a specific period of removal or extermination</w:t>
      </w:r>
      <w:r w:rsidRPr="00087A72">
        <w:rPr>
          <w:sz w:val="16"/>
        </w:rPr>
        <w:t xml:space="preserve"> </w:t>
      </w:r>
      <w:r w:rsidRPr="00087A72">
        <w:rPr>
          <w:rStyle w:val="StyleUnderline"/>
        </w:rPr>
        <w:t>and that it persists as a determinative feature of national territoriality and identity</w:t>
      </w:r>
      <w:r w:rsidRPr="00087A72">
        <w:rPr>
          <w:sz w:val="16"/>
        </w:rPr>
        <w:t>. He argues that</w:t>
      </w:r>
      <w:r w:rsidRPr="00087A72">
        <w:rPr>
          <w:rStyle w:val="StyleUnderline"/>
        </w:rPr>
        <w:t xml:space="preserve"> a “logic of elimination” drives settler governance and sociality, describing “the settler-colonial will” as “a historical force that ultimately derives from the primal drive to expansion that is generally glossed as capitalism</w:t>
      </w:r>
      <w:r w:rsidRPr="00087A72">
        <w:rPr>
          <w:sz w:val="16"/>
        </w:rPr>
        <w:t>” (167), and in “Settler Colonialism and the Elimination of the Native,” he observes that “elimination is an organizing principle of settler-colonial society rather than a one-off (and superceded) occurrence”, adding, “</w:t>
      </w:r>
      <w:r w:rsidRPr="00087A72">
        <w:rPr>
          <w:rStyle w:val="StyleUnderline"/>
        </w:rPr>
        <w:t>Settler colonialism destroys to replace</w:t>
      </w:r>
      <w:r w:rsidRPr="00087A72">
        <w:rPr>
          <w:sz w:val="16"/>
        </w:rPr>
        <w:t>.”6 Rather than being superseded after an initial moment/period of conquest, however, colonization persists since “</w:t>
      </w:r>
      <w:r w:rsidRPr="00087A72">
        <w:rPr>
          <w:rStyle w:val="StyleUnderline"/>
        </w:rPr>
        <w:t>the logic of elimination marks a return whereby the native repressed continues to structure settler-colonial society</w:t>
      </w:r>
      <w:r w:rsidRPr="00087A72">
        <w:rPr>
          <w:sz w:val="16"/>
        </w:rPr>
        <w:t xml:space="preserve">” (390), and “the process of replacement maintains the refractory imprint of the native counter-claim” (389). Yet, when and how do projects of elimination and replacement become geographies of everyday non-Native occupancy that do not understand themselves as predicated on colonial occupation or on a history of settler-Indigenous relation (even though they are), and what are the contours and effects of such experiences of inhabitance and belonging? In characterizing settlement as a “structure”, “logic”, and a “will”, Wolfe seeks to integrate the multivalent aspects of ongoing processes of non-Native expropriation and superintendence, but doing so potentially sidesteps the question of how official governmental initiatives and framings become normalized as the setting for everyday non-Native being and action in ways that cannot be captured solely by reference to “the murderous activities of the frontier rabble” (392–3). In Aileen Moreton-Robinson’s work, </w:t>
      </w:r>
      <w:r w:rsidRPr="00087A72">
        <w:rPr>
          <w:rStyle w:val="StyleUnderline"/>
        </w:rPr>
        <w:t>whiteness functions as the central way of understanding the domination and displacement of Indigenous peoples by non-Natives</w:t>
      </w:r>
      <w:r w:rsidRPr="00087A72">
        <w:rPr>
          <w:sz w:val="16"/>
        </w:rPr>
        <w:t>.7 In “Writing Off Indigenous Sovereignty,” she argues, “</w:t>
      </w:r>
      <w:r w:rsidRPr="00087A72">
        <w:rPr>
          <w:rStyle w:val="Emphasis"/>
        </w:rPr>
        <w:t>As a regime of power, patriarchal White sovereignty operates ideologically, materially and discursively to reproduce and maintain its investment in the nation as a white possession</w:t>
      </w:r>
      <w:r w:rsidRPr="00087A72">
        <w:rPr>
          <w:sz w:val="16"/>
        </w:rPr>
        <w:t>”, and in “Writing Off Treaties”, she suggests, “</w:t>
      </w:r>
      <w:r w:rsidRPr="00087A72">
        <w:rPr>
          <w:rStyle w:val="StyleUnderline"/>
        </w:rPr>
        <w:t>At an ontological level the structure of subjective possession occurs through the imposition of one’s will-to-be on the thing which is perceived to lack will, thus it is open to being possessed</w:t>
      </w:r>
      <w:r w:rsidRPr="00087A72">
        <w:rPr>
          <w:sz w:val="16"/>
        </w:rPr>
        <w:t xml:space="preserve">,” such that “possession ... </w:t>
      </w:r>
      <w:r w:rsidRPr="00087A72">
        <w:rPr>
          <w:rStyle w:val="StyleUnderline"/>
        </w:rPr>
        <w:t>forms part of the ontological structure of white subjectivity</w:t>
      </w:r>
      <w:r w:rsidRPr="00087A72">
        <w:rPr>
          <w:sz w:val="16"/>
        </w:rPr>
        <w:t xml:space="preserve">”.8 </w:t>
      </w:r>
      <w:r w:rsidRPr="00087A72">
        <w:rPr>
          <w:rStyle w:val="Emphasis"/>
        </w:rPr>
        <w:t>Whiteness, then, instantiates a property logic in which subjectivity, placemaking, and political belonging turn on the exertion of a right to untrammelled ownership</w:t>
      </w:r>
      <w:r w:rsidRPr="00087A72">
        <w:rPr>
          <w:sz w:val="16"/>
        </w:rPr>
        <w:t xml:space="preserve"> and in which </w:t>
      </w:r>
      <w:r w:rsidRPr="00087A72">
        <w:rPr>
          <w:rStyle w:val="Emphasis"/>
        </w:rPr>
        <w:t>that process of manufacturing legitimacy for non-Native occupation appears as a self-evident, unquestionable, and invisible frame through which to assess Indigenous voices, claims, and presence</w:t>
      </w:r>
      <w:r w:rsidRPr="00087A72">
        <w:rPr>
          <w:sz w:val="16"/>
        </w:rPr>
        <w:t>. She further observes, “</w:t>
      </w:r>
      <w:r w:rsidRPr="00087A72">
        <w:rPr>
          <w:rStyle w:val="StyleUnderline"/>
        </w:rPr>
        <w:t>it is the legally defined and asserted territorial sovereignty [of the settler nation] that provides the context for national identifications of whiteness” while “one benefits everyday from being tied to a nation that has and continues to constitute itself as a white possession”</w:t>
      </w:r>
      <w:r w:rsidRPr="00087A72">
        <w:rPr>
          <w:sz w:val="16"/>
        </w:rPr>
        <w:t xml:space="preserve"> (85). Tracing a dialectical relation between policy and the everyday, she notes in “Writing Off Indigenous Sovereignty” that the “possessive investment in patriarchal white sovereignty is enhanced through private property ownership. This security produces affect that is encapsulated in a sense of home and place, mobilising an affirmation of a white national identity” (95). Thus, her work raises the issue of how the legal discourses that sustain the settler-state’s “territorial sovereignty” become ordinary through the “affect” of belonging and emplacement generated by “private property”, which reciprocally reinvests in the “white national identity” as its condition of possibility. Yet, “whiteness” names the juridical assertion of authority over Indigenous peoples and lands, the quotidian experience of selfhood and embodiment as a settler subject, and </w:t>
      </w:r>
      <w:r w:rsidRPr="00087A72">
        <w:rPr>
          <w:rStyle w:val="StyleUnderline"/>
        </w:rPr>
        <w:t>the movement(s) between them in ways that can cast settler affect as merely the passive vehicle for a pre-constituted set of state initiatives which settler subjects, in their investment in whiteness (as identity and/or identification), inherently extend and realize.</w:t>
      </w:r>
      <w:r w:rsidRPr="00087A72">
        <w:rPr>
          <w:sz w:val="16"/>
        </w:rPr>
        <w:t xml:space="preserve">9 </w:t>
      </w:r>
      <w:r w:rsidRPr="00087A72">
        <w:rPr>
          <w:rStyle w:val="StyleUnderline"/>
        </w:rPr>
        <w:t>The processes by which legislative and administrative agendas come to function as an animating part of daily life, the differences such realization and localization make in the terms and trajectories of those explicit projects, and the possibilities for forms of disjuncture between the state apparatus and everyday experience are bracketed by the positing of a clear, direct, and inevitable relation characterized as “ontological”.</w:t>
      </w:r>
      <w:r w:rsidRPr="00087A72">
        <w:rPr>
          <w:sz w:val="16"/>
        </w:rPr>
        <w:t xml:space="preserve"> For Jodi Byrd, the deployment of Indianness as a mobile figure works as the principal mode of US settler colonialism. She observes that “colonization and racialization ... have often been conflated”, in ways that “tend to be sited along the axis of inclusion/exclusion”.10 </w:t>
      </w:r>
      <w:r w:rsidRPr="00087A72">
        <w:rPr>
          <w:rStyle w:val="StyleUnderline"/>
        </w:rPr>
        <w:t>Doing so places emphasis on the belonging of citizenship as remediation for past and present violence, thereby “mask[ing] the territoriality of conquest by assigning colonization to the racialized body, which is then policed in its degrees from whiteness</w:t>
      </w:r>
      <w:r w:rsidRPr="00087A72">
        <w:rPr>
          <w:sz w:val="16"/>
        </w:rPr>
        <w:t>” (xxiv). Suggesting that the “</w:t>
      </w:r>
      <w:r w:rsidRPr="00087A72">
        <w:rPr>
          <w:rStyle w:val="StyleUnderline"/>
        </w:rPr>
        <w:t>cacophony of competing struggles for hegemony ... misdirect and cloud attention from the underlying structures of settler colonialism”</w:t>
      </w:r>
      <w:r w:rsidRPr="00087A72">
        <w:rPr>
          <w:sz w:val="16"/>
        </w:rPr>
        <w:t xml:space="preserve"> (xvii), s</w:t>
      </w:r>
      <w:r w:rsidRPr="00087A72">
        <w:rPr>
          <w:rStyle w:val="StyleUnderline"/>
        </w:rPr>
        <w:t>he argues that the latter work through translating indigeneity as Indianness, casting place-based political collectivities as (racialized) populations subject to US jurisdiction and management</w:t>
      </w:r>
      <w:r w:rsidRPr="00087A72">
        <w:rPr>
          <w:sz w:val="16"/>
        </w:rPr>
        <w:t>: “</w:t>
      </w:r>
      <w:r w:rsidRPr="00087A72">
        <w:rPr>
          <w:rStyle w:val="Emphasis"/>
        </w:rPr>
        <w:t>the Indian is left nowhere and everywhere within the ontological premises through which U.S. empire orients, imagines, and critiques itself</w:t>
      </w:r>
      <w:r w:rsidRPr="00087A72">
        <w:rPr>
          <w:sz w:val="16"/>
        </w:rPr>
        <w:t>”; “</w:t>
      </w:r>
      <w:r w:rsidRPr="00087A72">
        <w:rPr>
          <w:rStyle w:val="Emphasis"/>
        </w:rPr>
        <w:t>ideas of Indians and Indianness have served as the ontological ground through which U.S. settler colonialism enacts itself</w:t>
      </w:r>
      <w:r w:rsidRPr="00087A72">
        <w:rPr>
          <w:sz w:val="16"/>
        </w:rPr>
        <w:t xml:space="preserve">” (xix).11 </w:t>
      </w:r>
      <w:r w:rsidRPr="00087A72">
        <w:rPr>
          <w:rStyle w:val="Emphasis"/>
        </w:rPr>
        <w:t>In presenting Indianization as providing the “ontological premises” and serving as the “ontological ground” for US identity and policy,</w:t>
      </w:r>
      <w:r w:rsidRPr="00087A72">
        <w:rPr>
          <w:sz w:val="16"/>
        </w:rPr>
        <w:t xml:space="preserve"> Byrd powerfully links the (re)production of Indianness to a range of political and critical projects and the displacement of the geopolitics of Indigenous sovereignty. She observes that </w:t>
      </w:r>
      <w:r w:rsidRPr="00087A72">
        <w:rPr>
          <w:rStyle w:val="StyleUnderline"/>
        </w:rPr>
        <w:t xml:space="preserve">“imperialism has forced settlers and arrivants </w:t>
      </w:r>
      <w:r w:rsidRPr="00087A72">
        <w:rPr>
          <w:sz w:val="16"/>
        </w:rPr>
        <w:t xml:space="preserve">[her term for non-White non-Natives] </w:t>
      </w:r>
      <w:r w:rsidRPr="00087A72">
        <w:rPr>
          <w:rStyle w:val="StyleUnderline"/>
        </w:rPr>
        <w:t>to cathect the space of the native as their home</w:t>
      </w:r>
      <w:r w:rsidRPr="00087A72">
        <w:rPr>
          <w:sz w:val="16"/>
        </w:rPr>
        <w:t>” (xxxix), but how is such cathexis contingently engendered in everyday ways? Although Byrd gestures in this direction, her focus on the foundationality and historical continuity of the dynamics she addresses emphasizes their role as a coherent and consistent “underlying structure” rather than how they gain scope, motion, and force through reiterative yet shifting formations, practices, and inclinations.</w:t>
      </w:r>
    </w:p>
    <w:p w:rsidR="00414088" w:rsidRPr="00087A72" w:rsidRDefault="00414088" w:rsidP="00414088">
      <w:pPr>
        <w:pStyle w:val="Heading4"/>
        <w:rPr>
          <w:rFonts w:cstheme="majorHAnsi"/>
        </w:rPr>
      </w:pPr>
      <w:r w:rsidRPr="00087A72">
        <w:rPr>
          <w:rFonts w:cstheme="majorHAnsi"/>
        </w:rPr>
        <w:t>Thus, refuse the affirmative as an ethical confrontation with catastrophe that functions as an affirmation of the affective vulnerability of the present. Only through confronting genocide not as a historical event or one impact amongst others, but as ongoing catastrophe imminent to settler subjectivity can disrupt the arborescent form of the Settler scaled from the world down to the individual.</w:t>
      </w:r>
    </w:p>
    <w:p w:rsidR="00414088" w:rsidRPr="00087A72" w:rsidRDefault="00414088" w:rsidP="00414088">
      <w:pPr>
        <w:rPr>
          <w:rFonts w:cstheme="majorHAnsi"/>
        </w:rPr>
      </w:pPr>
      <w:r w:rsidRPr="00087A72">
        <w:rPr>
          <w:rStyle w:val="Style13ptBold"/>
          <w:rFonts w:cstheme="majorHAnsi"/>
        </w:rPr>
        <w:t>Kouri and Skott-Myhre 15</w:t>
      </w:r>
      <w:r w:rsidRPr="00087A72">
        <w:rPr>
          <w:rFonts w:cstheme="majorHAnsi"/>
        </w:rPr>
        <w:t xml:space="preserve"> (Scott and Hans, “Catastrophe: a transversal mapping of colonialism and settler subjectivity,” Settler Colonial Studies, Issue Number, No. 3, pp. 12-13)//vikas</w:t>
      </w:r>
    </w:p>
    <w:p w:rsidR="00414088" w:rsidRPr="00087A72" w:rsidRDefault="00414088" w:rsidP="00414088">
      <w:pPr>
        <w:rPr>
          <w:rFonts w:cstheme="majorHAnsi"/>
          <w:sz w:val="16"/>
        </w:rPr>
      </w:pPr>
      <w:r w:rsidRPr="00087A72">
        <w:rPr>
          <w:rFonts w:cstheme="majorHAnsi"/>
          <w:sz w:val="16"/>
        </w:rPr>
        <w:t xml:space="preserve">Deleuze and Guattari’s conceptualization of catastrophe juxtaposes two senses of the word, the representational and the actual. </w:t>
      </w:r>
      <w:r w:rsidRPr="00087A72">
        <w:rPr>
          <w:rFonts w:cstheme="majorHAnsi"/>
          <w:b/>
          <w:u w:val="single"/>
        </w:rPr>
        <w:t>Representing catastrophe as an abstract or historic occurrence distances us from its effects, while recreating ourselves as expressions of catastrophe allows it to function as an actual present.</w:t>
      </w:r>
      <w:r w:rsidRPr="00087A72">
        <w:rPr>
          <w:rFonts w:cstheme="majorHAnsi"/>
          <w:sz w:val="16"/>
        </w:rPr>
        <w:t xml:space="preserve"> It is </w:t>
      </w:r>
      <w:r w:rsidRPr="00087A72">
        <w:rPr>
          <w:rFonts w:cstheme="majorHAnsi"/>
          <w:b/>
          <w:u w:val="single"/>
        </w:rPr>
        <w:t>through a sobering acknowledgment of the present as a state of catastrophe</w:t>
      </w:r>
      <w:r w:rsidRPr="00087A72">
        <w:rPr>
          <w:rFonts w:cstheme="majorHAnsi"/>
          <w:sz w:val="16"/>
        </w:rPr>
        <w:t xml:space="preserve"> – an admission that takes up history in our current spatial, corporeal, and conceptual makeup – </w:t>
      </w:r>
      <w:r w:rsidRPr="00087A72">
        <w:rPr>
          <w:rFonts w:cstheme="majorHAnsi"/>
          <w:b/>
          <w:u w:val="single"/>
        </w:rPr>
        <w:t>and an endurance of the shame and anger that accompanies such</w:t>
      </w:r>
      <w:r w:rsidRPr="00087A72">
        <w:rPr>
          <w:rFonts w:cstheme="majorHAnsi"/>
          <w:sz w:val="16"/>
        </w:rPr>
        <w:t xml:space="preserve"> a revulsive </w:t>
      </w:r>
      <w:r w:rsidRPr="00087A72">
        <w:rPr>
          <w:rFonts w:cstheme="majorHAnsi"/>
          <w:b/>
          <w:u w:val="single"/>
        </w:rPr>
        <w:t>analysis that new ethical subjectivities can be forged.</w:t>
      </w:r>
      <w:r w:rsidRPr="00087A72">
        <w:rPr>
          <w:rFonts w:cstheme="majorHAnsi"/>
          <w:sz w:val="16"/>
        </w:rPr>
        <w:t xml:space="preserve"> A </w:t>
      </w:r>
      <w:r w:rsidRPr="00087A72">
        <w:rPr>
          <w:rFonts w:cstheme="majorHAnsi"/>
          <w:b/>
          <w:u w:val="single"/>
        </w:rPr>
        <w:t>yes-saying to the present</w:t>
      </w:r>
      <w:r w:rsidRPr="00087A72">
        <w:rPr>
          <w:rFonts w:cstheme="majorHAnsi"/>
          <w:sz w:val="16"/>
        </w:rPr>
        <w:t xml:space="preserve">, to </w:t>
      </w:r>
      <w:r w:rsidRPr="00087A72">
        <w:rPr>
          <w:rFonts w:cstheme="majorHAnsi"/>
          <w:b/>
          <w:u w:val="single"/>
        </w:rPr>
        <w:t>all of the present</w:t>
      </w:r>
      <w:r w:rsidRPr="00087A72">
        <w:rPr>
          <w:rFonts w:cstheme="majorHAnsi"/>
          <w:sz w:val="16"/>
        </w:rPr>
        <w:t xml:space="preserve">, </w:t>
      </w:r>
      <w:r w:rsidRPr="00087A72">
        <w:rPr>
          <w:rFonts w:cstheme="majorHAnsi"/>
          <w:b/>
          <w:u w:val="single"/>
        </w:rPr>
        <w:t>moves beyond</w:t>
      </w:r>
      <w:r w:rsidRPr="00087A72">
        <w:rPr>
          <w:rFonts w:cstheme="majorHAnsi"/>
          <w:sz w:val="16"/>
        </w:rPr>
        <w:t xml:space="preserve"> an </w:t>
      </w:r>
      <w:r w:rsidRPr="00087A72">
        <w:rPr>
          <w:rFonts w:cstheme="majorHAnsi"/>
          <w:b/>
          <w:u w:val="single"/>
        </w:rPr>
        <w:t>acceptance of things as they are and affirms all that could be</w:t>
      </w:r>
      <w:r w:rsidRPr="00087A72">
        <w:rPr>
          <w:rFonts w:cstheme="majorHAnsi"/>
          <w:sz w:val="16"/>
        </w:rPr>
        <w:t xml:space="preserve">, since </w:t>
      </w:r>
      <w:r w:rsidRPr="00087A72">
        <w:rPr>
          <w:rFonts w:cstheme="majorHAnsi"/>
          <w:b/>
          <w:u w:val="single"/>
        </w:rPr>
        <w:t>the actual is not what we are but</w:t>
      </w:r>
      <w:r w:rsidRPr="00087A72">
        <w:rPr>
          <w:rFonts w:cstheme="majorHAnsi"/>
          <w:sz w:val="16"/>
        </w:rPr>
        <w:t xml:space="preserve">, rather, </w:t>
      </w:r>
      <w:r w:rsidRPr="00087A72">
        <w:rPr>
          <w:rFonts w:cstheme="majorHAnsi"/>
          <w:b/>
          <w:u w:val="single"/>
        </w:rPr>
        <w:t>what we become</w:t>
      </w:r>
      <w:r w:rsidRPr="00087A72">
        <w:rPr>
          <w:rFonts w:cstheme="majorHAnsi"/>
          <w:sz w:val="16"/>
        </w:rPr>
        <w:t xml:space="preserve">, </w:t>
      </w:r>
      <w:r w:rsidRPr="00087A72">
        <w:rPr>
          <w:rFonts w:cstheme="majorHAnsi"/>
          <w:b/>
          <w:u w:val="single"/>
        </w:rPr>
        <w:t>what we are in the process of becoming</w:t>
      </w:r>
      <w:r w:rsidRPr="00087A72">
        <w:rPr>
          <w:rFonts w:cstheme="majorHAnsi"/>
          <w:sz w:val="16"/>
        </w:rPr>
        <w:t xml:space="preserve"> – that is to say, the Other, our becoming-other. </w:t>
      </w:r>
      <w:r w:rsidRPr="00087A72">
        <w:rPr>
          <w:rFonts w:cstheme="majorHAnsi"/>
          <w:b/>
          <w:u w:val="single"/>
        </w:rPr>
        <w:t>The present</w:t>
      </w:r>
      <w:r w:rsidRPr="00087A72">
        <w:rPr>
          <w:rFonts w:cstheme="majorHAnsi"/>
          <w:sz w:val="16"/>
        </w:rPr>
        <w:t xml:space="preserve">, on the contrary, </w:t>
      </w:r>
      <w:r w:rsidRPr="00087A72">
        <w:rPr>
          <w:rFonts w:cstheme="majorHAnsi"/>
          <w:b/>
          <w:u w:val="single"/>
        </w:rPr>
        <w:t>is what we are and, thereby, what already we are ceasing to be.</w:t>
      </w:r>
      <w:r w:rsidRPr="00087A72">
        <w:rPr>
          <w:rFonts w:cstheme="majorHAnsi"/>
          <w:sz w:val="16"/>
        </w:rPr>
        <w:t xml:space="preserve">58 To be clear, </w:t>
      </w:r>
      <w:r w:rsidRPr="00087A72">
        <w:rPr>
          <w:rStyle w:val="Emphasis"/>
          <w:rFonts w:cstheme="majorHAnsi"/>
        </w:rPr>
        <w:t>affirmation is not an acceptance of the way things are nor a hopeful projection of a future predicated on growth-oriented investments</w:t>
      </w:r>
      <w:r w:rsidRPr="00087A72">
        <w:rPr>
          <w:rFonts w:cstheme="majorHAnsi"/>
          <w:sz w:val="16"/>
        </w:rPr>
        <w:t xml:space="preserve"> in security, accumulation, and comfort, </w:t>
      </w:r>
      <w:r w:rsidRPr="00087A72">
        <w:rPr>
          <w:rStyle w:val="Emphasis"/>
          <w:rFonts w:cstheme="majorHAnsi"/>
        </w:rPr>
        <w:t>but a view of temporality as dynamic dependency and affective and corporeal vulnerability.</w:t>
      </w:r>
      <w:r w:rsidRPr="00087A72">
        <w:rPr>
          <w:rFonts w:cstheme="majorHAnsi"/>
          <w:sz w:val="16"/>
        </w:rPr>
        <w:t xml:space="preserve"> Our </w:t>
      </w:r>
      <w:r w:rsidRPr="00087A72">
        <w:rPr>
          <w:rFonts w:cstheme="majorHAnsi"/>
          <w:b/>
          <w:u w:val="single"/>
        </w:rPr>
        <w:t>present</w:t>
      </w:r>
      <w:r w:rsidRPr="00087A72">
        <w:rPr>
          <w:rFonts w:cstheme="majorHAnsi"/>
          <w:sz w:val="16"/>
        </w:rPr>
        <w:t xml:space="preserve"> is here </w:t>
      </w:r>
      <w:r w:rsidRPr="00087A72">
        <w:rPr>
          <w:rFonts w:cstheme="majorHAnsi"/>
          <w:b/>
          <w:u w:val="single"/>
        </w:rPr>
        <w:t>recast as our very undoing</w:t>
      </w:r>
      <w:r w:rsidRPr="00087A72">
        <w:rPr>
          <w:rFonts w:cstheme="majorHAnsi"/>
          <w:sz w:val="16"/>
        </w:rPr>
        <w:t xml:space="preserve">; it is </w:t>
      </w:r>
      <w:r w:rsidRPr="00087A72">
        <w:rPr>
          <w:rFonts w:cstheme="majorHAnsi"/>
          <w:b/>
          <w:u w:val="single"/>
        </w:rPr>
        <w:t>a present of living relations that is in a perpetual state of change.</w:t>
      </w:r>
      <w:r w:rsidRPr="00087A72">
        <w:rPr>
          <w:rFonts w:cstheme="majorHAnsi"/>
          <w:sz w:val="16"/>
        </w:rPr>
        <w:t xml:space="preserve"> The present is a ceaseless flow of becoming that </w:t>
      </w:r>
      <w:r w:rsidRPr="00087A72">
        <w:rPr>
          <w:rFonts w:cstheme="majorHAnsi"/>
          <w:b/>
          <w:u w:val="single"/>
        </w:rPr>
        <w:t>undermines a settled identity.</w:t>
      </w:r>
      <w:r w:rsidRPr="00087A72">
        <w:rPr>
          <w:rFonts w:cstheme="majorHAnsi"/>
          <w:sz w:val="16"/>
        </w:rPr>
        <w:t xml:space="preserve"> Concerns with settler subjectivity as an abstract entity continue to withdraw us from the living present in which we are composed through our relationships. What this means for us is that </w:t>
      </w:r>
      <w:r w:rsidRPr="00087A72">
        <w:rPr>
          <w:rFonts w:cstheme="majorHAnsi"/>
          <w:b/>
          <w:u w:val="single"/>
        </w:rPr>
        <w:t>rather than ask who or what we are, we must ask about our capacities and relationships. What has been foreclosed through</w:t>
      </w:r>
      <w:r w:rsidRPr="00087A72">
        <w:rPr>
          <w:rFonts w:cstheme="majorHAnsi"/>
          <w:sz w:val="16"/>
        </w:rPr>
        <w:t xml:space="preserve"> the </w:t>
      </w:r>
      <w:r w:rsidRPr="00087A72">
        <w:rPr>
          <w:rFonts w:cstheme="majorHAnsi"/>
          <w:b/>
          <w:u w:val="single"/>
        </w:rPr>
        <w:t>separations, closures, and biopolitics</w:t>
      </w:r>
      <w:r w:rsidRPr="00087A72">
        <w:rPr>
          <w:rFonts w:cstheme="majorHAnsi"/>
          <w:sz w:val="16"/>
        </w:rPr>
        <w:t xml:space="preserve"> of settler colonialism? What might still be extractable through vulnerability, endurance, sobriety, and confrontation with catastrophe? Who do we become when representations, repressions, and negative affects are transformed into positive affects and action? </w:t>
      </w:r>
      <w:r w:rsidRPr="00087A72">
        <w:rPr>
          <w:rFonts w:cstheme="majorHAnsi"/>
          <w:b/>
          <w:u w:val="single"/>
        </w:rPr>
        <w:t>The violence of settler colonialism</w:t>
      </w:r>
      <w:r w:rsidRPr="00087A72">
        <w:rPr>
          <w:rFonts w:cstheme="majorHAnsi"/>
          <w:sz w:val="16"/>
        </w:rPr>
        <w:t>, as Tuck and Yang insist, ‘</w:t>
      </w:r>
      <w:r w:rsidRPr="00087A72">
        <w:rPr>
          <w:rFonts w:cstheme="majorHAnsi"/>
          <w:b/>
          <w:u w:val="single"/>
        </w:rPr>
        <w:t>is not temporally contained in the arrival of the settler but</w:t>
      </w:r>
      <w:r w:rsidRPr="00087A72">
        <w:rPr>
          <w:rFonts w:cstheme="majorHAnsi"/>
          <w:sz w:val="16"/>
        </w:rPr>
        <w:t xml:space="preserve"> is </w:t>
      </w:r>
      <w:r w:rsidRPr="00087A72">
        <w:rPr>
          <w:rFonts w:cstheme="majorHAnsi"/>
          <w:b/>
          <w:u w:val="single"/>
        </w:rPr>
        <w:t>reasserted each day of occupation</w:t>
      </w:r>
      <w:r w:rsidRPr="00087A72">
        <w:rPr>
          <w:rFonts w:cstheme="majorHAnsi"/>
          <w:sz w:val="16"/>
        </w:rPr>
        <w:t xml:space="preserve">’, 59 </w:t>
      </w:r>
      <w:r w:rsidRPr="00087A72">
        <w:rPr>
          <w:rStyle w:val="Emphasis"/>
          <w:rFonts w:cstheme="majorHAnsi"/>
        </w:rPr>
        <w:t>yet we argue that we have to resist the belief that the current state of affairs and its</w:t>
      </w:r>
      <w:r w:rsidRPr="00087A72">
        <w:rPr>
          <w:rFonts w:cstheme="majorHAnsi"/>
          <w:sz w:val="16"/>
        </w:rPr>
        <w:t xml:space="preserve"> sets of </w:t>
      </w:r>
      <w:r w:rsidRPr="00087A72">
        <w:rPr>
          <w:rStyle w:val="Emphasis"/>
          <w:rFonts w:cstheme="majorHAnsi"/>
        </w:rPr>
        <w:t>relations are the only possible ones.</w:t>
      </w:r>
      <w:r w:rsidRPr="00087A72">
        <w:rPr>
          <w:rFonts w:cstheme="majorHAnsi"/>
          <w:sz w:val="16"/>
        </w:rPr>
        <w:t xml:space="preserve"> While acknowledging that decolonization is specifically about the restitution of Indigenous lands,60 </w:t>
      </w:r>
      <w:r w:rsidRPr="00087A72">
        <w:rPr>
          <w:rFonts w:cstheme="majorHAnsi"/>
          <w:b/>
          <w:u w:val="single"/>
        </w:rPr>
        <w:t>we persist in considering that undoing the colonial mind and its apparatus is important in reconfiguring</w:t>
      </w:r>
      <w:r w:rsidRPr="00087A72">
        <w:rPr>
          <w:rFonts w:cstheme="majorHAnsi"/>
          <w:sz w:val="16"/>
        </w:rPr>
        <w:t xml:space="preserve"> contemporary </w:t>
      </w:r>
      <w:r w:rsidRPr="00087A72">
        <w:rPr>
          <w:rFonts w:cstheme="majorHAnsi"/>
          <w:b/>
          <w:u w:val="single"/>
        </w:rPr>
        <w:t>relations and developing a new society. We are</w:t>
      </w:r>
      <w:r w:rsidRPr="00087A72">
        <w:rPr>
          <w:rFonts w:cstheme="majorHAnsi"/>
          <w:sz w:val="16"/>
        </w:rPr>
        <w:t xml:space="preserve"> not asking our fellow settlers to leave their homes to join the anticolonial revolution, but </w:t>
      </w:r>
      <w:r w:rsidRPr="00087A72">
        <w:rPr>
          <w:rFonts w:cstheme="majorHAnsi"/>
          <w:b/>
          <w:u w:val="single"/>
        </w:rPr>
        <w:t>suggesting</w:t>
      </w:r>
      <w:r w:rsidRPr="00087A72">
        <w:rPr>
          <w:rFonts w:cstheme="majorHAnsi"/>
          <w:sz w:val="16"/>
        </w:rPr>
        <w:t xml:space="preserve"> precisely </w:t>
      </w:r>
      <w:r w:rsidRPr="00087A72">
        <w:rPr>
          <w:rFonts w:cstheme="majorHAnsi"/>
          <w:b/>
          <w:u w:val="single"/>
        </w:rPr>
        <w:t xml:space="preserve">the opposite: </w:t>
      </w:r>
      <w:r w:rsidRPr="00087A72">
        <w:rPr>
          <w:rStyle w:val="Emphasis"/>
          <w:rFonts w:cstheme="majorHAnsi"/>
        </w:rPr>
        <w:t>to make your home and life the revolution itself.</w:t>
      </w:r>
      <w:r w:rsidRPr="00087A72">
        <w:rPr>
          <w:rFonts w:cstheme="majorHAnsi"/>
          <w:sz w:val="16"/>
        </w:rPr>
        <w:t xml:space="preserve"> We are seeking </w:t>
      </w:r>
      <w:r w:rsidRPr="00087A72">
        <w:rPr>
          <w:rFonts w:cstheme="majorHAnsi"/>
          <w:b/>
          <w:u w:val="single"/>
        </w:rPr>
        <w:t>ways of being radically present on Indigenous territory, a radicality that undermines the state, Western identity formations, and settler futures.</w:t>
      </w:r>
      <w:r w:rsidRPr="00087A72">
        <w:rPr>
          <w:rFonts w:cstheme="majorHAnsi"/>
          <w:sz w:val="16"/>
        </w:rPr>
        <w:t xml:space="preserve"> And because colonialism and capitalism have always been at least partially successful of recuperating revolutionary modes of production this process must be ongoing and specific to circumstance. We are interested in the production of </w:t>
      </w:r>
      <w:r w:rsidRPr="00087A72">
        <w:rPr>
          <w:rFonts w:cstheme="majorHAnsi"/>
          <w:b/>
          <w:u w:val="single"/>
        </w:rPr>
        <w:t>subjectivities that are not founded on binaries between who we are and who we are not</w:t>
      </w:r>
      <w:r w:rsidRPr="00087A72">
        <w:rPr>
          <w:rFonts w:cstheme="majorHAnsi"/>
          <w:sz w:val="16"/>
        </w:rPr>
        <w:t xml:space="preserve"> – </w:t>
      </w:r>
      <w:r w:rsidRPr="00087A72">
        <w:rPr>
          <w:rStyle w:val="Emphasis"/>
          <w:rFonts w:cstheme="majorHAnsi"/>
        </w:rPr>
        <w:t>without</w:t>
      </w:r>
      <w:r w:rsidRPr="00087A72">
        <w:rPr>
          <w:rFonts w:cstheme="majorHAnsi"/>
          <w:sz w:val="16"/>
        </w:rPr>
        <w:t xml:space="preserve">, of course, </w:t>
      </w:r>
      <w:r w:rsidRPr="00087A72">
        <w:rPr>
          <w:rStyle w:val="Emphasis"/>
          <w:rFonts w:cstheme="majorHAnsi"/>
        </w:rPr>
        <w:t>interfering with Indigenous politics of identity or ignoring differential distributions of injustice</w:t>
      </w:r>
      <w:r w:rsidRPr="00087A72">
        <w:rPr>
          <w:rFonts w:cstheme="majorHAnsi"/>
          <w:sz w:val="16"/>
        </w:rPr>
        <w:t xml:space="preserve"> and violence </w:t>
      </w:r>
      <w:r w:rsidRPr="00087A72">
        <w:rPr>
          <w:rStyle w:val="Emphasis"/>
          <w:rFonts w:cstheme="majorHAnsi"/>
        </w:rPr>
        <w:t>based on identity.</w:t>
      </w:r>
      <w:r w:rsidRPr="00087A72">
        <w:rPr>
          <w:rFonts w:cstheme="majorHAnsi"/>
          <w:sz w:val="16"/>
        </w:rPr>
        <w:t xml:space="preserve"> We want to move </w:t>
      </w:r>
      <w:r w:rsidRPr="00087A72">
        <w:rPr>
          <w:rFonts w:cstheme="majorHAnsi"/>
          <w:b/>
          <w:u w:val="single"/>
        </w:rPr>
        <w:t xml:space="preserve">from rigid settler identities toward processes of </w:t>
      </w:r>
      <w:r w:rsidRPr="00087A72">
        <w:rPr>
          <w:rStyle w:val="Emphasis"/>
          <w:rFonts w:cstheme="majorHAnsi"/>
        </w:rPr>
        <w:t>subjectification based on who and what we are related to, including humans, plants, minerals, waters, and stars</w:t>
      </w:r>
      <w:r w:rsidRPr="00087A72">
        <w:rPr>
          <w:rFonts w:cstheme="majorHAnsi"/>
          <w:b/>
          <w:u w:val="single"/>
        </w:rPr>
        <w:t>. We seek to undo dialectical thinking and recognize the singularity of every existent outside state taxonomy and organizational</w:t>
      </w:r>
      <w:r w:rsidRPr="00087A72">
        <w:rPr>
          <w:rFonts w:cstheme="majorHAnsi"/>
          <w:sz w:val="16"/>
        </w:rPr>
        <w:t xml:space="preserve"> system. As Deleuze writes, the Spinozan principle asserts that </w:t>
      </w:r>
      <w:r w:rsidRPr="00087A72">
        <w:rPr>
          <w:rFonts w:cstheme="majorHAnsi"/>
          <w:b/>
          <w:u w:val="single"/>
        </w:rPr>
        <w:t xml:space="preserve">negation is nothing, because </w:t>
      </w:r>
      <w:r w:rsidRPr="00087A72">
        <w:rPr>
          <w:rFonts w:cstheme="majorHAnsi"/>
          <w:sz w:val="16"/>
        </w:rPr>
        <w:t xml:space="preserve">absolutely </w:t>
      </w:r>
      <w:r w:rsidRPr="00087A72">
        <w:rPr>
          <w:rFonts w:cstheme="majorHAnsi"/>
          <w:b/>
          <w:u w:val="single"/>
        </w:rPr>
        <w:t>nothing</w:t>
      </w:r>
      <w:r w:rsidRPr="00087A72">
        <w:rPr>
          <w:rFonts w:cstheme="majorHAnsi"/>
          <w:sz w:val="16"/>
        </w:rPr>
        <w:t xml:space="preserve"> ever </w:t>
      </w:r>
      <w:r w:rsidRPr="00087A72">
        <w:rPr>
          <w:rFonts w:cstheme="majorHAnsi"/>
          <w:b/>
          <w:u w:val="single"/>
        </w:rPr>
        <w:t>lacks anything. Negation is a being of reason</w:t>
      </w:r>
      <w:r w:rsidRPr="00087A72">
        <w:rPr>
          <w:rFonts w:cstheme="majorHAnsi"/>
          <w:sz w:val="16"/>
        </w:rPr>
        <w:t xml:space="preserve">, or rather of comparison, </w:t>
      </w:r>
      <w:r w:rsidRPr="00087A72">
        <w:rPr>
          <w:rFonts w:cstheme="majorHAnsi"/>
          <w:b/>
          <w:u w:val="single"/>
        </w:rPr>
        <w:t>which results from our grouping together</w:t>
      </w:r>
      <w:r w:rsidRPr="00087A72">
        <w:rPr>
          <w:rFonts w:cstheme="majorHAnsi"/>
          <w:sz w:val="16"/>
        </w:rPr>
        <w:t xml:space="preserve"> all sorts </w:t>
      </w:r>
      <w:r w:rsidRPr="00087A72">
        <w:rPr>
          <w:rFonts w:cstheme="majorHAnsi"/>
          <w:b/>
          <w:u w:val="single"/>
        </w:rPr>
        <w:t>of distinct beings so as to refer them to one and the same fictitious ideal</w:t>
      </w:r>
      <w:r w:rsidRPr="00087A72">
        <w:rPr>
          <w:rFonts w:cstheme="majorHAnsi"/>
          <w:sz w:val="16"/>
        </w:rPr>
        <w:t xml:space="preserve">, in the name of which we say that one or another of them falls short of the ideal.61 The concepts of identity and lack in the colonial project are used to organize difference and diversity into dichotomies or taxonomies. </w:t>
      </w:r>
      <w:r w:rsidRPr="00087A72">
        <w:rPr>
          <w:rFonts w:cstheme="majorHAnsi"/>
          <w:b/>
          <w:u w:val="single"/>
        </w:rPr>
        <w:t>Categories and subcategories of difference are</w:t>
      </w:r>
      <w:r w:rsidRPr="00087A72">
        <w:rPr>
          <w:rFonts w:cstheme="majorHAnsi"/>
          <w:sz w:val="16"/>
        </w:rPr>
        <w:t xml:space="preserve">, without exception, </w:t>
      </w:r>
      <w:r w:rsidRPr="00087A72">
        <w:rPr>
          <w:rFonts w:cstheme="majorHAnsi"/>
          <w:b/>
          <w:u w:val="single"/>
        </w:rPr>
        <w:t>hierarchical and saturated in power relations</w:t>
      </w:r>
      <w:r w:rsidRPr="00087A72">
        <w:rPr>
          <w:rFonts w:cstheme="majorHAnsi"/>
          <w:sz w:val="16"/>
        </w:rPr>
        <w:t xml:space="preserve">, where to be </w:t>
      </w:r>
      <w:r w:rsidRPr="00087A72">
        <w:rPr>
          <w:rFonts w:cstheme="majorHAnsi"/>
          <w:b/>
          <w:u w:val="single"/>
        </w:rPr>
        <w:t>identified with</w:t>
      </w:r>
      <w:r w:rsidRPr="00087A72">
        <w:rPr>
          <w:rFonts w:cstheme="majorHAnsi"/>
          <w:sz w:val="16"/>
        </w:rPr>
        <w:t xml:space="preserve"> or different from is inextricably tied to </w:t>
      </w:r>
      <w:r w:rsidRPr="00087A72">
        <w:rPr>
          <w:rFonts w:cstheme="majorHAnsi"/>
          <w:b/>
          <w:u w:val="single"/>
        </w:rPr>
        <w:t>access, affordances, and annulments.</w:t>
      </w:r>
      <w:r w:rsidRPr="00087A72">
        <w:rPr>
          <w:rFonts w:cstheme="majorHAnsi"/>
          <w:sz w:val="16"/>
        </w:rPr>
        <w:t xml:space="preserve"> In Spinoza and Deleuze, </w:t>
      </w:r>
      <w:r w:rsidRPr="00087A72">
        <w:rPr>
          <w:rStyle w:val="Emphasis"/>
          <w:rFonts w:cstheme="majorHAnsi"/>
        </w:rPr>
        <w:t>alternatively, difference is immanent to life and</w:t>
      </w:r>
      <w:r w:rsidRPr="00087A72">
        <w:rPr>
          <w:rFonts w:cstheme="majorHAnsi"/>
          <w:sz w:val="16"/>
        </w:rPr>
        <w:t xml:space="preserve"> the </w:t>
      </w:r>
      <w:r w:rsidRPr="00087A72">
        <w:rPr>
          <w:rStyle w:val="Emphasis"/>
          <w:rFonts w:cstheme="majorHAnsi"/>
        </w:rPr>
        <w:t>affirmation of distinctiveness and singularity have the capacity to break up transcendent systems of organization.</w:t>
      </w:r>
      <w:r w:rsidRPr="00087A72">
        <w:rPr>
          <w:rFonts w:cstheme="majorHAnsi"/>
          <w:sz w:val="16"/>
        </w:rPr>
        <w:t xml:space="preserve"> Deleuze proposes that </w:t>
      </w:r>
      <w:r w:rsidRPr="00087A72">
        <w:rPr>
          <w:rFonts w:cstheme="majorHAnsi"/>
          <w:b/>
          <w:u w:val="single"/>
        </w:rPr>
        <w:t>catastrophe offers a new right to thought that can open up transcendence in such a way that one can actually apprehend</w:t>
      </w:r>
      <w:r w:rsidRPr="00087A72">
        <w:rPr>
          <w:rFonts w:cstheme="majorHAnsi"/>
          <w:sz w:val="16"/>
        </w:rPr>
        <w:t xml:space="preserve">, in at least an instance, </w:t>
      </w:r>
      <w:r w:rsidRPr="00087A72">
        <w:rPr>
          <w:rFonts w:cstheme="majorHAnsi"/>
          <w:b/>
          <w:u w:val="single"/>
        </w:rPr>
        <w:t>the whole of life as a system of interconnected forces and flows</w:t>
      </w:r>
      <w:r w:rsidRPr="00087A72">
        <w:rPr>
          <w:rFonts w:cstheme="majorHAnsi"/>
          <w:sz w:val="16"/>
        </w:rPr>
        <w:t xml:space="preserve">. This thought of </w:t>
      </w:r>
      <w:r w:rsidRPr="00087A72">
        <w:rPr>
          <w:rFonts w:cstheme="majorHAnsi"/>
          <w:b/>
          <w:u w:val="single"/>
        </w:rPr>
        <w:t xml:space="preserve">immanence is particularly useful to apprehend how colonialism naturalizes hierarchy and attempts to repress </w:t>
      </w:r>
      <w:r w:rsidRPr="00087A72">
        <w:rPr>
          <w:rFonts w:cstheme="majorHAnsi"/>
          <w:sz w:val="16"/>
        </w:rPr>
        <w:t xml:space="preserve">the infinitely </w:t>
      </w:r>
      <w:r w:rsidRPr="00087A72">
        <w:rPr>
          <w:rFonts w:cstheme="majorHAnsi"/>
          <w:b/>
          <w:u w:val="single"/>
        </w:rPr>
        <w:t>diverse</w:t>
      </w:r>
      <w:r w:rsidRPr="00087A72">
        <w:rPr>
          <w:rFonts w:cstheme="majorHAnsi"/>
          <w:sz w:val="16"/>
        </w:rPr>
        <w:t xml:space="preserve"> ways that the flows and </w:t>
      </w:r>
      <w:r w:rsidRPr="00087A72">
        <w:rPr>
          <w:rFonts w:cstheme="majorHAnsi"/>
          <w:b/>
          <w:u w:val="single"/>
        </w:rPr>
        <w:t>forces of life</w:t>
      </w:r>
      <w:r w:rsidRPr="00087A72">
        <w:rPr>
          <w:rFonts w:cstheme="majorHAnsi"/>
          <w:sz w:val="16"/>
        </w:rPr>
        <w:t xml:space="preserve"> continually reassemble. </w:t>
      </w:r>
      <w:r w:rsidRPr="00087A72">
        <w:rPr>
          <w:rStyle w:val="Emphasis"/>
          <w:rFonts w:cstheme="majorHAnsi"/>
        </w:rPr>
        <w:t>The quest is not to see any difference, but to see difference in itself – the complete singularity of an existent without reference to what it is not</w:t>
      </w:r>
      <w:r w:rsidRPr="00087A72">
        <w:rPr>
          <w:rFonts w:cstheme="majorHAnsi"/>
          <w:sz w:val="16"/>
        </w:rPr>
        <w:t xml:space="preserve">, what it lacks, </w:t>
      </w:r>
      <w:r w:rsidRPr="00087A72">
        <w:rPr>
          <w:rStyle w:val="Emphasis"/>
          <w:rFonts w:cstheme="majorHAnsi"/>
        </w:rPr>
        <w:t>or to any other set of abstract codes.</w:t>
      </w:r>
      <w:r w:rsidRPr="00087A72">
        <w:rPr>
          <w:rFonts w:cstheme="majorHAnsi"/>
          <w:b/>
          <w:sz w:val="16"/>
        </w:rPr>
        <w:t xml:space="preserve"> </w:t>
      </w:r>
      <w:r w:rsidRPr="00087A72">
        <w:rPr>
          <w:rFonts w:cstheme="majorHAnsi"/>
          <w:b/>
          <w:u w:val="single"/>
        </w:rPr>
        <w:t>Such a thought better sensitizes us to apprehending how current social structures and rationality work</w:t>
      </w:r>
      <w:r w:rsidRPr="00087A72">
        <w:rPr>
          <w:rFonts w:cstheme="majorHAnsi"/>
          <w:sz w:val="16"/>
        </w:rPr>
        <w:t xml:space="preserve"> to organize, prevent, extract, and control the living flows. Furthermore, </w:t>
      </w:r>
      <w:r w:rsidRPr="00087A72">
        <w:rPr>
          <w:rFonts w:cstheme="majorHAnsi"/>
          <w:b/>
          <w:u w:val="single"/>
        </w:rPr>
        <w:t>it allows us to glimpse the processes at work in the formation of our own subjectivities. We are not proposing</w:t>
      </w:r>
      <w:r w:rsidRPr="00087A72">
        <w:rPr>
          <w:rFonts w:cstheme="majorHAnsi"/>
          <w:sz w:val="16"/>
        </w:rPr>
        <w:t xml:space="preserve"> here that </w:t>
      </w:r>
      <w:r w:rsidRPr="00087A72">
        <w:rPr>
          <w:rFonts w:cstheme="majorHAnsi"/>
          <w:b/>
          <w:u w:val="single"/>
        </w:rPr>
        <w:t>living in immanence is an option.</w:t>
      </w:r>
      <w:r w:rsidRPr="00087A72">
        <w:rPr>
          <w:rFonts w:cstheme="majorHAnsi"/>
          <w:sz w:val="16"/>
        </w:rPr>
        <w:t xml:space="preserve"> </w:t>
      </w:r>
      <w:r w:rsidRPr="00087A72">
        <w:rPr>
          <w:rStyle w:val="Emphasis"/>
          <w:rFonts w:cstheme="majorHAnsi"/>
        </w:rPr>
        <w:t>We are proposing that life is immanence and that recognizing that fact can help us to map how the state, Western rationality, and settler subjects disfigure life</w:t>
      </w:r>
      <w:r w:rsidRPr="00087A72">
        <w:rPr>
          <w:rFonts w:cstheme="majorHAnsi"/>
          <w:sz w:val="16"/>
        </w:rPr>
        <w:t xml:space="preserve"> in order </w:t>
      </w:r>
      <w:r w:rsidRPr="00087A72">
        <w:rPr>
          <w:rStyle w:val="Emphasis"/>
          <w:rFonts w:cstheme="majorHAnsi"/>
        </w:rPr>
        <w:t>to extract from it what they need to extend themselves.</w:t>
      </w:r>
      <w:r w:rsidRPr="00087A72">
        <w:rPr>
          <w:rFonts w:cstheme="majorHAnsi"/>
          <w:sz w:val="16"/>
        </w:rPr>
        <w:t xml:space="preserve"> All transcendental, categorical, or universal settler principles are anathema to the immanent subjectivity that we are mapping here as their alternative. We therefore entirely reject the set of universal standards instituted, yet betrayed, in settler colonies by the state, church, and educational systems. We understand that the moralisms of the church, </w:t>
      </w:r>
      <w:r w:rsidRPr="00087A72">
        <w:rPr>
          <w:rFonts w:cstheme="majorHAnsi"/>
          <w:b/>
          <w:u w:val="single"/>
        </w:rPr>
        <w:t>the democratic promise of equality issued by the state</w:t>
      </w:r>
      <w:r w:rsidRPr="00087A72">
        <w:rPr>
          <w:rFonts w:cstheme="majorHAnsi"/>
          <w:sz w:val="16"/>
        </w:rPr>
        <w:t xml:space="preserve">, and the pseudo-science of the fields of anthropology, history, and psychiatry </w:t>
      </w:r>
      <w:r w:rsidRPr="00087A72">
        <w:rPr>
          <w:rFonts w:cstheme="majorHAnsi"/>
          <w:b/>
          <w:u w:val="single"/>
        </w:rPr>
        <w:t>are all founded on a transcendental image that has undermined Indigenous lives</w:t>
      </w:r>
      <w:r w:rsidRPr="00087A72">
        <w:rPr>
          <w:rFonts w:cstheme="majorHAnsi"/>
          <w:sz w:val="16"/>
        </w:rPr>
        <w:t xml:space="preserve"> and worldviews and marginalized immanent and revolutionary subjectivities. </w:t>
      </w:r>
      <w:r w:rsidRPr="00087A72">
        <w:rPr>
          <w:rStyle w:val="Emphasis"/>
          <w:rFonts w:cstheme="majorHAnsi"/>
        </w:rPr>
        <w:t>A new immanent settler subjectivity that rejects the dictates of a transcendental god, state, or knowledge moves toward an ethics of accountability</w:t>
      </w:r>
      <w:r w:rsidRPr="00087A72">
        <w:rPr>
          <w:rFonts w:cstheme="majorHAnsi"/>
          <w:sz w:val="16"/>
        </w:rPr>
        <w:t xml:space="preserve"> to the immanent relations that constitute it. </w:t>
      </w:r>
      <w:r w:rsidRPr="00087A72">
        <w:rPr>
          <w:rFonts w:cstheme="majorHAnsi"/>
          <w:b/>
          <w:u w:val="single"/>
        </w:rPr>
        <w:t xml:space="preserve">We seek to dislodge ourselves from the dominant power and change the effects of that power toward a collective community building and immanent auto-productivity. </w:t>
      </w:r>
      <w:r w:rsidRPr="00087A72">
        <w:rPr>
          <w:rStyle w:val="Emphasis"/>
          <w:rFonts w:cstheme="majorHAnsi"/>
        </w:rPr>
        <w:t>Such relationships</w:t>
      </w:r>
      <w:r w:rsidRPr="00087A72">
        <w:rPr>
          <w:rFonts w:cstheme="majorHAnsi"/>
          <w:sz w:val="16"/>
        </w:rPr>
        <w:t xml:space="preserve"> move alongside recognition politics by the state through laws and rights, but more critically </w:t>
      </w:r>
      <w:r w:rsidRPr="00087A72">
        <w:rPr>
          <w:rStyle w:val="Emphasis"/>
          <w:rFonts w:cstheme="majorHAnsi"/>
        </w:rPr>
        <w:t>act to undo the state’s power to subject others to rights and laws.</w:t>
      </w:r>
      <w:r w:rsidRPr="00087A72">
        <w:rPr>
          <w:rFonts w:cstheme="majorHAnsi"/>
          <w:sz w:val="16"/>
        </w:rPr>
        <w:t xml:space="preserve"> It is a call </w:t>
      </w:r>
      <w:r w:rsidRPr="00087A72">
        <w:rPr>
          <w:rStyle w:val="Emphasis"/>
          <w:rFonts w:cstheme="majorHAnsi"/>
        </w:rPr>
        <w:t>to rethink power, agency, and freedom through a situated accountability based on responsibility, allegiance, and affiliation.</w:t>
      </w:r>
      <w:r w:rsidRPr="00087A72">
        <w:rPr>
          <w:rFonts w:cstheme="majorHAnsi"/>
          <w:sz w:val="16"/>
        </w:rPr>
        <w:t xml:space="preserve"> Ethics here is about active forces and increasing relationality, affect, and capacity to act. It therefore calls for singularized mappings of power and responsible negotiations en route to a different world.</w:t>
      </w:r>
    </w:p>
    <w:p w:rsidR="00414088" w:rsidRPr="00087A72" w:rsidRDefault="00414088" w:rsidP="00414088">
      <w:pPr>
        <w:pStyle w:val="Heading4"/>
      </w:pPr>
      <w:r w:rsidRPr="00087A72">
        <w:t>Settler colonialism maintains itself through the everyday, repetitive acts of practices, presences, and speech acts. Loyalty to an ethic of decolonization requires a refusal of the affirmative as a repudiation of the Settler subject’s ongoing attempt to achieve the end of Indigenous life. Only by an iterative process of refusal can cultivate cracks in the Settler psyche.</w:t>
      </w:r>
    </w:p>
    <w:p w:rsidR="00414088" w:rsidRPr="00087A72" w:rsidRDefault="00414088" w:rsidP="00414088">
      <w:r w:rsidRPr="00087A72">
        <w:rPr>
          <w:rStyle w:val="Style13ptBold"/>
        </w:rPr>
        <w:t>Henderson 15</w:t>
      </w:r>
      <w:r w:rsidRPr="00087A72">
        <w:t xml:space="preserve"> (Phil, Doctoral Student at the University of Victoria "Imagoed communities: the psychosocial space of settler colonialism" Settler Colonial Studies DOI: 10.1080/2201473X.2015.1092194, pp. 10-14) NIJ</w:t>
      </w:r>
    </w:p>
    <w:p w:rsidR="00414088" w:rsidRPr="00087A72" w:rsidRDefault="00414088" w:rsidP="00414088">
      <w:pPr>
        <w:rPr>
          <w:sz w:val="12"/>
        </w:rPr>
      </w:pPr>
      <w:r w:rsidRPr="00087A72">
        <w:rPr>
          <w:sz w:val="12"/>
        </w:rPr>
        <w:t xml:space="preserve">Facing assertive indigenous presences within settler colonial spaces, </w:t>
      </w:r>
      <w:r w:rsidRPr="00087A72">
        <w:rPr>
          <w:rStyle w:val="Emphasis"/>
        </w:rPr>
        <w:t>settlers must answer the legitimate charge that their daily life – in all its banality – is predicated upon the privileges produced by ongoing genocide.</w:t>
      </w:r>
      <w:r w:rsidRPr="00087A72">
        <w:rPr>
          <w:sz w:val="12"/>
        </w:rPr>
        <w:t xml:space="preserve"> </w:t>
      </w:r>
      <w:r w:rsidRPr="00087A72">
        <w:rPr>
          <w:rStyle w:val="StyleUnderline"/>
        </w:rPr>
        <w:t>The jarring nature of such charges offers an irreconcilable challenge to settlers qua settlers.</w:t>
      </w:r>
      <w:r w:rsidRPr="00087A72">
        <w:rPr>
          <w:sz w:val="12"/>
        </w:rPr>
        <w:t xml:space="preserve">64 </w:t>
      </w:r>
      <w:r w:rsidRPr="00087A72">
        <w:rPr>
          <w:rStyle w:val="StyleUnderline"/>
        </w:rPr>
        <w:t>Should these charges become impossible to ignore, they threaten to explode the imago of settler colonialism, which had hitherto operated within the settler psyche in a relatively smooth and benign manner. This explosion is potentiated by the revelation of even a portion of the violence that is required to make settler life possible. If, for example, settlers are forced to see ‘their’ beach as a site of murder and ongoing colonization, it becomes more difficult to sustain it within the imaginary as a site of frivolity.</w:t>
      </w:r>
      <w:r w:rsidRPr="00087A72">
        <w:rPr>
          <w:sz w:val="12"/>
        </w:rPr>
        <w:t xml:space="preserve">65 As Brown writes, in the ‘loss of horizons, order, and identity’ the subject experiences a sense of enormous vulnerability.66 Threatened with this ‘loss of containment’, the settler subject embarks down the road to psychosis.67 Thus, to parlay Brown’s thesis to the settler colonial context, </w:t>
      </w:r>
      <w:r w:rsidRPr="00087A72">
        <w:rPr>
          <w:rStyle w:val="StyleUnderline"/>
        </w:rPr>
        <w:t>the uncontrollable rage that indigenous presences induce within the settler is not evidence of the strength of settlers, but rather of a subject lashing out on the brink of its own dissolution. This panic – this rabid and insatiable anger – is always already at the core of the settler as a subject.</w:t>
      </w:r>
      <w:r w:rsidRPr="00087A72">
        <w:rPr>
          <w:sz w:val="12"/>
        </w:rPr>
        <w:t xml:space="preserve"> As Lorenzo Veracini observes, </w:t>
      </w:r>
      <w:r w:rsidRPr="00087A72">
        <w:rPr>
          <w:rStyle w:val="StyleUnderline"/>
        </w:rPr>
        <w:t xml:space="preserve">the settler necessarily remains in a disposition of aggression ‘even after indigenous alterities have ceased to be threatening’. </w:t>
      </w:r>
      <w:r w:rsidRPr="00087A72">
        <w:rPr>
          <w:sz w:val="12"/>
        </w:rPr>
        <w:t xml:space="preserve">68 </w:t>
      </w:r>
      <w:r w:rsidRPr="00087A72">
        <w:rPr>
          <w:rStyle w:val="StyleUnderline"/>
        </w:rPr>
        <w:t>This disposition results from the precarity inherent in the maintenance of settler colonialism’s imago, wherein any and all indigenous presences threaten subjective dissolution of the settler as such.</w:t>
      </w:r>
      <w:r w:rsidRPr="00087A72">
        <w:rPr>
          <w:sz w:val="12"/>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w:t>
      </w:r>
      <w:r w:rsidRPr="00087A72">
        <w:rPr>
          <w:rStyle w:val="StyleUnderline"/>
        </w:rPr>
        <w:t>Their desire to produce a firm imago means that settlers are also always already in a psychically defensive position – that is, the settler’s offensive position</w:t>
      </w:r>
      <w:r w:rsidRPr="00087A72">
        <w:rPr>
          <w:sz w:val="12"/>
        </w:rPr>
        <w:t xml:space="preserve"> on occupied land </w:t>
      </w:r>
      <w:r w:rsidRPr="00087A72">
        <w:rPr>
          <w:rStyle w:val="StyleUnderline"/>
        </w:rPr>
        <w:t>is sustained through a defensive posture. For while settlers desire the total erasure of indigenous populations, the attendant desire to disappear their own identity as settlers necessitates the suppression of both desires, if the subject’s reliance on settler colonial power structure is to be psychically naturalized. Settlers’ reactions to indigenous peoples fit, almost universally, with the two ego defense responses</w:t>
      </w:r>
      <w:r w:rsidRPr="00087A72">
        <w:rPr>
          <w:sz w:val="12"/>
        </w:rPr>
        <w:t xml:space="preserve"> that Sigmund Freud observed. </w:t>
      </w:r>
      <w:r w:rsidRPr="00087A72">
        <w:rPr>
          <w:rStyle w:val="StyleUnderline"/>
        </w:rPr>
        <w:t>The first of these defenses is to attempt a complete conversion of the suppressed desire into a new idea.</w:t>
      </w:r>
      <w:r w:rsidRPr="00087A72">
        <w:rPr>
          <w:sz w:val="12"/>
        </w:rPr>
        <w:t xml:space="preserve"> In settler colonial contexts, </w:t>
      </w:r>
      <w:r w:rsidRPr="00087A72">
        <w:rPr>
          <w:rStyle w:val="StyleUnderline"/>
        </w:rPr>
        <w:t xml:space="preserve">this requires averting attention from the violence of dispossession; as such, settlers often suggest that they aim to create a ‘city on the hill’. </w:t>
      </w:r>
      <w:r w:rsidRPr="00087A72">
        <w:rPr>
          <w:sz w:val="12"/>
        </w:rPr>
        <w:t xml:space="preserve">70 Freud noted that </w:t>
      </w:r>
      <w:r w:rsidRPr="00087A72">
        <w:rPr>
          <w:rStyle w:val="StyleUnderline"/>
        </w:rPr>
        <w:t>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w:t>
      </w:r>
      <w:r w:rsidRPr="00087A72">
        <w:rPr>
          <w:sz w:val="12"/>
        </w:rPr>
        <w:t xml:space="preserve">71 As we have already seen, </w:t>
      </w:r>
      <w:r w:rsidRPr="00087A72">
        <w:rPr>
          <w:rStyle w:val="StyleUnderline"/>
        </w:rPr>
        <w:t>this obsession at once solidifies the power of the settler state, thereby naturalizing the settler and simultaneously perpetuating the processes of erasing indigenous peoples.</w:t>
      </w:r>
      <w:r w:rsidRPr="00087A72">
        <w:rPr>
          <w:sz w:val="12"/>
        </w:rPr>
        <w:t xml:space="preserve"> Psychic defenses are intended to secure the subject from pain, and whether that pain originates inside or outside the psyche is inconsequential. Because of the threat that indigeneity presents to the phantasmatic wholeness of settler colonialism, settlers must always remain suspended in a state of arrested development between these defensive positions. Despite any pretensions to the contrary, </w:t>
      </w:r>
      <w:r w:rsidRPr="00087A72">
        <w:rPr>
          <w:rStyle w:val="StyleUnderline"/>
        </w:rPr>
        <w:t>the settler is necessarily a parochial subject who continuously coils, reacts, disavows, and lashes out, when confronted with his dependency on indigenous peoples and their territory.</w:t>
      </w:r>
      <w:r w:rsidRPr="00087A72">
        <w:rPr>
          <w:sz w:val="12"/>
        </w:rPr>
        <w:t xml:space="preserve">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w:t>
      </w:r>
      <w:r w:rsidRPr="00087A72">
        <w:rPr>
          <w:rStyle w:val="StyleUnderline"/>
        </w:rPr>
        <w:t xml:space="preserve"> </w:t>
      </w:r>
      <w:r w:rsidRPr="00087A72">
        <w:rPr>
          <w:rStyle w:val="Emphasis"/>
        </w:rPr>
        <w:t xml:space="preserve">decolonization must include an analysis of the dominant ‘self-disciplining colonial subject’. </w:t>
      </w:r>
      <w:r w:rsidRPr="00087A72">
        <w:rPr>
          <w:sz w:val="12"/>
        </w:rPr>
        <w:t xml:space="preserve">73 However, as this discussion of subjective precarity demonstrates, the degree of to which these disciplinary or phenomenological processes are complete should not be overstated. For settler-allies must also examine and cultivate the ways in which settler subjects fail to be totally disciplined. Evidence of this incompletion is apparent in the subject’s arrested state of development. </w:t>
      </w:r>
      <w:r w:rsidRPr="00087A72">
        <w:rPr>
          <w:rStyle w:val="StyleUnderline"/>
        </w:rPr>
        <w:t xml:space="preserve">Discovering the instability at the core of the settler subject, indeed of all subjects, is the central conceit of psychoanalysis. </w:t>
      </w:r>
      <w:r w:rsidRPr="00087A72">
        <w:rPr>
          <w:sz w:val="12"/>
        </w:rPr>
        <w:t xml:space="preserve">This exception of at least partial failure to fully subjectivize the settler is also what sets my account apart from Rifkin’s. His phenomenology falls into the trap that Jacqueline Rose observes within many sociological accounts of the subject: that of assuming a successful internalization of norms. From the psychoanalytical perspective, </w:t>
      </w:r>
      <w:r w:rsidRPr="00087A72">
        <w:rPr>
          <w:rStyle w:val="StyleUnderline"/>
        </w:rPr>
        <w:t>the ‘unconscious constantly reveals the “failure”’ of internalization.</w:t>
      </w:r>
      <w:r w:rsidRPr="00087A72">
        <w:rPr>
          <w:sz w:val="12"/>
        </w:rPr>
        <w:t xml:space="preserve">74 As we have seen, </w:t>
      </w:r>
      <w:r w:rsidRPr="00087A72">
        <w:rPr>
          <w:rStyle w:val="StyleUnderline"/>
        </w:rPr>
        <w:t>within settler subjects this can be expressed as an irrational anxiety that expresses itself whenever a settler is confronted with the facts regarding their colonizing status. Under conditions of total subjectification, such charges ought to be unintelligible to the settler.</w:t>
      </w:r>
      <w:r w:rsidRPr="00087A72">
        <w:rPr>
          <w:sz w:val="12"/>
        </w:rPr>
        <w:t xml:space="preserve"> Thus, </w:t>
      </w:r>
      <w:r w:rsidRPr="00087A72">
        <w:rPr>
          <w:rStyle w:val="StyleUnderline"/>
        </w:rPr>
        <w:t>the process of subject formation is always in slippage and never totalized as others might suggest.</w:t>
      </w:r>
      <w:r w:rsidRPr="00087A72">
        <w:rPr>
          <w:sz w:val="12"/>
        </w:rPr>
        <w:t xml:space="preserve">75 </w:t>
      </w:r>
      <w:r w:rsidRPr="00087A72">
        <w:rPr>
          <w:rStyle w:val="Emphasis"/>
        </w:rPr>
        <w:t>Because of this precarity, the settler subject is prone to violence and lashing out; but the subject in slippage also provides an avenue by which the process of settler colonialism can be subverted – creating cracks in a phantasmatic wholeness which can be opened wider.</w:t>
      </w:r>
      <w:r w:rsidRPr="00087A72">
        <w:rPr>
          <w:sz w:val="12"/>
        </w:rPr>
        <w:t xml:space="preserve"> Breakages of this sort offer an opportunity to pursue what Paulette Regan calls a ‘restorying’ of settler colonial history and culture, to decanter settler mythologies built upon and within the dispossession of indigenous peoples.76 </w:t>
      </w:r>
      <w:r w:rsidRPr="00087A72">
        <w:rPr>
          <w:rStyle w:val="Emphasis"/>
        </w:rPr>
        <w:t>The cultivation of these cracks is a necessary part of decolonizing work, as it continues to panic and thus to destabilize settler subjects. Resistance to settler colonialism</w:t>
      </w:r>
      <w:r w:rsidRPr="00087A72">
        <w:rPr>
          <w:sz w:val="12"/>
        </w:rPr>
        <w:t xml:space="preserve"> does not occur only in highly visible moments like the famous conflict at Kanesatake and Kahnawake,77 it also </w:t>
      </w:r>
      <w:r w:rsidRPr="00087A72">
        <w:rPr>
          <w:rStyle w:val="Emphasis"/>
        </w:rPr>
        <w:t>occurs in reiterative and disruptive practices, presences, and speech acts.</w:t>
      </w:r>
      <w:r w:rsidRPr="00087A72">
        <w:rPr>
          <w:sz w:val="12"/>
        </w:rPr>
        <w:t xml:space="preserve"> Goeman correctly observes that </w:t>
      </w:r>
      <w:r w:rsidRPr="00087A72">
        <w:rPr>
          <w:rStyle w:val="Emphasis"/>
        </w:rPr>
        <w:t>the ‘repetitive practices of everyday life’ are what give settler spaces their meaning, as they provide a degree of naturalness to the settler imago and its psychic investments.</w:t>
      </w:r>
      <w:r w:rsidRPr="00087A72">
        <w:rPr>
          <w:sz w:val="12"/>
        </w:rPr>
        <w:t xml:space="preserve">78 As such, </w:t>
      </w:r>
      <w:r w:rsidRPr="00087A72">
        <w:rPr>
          <w:rStyle w:val="StyleUnderline"/>
        </w:rPr>
        <w:t xml:space="preserve">to disrupt the ease of these repetitions is at once to striate radically the otherwise smooth spaces of settler colonialism and also to disrupt the easy (re)production of the settler subject. </w:t>
      </w:r>
      <w:r w:rsidRPr="00087A72">
        <w:rPr>
          <w:sz w:val="12"/>
        </w:rPr>
        <w:t xml:space="preserve">Goeman calls these subversive acts the ‘micro-politics of resistance’, which historically took the form of ‘moving fences, not cooperating with census enumerators, sometimes disrupting survey parties’ amongst other process.79 These acts panic the subject that is disciplined as a product of settler colonial power, by forcing encounters with the sovereign indigenous peoples that were imagined to be gone. This reveals to the settler, if only fleetingly, the violence that founds and sustains the settler colonial relationship. While such practices may not overthrow the settler colonial system, they do subvert its logics by insistently drawing attention to the ongoing presence of indigenous peoples who refuse erasure. 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Island.80 The micro-politics of the movement strengthen indigenous subjects and their spatialities, while leaving an indelible imprint in the settler psyche. Predictably, rage and resentment were provoked in some settlers;81 however, Idle No More also drew thousands of settler-allies into the streets and renewed conversations about the necessity of nation-to-nation relationships. With settler colonial spaces disrupted and a relationship of domination made impossible to ignore, in the tradition of centuries of indigenous resistance, Idle No More put the settler subject into serious flux once more. Conclusion Settler colonialism has been distinguished from colonialism proper by what Wolfe calls its ‘logic of elimination’, which requires the erasure of indigenous peoples from the colonized territory. This is accomplished through a variety of mechanisms that range from outright violence to policies of gradual elimination. Ultimately, </w:t>
      </w:r>
      <w:r w:rsidRPr="00087A72">
        <w:rPr>
          <w:rStyle w:val="StyleUnderline"/>
        </w:rPr>
        <w:t xml:space="preserve">settler colonialism is perpetuated through a double move: to erase indigenous peoples and then to disappear settlers by naturalizing the violence inherent their existence in colonized territory. </w:t>
      </w:r>
      <w:r w:rsidRPr="00087A72">
        <w:rPr>
          <w:sz w:val="12"/>
        </w:rPr>
        <w:t xml:space="preserve">This is accomplished through the production of spatialities bereft of indigeneity. Out of this spatial logic, an imago of settler society is produced that binds settlers both psychically and socially to each other and to the colonized spaces. </w:t>
      </w:r>
      <w:r w:rsidRPr="00087A72">
        <w:rPr>
          <w:rStyle w:val="StyleUnderline"/>
        </w:rPr>
        <w:t>The continual (re)production of a settler colonial imago is necessary to secure the psychic horizons of the settler subject; it is also inextricably bound up with an insatiable need to constantly renew the erasure of indigenous peoples.</w:t>
      </w:r>
      <w:r w:rsidRPr="00087A72">
        <w:rPr>
          <w:sz w:val="12"/>
        </w:rPr>
        <w:t xml:space="preserve"> Thus, in order to secure its continued survival as a subject, the settler must always strive to maintain the conditions of settler colonialism. </w:t>
      </w:r>
      <w:r w:rsidRPr="00087A72">
        <w:rPr>
          <w:rStyle w:val="Emphasis"/>
        </w:rPr>
        <w:t>Total erasure of indigeneity is the grotesque desire of the settler that must be constantly disrupted.</w:t>
      </w:r>
      <w:r w:rsidRPr="00087A72">
        <w:rPr>
          <w:sz w:val="12"/>
        </w:rPr>
        <w:t xml:space="preserve"> Where indigenous peoples have persisted as an insurgent presence in the settler imago, they are always already threatening this disruption of the settler subject at its very core. </w:t>
      </w:r>
      <w:r w:rsidRPr="00087A72">
        <w:rPr>
          <w:rStyle w:val="StyleUnderline"/>
        </w:rPr>
        <w:t>For while the affirmation of indigeneity can induce panic, and subsequently rage, in the settler, it also opens a crack within the imago – that is, within the settler subject itself – through which an ethic of decolonization can emerge.</w:t>
      </w:r>
      <w:r w:rsidRPr="00087A72">
        <w:rPr>
          <w:sz w:val="12"/>
        </w:rPr>
        <w:t xml:space="preserve"> While it seems that settler colonialism is propelled by a tightly circuitous movement of subject formation, projection, and (re)formation, the presence of indigenous peoples in ongoing and sovereign relationship with the land serves as a powerful blockage of to the smoothness of this process.</w:t>
      </w:r>
    </w:p>
    <w:p w:rsidR="009556BB" w:rsidRPr="00087A72" w:rsidRDefault="009556BB" w:rsidP="009556BB">
      <w:pPr>
        <w:pStyle w:val="Heading3"/>
      </w:pPr>
      <w:r w:rsidRPr="00087A72">
        <w:t>1NC – TOPR4 (Devil’s Highway)</w:t>
      </w:r>
    </w:p>
    <w:p w:rsidR="00414088" w:rsidRPr="00087A72" w:rsidRDefault="00414088" w:rsidP="00414088">
      <w:pPr>
        <w:pStyle w:val="Heading4"/>
      </w:pPr>
      <w:r w:rsidRPr="00087A72">
        <w:t>The genocide of the Native is the quilting point for the signifiers “politics” and “subjectivity” to adhere itself to meaning. However, unable to obtain perfect completion—that more perfect union—the Political becomes an accelerating cycle of death driven violence against the Native.</w:t>
      </w:r>
    </w:p>
    <w:p w:rsidR="00414088" w:rsidRPr="00087A72" w:rsidRDefault="00414088" w:rsidP="00414088">
      <w:r w:rsidRPr="00087A72">
        <w:rPr>
          <w:rStyle w:val="Style13ptBold"/>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95-100) NIJ</w:t>
      </w:r>
    </w:p>
    <w:p w:rsidR="00414088" w:rsidRPr="00087A72" w:rsidRDefault="00414088" w:rsidP="00414088">
      <w:pPr>
        <w:rPr>
          <w:sz w:val="12"/>
        </w:rPr>
      </w:pPr>
      <w:r w:rsidRPr="00087A72">
        <w:rPr>
          <w:sz w:val="12"/>
        </w:rPr>
        <w:t xml:space="preserve">Whiteness, the Child, and the Logics of Futurity Against the politicized topographies and temporalities of indigeneity and race, I now move into a consideration of the contributions of psychoanalytic theory to the questions of politics and time presented thus far. </w:t>
      </w:r>
      <w:r w:rsidRPr="00087A72">
        <w:rPr>
          <w:rStyle w:val="StyleUnderline"/>
        </w:rPr>
        <w:t>The kinds of questions psychoanalysis is interested in asking, the registers upon which it performs analysis, and its unique emphasis on temporality, language, and difference provide an excellent conceptual apparatus through which we might begin to trouble/problematize stable, taken-for-granted oppositions between psychic and social, personal and political, self and other.</w:t>
      </w:r>
      <w:r w:rsidRPr="00087A72">
        <w:rPr>
          <w:sz w:val="12"/>
        </w:rPr>
        <w:t xml:space="preserve"> Freud’s interest in time is evident in his work on the uncanny, and in his inaugural work on what we might now call trauma studies and conditions we now call post-traumatic stress disorder (PTSD). For Freud, this theory of hysteria introduces a provocative temporality in which traumatic events reoccur, flashing up in perfect replication of themselves, as though happening again and again. In his diagnosis of so-called shell-shocked soldiers returning from World War I, Freud was keenly aware that time did not always progress along an even plane. Though Freud’s analysis of trauma is captivating and critically rich, it is not within my purview here to take on the full extent of this scholarship. Instead, what is most salient to my analysis are the capacities of psychoanalytic theory to move critique outside and beyond prevailing notions of time and narratives of progress that only mean moving forward. This chapter writes from a stance that views it as imperative that scholarship reaches beyond, and thinks outside, the paradigms that invented it. </w:t>
      </w:r>
      <w:r w:rsidRPr="00087A72">
        <w:rPr>
          <w:rStyle w:val="StyleUnderline"/>
        </w:rPr>
        <w:t>Psychoanalytic theory, with its idiosyncratic temporal logics</w:t>
      </w:r>
      <w:r w:rsidRPr="00087A72">
        <w:rPr>
          <w:sz w:val="12"/>
        </w:rPr>
        <w:t>—particularly in conjunction with Foucauldian theory—</w:t>
      </w:r>
      <w:r w:rsidRPr="00087A72">
        <w:rPr>
          <w:rStyle w:val="StyleUnderline"/>
        </w:rPr>
        <w:t>offers a productive and robust way to critique the continuing primacy of normative disciplines whose chronologics have historically warranted a politics that kills in the name of life. Such an approach allows us to hold in productive tension any definition of “the political” as stable and finite, with—as in the case of liberal political philosophy—the legally constructed “person” as its primary epistemological unit. This conceptual capacity of psychoanalysis</w:t>
      </w:r>
      <w:r w:rsidRPr="00087A72">
        <w:rPr>
          <w:sz w:val="12"/>
        </w:rPr>
        <w:t xml:space="preserve">, in turn, </w:t>
      </w:r>
      <w:r w:rsidRPr="00087A72">
        <w:rPr>
          <w:rStyle w:val="StyleUnderline"/>
        </w:rPr>
        <w:t>allows us to politicize a form of life and modality of corporeal personhood hitherto constructed as what</w:t>
      </w:r>
      <w:r w:rsidRPr="00087A72">
        <w:rPr>
          <w:sz w:val="12"/>
        </w:rPr>
        <w:t xml:space="preserve">, in Bataillean parlance, </w:t>
      </w:r>
      <w:r w:rsidRPr="00087A72">
        <w:rPr>
          <w:rStyle w:val="StyleUnderline"/>
        </w:rPr>
        <w:t>we might call colonialism’s accursed share—colonialism’s pure waste.</w:t>
      </w:r>
      <w:r w:rsidRPr="00087A72">
        <w:rPr>
          <w:sz w:val="12"/>
        </w:rPr>
        <w:t xml:space="preserve"> Additionally, </w:t>
      </w:r>
      <w:r w:rsidRPr="00087A72">
        <w:rPr>
          <w:rStyle w:val="StyleUnderline"/>
        </w:rPr>
        <w:t>psychoanalytic notions of the death drive, whose proper movement is explicitly circular, allows us to begin to locate the child within logics of futurity, onto which is laminated a kind of indelible whiteness.</w:t>
      </w:r>
      <w:r w:rsidRPr="00087A72">
        <w:rPr>
          <w:sz w:val="12"/>
        </w:rPr>
        <w:t xml:space="preserve"> For the purpose of my analysis I engage Lacanian psychoanalysis, limiting myself to a consideration of the structure of the drives and to a Lacanian conceptualization of language, and its role in the formation of self and the suturing of the psyche to sociality. Freud, as Teresa De Lauretis (2008) emphasizes, elaborated the death drive between the First and Second World Wars, in a Europe living “under the shadow of death and the threat of biological and cultural genocide” (1). Situating her analysis of the death drive in the contemporary moment, De Lauretis points to this contextual, historical darkening, writing: “I wonder whether our epistemologies can sustain the impact of the real … If I return to Freud’s notion of an unconscious death drive, it is because it conveys the sense and the force of something in human reality that resists discursive articulation as well as political diplomacy, an otherness that haunts the dream of a common world” (9). Using psychoanalysis as reading practice, Freud’s suspicion that human life, both individual and social, is compromised from the beginning by something that undermines it, works against it, is (darkly?) generative. </w:t>
      </w:r>
      <w:r w:rsidRPr="00087A72">
        <w:rPr>
          <w:rStyle w:val="StyleUnderline"/>
        </w:rPr>
        <w:t>The death drive indicates a tension bordering psychic and libidinal relations, which marks Freud’s radical break with Cartesian rationality and points to a negativity that counteracts the optimistic affirmations of human perfectability. This dimension of radical negativity cannot be reduced to an expression of alienated social conditions, nor is it entirely something the body does on its own.</w:t>
      </w:r>
      <w:r w:rsidRPr="00087A72">
        <w:rPr>
          <w:sz w:val="12"/>
        </w:rPr>
        <w:t xml:space="preserve"> Theorized as the destruction drive, the antagonism drive, or sometimes, simply “the drive,” </w:t>
      </w:r>
      <w:r w:rsidRPr="00087A72">
        <w:rPr>
          <w:rStyle w:val="StyleUnderline"/>
        </w:rPr>
        <w:t>it is impossible to escape.</w:t>
      </w:r>
      <w:r w:rsidRPr="00087A72">
        <w:rPr>
          <w:sz w:val="12"/>
        </w:rPr>
        <w:t xml:space="preserve"> In psychoanalytic theory, therefore, particularly in the clinical setting, </w:t>
      </w:r>
      <w:r w:rsidRPr="00087A72">
        <w:rPr>
          <w:rStyle w:val="StyleUnderline"/>
        </w:rPr>
        <w:t>the objective is not to overcome the drive, but rather to come to terms with it, in</w:t>
      </w:r>
      <w:r w:rsidRPr="00087A72">
        <w:rPr>
          <w:sz w:val="12"/>
        </w:rPr>
        <w:t xml:space="preserve"> what Slovenian Lacanian psychoanalytic theorist Slavoj Žižek (1989) calls </w:t>
      </w:r>
      <w:r w:rsidRPr="00087A72">
        <w:rPr>
          <w:rStyle w:val="StyleUnderline"/>
        </w:rPr>
        <w:t xml:space="preserve">“its terrifying dimension” </w:t>
      </w:r>
      <w:r w:rsidRPr="00087A72">
        <w:rPr>
          <w:sz w:val="12"/>
        </w:rPr>
        <w:t xml:space="preserve">(4). </w:t>
      </w:r>
      <w:r w:rsidRPr="00087A72">
        <w:rPr>
          <w:rStyle w:val="StyleUnderline"/>
        </w:rPr>
        <w:t>It is a fundamental axiom of Lacanian psychoanalytic theory that attempts to abolish the drive antagonism are precisely the source of totalitarian temptation.</w:t>
      </w:r>
      <w:r w:rsidRPr="00087A72">
        <w:rPr>
          <w:sz w:val="12"/>
        </w:rPr>
        <w:t xml:space="preserve"> Žižek writes: </w:t>
      </w:r>
      <w:r w:rsidRPr="00087A72">
        <w:rPr>
          <w:rStyle w:val="StyleUnderline"/>
        </w:rPr>
        <w:t>“The greatest mass murders and holocausts have always been perpetrated in the name of man as harmonious being, of a New Man without antagonistic tension”</w:t>
      </w:r>
      <w:r w:rsidRPr="00087A72">
        <w:rPr>
          <w:sz w:val="12"/>
        </w:rPr>
        <w:t xml:space="preserve"> (5). </w:t>
      </w:r>
      <w:r w:rsidRPr="00087A72">
        <w:rPr>
          <w:rStyle w:val="StyleUnderline"/>
        </w:rPr>
        <w:t>So it is that</w:t>
      </w:r>
      <w:r w:rsidRPr="00087A72">
        <w:rPr>
          <w:sz w:val="12"/>
        </w:rPr>
        <w:t xml:space="preserve"> one of Canada’s greatest atrocities— </w:t>
      </w:r>
      <w:r w:rsidRPr="00087A72">
        <w:rPr>
          <w:rStyle w:val="StyleUnderline"/>
        </w:rPr>
        <w:t>the genocide of its First Peoples—took place in the name o</w:t>
      </w:r>
      <w:r w:rsidRPr="00087A72">
        <w:rPr>
          <w:sz w:val="12"/>
        </w:rPr>
        <w:t xml:space="preserve">f Canada itself, that sought </w:t>
      </w:r>
      <w:r w:rsidRPr="00087A72">
        <w:rPr>
          <w:rStyle w:val="StyleUnderline"/>
        </w:rPr>
        <w:t>progress and unification as a single body politic with claims on a shared futurity.</w:t>
      </w:r>
      <w:r w:rsidRPr="00087A72">
        <w:rPr>
          <w:sz w:val="12"/>
        </w:rPr>
        <w:t xml:space="preserve"> The fulfillment of this destiny relied upon the negation of the other, the bad race, the dangerous race, the race that stood outside the purview of the norm and had no share in its time-zone, the ones called to live in the between space—as nobody. </w:t>
      </w:r>
      <w:r w:rsidRPr="00087A72">
        <w:rPr>
          <w:rStyle w:val="StyleUnderline"/>
        </w:rPr>
        <w:t>As the relatively more benign civilization policies failed to convert Aboriginal forms of life into separate but civilized</w:t>
      </w:r>
      <w:r w:rsidRPr="00087A72">
        <w:rPr>
          <w:sz w:val="12"/>
        </w:rPr>
        <w:t xml:space="preserve">, Christian communities on reserves, </w:t>
      </w:r>
      <w:r w:rsidRPr="00087A72">
        <w:rPr>
          <w:rStyle w:val="StyleUnderline"/>
        </w:rPr>
        <w:t>the federal government intensified its tactics. Policies became more aggressive. As these more aggressive policies</w:t>
      </w:r>
      <w:r w:rsidRPr="00087A72">
        <w:rPr>
          <w:sz w:val="12"/>
        </w:rPr>
        <w:t xml:space="preserve"> (such as enfranchisement) </w:t>
      </w:r>
      <w:r w:rsidRPr="00087A72">
        <w:rPr>
          <w:rStyle w:val="StyleUnderline"/>
        </w:rPr>
        <w:t>also failed, the federal government intensified its tactics once again, escalating the stakes and the strategies towards the horizon of assimilation. This ‘doubling down’ in the face of failure is a primary trace effect of the death drive, and indeed, it is not unreasonable to argue that the federal government Indian policy has, since confederation, been death driven. Because the aim of fully eradicating the otherness of the other can only fail</w:t>
      </w:r>
      <w:r w:rsidRPr="00087A72">
        <w:rPr>
          <w:sz w:val="12"/>
        </w:rPr>
        <w:t>—in Freudian parlance, it cannot be mastered—</w:t>
      </w:r>
      <w:r w:rsidRPr="00087A72">
        <w:rPr>
          <w:rStyle w:val="StyleUnderline"/>
        </w:rPr>
        <w:t>the trajectory of the aiming turns in a circularity, orbiting around that which can never be had: perfection. Caught in death drive circularity, the aiming towards the objective</w:t>
      </w:r>
      <w:r w:rsidRPr="00087A72">
        <w:rPr>
          <w:sz w:val="12"/>
        </w:rPr>
        <w:t xml:space="preserve"> (i.e. a unified body politic) </w:t>
      </w:r>
      <w:r w:rsidRPr="00087A72">
        <w:rPr>
          <w:rStyle w:val="StyleUnderline"/>
        </w:rPr>
        <w:t>authorizes, and indeed recruits, escalating violence in the interest of—finally—closing the open.</w:t>
      </w:r>
      <w:r w:rsidRPr="00087A72">
        <w:rPr>
          <w:sz w:val="12"/>
        </w:rPr>
        <w:t xml:space="preserve"> For Žižek, </w:t>
      </w:r>
      <w:r w:rsidRPr="00087A72">
        <w:rPr>
          <w:rStyle w:val="StyleUnderline"/>
        </w:rPr>
        <w:t>this compulsive ‘doubling-down’ in the face of failure to arrive at the impossible horizon of perfection tips towards totalitarian temptation, which</w:t>
      </w:r>
      <w:r w:rsidRPr="00087A72">
        <w:rPr>
          <w:sz w:val="12"/>
        </w:rPr>
        <w:t xml:space="preserve">, he tells us, </w:t>
      </w:r>
      <w:r w:rsidRPr="00087A72">
        <w:rPr>
          <w:rStyle w:val="StyleUnderline"/>
        </w:rPr>
        <w:t>is implicated in the drive to unify a singular body politic, a new man without antagonistic tension. The drive aims for the return to a moment of unity before the intrusion of language and the entrance of the subject into what Lacan calls the Symbolic—the universe of symbols in which all human subjects share. Because this economy of signifiers operates through a modality of difference by association, on the premise that language does not reflect or carry within it universal a priori meaning, spirit, or Truth, signifiers are always and already sliding along a chain of signification that is never truly fixed.</w:t>
      </w:r>
      <w:r w:rsidRPr="00087A72">
        <w:rPr>
          <w:sz w:val="12"/>
        </w:rPr>
        <w:t xml:space="preserve"> Rather, for Lacan, </w:t>
      </w:r>
      <w:r w:rsidRPr="00087A72">
        <w:rPr>
          <w:rStyle w:val="StyleUnderline"/>
        </w:rPr>
        <w:t>meaning is constructed through quilting points, durable concepts that affix ideas to their signifiers and which, in their durability, structure entire fields of meaning.</w:t>
      </w:r>
      <w:r w:rsidRPr="00087A72">
        <w:rPr>
          <w:sz w:val="12"/>
        </w:rPr>
        <w:t xml:space="preserve"> For Lacan, </w:t>
      </w:r>
      <w:r w:rsidRPr="00087A72">
        <w:rPr>
          <w:rStyle w:val="StyleUnderline"/>
        </w:rPr>
        <w:t>subjects are formed by their entrance into this system of sliding difference from a pre-linguistic state retroactively constructed through nostalgic affective associations with unity, perfection, and completion. The loss or lack occurs in the imaginary, the order of presence and absence, and is formalized in the symbolic. This is experienced by the subject as a loss of that to which she/he can never again return, but for which she/he perpetually yearns, and toward which she/he perpetually moves. The circularity of movement toward this impossible horizon is precisely the movement of the drive.</w:t>
      </w:r>
      <w:r w:rsidRPr="00087A72">
        <w:rPr>
          <w:sz w:val="12"/>
        </w:rPr>
        <w:t xml:space="preserve"> It is my argument that the concept of </w:t>
      </w:r>
      <w:r w:rsidRPr="00087A72">
        <w:rPr>
          <w:rStyle w:val="Emphasis"/>
        </w:rPr>
        <w:t>“the Indian” is a quilting point through which the field of politics</w:t>
      </w:r>
      <w:r w:rsidRPr="00087A72">
        <w:rPr>
          <w:sz w:val="12"/>
        </w:rPr>
        <w:t xml:space="preserve"> in Canada </w:t>
      </w:r>
      <w:r w:rsidRPr="00087A72">
        <w:rPr>
          <w:rStyle w:val="Emphasis"/>
        </w:rPr>
        <w:t>is sutured into signification, a durable concept that organizes the meaning of nation, citizen, sovereignty, and subjecthood.</w:t>
      </w:r>
      <w:r w:rsidRPr="00087A72">
        <w:rPr>
          <w:sz w:val="12"/>
        </w:rPr>
        <w:t xml:space="preserve"> Further, </w:t>
      </w:r>
      <w:r w:rsidRPr="00087A72">
        <w:rPr>
          <w:rStyle w:val="StyleUnderline"/>
        </w:rPr>
        <w:t>the hypoxic vision of national unity and a harmonious white(ned) citizenry is a movement propelled by the drive, a circularity impelled by the belief that what is lacking in the present can be made good in the future—an imaginary that activates/harnesses a kind of libidinal energy that is, by its very nature, inexhaustible. It matters, in the instance of the</w:t>
      </w:r>
      <w:r w:rsidRPr="00087A72">
        <w:rPr>
          <w:sz w:val="12"/>
        </w:rPr>
        <w:t xml:space="preserve"> Canadian </w:t>
      </w:r>
      <w:r w:rsidRPr="00087A72">
        <w:rPr>
          <w:rStyle w:val="StyleUnderline"/>
        </w:rPr>
        <w:t>Indian Residential Schools</w:t>
      </w:r>
      <w:r w:rsidRPr="00087A72">
        <w:rPr>
          <w:sz w:val="12"/>
        </w:rPr>
        <w:t xml:space="preserve"> and their mandate, </w:t>
      </w:r>
      <w:r w:rsidRPr="00087A72">
        <w:rPr>
          <w:rStyle w:val="StyleUnderline"/>
        </w:rPr>
        <w:t>that before child subjects enter into the structuration of language/the Symbolic, their bodies are already marked as disprized, abject, inscribed into the signification for, and</w:t>
      </w:r>
      <w:r w:rsidRPr="00087A72">
        <w:rPr>
          <w:sz w:val="12"/>
        </w:rPr>
        <w:t xml:space="preserve">, I argue, </w:t>
      </w:r>
      <w:r w:rsidRPr="00087A72">
        <w:rPr>
          <w:rStyle w:val="StyleUnderline"/>
        </w:rPr>
        <w:t>as, loss itself.</w:t>
      </w:r>
      <w:r w:rsidRPr="00087A72">
        <w:rPr>
          <w:sz w:val="12"/>
        </w:rPr>
        <w:t xml:space="preserve"> As I have argued above, reading through psychoanalytic theory facilitates a conceptualization of subject-formation that includes the role of signification in the contouring of subject/ivities. This analytic rubric is importantly brought to bear in my analysis of “the child” the Canadian Indian Residential School System announces into presence: </w:t>
      </w:r>
      <w:r w:rsidRPr="00087A72">
        <w:rPr>
          <w:rStyle w:val="StyleUnderline"/>
        </w:rPr>
        <w:t>a child fundamentally and constitutively tied to a death whose temporal structure is always deferred, always impartial, always unfolding, and yet always still to be.</w:t>
      </w:r>
      <w:r w:rsidRPr="00087A72">
        <w:rPr>
          <w:sz w:val="12"/>
        </w:rPr>
        <w:t xml:space="preserve"> Indeed, </w:t>
      </w:r>
      <w:r w:rsidRPr="00087A72">
        <w:rPr>
          <w:rStyle w:val="StyleUnderline"/>
        </w:rPr>
        <w:t>even in circumstances in which her/his mode of being in the world is not a deliberate practice of making- spectral, “the child” remains a notoriously ambivalent, slippery signifier. This plasticity</w:t>
      </w:r>
      <w:r w:rsidRPr="00087A72">
        <w:rPr>
          <w:sz w:val="12"/>
        </w:rPr>
        <w:t>—differently stated, this over-abundant availability of “the child” as concept—</w:t>
      </w:r>
      <w:r w:rsidRPr="00087A72">
        <w:rPr>
          <w:rStyle w:val="StyleUnderline"/>
        </w:rPr>
        <w:t>takes on an interesting significance within political thought, functioning not as that which is politicized, but as the signifier in whose name the political mobilizes itself.</w:t>
      </w:r>
      <w:r w:rsidRPr="00087A72">
        <w:rPr>
          <w:sz w:val="12"/>
        </w:rPr>
        <w:t xml:space="preserve"> In this way, </w:t>
      </w:r>
      <w:r w:rsidRPr="00087A72">
        <w:rPr>
          <w:rStyle w:val="StyleUnderline"/>
        </w:rPr>
        <w:t>the child functions as the absolute outside to political thought and the logics of its temporality, functioning instead to condition its possibilities and organize, from beyond its borders, its spatial and temporal limits.</w:t>
      </w:r>
      <w:r w:rsidRPr="00087A72">
        <w:rPr>
          <w:sz w:val="12"/>
        </w:rPr>
        <w:t xml:space="preserve"> An example of this conceptualization of the child as signifier—and certainly one of the more provocative articulations of this phenomena in the contemporary neoliberal moment—is the polemic Lee develops in his monograph No Future: Queer Theory and the Death Drive. For Edelman, the Child—in its conflation with the kind of futurity toward which the teleology of (neo)liberal discourse is mobilized—is not simply important to contemporary politics, but is that which “serves to regulate political discourse [itself]” (ii). Indeed, as Edelman points out, “the figural Child alone embodies the citizen as ideal, entitled to claim full rights to its future share in the nation’s good, though always at the cost of limiting the rights ‘real’ citizens are allowed. For the social exists to preserve for this universalized subject, this fantasmatic Child, a national freedom more highly valued than the actuality of freedom itself” (ii). In Edelman’s polemic, </w:t>
      </w:r>
      <w:r w:rsidRPr="00087A72">
        <w:rPr>
          <w:rStyle w:val="Emphasis"/>
        </w:rPr>
        <w:t>it goes without saying that the figural child is a white child</w:t>
      </w:r>
      <w:r w:rsidRPr="00087A72">
        <w:rPr>
          <w:sz w:val="12"/>
        </w:rPr>
        <w:t xml:space="preserve"> and that children of colour, children of mixed heritage, </w:t>
      </w:r>
      <w:r w:rsidRPr="00087A72">
        <w:rPr>
          <w:rStyle w:val="StyleUnderline"/>
        </w:rPr>
        <w:t>Indian children</w:t>
      </w:r>
      <w:r w:rsidRPr="00087A72">
        <w:rPr>
          <w:sz w:val="12"/>
        </w:rPr>
        <w:t xml:space="preserve">—within the Ideological State Apparatus of the Indian Residential Schools—far from carrying the over-abundant significance Edelman so adeptly parses, signify on only the most spectral of registers. This child, I argue, as a kind of spectral(ized) partial subject, </w:t>
      </w:r>
      <w:r w:rsidRPr="00087A72">
        <w:rPr>
          <w:rStyle w:val="StyleUnderline"/>
        </w:rPr>
        <w:t>instantiates a subjectivity simultaneously over-exposed to the political and over-determined by the word of the law, while barely accorded even the status of bare life. This is a subject that is hailed into a circularity of misrecognition in a relationship with death that is virtually inescapable. This relationship with death is the suture that connects this subject to the social.</w:t>
      </w:r>
      <w:r w:rsidRPr="00087A72">
        <w:rPr>
          <w:sz w:val="12"/>
        </w:rPr>
        <w:t xml:space="preserve"> Edelman’s argument does not address racialized formations of self-hood, but is no less relevant to the argument I seek to develop here. Indeed, it is perhaps all the keener in what it omits—which is the child of color. This omission points to the level of signification and the way in which the whitened child is effortlessly lifted from the problematically raced body—the body whose racialized status is found problematic. This fantasy of purification through signification speaks, in ways that are eloquent and disturbing in equal measure, precisely the fantasy of the Canadian Indian Residential School System: that the body of the Indian could be left behind in a transcendent movement away from the vexatious quagmire posed by the Indian body toward the realm of what Kantian philosophy calls pure spirit, the realm of whiteness, purity, and hypoxic visions of what Edelman calls, “a national freedom more highly valued than the actuality of freedom itself” (ii). This fantasy of corporeal abandonment points to the latent desire of Western philosophical thought that seeks, through the disavowal of bodily finitude and a fetishization of the logos, access to purity of form, a fantasy that relegates, leaves trapped, the sometimes racialized, sometimes feminized other, mired in flesh and finitude from which it is allowed no escape. </w:t>
      </w:r>
      <w:r w:rsidRPr="00087A72">
        <w:rPr>
          <w:rStyle w:val="StyleUnderline"/>
        </w:rPr>
        <w:t>The Indigenous person</w:t>
      </w:r>
      <w:r w:rsidRPr="00087A72">
        <w:rPr>
          <w:sz w:val="12"/>
        </w:rPr>
        <w:t xml:space="preserve">, we remember from Hegel’s Lectures on the Philosophy of World History, </w:t>
      </w:r>
      <w:r w:rsidRPr="00087A72">
        <w:rPr>
          <w:rStyle w:val="StyleUnderline"/>
        </w:rPr>
        <w:t>is imagined as always already outside the teleology of history, already extinct. This way of understanding difference, through the rubric of historical progress, remains central to liberal and neoliberal political thought, economic practices, and policies in the current moment.</w:t>
      </w:r>
      <w:r w:rsidRPr="00087A72">
        <w:rPr>
          <w:sz w:val="12"/>
        </w:rPr>
        <w:t xml:space="preserve"> Prising the child away from the Indian, meanwhile, continues to have important implications in the way we imagine colonial forms, not only of life, but also of death.</w:t>
      </w:r>
    </w:p>
    <w:p w:rsidR="00452265" w:rsidRPr="00087A72" w:rsidRDefault="00452265" w:rsidP="00452265">
      <w:pPr>
        <w:pStyle w:val="Heading4"/>
      </w:pPr>
      <w:r w:rsidRPr="00087A72">
        <w:t>The line of flight moves through the graveyard of the Native. The deterritorialization of the human and becoming all wander haunted by the genocide of the Native</w:t>
      </w:r>
    </w:p>
    <w:p w:rsidR="00452265" w:rsidRPr="00087A72" w:rsidRDefault="00452265" w:rsidP="00452265">
      <w:pPr>
        <w:rPr>
          <w:rStyle w:val="StyleUnderline"/>
          <w:u w:val="none"/>
        </w:rPr>
      </w:pPr>
      <w:r w:rsidRPr="00087A72">
        <w:rPr>
          <w:rStyle w:val="Style13ptBold"/>
        </w:rPr>
        <w:t>King 2017</w:t>
      </w:r>
      <w:r w:rsidRPr="00087A72">
        <w:t xml:space="preserve"> (Tiffany King is an assistant prof @ University of Maryland,  Humans Involved: Lurking in the Lines of Posthumanist Flight , Source: Critical Ethnic Studies, Vol. 3, No. 1 (Spring 2017), pp. 162-185 ///notJacob</w:t>
      </w:r>
    </w:p>
    <w:p w:rsidR="00452265" w:rsidRPr="00087A72" w:rsidRDefault="00452265" w:rsidP="00452265">
      <w:pPr>
        <w:rPr>
          <w:sz w:val="16"/>
        </w:rPr>
      </w:pPr>
      <w:r w:rsidRPr="00087A72">
        <w:rPr>
          <w:rStyle w:val="StyleUnderline"/>
        </w:rPr>
        <w:t>Native/Indigenous studies and Black studies have both sustained a unique, rigorous, and supple interrogation of the stakes of identity, particularly as they relate to how the state</w:t>
      </w:r>
      <w:r w:rsidRPr="00087A72">
        <w:rPr>
          <w:sz w:val="16"/>
        </w:rPr>
        <w:t xml:space="preserve">— </w:t>
      </w:r>
      <w:r w:rsidRPr="00087A72">
        <w:rPr>
          <w:rStyle w:val="StyleUnderline"/>
        </w:rPr>
        <w:t>and its everyday practices of Native genocide and anti- Black</w:t>
      </w:r>
      <w:r w:rsidRPr="00087A72">
        <w:rPr>
          <w:sz w:val="16"/>
        </w:rPr>
        <w:t xml:space="preserve"> </w:t>
      </w:r>
      <w:r w:rsidRPr="00087A72">
        <w:rPr>
          <w:rStyle w:val="StyleUnderline"/>
        </w:rPr>
        <w:t>racism—</w:t>
      </w:r>
      <w:r w:rsidRPr="00087A72">
        <w:rPr>
          <w:sz w:val="16"/>
        </w:rPr>
        <w:t xml:space="preserve"> ha</w:t>
      </w:r>
      <w:r w:rsidRPr="00087A72">
        <w:rPr>
          <w:rStyle w:val="StyleUnderline"/>
        </w:rPr>
        <w:t xml:space="preserve">s the power to confer the identity of the human onto some bodies while denying access to this identity to Black and Native/Indigenous peoples. </w:t>
      </w:r>
      <w:r w:rsidRPr="00087A72">
        <w:rPr>
          <w:sz w:val="16"/>
        </w:rPr>
        <w:t>The distinguishing ethical concerns and dilemmas of both Native/Indigenous decolonization and Black abolition inevitably alter and destabilize the ground on which discussions about identity and specifically the human unfold. How these political and intellectual projects change the terms of the debate and discussion about identity and the human are invaluable to the project of critical ethnic studies</w:t>
      </w:r>
      <w:r w:rsidRPr="00087A72">
        <w:rPr>
          <w:rStyle w:val="StyleUnderline"/>
        </w:rPr>
        <w:t>. Scholars in the fields of critical ethnic, Black, and Native studies who welcome the charge of decolonization and abolition in the corporate university often labor to push back</w:t>
      </w:r>
      <w:r w:rsidRPr="00087A72">
        <w:rPr>
          <w:sz w:val="16"/>
        </w:rPr>
        <w:t xml:space="preserve"> </w:t>
      </w:r>
      <w:r w:rsidRPr="00087A72">
        <w:rPr>
          <w:rStyle w:val="StyleUnderline"/>
        </w:rPr>
        <w:t>against and expose the limitations of the “epistemic turns” or “epistemic revolutions of Europe</w:t>
      </w:r>
      <w:r w:rsidRPr="00087A72">
        <w:rPr>
          <w:sz w:val="16"/>
        </w:rPr>
        <w:t>” that Sylvia Wynter so deftly tracks in her voluminous body of work. Scholars committed to the politics of Black abolitionist work and Native decolonization must often assume postures of suspicion— “misanthropy”— and sometimes must outright refuse Western thought’s arrogant universalist assumptions, commonsense tautologies, and professed reforms to the category of the human; due to these ways, they often experience a great deal of hostility and violence</w:t>
      </w:r>
      <w:r w:rsidRPr="00087A72">
        <w:rPr>
          <w:rStyle w:val="StyleUnderline"/>
        </w:rPr>
        <w:t>. When decolonial and Black abolitionist thought has to contend with Western or European continental theory, specifically its critical theories of progressive</w:t>
      </w:r>
      <w:r w:rsidRPr="00087A72">
        <w:rPr>
          <w:sz w:val="16"/>
        </w:rPr>
        <w:t xml:space="preserve"> (liberal) </w:t>
      </w:r>
      <w:r w:rsidRPr="00087A72">
        <w:rPr>
          <w:rStyle w:val="StyleUnderline"/>
        </w:rPr>
        <w:t>social change, one often encounters an epistemic crisis or what scholar Frank Wilderson refers to as an antagonism.</w:t>
      </w:r>
      <w:r w:rsidRPr="00087A72">
        <w:rPr>
          <w:sz w:val="16"/>
        </w:rPr>
        <w:t>1 Fo</w:t>
      </w:r>
      <w:r w:rsidRPr="00087A72">
        <w:rPr>
          <w:rStyle w:val="StyleUnderline"/>
        </w:rPr>
        <w:t>rced to wrestle with antagonisms that often require Native/Indigenous and Black death, the scholar committed to decolonization and abolition in the university seminar space often has to refuse necropolitical epistemological systems, which structure white liberal humanist ways of thinking and imagining the world</w:t>
      </w:r>
      <w:r w:rsidRPr="00087A72">
        <w:rPr>
          <w:sz w:val="16"/>
        </w:rPr>
        <w:t xml:space="preserve">. </w:t>
      </w:r>
      <w:r w:rsidRPr="00087A72">
        <w:rPr>
          <w:rStyle w:val="StyleUnderline"/>
        </w:rPr>
        <w:t>This kind of labor and violent confrontation in the classroom on a repeated basis can transform one’s educational and professional experience into one rife with stress, anxiety, and unease</w:t>
      </w:r>
      <w:r w:rsidRPr="00087A72">
        <w:rPr>
          <w:sz w:val="16"/>
        </w:rPr>
        <w:t xml:space="preserve">. More specifically, I have watched graduate </w:t>
      </w:r>
      <w:r w:rsidRPr="00087A72">
        <w:rPr>
          <w:rStyle w:val="StyleUnderline"/>
        </w:rPr>
        <w:t>students of color experience this kind of stress, anxiety, and unease as they confront the pressure to “take up” more contemporary impulses within Western “critical theory” to move “beyond the human” or toward the posthuman</w:t>
      </w:r>
      <w:r w:rsidRPr="00087A72">
        <w:rPr>
          <w:sz w:val="16"/>
        </w:rPr>
        <w:t xml:space="preserve">. One task of this article is to attend to the ways that </w:t>
      </w:r>
      <w:r w:rsidRPr="00087A72">
        <w:rPr>
          <w:rStyle w:val="StyleUnderline"/>
        </w:rPr>
        <w:t>Black and Indigenous academics, as well as Black and Native studies scholars, are expected to perform a commitment to a Deleuzian brand of posthumanist and nonrepresentational theory as proof that they are critical and postmodern scholars and disciplinary formations.</w:t>
      </w:r>
      <w:r w:rsidRPr="00087A72">
        <w:rPr>
          <w:sz w:val="16"/>
        </w:rPr>
        <w:t xml:space="preserve"> Lately, I have heard questions posed to Black and Native scholars and activists who theorize the work of movements like Black Lives Matter, Idle No More, and other work addressing Black and Indigenous death to explain what relationship this (survival- based) work has to “identity,” “the subject,” or “the human.” More specifically, the questions are posed as ones that assume that these movements reify one or all of the above categories. </w:t>
      </w:r>
      <w:r w:rsidRPr="00087A72">
        <w:rPr>
          <w:rStyle w:val="StyleUnderline"/>
        </w:rPr>
        <w:t>Additionally, the inquiries are accompanied by an expectation that the person(s) and the movements will disavow all claims to identity, subjecthood, and the desire for humanity.</w:t>
      </w:r>
      <w:r w:rsidRPr="00087A72">
        <w:rPr>
          <w:sz w:val="16"/>
        </w:rPr>
        <w:t xml:space="preserve"> </w:t>
      </w:r>
      <w:r w:rsidRPr="00087A72">
        <w:rPr>
          <w:rStyle w:val="StyleUnderline"/>
        </w:rPr>
        <w:t>What kinds of hostilities, assumptions, and misrecognitions lurk in inquiries such as the following: “Is Black Lives Matter a humanist movement?”2 “Does BLM reify the notion and idea of the human?”</w:t>
      </w:r>
      <w:r w:rsidRPr="00087A72">
        <w:rPr>
          <w:sz w:val="16"/>
        </w:rPr>
        <w:t xml:space="preserve"> “</w:t>
      </w:r>
      <w:r w:rsidRPr="00087A72">
        <w:rPr>
          <w:rStyle w:val="StyleUnderline"/>
        </w:rPr>
        <w:t>When will Native studies transcend or get beyond the subject or the human?”3</w:t>
      </w:r>
      <w:r w:rsidRPr="00087A72">
        <w:rPr>
          <w:sz w:val="16"/>
        </w:rPr>
        <w:t xml:space="preserve"> Because emerging scholars in the academy often contend with these hostile inquires in the seminar space, while teaching, at conferences and in other spaces of academe, a change in comportment, tone, affect, and ways of being in the academy also needs to accompany the modes of conceptual and theoretical resistance within Black and Native studies. This article is as interested in the postures, affective states (skepticism), and stubborn practices of insubordination such as refusal that frustrate forward movement and business- asusual in the academy. Specifically, this article tracks how Native feminist refusal and Black feminist suspicion respond to Deleuzian theory. </w:t>
      </w:r>
      <w:r w:rsidRPr="00087A72">
        <w:rPr>
          <w:rStyle w:val="StyleUnderline"/>
        </w:rPr>
        <w:t>Native feminist politics of decolonial refusal and Black feminist abolitionist politics of skepticism informed by a misandry and misanthropic distrust of and animus toward the (over)representation of man/men as the human diverge from the polite, communicative acts of the public sphere, much like the politics of the “feminist killjoy</w:t>
      </w:r>
      <w:r w:rsidRPr="00087A72">
        <w:rPr>
          <w:sz w:val="16"/>
        </w:rPr>
        <w:t xml:space="preserve">.”4 Throughout this article, I </w:t>
      </w:r>
      <w:r w:rsidRPr="00087A72">
        <w:rPr>
          <w:rStyle w:val="StyleUnderline"/>
        </w:rPr>
        <w:t>deploy the term “feminist” both ambivalently and strategically to mark and distinguish the scholarly tradition created by Black and Native women, queer, trans, and other people marginalized within these respective communities and their anticolonial and abolitionist movements.</w:t>
      </w:r>
      <w:r w:rsidRPr="00087A72">
        <w:rPr>
          <w:sz w:val="16"/>
        </w:rPr>
        <w:t>5 Until a more useful and legible term emerges, I will use “feminist” to mark the practices of refusal and skepticism (misandry/misanthropy) as ones that largely exist outside more masculinist traditions within Indigenous/Native studies and Black studies. “</w:t>
      </w:r>
      <w:r w:rsidRPr="00087A72">
        <w:rPr>
          <w:rStyle w:val="StyleUnderline"/>
        </w:rPr>
        <w:t>Decolonial refusal” and “abolitionist skepticism” depart from the kinds of masculinist anticolonial traditions that attempt to reason Native/ Black man to White Man within humanist logic in at least two significant ways. First</w:t>
      </w:r>
      <w:r w:rsidRPr="00087A72">
        <w:rPr>
          <w:sz w:val="16"/>
        </w:rPr>
        <w:t xml:space="preserve">, </w:t>
      </w:r>
      <w:r w:rsidRPr="00087A72">
        <w:rPr>
          <w:rStyle w:val="StyleUnderline"/>
        </w:rPr>
        <w:t>neither participate in the communicative acts of the humanist public sphere from within the terms of the debate</w:t>
      </w:r>
      <w:r w:rsidRPr="00087A72">
        <w:rPr>
          <w:sz w:val="16"/>
        </w:rPr>
        <w:t xml:space="preserve">. </w:t>
      </w:r>
      <w:r w:rsidRPr="00087A72">
        <w:rPr>
          <w:rStyle w:val="StyleUnderline"/>
        </w:rPr>
        <w:t>Further, they do not play by the rules.</w:t>
      </w:r>
      <w:r w:rsidRPr="00087A72">
        <w:rPr>
          <w:sz w:val="16"/>
        </w:rPr>
        <w:t xml:space="preserve">6 </w:t>
      </w:r>
      <w:r w:rsidRPr="00087A72">
        <w:rPr>
          <w:rStyle w:val="StyleUnderline"/>
        </w:rPr>
        <w:t>Specifically, the Native and Black “feminist” politics discussed throughout launch a critique of both the logic of the discussion about the human and identity as well as the mode of communication.</w:t>
      </w:r>
      <w:r w:rsidRPr="00087A72">
        <w:rPr>
          <w:sz w:val="16"/>
        </w:rPr>
        <w:t xml:space="preserve"> In fact, </w:t>
      </w:r>
      <w:r w:rsidRPr="00087A72">
        <w:rPr>
          <w:rStyle w:val="StyleUnderline"/>
        </w:rPr>
        <w:t>practices of refusal and skepticism interrupt and flout codes of civil and collegial discursive protocol to focus on and illumine the violence that structures the posthumanist discourse</w:t>
      </w:r>
      <w:r w:rsidRPr="00087A72">
        <w:rPr>
          <w:sz w:val="16"/>
        </w:rPr>
        <w:t xml:space="preserve">. Attending to the comportment, tone, and intensity of an engagement is just as important as focusing on its content. The particular manner in which Black and Native feminists push back against violence is important. The </w:t>
      </w:r>
      <w:r w:rsidRPr="00087A72">
        <w:rPr>
          <w:rStyle w:val="StyleUnderline"/>
        </w:rPr>
        <w:t>force, break with decorum, and style in which Black and Native feminists confront discursive violence can change the nature of future encounters. Given that Black women who confront the logics of “nonrepresentational theory” are really confronting genocide and the white, whimsical disavowal of Black and Native negation on the way to subjectlessness</w:t>
      </w:r>
      <w:r w:rsidRPr="00087A72">
        <w:rPr>
          <w:sz w:val="16"/>
        </w:rPr>
        <w:t xml:space="preserve">, it is </w:t>
      </w:r>
      <w:r w:rsidRPr="00087A72">
        <w:rPr>
          <w:rStyle w:val="StyleUnderline"/>
        </w:rPr>
        <w:t>understandable that there is an equally discordant response.</w:t>
      </w:r>
      <w:r w:rsidRPr="00087A72">
        <w:rPr>
          <w:sz w:val="16"/>
        </w:rPr>
        <w:t xml:space="preserve"> </w:t>
      </w:r>
      <w:r w:rsidRPr="00087A72">
        <w:rPr>
          <w:rStyle w:val="StyleUnderline"/>
        </w:rPr>
        <w:t xml:space="preserve">Refusal and skepticism are modes of engagement that are uncooperative and force an impasse in a discursive exchange. </w:t>
      </w:r>
      <w:r w:rsidRPr="00087A72">
        <w:rPr>
          <w:sz w:val="16"/>
        </w:rPr>
        <w:t xml:space="preserve">This article tracks how traditions of “decolonial refusal” and “abolitionist skepticism” that emerge from Native/Indigenous and Black studies expose the limits and violence of contemporary nonidentitarian and nonrepresentational impulses within white “critical” theory. Further, this article asks whether Western forms of nonrepresentational (subjectless and nonidentitarian) theory can truly transcend the human through self- critique, selfabnegation, and masochism alone. External pressure, specifically the kind of pressure that “decolonial refusal” and “abolitionist skepticism” as forms of resistance that enact outright rejection of or view “posthumanist” attempts with a “hermeneutics of suspicion,”7 is needed in order to truly address the recurrent problem of the violence of the human in continental theory. While this article does not directly stake a claim in embracing or rejecting identity per se, it does take up the category of the human. Because the category of the human is modified by identity in ways that position certain people (white, male, able- bodied) within greater or lesser proximity to humanness, identity is already taken up in this discussion. Conversations about the human are very much tethered to conversations about identity. In the final section, </w:t>
      </w:r>
      <w:r w:rsidRPr="00087A72">
        <w:rPr>
          <w:rStyle w:val="StyleUnderline"/>
        </w:rPr>
        <w:t>the article will explore how Black and Native/Indigenous absorption into the category of the human would disfigure the category of the human beyond recognition.</w:t>
      </w:r>
      <w:r w:rsidRPr="00087A72">
        <w:rPr>
          <w:sz w:val="16"/>
        </w:rPr>
        <w:t xml:space="preserve"> </w:t>
      </w:r>
      <w:r w:rsidRPr="00087A72">
        <w:rPr>
          <w:rStyle w:val="StyleUnderline"/>
        </w:rPr>
        <w:t>Engaging how forms of Native decolonization and Black abolition scrutinize the violently exclusive means in which the human has been written and conceived is generative because it sets some workable terms of engagement for interrogating Western and mainstream claims to and disavowals of identity</w:t>
      </w:r>
      <w:r w:rsidRPr="00087A72">
        <w:rPr>
          <w:sz w:val="16"/>
        </w:rPr>
        <w:t>. Rather than answer how Native decolonization and Black abolition construe the human or identity, the article examines how Native and Black feminists use refusal and misandry to question the very systems, institutions, and order of knowledge that secure humanity as an exclusive experience and bound identity in violent ways. I consider the practices and postures of refusal assumed by Native/Indigenous scholars such as Audra Simpson, Eve Tuck, Jodi Byrd, and Linda Tuhiwai Smith to be particularly instructive for exposing the violence of ostensibly nonrepresentational Deleuzoguattarian rhizomes and lines of flight.</w:t>
      </w:r>
      <w:r w:rsidRPr="00087A72">
        <w:rPr>
          <w:rStyle w:val="StyleUnderline"/>
        </w:rPr>
        <w:t xml:space="preserve"> </w:t>
      </w:r>
      <w:r w:rsidRPr="00087A72">
        <w:rPr>
          <w:sz w:val="16"/>
        </w:rPr>
        <w:t xml:space="preserve">While reparative readings and “working with what is productive” about Gilles Deleuze and Félix Guattari’s work is certainly a part of the Native feminist scholarly tradition, this article focuses on the underexamined ways that Native feminists refuse to entertain certain logics and foundations that actually structure Deleuzoguattarian thought.8 Further, I discuss “decolonial refusal” in relation to how Black scholars like Sylvia Wynter, Zakiyyah Iman Jackson, and Amber Jamilla Musser work within a Black feminist tradition animated by a kind of skepticism or suspicion capable of ferreting out the trace of the white liberal human within (self- )professed subjectless, futureless, and nonrepresentational white theoretical traditions. In other words, in the work of Sylvia Wynter, </w:t>
      </w:r>
      <w:r w:rsidRPr="00087A72">
        <w:rPr>
          <w:rStyle w:val="StyleUnderline"/>
        </w:rPr>
        <w:t>one senses a general suspicion and deep distrust of the ability of Western theory— specifically its attempt at self- critique and self- correction in the name of justice for humanit</w:t>
      </w:r>
      <w:r w:rsidRPr="00087A72">
        <w:rPr>
          <w:sz w:val="16"/>
        </w:rPr>
        <w:t xml:space="preserve">y— </w:t>
      </w:r>
      <w:r w:rsidRPr="00087A72">
        <w:rPr>
          <w:rStyle w:val="StyleUnderline"/>
        </w:rPr>
        <w:t>to revise its cognitive orders to work itself out of its current “closed system</w:t>
      </w:r>
      <w:r w:rsidRPr="00087A72">
        <w:rPr>
          <w:sz w:val="16"/>
        </w:rPr>
        <w:t xml:space="preserve">,” </w:t>
      </w:r>
      <w:r w:rsidRPr="00087A72">
        <w:rPr>
          <w:rStyle w:val="StyleUnderline"/>
        </w:rPr>
        <w:t>which reproduces exclusion and structural oppositions based on the negation of the other.9</w:t>
      </w:r>
      <w:r w:rsidRPr="00087A72">
        <w:rPr>
          <w:sz w:val="16"/>
        </w:rPr>
        <w:t xml:space="preserve"> Wynter’s study of decolonial theory and its elaboration of autopoiesis informs her understanding of how the human and its overrepresentation as man emerges. </w:t>
      </w:r>
      <w:r w:rsidRPr="00087A72">
        <w:rPr>
          <w:rStyle w:val="StyleUnderline"/>
        </w:rPr>
        <w:t>Recognizing that humans (of various genres) write themselves through a “self- perpetuating and self- referencing closed belief system” that often prevents them from seeing or noticing “the process of recursion,”</w:t>
      </w:r>
      <w:r w:rsidRPr="00087A72">
        <w:rPr>
          <w:sz w:val="16"/>
        </w:rPr>
        <w:t xml:space="preserve"> Wynter works to expose these blind spots.10 Wynter understands that one of the limitations of Western liberal thought is that it cannot see itself in the process of writing itself. I observe a similar kind of cynicism about the way the academic left invokes “post humanism” in the work of Jackson and Musser. Musser in particular questions the capacity of queer theories to turn to sensations like masochism within the field of affect studies to overcome the subject. Further, Jackson’s and Musser’s work is skeptical that white transcendence can happen on its own terms or rely solely on its own processes of self- critique and self- correction. I read Jackson’s and Musser’s work as distrustful of the ability for “posthumanism” to be accountable to Black and Indigenous peoples or for affect theory on its own to not replicate and reinforce the subjugation of the other as it moves toward self- annihilation. Both the human and the post human are causes for suspicion within Black studies. Like Wynter, the field of Black studies has consistently made the liberal human an object of study and scrutiny, particularly the nefarious manner in which it violently produces Black existence as other than and at times nonhuman. Wynter’s empirical method of tracking the internal epistemic crises and revolutions of Europe from the outside has functioned as a model for one way that Black studies can unfurl a critique of the human as well as Western modes of thought. I use the terms “misanthropy” and “misandry” in this article to evoke how Black studies has remained attentive to, wary about, and deeply distrustful of the human condition, humankind, and the humanas- man/men in the case of Black “feminists.” Both Black studies’ distrust of the “human” and Black feminism’s distrust of humanism in its version as man/men (which at times seeks to incorporate Black men) relentlessly scrutinize how the category of the human and in this case the “posthuman” reproduce Black death. I link misandry (skepticism of humankind- as- man) to the kind of skepticism and “hermeneutics of suspicion” that Black feminist scholars like Wynter, Jackson, and Musser at times apply to their reading and engagement with revisions to or expansions of the category of the human, posthuman discourses, and nonrepresentational theory In this article, I connect discursive performance of skepticism to embodied and affective responses I have witnessed in the academy that challenge the sanctioned modes of protocol, politesse, and decorum in the university. For example, Wynter assumes a critically disinterested posture as she gazes empirically on and examines intra- European epistemic shifts over time. Paget Henry has described Wynter as an anthropologist of the Occident, as Europe becomes an object of study rather than the center of thought and humanity.11 Throughout the body of Wynter’s work, she seems to be more interested in drawing our attention to the capacity of European orders of knowledge to shift over time— or their fragility— than in celebrating the progress that European systems of knowledge have claimed to make. Wynter’s tracking is just a tracking and not a celebration of the progress narrative that Western civilization tells about itself and its capacity to define, refine, and recognize new kinds of humanity over time. This comportment of critical disinterest is often read as an affront to the codes and customs of scholarly discourse and dialogue in the academic community, particularly when it is in response to the white thinkers of the Western cannon. </w:t>
      </w:r>
      <w:r w:rsidRPr="00087A72">
        <w:rPr>
          <w:rStyle w:val="StyleUnderline"/>
        </w:rPr>
        <w:t>Decolonial refusal and abolitionist skepticism respond to how perverse and reprehensible it is to ask Indigenous and Black people who cannot seem to escape death to move beyond the human or the desire to be human</w:t>
      </w:r>
      <w:r w:rsidRPr="00087A72">
        <w:rPr>
          <w:sz w:val="16"/>
        </w:rPr>
        <w:t xml:space="preserve">. In fact, </w:t>
      </w:r>
      <w:r w:rsidRPr="00087A72">
        <w:rPr>
          <w:rStyle w:val="StyleUnderline"/>
        </w:rPr>
        <w:t>Black and Indigenous people have never been fully folded into the category of the human</w:t>
      </w:r>
      <w:r w:rsidRPr="00087A72">
        <w:rPr>
          <w:sz w:val="16"/>
        </w:rPr>
        <w:t xml:space="preserve">. As Zakiyyah Iman Jackson has argued, It has largely gone unnoticed by posthumanists that their queries into ontology often find their homologous (even anticipatory) appearance in decolonial philosophies that confront slavery and colonialism’s inextricability from the Enlightenment humanism they are trying to displace. Perhaps this foresight on the part of decolonial theory is rather unsurprising considering that exigencies of race have crucially anticipated and shaped discourses governing the non- human (animal, technology, object, and plant).12 A </w:t>
      </w:r>
      <w:r w:rsidRPr="00087A72">
        <w:rPr>
          <w:rStyle w:val="StyleUnderline"/>
        </w:rPr>
        <w:t>crucial point that Jackson emphasizes is that Black and Indigenous studies, particularly decolonial studies, has already grappled with and anticipated the late twentieth- century impulses inspired by Leo Bersani and Lee Edelman to annihilate the self and jettison the future. Indigenous and Black “sex”</w:t>
      </w:r>
      <w:r w:rsidRPr="00087A72">
        <w:rPr>
          <w:sz w:val="16"/>
        </w:rPr>
        <w:t xml:space="preserve"> (as activity, reproduction, pleasure, world- building, and not- human sexuality) </w:t>
      </w:r>
      <w:r w:rsidRPr="00087A72">
        <w:rPr>
          <w:rStyle w:val="StyleUnderline"/>
        </w:rPr>
        <w:t>are already subsumed by death</w:t>
      </w:r>
      <w:r w:rsidRPr="00087A72">
        <w:rPr>
          <w:sz w:val="16"/>
        </w:rPr>
        <w:t>. For some reason, white critical theory cannot seem to fathom that self- annihilation is something white people need to figure out by themselves. In other words, “they can have that.”13 Within Native feminist theorizing, ethnographic refusal can be traced to Audra Simpson’s 2007 article, “On Ethnographic Refusal.” In this seminal work, Simpson reflects on and gains inspiration from the tradition of refusal practiced by the people of Kahnawake.14 Simpson shares that Kahnawake refusals are at the core and spirit of her own ethnographic and ethical practices of refusal. I was interested in the larger picture, in the discursive, material and moral territory that was simultaneously historical and contemporary (this “national” space) and the ways in which Kahnawakero:non, the “people of Kahnawake,” had refused the authority of the state at almost every turn. The ways in which their formation of the initial membership code (now replaced by a lineage code and board of elders to implement the code and determine cases) was refused; the ways in which their interactions with border guards at the international boundary line were predicated upon a refusal; how refusal worked in everyday encounters to enunciate repeatedly to ourselves and to outsiders that “this is who we are, this is who you are, these are my rights.”15 Because Simpson was concerned with applying the political and everyday modes of Kahnawake refusal, she attended to the “collective limit” established by her and her Kahnawake participants.16 The collective limit was relationally and ethically determined by what was shared but more importantly by what was not shared. Simpson’s ability to discern the collective limit could only be achieved through a form of relational knowledge production that regards and cares for the other. Simpson recounts how one of her participants forced her to recognize a collective limit. Approaching and then arriving at the limit, Simpson experiences the following: And although I pushed him, hoping that there might be something explicit said from the space of his exclusion— or more explicit than he gave me— it was enough that he said what he said. “Enough” is certainly enough. “</w:t>
      </w:r>
      <w:r w:rsidRPr="00087A72">
        <w:rPr>
          <w:rStyle w:val="StyleUnderline"/>
        </w:rPr>
        <w:t>Enough,” I realised, was when I reached the limit of my own return and our collective arrival. Can I do this and still come home; what am I revealing here and why? Where will this get us? Who</w:t>
      </w:r>
      <w:r w:rsidRPr="00087A72">
        <w:rPr>
          <w:sz w:val="16"/>
        </w:rPr>
        <w:t xml:space="preserve"> </w:t>
      </w:r>
      <w:r w:rsidRPr="00087A72">
        <w:rPr>
          <w:rStyle w:val="StyleUnderline"/>
        </w:rPr>
        <w:t>benefits from this and why? And “enough” was when they shut down (or told me to turn off the recorder), or told me outright funny things like “nobody seems to know”—</w:t>
      </w:r>
      <w:r w:rsidRPr="00087A72">
        <w:rPr>
          <w:sz w:val="16"/>
        </w:rPr>
        <w:t xml:space="preserve"> </w:t>
      </w:r>
      <w:r w:rsidRPr="00087A72">
        <w:rPr>
          <w:rStyle w:val="StyleUnderline"/>
        </w:rPr>
        <w:t>when everybody does know and talks about it all the time</w:t>
      </w:r>
      <w:r w:rsidRPr="00087A72">
        <w:rPr>
          <w:sz w:val="16"/>
        </w:rPr>
        <w:t xml:space="preserve">. Dominion then has to be exercised over these representations, and that was determined when enough was said. The ethnographic limit then, was reached not just when it would cause harm (or extreme discomfort)— the limit was arrived at when the representation would bite all of us and compromise the representational territory that we have gained for ourselves in the past 100 years.17 Extending her discussion of ethnographic refusal beyond the bounds of ethnographic concerns, Simpson also ponders whether this enactment of refusal can be applied to theoretical work. Simpson outright poses a question: “What is theoretically generative about these refusals?”18 The question that Simpson asks in 2007 is clarified by Eve Tuck and K. Wayne Yang in the 2014 essay “R- Words: Refusing Research.” Arguing that modes of refusal extended into the theoretical and methodological terrains of knowledge production are productive and necessary, Tuck and Yang state: For the purposes of our discussion, the most important insight to draw from Simpson’s article is her emphasis that refusals are not subtractive, but are theoretically generative, expansive. </w:t>
      </w:r>
      <w:r w:rsidRPr="00087A72">
        <w:rPr>
          <w:rStyle w:val="StyleUnderline"/>
        </w:rPr>
        <w:t>Refusal is not just a “no,” but a redirection to ideas otherwise unacknowledged or unquestioned.</w:t>
      </w:r>
      <w:r w:rsidRPr="00087A72">
        <w:rPr>
          <w:sz w:val="16"/>
        </w:rPr>
        <w:t xml:space="preserve"> </w:t>
      </w:r>
      <w:r w:rsidRPr="00087A72">
        <w:rPr>
          <w:rStyle w:val="StyleUnderline"/>
        </w:rPr>
        <w:t>Unlike a settler colonial configuration of knowledge that is petulantly exasperated and resentful of limits, a methodology of refusal regards limits on knowledge as productive, as indeed a good thing.1</w:t>
      </w:r>
      <w:r w:rsidRPr="00087A72">
        <w:rPr>
          <w:sz w:val="16"/>
        </w:rPr>
        <w:t xml:space="preserve">9 In line with Simpson’s intervention, Tuck and Yang posit </w:t>
      </w:r>
      <w:r w:rsidRPr="00087A72">
        <w:rPr>
          <w:rStyle w:val="StyleUnderline"/>
        </w:rPr>
        <w:t>that “refusal itself could be developed into both method and theory.”20 For Tuck and Yang, a generative practice of refusal and a decolonial and abolitionist tradition is making Western thought “turn back upon itself as settler colonial knowledge</w:t>
      </w:r>
      <w:r w:rsidRPr="00087A72">
        <w:rPr>
          <w:sz w:val="16"/>
        </w:rPr>
        <w:t xml:space="preserve">, as opposed to universal, liberal, or neutral knowledge without horizon.”21 In fact, the coauthors suggest “making the settler colonial metanarrative the object of . . . research.”22 </w:t>
      </w:r>
      <w:r w:rsidRPr="00087A72">
        <w:rPr>
          <w:rStyle w:val="StyleUnderline"/>
        </w:rPr>
        <w:t>What this move effectively does is question the uninterrogated assumptions and exposes the violent particularities of the metanarrative. Scrutiny as a practice of refusal also slows down or perhaps halts the momentum of the machinery that allows,</w:t>
      </w:r>
      <w:r w:rsidRPr="00087A72">
        <w:rPr>
          <w:sz w:val="16"/>
        </w:rPr>
        <w:t xml:space="preserve"> as Tuck and Yang argue, “knowledge to facilitate interdictions on Indigenous and Black life.”23 Taking a cue from Simpson and Tuck and Yang, I turn to Tuck’s 2010 critique of Deleuze’s notion of “desire” as an example of the theoretical practice of refusal, which Simpson wonders about and which Tuck and Yang elaborated on in 2014. Eve Tuck’s 2010 article “Breaking Up with Deleuze” refuses </w:t>
      </w:r>
      <w:r w:rsidRPr="00087A72">
        <w:rPr>
          <w:rStyle w:val="StyleUnderline"/>
        </w:rPr>
        <w:t>Deleuze’s understanding and imposition of his definition of desire for Native studies and Native resurgence in particular.</w:t>
      </w:r>
      <w:r w:rsidRPr="00087A72">
        <w:rPr>
          <w:sz w:val="16"/>
        </w:rPr>
        <w:t xml:space="preserve"> </w:t>
      </w:r>
      <w:r w:rsidRPr="00087A72">
        <w:rPr>
          <w:rStyle w:val="StyleUnderline"/>
        </w:rPr>
        <w:t>Tuck refuses the Deleuzoguattarian nomadic due to its totalizing moves and specifically its evasion and refusal of Native and alternative notions of refusal that emerge from Native struggles for survival</w:t>
      </w:r>
      <w:r w:rsidRPr="00087A72">
        <w:rPr>
          <w:sz w:val="16"/>
        </w:rPr>
        <w:t xml:space="preserve">.24 For Tuck, paying attention to “the continuity of ancestors,” or genealogies, in Native and in all modes of knowledge production is imperative. For Indigenous and Native studies, it reverses the erasure enacted by continental European and settler- colonial theory, which uses a tradition of ongoing genocide to annihilate Native thinkers and subsequently their epistemologies and theories. Prior to Byrd’s indictment of Deleuzoguattarian laudatory accounts of America’s terrain of “Indians without Ancestry,” Tuck reroutes us back to ancestral and genealogical thinking as a way of asserting Indigenous presence and its epistemological systems and traditions, devoid of Cartesian boundary- making impulses and desires. Tuck’s work also prepares us in 2010 for the critique that Byrd levies in 2011, which exposes the traditions, roots, and genealogies of Western poststructuralist theory. Such theory created the conditions of possibility and emergence for Deleuzoguattarian genocidal forms of rhizomatic and nonrepresentational thought. Black Caribbean feminist Michelle V. Rowley argues we need to especially attend to a theory’s “politics and conditions of emergence.”25 In other words, </w:t>
      </w:r>
      <w:r w:rsidRPr="00087A72">
        <w:rPr>
          <w:rStyle w:val="StyleUnderline"/>
        </w:rPr>
        <w:t>we need to consider on whose backs or through whose blood a theory developed and then circulated while hiding its own violence. Jodi Byrd in particular attends to the colonialist, genocidal, and therefore humanist impulses of the rhizome in her book Transit of Empire.26</w:t>
      </w:r>
      <w:r w:rsidRPr="00087A72">
        <w:rPr>
          <w:sz w:val="16"/>
        </w:rPr>
        <w:t xml:space="preserve"> What is particularly instructive is the way that Byrd operationalizes her critique of Deleuze and Guattari’s first chapter, “Rhizome,” in their tome A Thousand Plateaus.27 Byrd’s deconstruction, or picking apart, of the poststructuralist and nonsubject- and nonobject- related Deleuzoguattarian rhizomatics are a masterful (and frankly thuggish and rude) demonstration of refusing to adapt or “repair” colonial epistemologies and geographies. Byrd’s refusal is a moment that further helps one distinguish between the works of postcolonial and decolonial studies. </w:t>
      </w:r>
      <w:r w:rsidRPr="00087A72">
        <w:rPr>
          <w:rStyle w:val="StyleUnderline"/>
        </w:rPr>
        <w:t>Byrd performs an outright refusal that short circuits the colonial and postcolonial comportments of politesse, which allow genocidal Western thought to continue uninterrupted.</w:t>
      </w:r>
      <w:r w:rsidRPr="00087A72">
        <w:rPr>
          <w:sz w:val="16"/>
        </w:rPr>
        <w:t xml:space="preserve"> </w:t>
      </w:r>
      <w:r w:rsidRPr="00087A72">
        <w:rPr>
          <w:rStyle w:val="StyleUnderline"/>
        </w:rPr>
        <w:t>Byrd’s interrogation of the “colonial nostalgia” latent in poststructural and nonrepresentational forms of thought like Deleuze and Guattari’s rhizome is an explicit example of how the violence of white nonrepresentational theory creates an immediate space of impasse for Indigenous, decolonial, Black, and abolitionist intellectual traditions</w:t>
      </w:r>
      <w:r w:rsidRPr="00087A72">
        <w:rPr>
          <w:sz w:val="16"/>
        </w:rPr>
        <w:t xml:space="preserve">. As Byrd argues, the Deleuzian and Guattarian </w:t>
      </w:r>
      <w:r w:rsidRPr="00087A72">
        <w:rPr>
          <w:rStyle w:val="StyleUnderline"/>
        </w:rPr>
        <w:t>rhizome assumes its errant, untraceable, and de/reterritorializing path through Native genocide.</w:t>
      </w:r>
      <w:r w:rsidRPr="00087A72">
        <w:rPr>
          <w:sz w:val="16"/>
        </w:rPr>
        <w:t xml:space="preserve"> The rhizome obtains its metaphorical and theoretical elasticity from the discursive genocide of Indigenous peoples. The territory of maneuver or ground that the rhizome gains its bearing on is unwittingly or perhaps indifferently anchored in the disavowal of the Indigenous ancestral claims, history, presence, and ongoing relationship with the land in North America. </w:t>
      </w:r>
      <w:r w:rsidRPr="00087A72">
        <w:rPr>
          <w:rStyle w:val="StyleUnderline"/>
        </w:rPr>
        <w:t>Deleuze and Guattari covet the free- range and bloody movements in the West, described as a land of “Indians without Ancestry” primarily because they do not have to contend with the presence of Indigenous peoples and their prior relationships (ancestors) to the land and space through which they move and clear as nomads</w:t>
      </w:r>
      <w:r w:rsidRPr="00087A72">
        <w:rPr>
          <w:sz w:val="16"/>
        </w:rPr>
        <w:t xml:space="preserve">. There are no existing people to which Deleuze and Guattari have to be accountable. Therefore, </w:t>
      </w:r>
      <w:r w:rsidRPr="00087A72">
        <w:rPr>
          <w:rStyle w:val="StyleUnderline"/>
        </w:rPr>
        <w:t>their own and others’ self- actualizing, free- form whiteness can proceed unimpeded. The</w:t>
      </w:r>
      <w:r w:rsidRPr="00087A72">
        <w:rPr>
          <w:sz w:val="16"/>
        </w:rPr>
        <w:t xml:space="preserve"> </w:t>
      </w:r>
      <w:r w:rsidRPr="00087A72">
        <w:rPr>
          <w:rStyle w:val="StyleUnderline"/>
        </w:rPr>
        <w:t>rhizomatic West— terra nullius— is without a people, history, or a cosmology to navigate.</w:t>
      </w:r>
      <w:r w:rsidRPr="00087A72">
        <w:rPr>
          <w:sz w:val="16"/>
        </w:rPr>
        <w:t xml:space="preserve"> Byrd’s reading of Deleuze and Guattari’s reproduction or transit of the “Indian” in their book </w:t>
      </w:r>
      <w:r w:rsidRPr="00087A72">
        <w:rPr>
          <w:rStyle w:val="StyleUnderline"/>
        </w:rPr>
        <w:t xml:space="preserve">A Thousand Plateaus limns some of the methods in which colonialism and modes of conquest are enacted on behalf of the selfactualization of white subjects who produce nonrepresentational theory. </w:t>
      </w:r>
      <w:r w:rsidRPr="00087A72">
        <w:rPr>
          <w:sz w:val="16"/>
        </w:rPr>
        <w:t xml:space="preserve">In fact, Byrd argues that the “Indian is the ontological prior through which poststructuralism functions.”28 Byrd traces the appearance or deployment of the Indian as a simulation or “present absent” in Jacques Derrida’s and then Deleuze and Guattari’s work, which creates space for the white subject and the unending frontier. Byrd also argues that </w:t>
      </w:r>
      <w:r w:rsidRPr="00087A72">
        <w:rPr>
          <w:rStyle w:val="StyleUnderline"/>
        </w:rPr>
        <w:t>nonrepresentational theory heralded as a liberatory path beyond the subject is colonialist</w:t>
      </w:r>
      <w:r w:rsidRPr="00087A72">
        <w:rPr>
          <w:sz w:val="16"/>
        </w:rPr>
        <w:t xml:space="preserve">. Byrd indicts Deleuze and Guattari’s use of Leslie Fiedler’s work in order to invoke the American West and the Indian as exceptional cases that inspire rhizomatic movement through the notion of an ever- receding frontier.29 It is colonialist on (at least) two accounts: </w:t>
      </w:r>
      <w:r w:rsidRPr="00087A72">
        <w:rPr>
          <w:rStyle w:val="StyleUnderline"/>
        </w:rPr>
        <w:t>in its need to render the Indian already and inevitably (ontologically) dead as “it” has no ancestors or living community to whom one needs to be accountable; and in its invocation of the vanishing “Indian,” which opens up the possibility of an “ever- receding frontier” and inspiration for the metaphor of the rhizome.</w:t>
      </w:r>
      <w:r w:rsidRPr="00087A72">
        <w:rPr>
          <w:sz w:val="16"/>
        </w:rPr>
        <w:t xml:space="preserve"> </w:t>
      </w:r>
      <w:r w:rsidRPr="00087A72">
        <w:rPr>
          <w:rStyle w:val="StyleUnderline"/>
        </w:rPr>
        <w:t>This logic and mode of conquistador thought undergirds the Deleuzian and Guattarian ethos of experimental and rhizomatic lines of flight</w:t>
      </w:r>
      <w:r w:rsidRPr="00087A72">
        <w:rPr>
          <w:sz w:val="16"/>
        </w:rPr>
        <w:t xml:space="preserve">. </w:t>
      </w:r>
      <w:r w:rsidRPr="00087A72">
        <w:rPr>
          <w:rStyle w:val="StyleUnderline"/>
        </w:rPr>
        <w:t>Their nonrepresentational theory of lines of flight are only possible as a form of white selfactualizing posthumanism due to the death of Indigenous peoples and their excision from the Earth/land</w:t>
      </w:r>
      <w:r w:rsidRPr="00087A72">
        <w:rPr>
          <w:sz w:val="16"/>
        </w:rPr>
        <w:t xml:space="preserve">. White posthumanism and its flows and lines of flight are made possible through Native death. Because of this, </w:t>
      </w:r>
      <w:r w:rsidRPr="00087A72">
        <w:rPr>
          <w:rStyle w:val="StyleUnderline"/>
        </w:rPr>
        <w:t>Byrd haltingly stops the reader’s momentum as she critiques Deleuzoguattarian and poststructuralist tendencies that often emerge in postcolonial work. Rather than allow the preemptive rejoinder that white and some postcolonial scholars use, such as “I know that theorist X did not consider race or was racist, but he enables us to do XYZ with his work</w:t>
      </w:r>
      <w:r w:rsidRPr="00087A72">
        <w:rPr>
          <w:sz w:val="16"/>
        </w:rPr>
        <w:t xml:space="preserve">,”30 </w:t>
      </w:r>
      <w:r w:rsidRPr="00087A72">
        <w:rPr>
          <w:rStyle w:val="StyleUnderline"/>
        </w:rPr>
        <w:t>Byrd instead cuts off Deleuze and Guattari’s rhizomatics at the path.</w:t>
      </w:r>
      <w:r w:rsidRPr="00087A72">
        <w:rPr>
          <w:sz w:val="16"/>
        </w:rPr>
        <w:t xml:space="preserve"> As </w:t>
      </w:r>
      <w:r w:rsidRPr="00087A72">
        <w:rPr>
          <w:rStyle w:val="StyleUnderline"/>
        </w:rPr>
        <w:t>Byrd anticipates that following Deleuze and Guattari will end in genocide, she allows the reader the time and space to let this reality sink in and consider a different route than the normative impulse and course of action that is to repair Deleuze and Guattari’s work</w:t>
      </w:r>
      <w:r w:rsidRPr="00087A72">
        <w:rPr>
          <w:sz w:val="16"/>
        </w:rPr>
        <w:t>. Byrd’s work slows us down and brings us to a point of impasse and a resting place where one can slow down, stop, and make a choice to stay put or move forward with the dismissive, whimsical, white conceit that tolerates Native death. Byrd’s refusal allows the reader to feel the violent puncture of the nonrepresentational gash that it tries to disavow. Byrd gives her reader the space and time to say, “</w:t>
      </w:r>
      <w:r w:rsidRPr="00087A72">
        <w:rPr>
          <w:rStyle w:val="StyleUnderline"/>
        </w:rPr>
        <w:t>Yes, I understand your attempt to evade signification and thus representation but it is not compelling enough for me to overlook the reality that it requires Native genocide.</w:t>
      </w:r>
      <w:r w:rsidRPr="00087A72">
        <w:rPr>
          <w:sz w:val="16"/>
        </w:rPr>
        <w:t xml:space="preserve">” The way that Byrd’s and others’ decolonial work brings these kinds of tensions and violence to a head enables us to make other kinds of analytic and conceptual choices. </w:t>
      </w:r>
      <w:r w:rsidRPr="00087A72">
        <w:rPr>
          <w:rStyle w:val="StyleUnderline"/>
        </w:rPr>
        <w:t>The reader is allowed to think and then say, “If this line of thought requires Indigenous death, why even venture down it? What could one possibly repair or salvage of it?”</w:t>
      </w:r>
    </w:p>
    <w:p w:rsidR="00414088" w:rsidRPr="00087A72" w:rsidRDefault="00414088" w:rsidP="00414088">
      <w:pPr>
        <w:pStyle w:val="Heading4"/>
        <w:rPr>
          <w:rFonts w:cstheme="majorHAnsi"/>
        </w:rPr>
      </w:pPr>
      <w:r w:rsidRPr="00087A72">
        <w:rPr>
          <w:rFonts w:cstheme="majorHAnsi"/>
        </w:rPr>
        <w:t xml:space="preserve">Affirmations of immigrants constitutes a discursive mythology of </w:t>
      </w:r>
      <w:r w:rsidRPr="00087A72">
        <w:rPr>
          <w:rStyle w:val="Style13ptBold"/>
          <w:rFonts w:cstheme="majorHAnsi"/>
          <w:b/>
        </w:rPr>
        <w:t>immigration</w:t>
      </w:r>
      <w:r w:rsidRPr="00087A72">
        <w:rPr>
          <w:rFonts w:cstheme="majorHAnsi"/>
        </w:rPr>
        <w:t xml:space="preserve"> which renders the erasure of the indigenous savage inevitable – immigrant social justice cannot be fused with indigenous struggle</w:t>
      </w:r>
    </w:p>
    <w:p w:rsidR="00414088" w:rsidRPr="00087A72" w:rsidRDefault="00414088" w:rsidP="00414088">
      <w:pPr>
        <w:rPr>
          <w:rFonts w:cstheme="majorHAnsi"/>
        </w:rPr>
      </w:pPr>
      <w:r w:rsidRPr="00087A72">
        <w:rPr>
          <w:rStyle w:val="Style13ptBold"/>
          <w:rFonts w:cstheme="majorHAnsi"/>
        </w:rPr>
        <w:t>Dauvergne 16</w:t>
      </w:r>
      <w:r w:rsidRPr="00087A72">
        <w:rPr>
          <w:rFonts w:cstheme="majorHAnsi"/>
        </w:rPr>
        <w:t xml:space="preserve"> (Catherine, She is the eighth dean of the Peter A. Allard School of Law. Professor Dauvergne has been working in the area of refugee, immigration, and citizenship law over the past quarter of a century, “Immigration and the End of Settler Societies”,</w:t>
      </w:r>
      <w:r w:rsidRPr="00087A72">
        <w:rPr>
          <w:rFonts w:cstheme="majorHAnsi"/>
          <w:i/>
        </w:rPr>
        <w:t xml:space="preserve"> Cambridge University Press</w:t>
      </w:r>
      <w:r w:rsidRPr="00087A72">
        <w:rPr>
          <w:rFonts w:cstheme="majorHAnsi"/>
        </w:rPr>
        <w:t>, pp. 10-13)//vikas</w:t>
      </w:r>
    </w:p>
    <w:p w:rsidR="00414088" w:rsidRPr="00087A72" w:rsidRDefault="00414088" w:rsidP="00414088">
      <w:pPr>
        <w:rPr>
          <w:rFonts w:cstheme="majorHAnsi"/>
          <w:sz w:val="16"/>
        </w:rPr>
      </w:pPr>
      <w:r w:rsidRPr="00087A72">
        <w:rPr>
          <w:rFonts w:cstheme="majorHAnsi"/>
          <w:sz w:val="16"/>
        </w:rPr>
        <w:t xml:space="preserve">Throughout the entire first century of global migration regulation, from the early 1900s to the present, a distinction between settler societies and others has informed and predicted patterns of migration and migration regulation. This distinction served as a guide to strategies of recruitment and reception, to global alliances around migration questions, to approaches to asylum, and to citizenship. This era has now come to a close. The work of this book is to demonstrate how and why this is so, and to outline what new predictors or patterns of migration and migration regulation may now be valuable. </w:t>
      </w:r>
      <w:r w:rsidRPr="00087A72">
        <w:rPr>
          <w:rStyle w:val="Emphasis"/>
          <w:rFonts w:cstheme="majorHAnsi"/>
        </w:rPr>
        <w:t>Global migration regulation first developed in</w:t>
      </w:r>
      <w:r w:rsidRPr="00087A72">
        <w:rPr>
          <w:rFonts w:cstheme="majorHAnsi"/>
          <w:sz w:val="16"/>
        </w:rPr>
        <w:t xml:space="preserve"> the context of </w:t>
      </w:r>
      <w:r w:rsidRPr="00087A72">
        <w:rPr>
          <w:rStyle w:val="Emphasis"/>
          <w:rFonts w:cstheme="majorHAnsi"/>
        </w:rPr>
        <w:t>settler societies</w:t>
      </w:r>
      <w:r w:rsidRPr="00087A72">
        <w:rPr>
          <w:rFonts w:cstheme="majorHAnsi"/>
          <w:b/>
          <w:u w:val="single"/>
        </w:rPr>
        <w:t>, and their demise contains key markers</w:t>
      </w:r>
      <w:r w:rsidRPr="00087A72">
        <w:rPr>
          <w:rFonts w:cstheme="majorHAnsi"/>
          <w:sz w:val="16"/>
        </w:rPr>
        <w:t xml:space="preserve"> for the future. To understand why any of this matters, however, it is first crucial to understand how </w:t>
      </w:r>
      <w:r w:rsidRPr="00087A72">
        <w:rPr>
          <w:rFonts w:cstheme="majorHAnsi"/>
          <w:b/>
          <w:u w:val="single"/>
        </w:rPr>
        <w:t>the concept of a settler society ordered global migration for more than a century</w:t>
      </w:r>
      <w:r w:rsidRPr="00087A72">
        <w:rPr>
          <w:rFonts w:cstheme="majorHAnsi"/>
          <w:sz w:val="16"/>
        </w:rPr>
        <w:t xml:space="preserve">. This chapter begins with unraveling this ordering, and then examines the legal architecture of migration in the settler society and considers the insights of critiques of the settler society concept. </w:t>
      </w:r>
      <w:r w:rsidRPr="00087A72">
        <w:rPr>
          <w:rFonts w:cstheme="majorHAnsi"/>
          <w:b/>
          <w:u w:val="single"/>
        </w:rPr>
        <w:t>Settler society</w:t>
      </w:r>
      <w:r w:rsidRPr="00087A72">
        <w:rPr>
          <w:rFonts w:cstheme="majorHAnsi"/>
          <w:sz w:val="16"/>
        </w:rPr>
        <w:t xml:space="preserve"> is not a scientific category. It </w:t>
      </w:r>
      <w:r w:rsidRPr="00087A72">
        <w:rPr>
          <w:rFonts w:cstheme="majorHAnsi"/>
          <w:b/>
          <w:u w:val="single"/>
        </w:rPr>
        <w:t>is an idea with a core of meaning, and considerable slippage around the edges.</w:t>
      </w:r>
      <w:r w:rsidRPr="00087A72">
        <w:rPr>
          <w:rFonts w:cstheme="majorHAnsi"/>
          <w:sz w:val="16"/>
        </w:rPr>
        <w:t xml:space="preserve"> One is just as likely to see the term used by social commentators and politicians as by academics. This low-key omnipresence is part of its importance – it has slipped into everyday discourse. A rigorous definition is not helpful, as my purpose is not to stake out and police boundaries of a certain category. Indeed, some of the work of this book depends on a degree of wobbliness in the concept, on its ability to mean different things at different times or for different people. But it is important to set out the broad parameters of the idea. When a journalist, a politician, or a geographer talks about a settler society, we do know what they mean.1 </w:t>
      </w:r>
      <w:r w:rsidRPr="00087A72">
        <w:rPr>
          <w:rStyle w:val="Emphasis"/>
          <w:rFonts w:cstheme="majorHAnsi"/>
        </w:rPr>
        <w:t>A mythology of immigration is the core of the settler society.</w:t>
      </w:r>
      <w:r w:rsidRPr="00087A72">
        <w:rPr>
          <w:rFonts w:cstheme="majorHAnsi"/>
          <w:b/>
          <w:u w:val="single"/>
        </w:rPr>
        <w:t xml:space="preserve"> Settler societies were built from</w:t>
      </w:r>
      <w:r w:rsidRPr="00087A72">
        <w:rPr>
          <w:rFonts w:cstheme="majorHAnsi"/>
          <w:sz w:val="16"/>
        </w:rPr>
        <w:t xml:space="preserve"> the ground up by </w:t>
      </w:r>
      <w:r w:rsidRPr="00087A72">
        <w:rPr>
          <w:rFonts w:cstheme="majorHAnsi"/>
          <w:b/>
          <w:u w:val="single"/>
        </w:rPr>
        <w:t>people who left European nations and sought</w:t>
      </w:r>
      <w:r w:rsidRPr="00087A72">
        <w:rPr>
          <w:rFonts w:cstheme="majorHAnsi"/>
          <w:sz w:val="16"/>
        </w:rPr>
        <w:t xml:space="preserve"> permanent </w:t>
      </w:r>
      <w:r w:rsidRPr="00087A72">
        <w:rPr>
          <w:rFonts w:cstheme="majorHAnsi"/>
          <w:b/>
          <w:u w:val="single"/>
        </w:rPr>
        <w:t>homes in the New World.</w:t>
      </w:r>
      <w:r w:rsidRPr="00087A72">
        <w:rPr>
          <w:rFonts w:cstheme="majorHAnsi"/>
          <w:sz w:val="16"/>
        </w:rPr>
        <w:t xml:space="preserve"> In an era of colonial empires, settler societies were a distinct chapter in the dominant colonizing narrative. While these were, of course, colonies of European empires, their ostensible “emptiness” distinguished them from colonies in Africa, Asia, and the Indian subcontinent. </w:t>
      </w:r>
      <w:r w:rsidRPr="00087A72">
        <w:rPr>
          <w:rStyle w:val="Emphasis"/>
          <w:rFonts w:cstheme="majorHAnsi"/>
        </w:rPr>
        <w:t>Settler societies were not simply colonized; they were populated</w:t>
      </w:r>
      <w:r w:rsidRPr="00087A72">
        <w:rPr>
          <w:rFonts w:cstheme="majorHAnsi"/>
          <w:sz w:val="16"/>
        </w:rPr>
        <w:t xml:space="preserve"> by Europeans. So complete were these acts of population that the societies came to regard themselves as somehow European. For the settler society, immigration was a nation-building imperative. One of the imprecisions in understanding settler societies turns on whether to draw a distinction between those places where European settlement came to completely dominate and define, and those places where resistance to settlement was more robust, and thus by the early twenty-first century they are no longer completely defined by their settlers. For this reason, Australia, Canada, the United States, and New Zealand are the paradigmatic settler societies. South Africa, Zimbabwe, Mexico, Peru, Israel, Algeria, and others fit more awkwardly into the box. One way to capture this distinction is to consider how the settler society emerges from colonial status. The processes bringing independence to settler societies do not belong to the late-twentieth-century story of decolonization. In the case of the United States, independence was staked out well before the first era of massive global migration. For the other three exemplars, independence was an incremental and amiable process. The ongoing struggles of decolonization are not part of the narrative in either case, and most of the rubric of the post-colonial is inapt. The centrality of immigration mythology has several vital consequences. First among these is that </w:t>
      </w:r>
      <w:r w:rsidRPr="00087A72">
        <w:rPr>
          <w:rFonts w:cstheme="majorHAnsi"/>
          <w:b/>
          <w:u w:val="single"/>
        </w:rPr>
        <w:t>the paradigmatic settler societies</w:t>
      </w:r>
      <w:r w:rsidRPr="00087A72">
        <w:rPr>
          <w:rFonts w:cstheme="majorHAnsi"/>
          <w:sz w:val="16"/>
        </w:rPr>
        <w:t xml:space="preserve">, Canada, Australia, New Zealand, and the United States, </w:t>
      </w:r>
      <w:r w:rsidRPr="00087A72">
        <w:rPr>
          <w:rFonts w:cstheme="majorHAnsi"/>
          <w:b/>
          <w:u w:val="single"/>
        </w:rPr>
        <w:t xml:space="preserve">understand themselves as being nations built through migration. </w:t>
      </w:r>
      <w:r w:rsidRPr="00087A72">
        <w:rPr>
          <w:rFonts w:cstheme="majorHAnsi"/>
          <w:sz w:val="16"/>
        </w:rPr>
        <w:t xml:space="preserve">While this story plays out differently in each of these places, the </w:t>
      </w:r>
      <w:r w:rsidRPr="00087A72">
        <w:rPr>
          <w:rFonts w:cstheme="majorHAnsi"/>
          <w:b/>
          <w:u w:val="single"/>
        </w:rPr>
        <w:t>variations do not disrupt a strong migration core to the story of national identity.</w:t>
      </w:r>
      <w:r w:rsidRPr="00087A72">
        <w:rPr>
          <w:rFonts w:cstheme="majorHAnsi"/>
          <w:sz w:val="16"/>
        </w:rPr>
        <w:t xml:space="preserve"> In the United States the War of Independence and the Civil War are foundational moments but the founders themselves are from else- where. Canada cogitates on the French fact in Quebec, and Australia in its maturity embraces the convict stain. Possibly the greatest variation of the narrative is heard in New Zealand, where the indigenous Maori have been more persistent than original inhabitants in the other three, and thus the mythology of immigration as foundational has been more persistently disrupted. Perhaps this is why, of these four countries, only New Zealand does not have a major national immigration museum.2 There is a certain irony here, of course, as the contemporary prominence of the Maori as compared to indigenous populations elsewhere is partially related to New Zealand’s measured approach to immigration in the early settler colonial period. Aiming to build a “better Britain,” New Zealand focused on migrant purity and thus reduced migrant numbers, and this is a contributing factor to somewhat less complete dominance over the indigenous population.3 Within this group, Canada, Australia, and New Zealand are often selected as the comparator group, and the United States is considered to be the outlier.4 This grouping places the emphasis on colonial history. From my perspective, however, the United States fits squarely in the frame, as my focus is on the place of immigration in national institutions and the contemporary shape of immigration policies and politics. Excluding the United States from this picture amounts to excluding the most powerful example of all. The inter- twining of migration and national identity is part of the settler ethos, and reaches all aspects of the national imagination. </w:t>
      </w:r>
      <w:r w:rsidRPr="00087A72">
        <w:rPr>
          <w:rFonts w:cstheme="majorHAnsi"/>
          <w:b/>
          <w:u w:val="single"/>
        </w:rPr>
        <w:t>This is a key aspect of national identity in the United States</w:t>
      </w:r>
      <w:r w:rsidRPr="00087A72">
        <w:rPr>
          <w:rFonts w:cstheme="majorHAnsi"/>
          <w:sz w:val="16"/>
        </w:rPr>
        <w:t xml:space="preserve">, possibly more strongly embraced than anywhere else on Earth. In each state, </w:t>
      </w:r>
      <w:r w:rsidRPr="00087A72">
        <w:rPr>
          <w:rFonts w:cstheme="majorHAnsi"/>
          <w:b/>
          <w:u w:val="single"/>
        </w:rPr>
        <w:t>this intertwining continues to shape migration policy and politics</w:t>
      </w:r>
      <w:r w:rsidRPr="00087A72">
        <w:rPr>
          <w:rFonts w:cstheme="majorHAnsi"/>
          <w:sz w:val="16"/>
        </w:rPr>
        <w:t xml:space="preserve">. The United States examples of the </w:t>
      </w:r>
      <w:r w:rsidRPr="00087A72">
        <w:rPr>
          <w:rStyle w:val="Emphasis"/>
          <w:rFonts w:cstheme="majorHAnsi"/>
        </w:rPr>
        <w:t>green card lottery and contemporary DREAM Act activism</w:t>
      </w:r>
      <w:r w:rsidRPr="00087A72">
        <w:rPr>
          <w:rFonts w:cstheme="majorHAnsi"/>
          <w:b/>
          <w:u w:val="single"/>
        </w:rPr>
        <w:t xml:space="preserve"> are</w:t>
      </w:r>
      <w:r w:rsidRPr="00087A72">
        <w:rPr>
          <w:rFonts w:cstheme="majorHAnsi"/>
          <w:sz w:val="16"/>
        </w:rPr>
        <w:t xml:space="preserve"> among the most poignant </w:t>
      </w:r>
      <w:r w:rsidRPr="00087A72">
        <w:rPr>
          <w:rFonts w:cstheme="majorHAnsi"/>
          <w:b/>
          <w:u w:val="single"/>
        </w:rPr>
        <w:t>examples.</w:t>
      </w:r>
      <w:r w:rsidRPr="00087A72">
        <w:rPr>
          <w:rFonts w:cstheme="majorHAnsi"/>
          <w:sz w:val="16"/>
        </w:rPr>
        <w:t xml:space="preserve"> Another distinguishing feature of the settler society is that </w:t>
      </w:r>
      <w:r w:rsidRPr="00087A72">
        <w:rPr>
          <w:rFonts w:cstheme="majorHAnsi"/>
          <w:b/>
          <w:u w:val="single"/>
        </w:rPr>
        <w:t xml:space="preserve">the </w:t>
      </w:r>
      <w:r w:rsidRPr="00087A72">
        <w:rPr>
          <w:rStyle w:val="Emphasis"/>
          <w:rFonts w:cstheme="majorHAnsi"/>
        </w:rPr>
        <w:t>mythology of migration has been</w:t>
      </w:r>
      <w:r w:rsidRPr="00087A72">
        <w:rPr>
          <w:rFonts w:cstheme="majorHAnsi"/>
          <w:sz w:val="16"/>
        </w:rPr>
        <w:t xml:space="preserve">, throughout most of these nations’ histories, </w:t>
      </w:r>
      <w:r w:rsidRPr="00087A72">
        <w:rPr>
          <w:rStyle w:val="Emphasis"/>
          <w:rFonts w:cstheme="majorHAnsi"/>
        </w:rPr>
        <w:t xml:space="preserve">translated into a contemporary commitment to ongoing migration. </w:t>
      </w:r>
      <w:r w:rsidRPr="00087A72">
        <w:rPr>
          <w:rFonts w:cstheme="majorHAnsi"/>
          <w:b/>
          <w:u w:val="single"/>
        </w:rPr>
        <w:t>These</w:t>
      </w:r>
      <w:r w:rsidRPr="00087A72">
        <w:rPr>
          <w:rFonts w:cstheme="majorHAnsi"/>
          <w:sz w:val="16"/>
        </w:rPr>
        <w:t xml:space="preserve"> countries </w:t>
      </w:r>
      <w:r w:rsidRPr="00087A72">
        <w:rPr>
          <w:rFonts w:cstheme="majorHAnsi"/>
          <w:b/>
          <w:u w:val="single"/>
        </w:rPr>
        <w:t>were</w:t>
      </w:r>
      <w:r w:rsidRPr="00087A72">
        <w:rPr>
          <w:rFonts w:cstheme="majorHAnsi"/>
          <w:sz w:val="16"/>
        </w:rPr>
        <w:t xml:space="preserve"> the </w:t>
      </w:r>
      <w:r w:rsidRPr="00087A72">
        <w:rPr>
          <w:rFonts w:cstheme="majorHAnsi"/>
          <w:b/>
          <w:u w:val="single"/>
        </w:rPr>
        <w:t xml:space="preserve">predominant recipients of much of the great wave of global migration </w:t>
      </w:r>
      <w:r w:rsidRPr="00087A72">
        <w:rPr>
          <w:rFonts w:cstheme="majorHAnsi"/>
          <w:sz w:val="16"/>
        </w:rPr>
        <w:t xml:space="preserve">that took place </w:t>
      </w:r>
      <w:r w:rsidRPr="00087A72">
        <w:rPr>
          <w:rFonts w:cstheme="majorHAnsi"/>
          <w:b/>
          <w:u w:val="single"/>
        </w:rPr>
        <w:t>between the late 1880s and early 1920s.</w:t>
      </w:r>
      <w:r w:rsidRPr="00087A72">
        <w:rPr>
          <w:rFonts w:cstheme="majorHAnsi"/>
          <w:sz w:val="16"/>
        </w:rPr>
        <w:t xml:space="preserve"> David Held and his co-authors published an analysis comparing the intensity and effects of various phases of global migration and concluded that what they termed the “trans- atlantic surge of 1880 to 1920” was the most intense phase of global migration up to their 1999 publication date. Whether current conditions would exceed that surge on Held’s measurement is unclear.5 While widespread immigration restriction began in earnest in the early decades of the twentieth century, </w:t>
      </w:r>
      <w:r w:rsidRPr="00087A72">
        <w:rPr>
          <w:rFonts w:cstheme="majorHAnsi"/>
          <w:b/>
          <w:u w:val="single"/>
        </w:rPr>
        <w:t xml:space="preserve">these </w:t>
      </w:r>
      <w:r w:rsidRPr="00087A72">
        <w:rPr>
          <w:rStyle w:val="Emphasis"/>
          <w:rFonts w:cstheme="majorHAnsi"/>
        </w:rPr>
        <w:t>states continued to welcome many categories of migrants</w:t>
      </w:r>
      <w:r w:rsidRPr="00087A72">
        <w:rPr>
          <w:rFonts w:cstheme="majorHAnsi"/>
          <w:sz w:val="16"/>
        </w:rPr>
        <w:t xml:space="preserve">. Rather than closing their doors completely, </w:t>
      </w:r>
      <w:r w:rsidRPr="00087A72">
        <w:rPr>
          <w:rFonts w:cstheme="majorHAnsi"/>
          <w:b/>
          <w:u w:val="single"/>
        </w:rPr>
        <w:t xml:space="preserve">they sought </w:t>
      </w:r>
      <w:r w:rsidRPr="00087A72">
        <w:rPr>
          <w:rStyle w:val="Emphasis"/>
          <w:rFonts w:cstheme="majorHAnsi"/>
        </w:rPr>
        <w:t>to organize and control who would enter</w:t>
      </w:r>
      <w:r w:rsidRPr="00087A72">
        <w:rPr>
          <w:rFonts w:cstheme="majorHAnsi"/>
          <w:sz w:val="16"/>
        </w:rPr>
        <w:t xml:space="preserve">. And throughout the twentieth century, at varying points, each sought out particular groups of migrants as a remedy for some social or economic ill. Indeed, even into the second decade of the twenty-first century, Canada, Australia, and New Zealand are actively recruiting migrants in specified categories, and </w:t>
      </w:r>
      <w:r w:rsidRPr="00087A72">
        <w:rPr>
          <w:rFonts w:cstheme="majorHAnsi"/>
          <w:b/>
          <w:u w:val="single"/>
        </w:rPr>
        <w:t>the United States continues to be home to more permanent and temporary migrants than any other nation on earth.</w:t>
      </w:r>
      <w:r w:rsidRPr="00087A72">
        <w:rPr>
          <w:rFonts w:cstheme="majorHAnsi"/>
          <w:sz w:val="16"/>
        </w:rPr>
        <w:t xml:space="preserve">6 The </w:t>
      </w:r>
      <w:r w:rsidRPr="00087A72">
        <w:rPr>
          <w:rFonts w:cstheme="majorHAnsi"/>
          <w:b/>
          <w:u w:val="single"/>
        </w:rPr>
        <w:t>commitment to migration in these states has been deep and ongoing.</w:t>
      </w:r>
      <w:r w:rsidRPr="00087A72">
        <w:rPr>
          <w:rFonts w:cstheme="majorHAnsi"/>
          <w:sz w:val="16"/>
        </w:rPr>
        <w:t xml:space="preserve"> The shared </w:t>
      </w:r>
      <w:r w:rsidRPr="00087A72">
        <w:rPr>
          <w:rStyle w:val="Emphasis"/>
          <w:rFonts w:cstheme="majorHAnsi"/>
        </w:rPr>
        <w:t>mythology of immigration</w:t>
      </w:r>
      <w:r w:rsidRPr="00087A72">
        <w:rPr>
          <w:rFonts w:cstheme="majorHAnsi"/>
          <w:sz w:val="16"/>
        </w:rPr>
        <w:t xml:space="preserve"> also </w:t>
      </w:r>
      <w:r w:rsidRPr="00087A72">
        <w:rPr>
          <w:rStyle w:val="Emphasis"/>
          <w:rFonts w:cstheme="majorHAnsi"/>
        </w:rPr>
        <w:t>serves to mask the savage destruction of indigenous peoples</w:t>
      </w:r>
      <w:r w:rsidRPr="00087A72">
        <w:rPr>
          <w:rFonts w:cstheme="majorHAnsi"/>
          <w:b/>
          <w:u w:val="single"/>
        </w:rPr>
        <w:t xml:space="preserve"> and ways of life that is</w:t>
      </w:r>
      <w:r w:rsidRPr="00087A72">
        <w:rPr>
          <w:rFonts w:cstheme="majorHAnsi"/>
          <w:sz w:val="16"/>
        </w:rPr>
        <w:t xml:space="preserve"> also </w:t>
      </w:r>
      <w:r w:rsidRPr="00087A72">
        <w:rPr>
          <w:rFonts w:cstheme="majorHAnsi"/>
          <w:b/>
          <w:u w:val="single"/>
        </w:rPr>
        <w:t>shared across these nations. The</w:t>
      </w:r>
      <w:r w:rsidRPr="00087A72">
        <w:rPr>
          <w:rFonts w:cstheme="majorHAnsi"/>
          <w:sz w:val="16"/>
        </w:rPr>
        <w:t xml:space="preserve"> very </w:t>
      </w:r>
      <w:r w:rsidRPr="00087A72">
        <w:rPr>
          <w:rFonts w:cstheme="majorHAnsi"/>
          <w:b/>
          <w:u w:val="single"/>
        </w:rPr>
        <w:t>idea of “settlers” suggests that there was a wild land in need of taming</w:t>
      </w:r>
      <w:r w:rsidRPr="00087A72">
        <w:rPr>
          <w:rFonts w:cstheme="majorHAnsi"/>
          <w:sz w:val="16"/>
        </w:rPr>
        <w:t xml:space="preserve">, of settlement. And thus in each of these places </w:t>
      </w:r>
      <w:r w:rsidRPr="00087A72">
        <w:rPr>
          <w:rFonts w:cstheme="majorHAnsi"/>
          <w:b/>
          <w:u w:val="single"/>
        </w:rPr>
        <w:t xml:space="preserve">the </w:t>
      </w:r>
      <w:r w:rsidRPr="00087A72">
        <w:rPr>
          <w:rStyle w:val="Emphasis"/>
          <w:rFonts w:cstheme="majorHAnsi"/>
        </w:rPr>
        <w:t xml:space="preserve">founding mythology has included the intrepid frontiersman battling </w:t>
      </w:r>
      <w:r w:rsidRPr="00087A72">
        <w:rPr>
          <w:rFonts w:cstheme="majorHAnsi"/>
          <w:b/>
          <w:u w:val="single"/>
        </w:rPr>
        <w:t xml:space="preserve">the </w:t>
      </w:r>
      <w:r w:rsidRPr="00087A72">
        <w:rPr>
          <w:rStyle w:val="Emphasis"/>
          <w:rFonts w:cstheme="majorHAnsi"/>
        </w:rPr>
        <w:t>savagery</w:t>
      </w:r>
      <w:r w:rsidRPr="00087A72">
        <w:rPr>
          <w:rFonts w:cstheme="majorHAnsi"/>
          <w:b/>
          <w:u w:val="single"/>
        </w:rPr>
        <w:t xml:space="preserve"> of land and people to transform the place</w:t>
      </w:r>
      <w:r w:rsidRPr="00087A72">
        <w:rPr>
          <w:rFonts w:cstheme="majorHAnsi"/>
          <w:sz w:val="16"/>
        </w:rPr>
        <w:t xml:space="preserve"> into a terrain of fences and measures. And law. The idea of Canada, Australia, or </w:t>
      </w:r>
      <w:r w:rsidRPr="00087A72">
        <w:rPr>
          <w:rStyle w:val="Emphasis"/>
          <w:rFonts w:cstheme="majorHAnsi"/>
        </w:rPr>
        <w:t>the United States being a nation of migration is</w:t>
      </w:r>
      <w:r w:rsidRPr="00087A72">
        <w:rPr>
          <w:rFonts w:cstheme="majorHAnsi"/>
          <w:sz w:val="16"/>
        </w:rPr>
        <w:t xml:space="preserve"> such </w:t>
      </w:r>
      <w:r w:rsidRPr="00087A72">
        <w:rPr>
          <w:rStyle w:val="Emphasis"/>
          <w:rFonts w:cstheme="majorHAnsi"/>
        </w:rPr>
        <w:t>a profound</w:t>
      </w:r>
      <w:r w:rsidRPr="00087A72">
        <w:rPr>
          <w:rFonts w:cstheme="majorHAnsi"/>
          <w:sz w:val="16"/>
        </w:rPr>
        <w:t xml:space="preserve"> and effective </w:t>
      </w:r>
      <w:r w:rsidRPr="00087A72">
        <w:rPr>
          <w:rStyle w:val="Emphasis"/>
          <w:rFonts w:cstheme="majorHAnsi"/>
        </w:rPr>
        <w:t>silencer of the trajectory of indigenous life</w:t>
      </w:r>
      <w:r w:rsidRPr="00087A72">
        <w:rPr>
          <w:rFonts w:cstheme="majorHAnsi"/>
          <w:b/>
          <w:u w:val="single"/>
        </w:rPr>
        <w:t xml:space="preserve"> that it is deeply challenging to bring indigenous peoples into a story</w:t>
      </w:r>
      <w:r w:rsidRPr="00087A72">
        <w:rPr>
          <w:rFonts w:cstheme="majorHAnsi"/>
          <w:sz w:val="16"/>
        </w:rPr>
        <w:t xml:space="preserve"> of the immigrant nation. </w:t>
      </w:r>
      <w:r w:rsidRPr="00087A72">
        <w:rPr>
          <w:rFonts w:cstheme="majorHAnsi"/>
          <w:b/>
          <w:u w:val="single"/>
        </w:rPr>
        <w:t>While contemporary social justice politics</w:t>
      </w:r>
      <w:r w:rsidRPr="00087A72">
        <w:rPr>
          <w:rFonts w:cstheme="majorHAnsi"/>
          <w:sz w:val="16"/>
        </w:rPr>
        <w:t xml:space="preserve"> often </w:t>
      </w:r>
      <w:r w:rsidRPr="00087A72">
        <w:rPr>
          <w:rFonts w:cstheme="majorHAnsi"/>
          <w:b/>
          <w:u w:val="single"/>
        </w:rPr>
        <w:t>sees allegiances between</w:t>
      </w:r>
      <w:r w:rsidRPr="00087A72">
        <w:rPr>
          <w:rFonts w:cstheme="majorHAnsi"/>
          <w:sz w:val="16"/>
        </w:rPr>
        <w:t xml:space="preserve"> new </w:t>
      </w:r>
      <w:r w:rsidRPr="00087A72">
        <w:rPr>
          <w:rFonts w:cstheme="majorHAnsi"/>
          <w:b/>
          <w:u w:val="single"/>
        </w:rPr>
        <w:t>migrants and indigenous peoples</w:t>
      </w:r>
      <w:r w:rsidRPr="00087A72">
        <w:rPr>
          <w:rFonts w:cstheme="majorHAnsi"/>
          <w:sz w:val="16"/>
        </w:rPr>
        <w:t xml:space="preserve"> as those at the margins of these societies, the </w:t>
      </w:r>
      <w:r w:rsidRPr="00087A72">
        <w:rPr>
          <w:rFonts w:cstheme="majorHAnsi"/>
          <w:b/>
          <w:u w:val="single"/>
        </w:rPr>
        <w:t xml:space="preserve">claims of these groups are not articulated in the same terms, and </w:t>
      </w:r>
      <w:r w:rsidRPr="00087A72">
        <w:rPr>
          <w:rFonts w:cstheme="majorHAnsi"/>
          <w:sz w:val="16"/>
        </w:rPr>
        <w:t xml:space="preserve">the </w:t>
      </w:r>
      <w:r w:rsidRPr="00087A72">
        <w:rPr>
          <w:rFonts w:cstheme="majorHAnsi"/>
          <w:b/>
          <w:u w:val="single"/>
        </w:rPr>
        <w:t>allegiance rarely reaches the level of shared demands or joint manifestos</w:t>
      </w:r>
      <w:r w:rsidRPr="00087A72">
        <w:rPr>
          <w:rFonts w:cstheme="majorHAnsi"/>
          <w:sz w:val="16"/>
        </w:rPr>
        <w:t xml:space="preserve">. Indeed, it is the reality that these states are nations of immigrants that is the most damaging fact to be overcome in the struggle for indigenous justice and social inclusion. </w:t>
      </w:r>
      <w:r w:rsidRPr="00087A72">
        <w:rPr>
          <w:rFonts w:cstheme="majorHAnsi"/>
          <w:b/>
          <w:u w:val="single"/>
        </w:rPr>
        <w:t>Settler societies share this past and present trajectory.</w:t>
      </w:r>
      <w:r w:rsidRPr="00087A72">
        <w:rPr>
          <w:rFonts w:cstheme="majorHAnsi"/>
          <w:sz w:val="16"/>
        </w:rPr>
        <w:t xml:space="preserve"> The idea that there can be such a thing as </w:t>
      </w:r>
      <w:r w:rsidRPr="00087A72">
        <w:rPr>
          <w:rStyle w:val="Emphasis"/>
          <w:rFonts w:cstheme="majorHAnsi"/>
        </w:rPr>
        <w:t>a “nation of immigration” has become commonplace</w:t>
      </w:r>
      <w:r w:rsidRPr="00087A72">
        <w:rPr>
          <w:rFonts w:cstheme="majorHAnsi"/>
          <w:sz w:val="16"/>
        </w:rPr>
        <w:t>. It structures the way we think about immigration, the way we regulate it, and the way we study it. Understanding how this is so is, therefore, key to seeing why the end of settler societies matters. This chapter now takes up each of these ideas in turn, situating the settler society in immigration thought, regulation, and critique.</w:t>
      </w:r>
    </w:p>
    <w:p w:rsidR="00414088" w:rsidRPr="00087A72" w:rsidRDefault="00414088" w:rsidP="00414088">
      <w:pPr>
        <w:keepNext/>
        <w:keepLines/>
        <w:spacing w:before="40" w:after="0"/>
        <w:outlineLvl w:val="3"/>
        <w:rPr>
          <w:rFonts w:eastAsiaTheme="majorEastAsia" w:cstheme="majorBidi"/>
          <w:b/>
          <w:iCs/>
          <w:sz w:val="24"/>
        </w:rPr>
      </w:pPr>
      <w:r w:rsidRPr="00087A72">
        <w:rPr>
          <w:rFonts w:eastAsiaTheme="majorEastAsia" w:cstheme="majorBidi"/>
          <w:b/>
          <w:iCs/>
          <w:sz w:val="24"/>
        </w:rPr>
        <w:t>The affirmative’s investment in worlding is a death-driven politic which can never obtain the fantasy of security and wholeness it imagines, but must endlessly murder the Indian as its condition of possibility to reach a “more perfect union.”</w:t>
      </w:r>
    </w:p>
    <w:p w:rsidR="00414088" w:rsidRPr="00087A72" w:rsidRDefault="00414088" w:rsidP="00414088">
      <w:r w:rsidRPr="00087A72">
        <w:rPr>
          <w:b/>
          <w:bCs/>
          <w:sz w:val="24"/>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16-20) NIJ</w:t>
      </w:r>
    </w:p>
    <w:p w:rsidR="00414088" w:rsidRPr="00087A72" w:rsidRDefault="00414088" w:rsidP="00414088">
      <w:pPr>
        <w:rPr>
          <w:u w:val="single"/>
        </w:rPr>
      </w:pPr>
      <w:r w:rsidRPr="00087A72">
        <w:rPr>
          <w:sz w:val="12"/>
        </w:rPr>
        <w:t xml:space="preserve">Worlding </w:t>
      </w:r>
      <w:r w:rsidRPr="00087A72">
        <w:rPr>
          <w:u w:val="single"/>
        </w:rPr>
        <w:t>In order to consider the full force of the world-making/world-breaking articulations enacted in attempts to actuate the injunction to “kill the Indian in the Child,” the present work makes use of Martin Heidegger’s notion of “worlding.” Worlding</w:t>
      </w:r>
      <w:r w:rsidRPr="00087A72">
        <w:rPr>
          <w:sz w:val="12"/>
        </w:rPr>
        <w:t xml:space="preserve">, which Heidegger advances in “The Thing” and “The Origin of the Work of Art,” </w:t>
      </w:r>
      <w:r w:rsidRPr="00087A72">
        <w:rPr>
          <w:u w:val="single"/>
        </w:rPr>
        <w:t>is the production of art in the gap, or rift</w:t>
      </w:r>
      <w:r w:rsidRPr="00087A72">
        <w:rPr>
          <w:sz w:val="12"/>
        </w:rPr>
        <w:t xml:space="preserve"> (Riss), </w:t>
      </w:r>
      <w:r w:rsidRPr="00087A72">
        <w:rPr>
          <w:u w:val="single"/>
        </w:rPr>
        <w:t>between earth and world.</w:t>
      </w:r>
      <w:r w:rsidRPr="00087A72">
        <w:rPr>
          <w:sz w:val="12"/>
        </w:rPr>
        <w:t xml:space="preserve"> He develops the concept as a way to think about the imaginative and ontological work performed in and by art objects, to understand the forms of being brought into the world by art. In “The Origin of the Work of Art,” Heidegger (1977) writes: Projective saying is poetry: the saying of the world and earth, the saying of the arena of their strife and this of the place of all nearness and remoteness of the gods. Poetry is the saying of the unconcealedness of beings. Actual language at any given moment is the happening of language of this saying, in which a people’s world historically arises for it and the earth is preserved as that which remains closed. Projective saying is saying which, in preparing the sayable, simultaneously brings the unsayable as such into the world. In such saying, the concepts of a historical people’s essence, i.e., of its belonging to world history are performed for that people. (185) In “The Thing,” he (2001) writes: </w:t>
      </w:r>
      <w:r w:rsidRPr="00087A72">
        <w:rPr>
          <w:u w:val="single"/>
        </w:rPr>
        <w:t>“The world presences by worlding. That means: the world’s worlding cannot be explained by anything else, nor can it be fathomed through anything else … As soon as human cognition here calls for an explanation, it fails to transcend the world’s nature, and falls short of it”</w:t>
      </w:r>
      <w:r w:rsidRPr="00087A72">
        <w:rPr>
          <w:sz w:val="12"/>
        </w:rPr>
        <w:t xml:space="preserve"> (177). In her book, Dark Continents: Psychoanalysis and Colonialism, </w:t>
      </w:r>
      <w:r w:rsidRPr="00087A72">
        <w:rPr>
          <w:u w:val="single"/>
        </w:rPr>
        <w:t>Khanna</w:t>
      </w:r>
      <w:r w:rsidRPr="00087A72">
        <w:rPr>
          <w:sz w:val="12"/>
        </w:rPr>
        <w:t xml:space="preserve"> (2003) mobilizes Heidegger’s concept, turning it explicitly towards the imperialist project. She </w:t>
      </w:r>
      <w:r w:rsidRPr="00087A72">
        <w:rPr>
          <w:u w:val="single"/>
        </w:rPr>
        <w:t>ventures that if what Heidegger calls “actual language” is “the happening of the saying,” then art is not, precisely, an object that represents something already existing. She writes: “Rather, it is an event of a condition for the possibility of coming into being. Worlding performs the ‘unconcealedness of being’ because it brings new ways of being in the world, along with the attendant concealedness of the earth that occurs simultaneously”</w:t>
      </w:r>
      <w:r w:rsidRPr="00087A72">
        <w:rPr>
          <w:sz w:val="12"/>
        </w:rPr>
        <w:t xml:space="preserve"> (3). For Heidegger, </w:t>
      </w:r>
      <w:r w:rsidRPr="00087A72">
        <w:rPr>
          <w:u w:val="single"/>
        </w:rPr>
        <w:t>the process (of worlding) is one of strife, between the unconcealed (worlded) and the concealed (unworlded). This process is profoundly ideological, though it claims not to be.</w:t>
      </w:r>
      <w:r w:rsidRPr="00087A72">
        <w:rPr>
          <w:sz w:val="12"/>
        </w:rPr>
        <w:t xml:space="preserve"> Gayatri </w:t>
      </w:r>
      <w:r w:rsidRPr="00087A72">
        <w:rPr>
          <w:u w:val="single"/>
        </w:rPr>
        <w:t>Spivak interprets and extends Heidegger’s thought by understanding the violence, or strife, his work describes as the passage from earth to a world, as the establishment of colonial control through mapping, land appropriation, and the transformation of the raw materials of the earth into the politico- economic and geographical category of “world”. All of these practices make claims on the nature of being, which necessarily implicates the register of legibility, determining what signifies—how, to whom, and to what effect(s)—and also, what does not. Heidegger’s writings claim that the work of art performs the labor of opening up the world so we might be able to understand it in new ways. On the transmutation of the concept from its original context to that of colonial world-makings, Khanna writes: “If Heidegger claimed that the art work allowed a sense of the unsayable, Spivak translates those terms as the projecting of the colonized as ‘other,’ nonself, or as the unsayable of colonial selfhood. The colonized thus become the ‘closed,’ or the ‘earth’ through the establishment of the world”</w:t>
      </w:r>
      <w:r w:rsidRPr="00087A72">
        <w:rPr>
          <w:sz w:val="12"/>
        </w:rPr>
        <w:t xml:space="preserve"> (4). If Heidegger saw the process of naming as bringing being into the world and into history, Spivak generatively locates that history more specifically in coloniality. </w:t>
      </w:r>
      <w:r w:rsidRPr="00087A72">
        <w:rPr>
          <w:u w:val="single"/>
        </w:rPr>
        <w:t>As Khanna glosses Spivak, “She wrests the metaphor of earth into world from timeless abstraction, tying it into the historico-political contingencies of Europe”</w:t>
      </w:r>
      <w:r w:rsidRPr="00087A72">
        <w:rPr>
          <w:sz w:val="12"/>
        </w:rPr>
        <w:t xml:space="preserve"> (5). As I read Khanna, whose own mobilization of worlding extends the concept from Heidegger through Spivak’s interpretation, </w:t>
      </w:r>
      <w:r w:rsidRPr="00087A72">
        <w:rPr>
          <w:u w:val="single"/>
        </w:rPr>
        <w:t>her understanding of colonial worlding(s) as the processes by which “participants are brought into temporality and history, or, conversely, excluded … and concealed timelessly into the earth”</w:t>
      </w:r>
      <w:r w:rsidRPr="00087A72">
        <w:rPr>
          <w:sz w:val="12"/>
        </w:rPr>
        <w:t xml:space="preserve"> (4), </w:t>
      </w:r>
      <w:r w:rsidRPr="00087A72">
        <w:rPr>
          <w:u w:val="single"/>
        </w:rPr>
        <w:t xml:space="preserve">indicates that colonial worlding is deeply invested in practices of naming, classifying, and hierarchizing difference. </w:t>
      </w:r>
      <w:r w:rsidRPr="00087A72">
        <w:rPr>
          <w:sz w:val="12"/>
        </w:rPr>
        <w:t xml:space="preserve">In the work at hand, </w:t>
      </w:r>
      <w:r w:rsidRPr="00087A72">
        <w:rPr>
          <w:u w:val="single"/>
        </w:rPr>
        <w:t>I am interested in situating the concept of worlding within colonial praxis that seeks to render its other invalid on the other’s own terms. I argue that the imaginative and ontological work of colonial worlding(s) render(s) the voices of its other unhearable, its names unspeakable, its lives subaltern, its bodies ungrieveable, its deaths an otherworldly haunting of the body politic.</w:t>
      </w:r>
      <w:r w:rsidRPr="00087A72">
        <w:rPr>
          <w:sz w:val="12"/>
        </w:rPr>
        <w:t xml:space="preserve"> Further, I follow Spivak (1985) in insisting that </w:t>
      </w:r>
      <w:r w:rsidRPr="00087A72">
        <w:rPr>
          <w:u w:val="single"/>
        </w:rPr>
        <w:t>the agents of the “cartographic” transformation of the earth are not only the great names of political philosophers, decision-makers and military conquerors, but what she calls “small unimportant folk”</w:t>
      </w:r>
      <w:r w:rsidRPr="00087A72">
        <w:rPr>
          <w:sz w:val="12"/>
        </w:rPr>
        <w:t xml:space="preserve"> (253) like the priest(s), nun(s), and other school officials who oversaw the daily operations of the IRS, the Indian agents whose job it was to monitor the conditions there, and the bureaucrats whose task it was to oversee such matters as budget allocation, providing for sufficient food, heat, clothing, medicine, support etc. These “small unimportant folk” also include scientists who, in the 1930’s and 1940’s saw fit to utilize Indigenous children at the IRS as test-subjects in experiments on the effects of malnutrition, and the nutritional outcomes of scientifically altered food, without the consent or knowledge of these children, or their families/parents/guardians. </w:t>
      </w:r>
      <w:r w:rsidRPr="00087A72">
        <w:rPr>
          <w:u w:val="single"/>
        </w:rPr>
        <w:t xml:space="preserve">My aim in pointing to these—and other—systemic, but profoundly managerial violences </w:t>
      </w:r>
      <w:r w:rsidRPr="00087A72">
        <w:rPr>
          <w:sz w:val="12"/>
        </w:rPr>
        <w:t xml:space="preserve">exercised on students at the IRS, is to write against the claim that the schools were simply a failed but well-intentioned experiment in colonial governance of First Peoples. My argument </w:t>
      </w:r>
      <w:r w:rsidRPr="00087A72">
        <w:rPr>
          <w:u w:val="single"/>
        </w:rPr>
        <w:t>is that the system-wide conditions of death (psychic, sexual, physical, social, cultural)</w:t>
      </w:r>
      <w:r w:rsidRPr="00087A72">
        <w:rPr>
          <w:sz w:val="12"/>
        </w:rPr>
        <w:t xml:space="preserve"> in the IRS </w:t>
      </w:r>
      <w:r w:rsidRPr="00087A72">
        <w:rPr>
          <w:u w:val="single"/>
        </w:rPr>
        <w:t>point to something more subterranean within the operations of colonial worlding, the fantasy of eradication without remainder: a fantasy in which the ‘bad’ Indian could be erased in the projective saying of a postcolonial (white) unified, civilized future.</w:t>
      </w:r>
      <w:r w:rsidRPr="00087A72">
        <w:rPr>
          <w:sz w:val="12"/>
        </w:rPr>
        <w:t xml:space="preserve"> I theorize that </w:t>
      </w:r>
      <w:r w:rsidRPr="00087A72">
        <w:rPr>
          <w:u w:val="single"/>
        </w:rPr>
        <w:t>this fantasy of eradication, the sought-after annihilation of, what I have started to think of as, the ‘inconvenient life’ of the Indigenous child, points to something altogether subterranean, something death driven.</w:t>
      </w:r>
      <w:r w:rsidRPr="00087A72">
        <w:rPr>
          <w:sz w:val="12"/>
        </w:rPr>
        <w:t xml:space="preserve"> Elaborating some features of what I consider as ‘cultures of the death drive,’ I point to the death drive as a central element in psychic life that plays out as a fundamental aggressivity in the social bond. </w:t>
      </w:r>
      <w:r w:rsidRPr="00087A72">
        <w:rPr>
          <w:u w:val="single"/>
        </w:rPr>
        <w:t xml:space="preserve">The motor-force that surfs invisibly atop existing libidinal processes (disappearing within them, able to camouflage itself perfectly), the death drive is difficult to detect. A telltale sign of its involvement is the compulsive, repeating, push, or drive, beyond pleasure, towards an unattainable objective, such as a perfectly unified body politic, or the ability to actualize, finally, the vision of the earth promised but never fully delivered by ‘The New World’ as terra nullius. </w:t>
      </w:r>
      <w:r w:rsidRPr="00087A72">
        <w:rPr>
          <w:sz w:val="12"/>
        </w:rPr>
        <w:t xml:space="preserve">While Freudian theory does not arrive at a full exegisis of the death drive—a fact that is not at all insignificant to the essence of what the death drive is and what it does—Jacques Lacan elaborates the concept in ways that are productive for the work at hand. In this work, </w:t>
      </w:r>
      <w:r w:rsidRPr="00087A72">
        <w:rPr>
          <w:u w:val="single"/>
        </w:rPr>
        <w:t>Lacan renders the death drive as the push that feels/seems as if it is towards the desired object, when in fact the trajectory of its aim only circles or orbits around the desired object.</w:t>
      </w:r>
      <w:r w:rsidRPr="00087A72">
        <w:rPr>
          <w:sz w:val="12"/>
        </w:rPr>
        <w:t xml:space="preserve"> Lacan introduces the term objet petit a to designate that which stands in for the object of desire, an object that is, by definition, unattainable. For Lacan this “object” is a spectral, virtual construct. It is the object cause of the subject’s desire, the ‘thing’ the subject thinks will bring final satisfaction/completion. </w:t>
      </w:r>
      <w:r w:rsidRPr="00087A72">
        <w:rPr>
          <w:u w:val="single"/>
        </w:rPr>
        <w:t>Rather than imagining a trajectory that unfolds along the linear progressive logic of teleological progress with the desired outcome at the end, we must visualize the trajectory of the death drive towards the desired object as necessarily elliptical. This is because full arrival at the object of desire is, for Lacan, emphatically impossible</w:t>
      </w:r>
      <w:r w:rsidRPr="00087A72">
        <w:rPr>
          <w:sz w:val="12"/>
        </w:rPr>
        <w:t xml:space="preserve">, as objet petit a in fact covers over what, for Lacan, is a constitutive lack at the center of all experience/existence. </w:t>
      </w:r>
      <w:r w:rsidRPr="00087A72">
        <w:rPr>
          <w:u w:val="single"/>
        </w:rPr>
        <w:t>Where the subject feels her/himself drawing close to the object of desire, only to narrowly miss achieving it, the propulsion of the death drive incites an intensification. One valuable interlocutor calls this intensification a “doubling-down,” in which the subject redoubles her/his efforts to reach what is, essentially, not reachable.</w:t>
      </w:r>
      <w:r w:rsidRPr="00087A72">
        <w:rPr>
          <w:sz w:val="12"/>
        </w:rPr>
        <w:t xml:space="preserve"> 16 My argument is that </w:t>
      </w:r>
      <w:r w:rsidRPr="00087A72">
        <w:rPr>
          <w:u w:val="single"/>
        </w:rPr>
        <w:t xml:space="preserve">the death drive is a useful reading strategy through which to interpret the colonial fantasy of eradicating the inconvenient life that it viewed as standing in the way of its ability to ‘cash in’ on the promise of terra nullius and the attaining of full, uncontested, sovereignty. </w:t>
      </w:r>
      <w:r w:rsidRPr="00087A72">
        <w:rPr>
          <w:sz w:val="12"/>
        </w:rPr>
        <w:t xml:space="preserve">Using psychoanalysis as reading practice, reading through the subterranean concept of the death drive, my analysis amplifies Spivak’s (1985) claim that, </w:t>
      </w:r>
      <w:r w:rsidRPr="00087A72">
        <w:rPr>
          <w:u w:val="single"/>
        </w:rPr>
        <w:t>“the necessary yet contradictory assumption of an uninscribed earth which is the condition of possibility of the worlding of a world generates the force to make the “native” see herself/himself as ‘other’”</w:t>
      </w:r>
      <w:r w:rsidRPr="00087A72">
        <w:rPr>
          <w:sz w:val="12"/>
        </w:rPr>
        <w:t xml:space="preserve"> (250). What resonates in in this account of colonial interpellation is an emphasis on the violence or strife latent in Heidegger’s description of the space between earth and world as rift/riss. </w:t>
      </w:r>
      <w:r w:rsidRPr="00087A72">
        <w:rPr>
          <w:u w:val="single"/>
        </w:rPr>
        <w:t>When Heidegger’s concept of worlding is turned to the imperialist project, what emerges out of the violence of this rift-space is the violence of a fight or battle to hold suppressed, as earth(ly), what cannot be risked as world, that which cannot be allowed to materialize—or remain material.</w:t>
      </w:r>
    </w:p>
    <w:p w:rsidR="00414088" w:rsidRPr="00087A72" w:rsidRDefault="00414088" w:rsidP="00414088">
      <w:pPr>
        <w:pStyle w:val="Heading4"/>
      </w:pPr>
      <w:r w:rsidRPr="00087A72">
        <w:t>Settler colonialism turns any impact calculus because how you understand value and ethical calculus are all ontologically dependent on Native genocide. The genocide of the Native clears the way for intra-Settler discussions of ethical value. To be alive is to stand upon this Indian burial ground we call the world—to be alive is to be unethical.</w:t>
      </w:r>
    </w:p>
    <w:p w:rsidR="00414088" w:rsidRPr="00087A72" w:rsidRDefault="00414088" w:rsidP="00414088">
      <w:r w:rsidRPr="00087A72">
        <w:rPr>
          <w:rStyle w:val="Style13ptBold"/>
        </w:rPr>
        <w:t>Wilderson 10</w:t>
      </w:r>
      <w:r w:rsidRPr="00087A72">
        <w:t xml:space="preserve"> (Frank, Full Professor of Drama and African American studies at the University of California, Irvine </w:t>
      </w:r>
      <w:r w:rsidRPr="00087A72">
        <w:rPr>
          <w:i/>
        </w:rPr>
        <w:t>Red, White, and Black: Cinema and the Structure of U.S. Antagonisms</w:t>
      </w:r>
      <w:r w:rsidRPr="00087A72">
        <w:t xml:space="preserve"> pp. 214-220) NIJ</w:t>
      </w:r>
    </w:p>
    <w:p w:rsidR="00414088" w:rsidRPr="00087A72" w:rsidRDefault="00414088" w:rsidP="00414088">
      <w:pPr>
        <w:rPr>
          <w:sz w:val="12"/>
        </w:rPr>
      </w:pPr>
      <w:r w:rsidRPr="00087A72">
        <w:rPr>
          <w:rStyle w:val="StyleUnderline"/>
        </w:rPr>
        <w:t>Mogie’s surrealist demand, “send me a big…fat woman …[to] cover up all the cracks in my shack,” goes to the heart of the matter.</w:t>
      </w:r>
      <w:r w:rsidRPr="00087A72">
        <w:rPr>
          <w:sz w:val="12"/>
        </w:rPr>
        <w:t xml:space="preserve"> </w:t>
      </w:r>
      <w:r w:rsidRPr="00087A72">
        <w:rPr>
          <w:rStyle w:val="Emphasis"/>
        </w:rPr>
        <w:t xml:space="preserve">Red flesh can only be restored, ethically, through the destruction of White bodies, because the corporeality of the indigenous has been consumed by and gone into the making of the Settler’s corporeality. Mogie wants what he has lost; not just his labor power, not just his language or land, but the raw material of his flesh. And, like most “grassroots Indians,” he knows precisely where it went—into the Settler’s “body”—and thus he knows precisely from where to repossess it. </w:t>
      </w:r>
      <w:r w:rsidRPr="00087A72">
        <w:rPr>
          <w:sz w:val="12"/>
        </w:rPr>
        <w:t xml:space="preserve">Though Mogie’s shack is small, we know from earlier scenes that it has at least two rooms. Therefore, </w:t>
      </w:r>
      <w:r w:rsidRPr="00087A72">
        <w:rPr>
          <w:rStyle w:val="StyleUnderline"/>
        </w:rPr>
        <w:t>to stretch a White woman across its interior, window-to-window, wall-to-wall, corner-to-corner, and then stretch her across the door, would be to reconfigure her body into grotesque and unrecognizable dimensions. There are serious doubts as to whether a White woman</w:t>
      </w:r>
      <w:r w:rsidRPr="00087A72">
        <w:rPr>
          <w:sz w:val="12"/>
        </w:rPr>
        <w:t xml:space="preserve">, even as large a White woman as Mogie Yellow Lodge is demanding from the President, “the Great White Father in Washington,” </w:t>
      </w:r>
      <w:r w:rsidRPr="00087A72">
        <w:rPr>
          <w:rStyle w:val="StyleUnderline"/>
        </w:rPr>
        <w:t>would survive such an ordeal. Imagine such a demand being made, such wallpapering taking place, en mass</w:t>
      </w:r>
      <w:r w:rsidRPr="00087A72">
        <w:rPr>
          <w:sz w:val="12"/>
        </w:rPr>
        <w:t xml:space="preserve">, on a scale which even Mogie’s inebriated imagination has not yet grasped. [General Andrew Jackson] instructed his troops to cut the noses of the corpses so that no one would be able to challenge the body count. They had bushel baskets full of noses that they brought back. This [practice] got him elected President. [He] campaigned on the basis that he had never met a recalcitrant Indian that he had not killed and never killed an Indian that he had not scalped and that anybody who wanted to question the validity of what he was saying was invited to tea in his parlor that evening so he could display the scalps and prove his point. [He] rode with a saddle bridle made out of the skin of an opposing Indian leader. This is the President of the United States. (Churchill: Book Tour Speech July 31, 2004) </w:t>
      </w:r>
      <w:r w:rsidRPr="00087A72">
        <w:rPr>
          <w:rStyle w:val="StyleUnderline"/>
        </w:rPr>
        <w:t>One begins to see how wallpapering or insulating one’s room not with “bushel baskets” of White female skin but with even one White woman is simply out of the question. Mogie’s demand, then, is laughed off—managed, constrained, marginalized—by the script.</w:t>
      </w:r>
      <w:r w:rsidRPr="00087A72">
        <w:rPr>
          <w:sz w:val="12"/>
        </w:rPr>
        <w:t xml:space="preserve"> “Hey, ya wanna see me piss in my pants?” are the words he is made to utter next. Words portrayed as the surreal ruminations of an Indian who has reached the end of his inebriated tether, and not as the wisdom of a man who could lead his people. </w:t>
      </w:r>
      <w:r w:rsidRPr="00087A72">
        <w:rPr>
          <w:rStyle w:val="Emphasis"/>
        </w:rPr>
        <w:t xml:space="preserve">The film is nervous in the face of Mogie’s demand not because of its absurdity but because of its authority. But Mogie is demanding no more of the Great White Father, no more of civil society, than he has already given. In fact, he is demanding less. </w:t>
      </w:r>
      <w:r w:rsidRPr="00087A72">
        <w:rPr>
          <w:sz w:val="12"/>
        </w:rPr>
        <w:t xml:space="preserve">His surrealism indicates a qualitatively similar ontological relationship between the Red and the White as exists between the Black and the White. The Middle Passage turns, for example, Ashanti spatial and temporal capacity into spatial and temporal incapacity—a body into flesh. This process begins as early as the 1200s for the Slave. lxxvi </w:t>
      </w:r>
      <w:r w:rsidRPr="00087A72">
        <w:rPr>
          <w:rStyle w:val="StyleUnderline"/>
        </w:rPr>
        <w:t>By the 1530s, Modernity is more self-conscious of its coordinates, and Whiteness begins its ontological consolidation and negative knowledge of itself by turning</w:t>
      </w:r>
      <w:r w:rsidRPr="00087A72">
        <w:rPr>
          <w:sz w:val="12"/>
        </w:rPr>
        <w:t xml:space="preserve"> (part of) </w:t>
      </w:r>
      <w:r w:rsidRPr="00087A72">
        <w:rPr>
          <w:rStyle w:val="StyleUnderline"/>
        </w:rPr>
        <w:t>the Aztec body</w:t>
      </w:r>
      <w:r w:rsidRPr="00087A72">
        <w:rPr>
          <w:sz w:val="12"/>
        </w:rPr>
        <w:t xml:space="preserve">, for example, </w:t>
      </w:r>
      <w:r w:rsidRPr="00087A72">
        <w:rPr>
          <w:rStyle w:val="StyleUnderline"/>
        </w:rPr>
        <w:t>into Indian flesh</w:t>
      </w:r>
      <w:r w:rsidRPr="00087A72">
        <w:rPr>
          <w:sz w:val="12"/>
        </w:rPr>
        <w:t xml:space="preserve"> (Judy (Dis)Forming the American Canon 81). </w:t>
      </w:r>
      <w:r w:rsidRPr="00087A72">
        <w:rPr>
          <w:rStyle w:val="StyleUnderline"/>
        </w:rPr>
        <w:t xml:space="preserve">In this moment the White body completes itself and proceeds to lay the groundwork for the intra-Settler ensemble of questions foundational to its ethical dilemmas (i.e., Marxism, feminism, psychoanalysis). In the final analysis, Settler ontology is guaranteed by way of a negative knowledge of what it is not, rather than by way of its positive claims of what it is. Ontological Whiteness is secured not through its cultural, economic, or gendered identities; but by the fact that it cannot be known (positioned) by genocide </w:t>
      </w:r>
      <w:r w:rsidRPr="00087A72">
        <w:rPr>
          <w:sz w:val="12"/>
        </w:rPr>
        <w:t xml:space="preserve">(or by Accumulation and Fungibility). </w:t>
      </w:r>
      <w:r w:rsidRPr="00087A72">
        <w:rPr>
          <w:rStyle w:val="StyleUnderline"/>
        </w:rPr>
        <w:t xml:space="preserve">This negative knowledge has its pleasures… </w:t>
      </w:r>
      <w:r w:rsidRPr="00087A72">
        <w:rPr>
          <w:sz w:val="12"/>
        </w:rPr>
        <w:t xml:space="preserve">[Unlike Jackson’s army of the early 19 th century, the 16 th century Dutch] didn’t take the noses and they didn’t take the scalps. They took whole heads because they wanted to identify the fact that they had eradicated the entire leadership of the opposition. They brought the heads back to the central square in New Amsterdam [now Manhattan] where the citizenry began to celebrate. They turned it into a sport. People who had participated in the expedition had themselves a jolly game of kick ball using the heads and the citizenry sat around and cheered…(Churchill 7/31/04) </w:t>
      </w:r>
      <w:r w:rsidRPr="00087A72">
        <w:rPr>
          <w:rStyle w:val="StyleUnderline"/>
        </w:rPr>
        <w:t xml:space="preserve">…has a sense of affilial inclusion and filial longevity… </w:t>
      </w:r>
      <w:r w:rsidRPr="00087A72">
        <w:rPr>
          <w:sz w:val="12"/>
        </w:rPr>
        <w:t xml:space="preserve">[In 1864, the 3 rd Regiment of the U.S. Calvary] returned to Denver [Colorado] with their trophies [the vaginas of Native American women stapled to the front of their hats] and held a triumphal parade. [They] proceeded down Larimore Street…and the good citizenry stood up and cheered wildly...[T]he Rocky Mountain News [described it as] “an unparalleled feat of martial prowess that would live forever in the annals of the history and nobility of the race.” (7/31/04) </w:t>
      </w:r>
      <w:r w:rsidRPr="00087A72">
        <w:rPr>
          <w:rStyle w:val="StyleUnderline"/>
        </w:rPr>
        <w:t xml:space="preserve">…has a capacity for territorial integrity… </w:t>
      </w:r>
      <w:r w:rsidRPr="00087A72">
        <w:rPr>
          <w:sz w:val="12"/>
        </w:rPr>
        <w:t xml:space="preserve">Scalp bounties…were officially claimed bounties that were placed on Indians in every antecedent colony in the Eastern Seaboard—French, English, and Spanish. I don’t know about the Dutch. They killed all the Indians around before they had the chance to need a bounty. But from the antecedent colonies this law transferred to every state and territory in forty-eight contiguous states. (7/31/04) </w:t>
      </w:r>
      <w:r w:rsidRPr="00087A72">
        <w:rPr>
          <w:rStyle w:val="StyleUnderline"/>
        </w:rPr>
        <w:t xml:space="preserve">…that is, it has the capacity to transform Clearing from a verb into Clearing as a noun… </w:t>
      </w:r>
      <w:r w:rsidRPr="00087A72">
        <w:rPr>
          <w:sz w:val="12"/>
        </w:rPr>
        <w:t xml:space="preserve">Every [state in the union] placed a bounty on Indians, any Indians, all Indians. [For example in the] Pennsylvania colony in the 1740s, the bounty [was] forty pounds sterling for proof of death of an adult male Indian. That proof of death being in the form of a scalp or a bloody red skin…Proof of death in that form got the bearer of the proof forty pounds sterling. Forty pounds sterling in the 1740s was equivalent to the annual wage of your average farmer. This is big business. Twenty pounds sterling would be paid for proof of death in the same form of an adult female. Ten pounds sterling for proof of death of a child, a child being defined as human being of either sex under ten years of age down to and, yes, including the fetus…In Texas this law was not rescinded until 1887, [when] the debate in the Texas legislature concluded that there was no reason to continue because there was no long sufficient numbers of living Indians in the entire state of Texas to warrant the continuation of it. It had accomplished its purpose. (7/31/04) </w:t>
      </w:r>
      <w:r w:rsidRPr="00087A72">
        <w:rPr>
          <w:rStyle w:val="StyleUnderline"/>
        </w:rPr>
        <w:t>…and just like that, Little Baby Civil Society was walking on its own two feet. To Grown-up Civil Society</w:t>
      </w:r>
      <w:r w:rsidRPr="00087A72">
        <w:rPr>
          <w:sz w:val="12"/>
        </w:rPr>
        <w:t xml:space="preserve"> (Mogie’s “Great White Father in Washington”) </w:t>
      </w:r>
      <w:r w:rsidRPr="00087A72">
        <w:rPr>
          <w:rStyle w:val="StyleUnderline"/>
        </w:rPr>
        <w:t xml:space="preserve">Mogie Yellow Lodge submits his own “personal” genocide reparations bill. A bill that accounts for the perfect symmetry through which Whiteness has formed a body (from the genitals to the body politic) out of “Savage” flesh. The symmetry’s perfection becomes clear when one realizes that today’s 1.6%-to-80.6%, “Savage”-to-Settler ratio is a pure inversion of the sixteenth century’s “Savage” to Settler ratio. </w:t>
      </w:r>
      <w:r w:rsidRPr="00087A72">
        <w:rPr>
          <w:sz w:val="12"/>
        </w:rPr>
        <w:t xml:space="preserve">lxxvii </w:t>
      </w:r>
      <w:r w:rsidRPr="00087A72">
        <w:rPr>
          <w:rStyle w:val="StyleUnderline"/>
        </w:rPr>
        <w:t>“Send me a big woman. A fat woman! So that when I sleep with her she’ll cover up all the cracks in my shack and stop the wind from blowing through” is a demand so ethically pure that the film finds it unbearable and, as such, is unable (unwilling?) to let Mogie state it without irony.</w:t>
      </w:r>
      <w:r w:rsidRPr="00087A72">
        <w:rPr>
          <w:sz w:val="12"/>
        </w:rPr>
        <w:t xml:space="preserve"> And yet, Mogie’s outbursts like this—“outbursts” because they are generally infrequent and contained by pity or humor—are the few moments when the film engages the ethical dilemmas of the Settler/“Savage” antagonism (genocide and its impossible semiotics) instead of the ethical dilemmas of the Settler/“Savage” conflict (sovereignty and its semiotics of loss). Again, </w:t>
      </w:r>
      <w:r w:rsidRPr="00087A72">
        <w:rPr>
          <w:rStyle w:val="Emphasis"/>
        </w:rPr>
        <w:t>it is not that Mogie’s demand is absurd and unethical, but rather that it is a demand so pure in its ethicality that it threatens the quotidian prohibitions which, in Modernity, constrain ethics. The demand is far too ethical</w:t>
      </w:r>
      <w:r w:rsidRPr="00087A72">
        <w:rPr>
          <w:sz w:val="12"/>
        </w:rPr>
        <w:t xml:space="preserve"> for the film to embrace and elaborate at the level of narrative. It is a demand that must be policed by sovereign powers. Exploring Skins’ cinematic strategies reveals this containment as an effort to manage the spectator’s interpellation by the dilemmas of Mogie’s ruination and by they demand that ushers forth from his “flesh.” </w:t>
      </w:r>
      <w:r w:rsidRPr="00087A72">
        <w:rPr>
          <w:rStyle w:val="StyleUnderline"/>
        </w:rPr>
        <w:t>Mogie’s surrealism seeks to cull power directly from the subjectivity of the Settler, what Ward Churchill calls the “imperial integrity of the US itself”</w:t>
      </w:r>
      <w:r w:rsidRPr="00087A72">
        <w:rPr>
          <w:sz w:val="12"/>
        </w:rPr>
        <w:t xml:space="preserve"> (Marxism and Native Americans 202). </w:t>
      </w:r>
      <w:r w:rsidRPr="00087A72">
        <w:rPr>
          <w:rStyle w:val="StyleUnderline"/>
        </w:rPr>
        <w:t>This idea of culling power, resources, and Human life directly from the imperial integrity of the US, especially when we think that imperial integrity through the banality of White bodies</w:t>
      </w:r>
      <w:r w:rsidRPr="00087A72">
        <w:rPr>
          <w:sz w:val="12"/>
        </w:rPr>
        <w:t xml:space="preserve"> (in other words, through the “innocence” of today’s citizen), is indicative of the kind of unflinching paradigmatic analyses which allowed Ward Churchill to embrace the 9/11 attack on the World Trade Center within forty-eight hours of its occurrence, a moment in time when Settler Marxists and Settler progressives either suddenly became mute, or stumbled over their own tongues in half-hearted attempts to simultaneously condemn the attack and explain its political and historical rationale. Churchill’s embrace of the event is not synonymous with either celebration or condemnation. It goes without saying that Churchill also refused to be interpellated by the pageantry of mourning that followed in the wake of 9-1-1. But Settler radicals and progressives assailed him for meditating on the attack from within the questions of the genocided “Savage,” rather than from within an ensemble of questions allied with Settler’s grammar of suffering, exploitation and alienation. </w:t>
      </w:r>
      <w:r w:rsidRPr="00087A72">
        <w:rPr>
          <w:rStyle w:val="StyleUnderline"/>
        </w:rPr>
        <w:t xml:space="preserve">People on the Left tried to shame Churchill for embracing incoherent terror </w:t>
      </w:r>
      <w:r w:rsidRPr="00087A72">
        <w:rPr>
          <w:sz w:val="12"/>
        </w:rPr>
        <w:t xml:space="preserve">(suicide bombers) </w:t>
      </w:r>
      <w:r w:rsidRPr="00087A72">
        <w:rPr>
          <w:rStyle w:val="StyleUnderline"/>
        </w:rPr>
        <w:t>instead of morally and politically sanctioned revolutionary action</w:t>
      </w:r>
      <w:r w:rsidRPr="00087A72">
        <w:rPr>
          <w:sz w:val="12"/>
        </w:rPr>
        <w:t xml:space="preserve"> (like the Zapatistas or the Sandanistas). </w:t>
      </w:r>
      <w:r w:rsidRPr="00087A72">
        <w:rPr>
          <w:rStyle w:val="StyleUnderline"/>
        </w:rPr>
        <w:t>Others chided him for advocating violence in any form.</w:t>
      </w:r>
      <w:r w:rsidRPr="00087A72">
        <w:rPr>
          <w:sz w:val="12"/>
        </w:rPr>
        <w:t xml:space="preserve"> Many said that now is not the time for a scathing critique; “our” nation is in mourning. And there were those who wagged their finger and reminded him that there were members of the working class (not just police agents and investment bankers) who died in the Twin Towers. These nay-sayers all made their arguments at the level of experience, and Churchill, rather handily, answered them at the level as well. But I am neither interested in his interlocutors’ chiding nor in his response. </w:t>
      </w:r>
      <w:r w:rsidRPr="00087A72">
        <w:rPr>
          <w:rStyle w:val="StyleUnderline"/>
        </w:rPr>
        <w:t>The Left’s attack on Churchill’s embrace of the 9-1-1 attacks is important not for the social issues it raises, the myriad of things it claims it is concerned about, but rather for the grammar of suffering shared across the board, those building blocks through which loss is conceptualized in such a way that makes it impossible for the “Savage” to function, grammatically, as their paradigm of suffering, and even less as its paradigmatic agent for change. Had Churchill’s interlocutors been more honest, they would have used fewer words—not draped their rejoinders with the veil of issues from the realm of experience</w:t>
      </w:r>
      <w:r w:rsidRPr="00087A72">
        <w:rPr>
          <w:sz w:val="12"/>
        </w:rPr>
        <w:t xml:space="preserve"> (i.e., tactics) —</w:t>
      </w:r>
      <w:r w:rsidRPr="00087A72">
        <w:rPr>
          <w:rStyle w:val="StyleUnderline"/>
        </w:rPr>
        <w:t xml:space="preserve">and said, quite simply, </w:t>
      </w:r>
      <w:r w:rsidRPr="00087A72">
        <w:rPr>
          <w:rStyle w:val="Emphasis"/>
        </w:rPr>
        <w:t xml:space="preserve">“We will not be led by the ‘Savage;’ death is not an element constituent of our ontology.” </w:t>
      </w:r>
      <w:r w:rsidRPr="00087A72">
        <w:rPr>
          <w:sz w:val="12"/>
        </w:rPr>
        <w:t xml:space="preserve">Unlike the narrative and cinematic strategies of Skins, Churchill’s meditation on 9-1-1 embraces, rather than contains, Mogie Yellow Lodge’s demand. </w:t>
      </w:r>
      <w:r w:rsidRPr="00087A72">
        <w:rPr>
          <w:rStyle w:val="StyleUnderline"/>
        </w:rPr>
        <w:t>Churchill’s work is authorized by Mogie Yellow Lodge’s grammar of suffering which, inter alia, forecloses upon Churchill’s passing judgment on the tactical ethics of either the attack on the World Trade Center or, for that matter, Mogie’s attack on the body of White femininity. Churchill accepts this foreclosure and works off of it. He does not feel constrained by it but finds it enabling of a quality of reflection that would be otherwise inconceivable: There can be no defensible suggestion that those who attacked the Pentagon and the WTC on 9-1-1 were seeking to get even with the U.S. Still less is there a basis for claims that they “started” something, or that the U.S. has anything to get even with them for. Quite the contrary. For the attackers to have arguably “evened the score” for Iraqi’s dead children alone, it would have been necessary for them to have killed a hundred times the number of Americans who actually died. This in itself, however would have allowed them to attain parity in terms of real numbers. The U.S. population is about fifteen times the size of Iraq’s. Hence, for the attackers to have achieved a proportionally equivalent impact, it would have been necessary that they kill some 7.5 million Americans</w:t>
      </w:r>
      <w:r w:rsidRPr="00087A72">
        <w:rPr>
          <w:sz w:val="12"/>
        </w:rPr>
        <w:t xml:space="preserve">. (On the Justice of Roosting Chickens: Reflections on the Consequences of U.S. Imperial Arrogance and Criminality 14) Churchill reflects upon the event of 9-1-1 in such a way as to make it impossible to talk about it as an event. This is a marker of the philosophical brilliance and rhetorical dexterity foundational to Churchill’s thirty-odd books, articles, and recorded speeches. This dexterity allows the work to be conversant with the actual details and “facts” of the event (as presented and cathedralized by White civil society). </w:t>
      </w:r>
      <w:r w:rsidRPr="00087A72">
        <w:rPr>
          <w:rStyle w:val="StyleUnderline"/>
        </w:rPr>
        <w:t>Yet instead of becoming mired in the bog of concerns which makes the event as “event”</w:t>
      </w:r>
      <w:r w:rsidRPr="00087A72">
        <w:rPr>
          <w:sz w:val="12"/>
        </w:rPr>
        <w:t xml:space="preserve"> (details and common sense ethics) </w:t>
      </w:r>
      <w:r w:rsidRPr="00087A72">
        <w:rPr>
          <w:rStyle w:val="StyleUnderline"/>
        </w:rPr>
        <w:t>Churchill jettisons common sense and presses the details into service of an ensemble of questions animated by the ethical dilemmas of “Savage,” and not Settler, ontology.</w:t>
      </w:r>
      <w:r w:rsidRPr="00087A72">
        <w:rPr>
          <w:sz w:val="12"/>
        </w:rPr>
        <w:t xml:space="preserve"> He can do this on behalf of those who are not even Native Americans (in this passage, Iraqis) because he provides them with the “Savage” as a lens through which they can do ethnographic and political work on the Settler as specimen. In other words, </w:t>
      </w:r>
      <w:r w:rsidRPr="00087A72">
        <w:rPr>
          <w:rStyle w:val="StyleUnderline"/>
        </w:rPr>
        <w:t>in his chapter on 9-1-1, his argument is made in such a way that, to be interpellated, the reader must adjust the logic of his/her political experience to fit the logic of “Savage” genocidal ontology—and not vice versa.</w:t>
      </w:r>
      <w:r w:rsidRPr="00087A72">
        <w:rPr>
          <w:sz w:val="12"/>
        </w:rPr>
        <w:t xml:space="preserve"> The reader must be subordinated to, and incorporated by, Redness, or else the reader will experience the piece in the same way that the viewer is meant to experience Mogie Yellow Lodge: as a scandal, as a problem in need of fixing. </w:t>
      </w:r>
      <w:r w:rsidRPr="00087A72">
        <w:rPr>
          <w:rStyle w:val="StyleUnderline"/>
        </w:rPr>
        <w:t>Churchill continues to subordinate the “facts” of 9-1-1 to an ethical examination of Settlerism by reminding the reader that the U.S. is “fifteen times the size” of Iraq, therefore 9-1-1 would have had to have had a death toll of “7.5 million Americans” in order to have “achieved a proportionately equivalent impact”</w:t>
      </w:r>
      <w:r w:rsidRPr="00087A72">
        <w:rPr>
          <w:sz w:val="12"/>
        </w:rPr>
        <w:t xml:space="preserve"> (14). </w:t>
      </w:r>
      <w:r w:rsidRPr="00087A72">
        <w:rPr>
          <w:rStyle w:val="StyleUnderline"/>
        </w:rPr>
        <w:t>In the very next paragraph, Churchill corrects himself and insists that 7.5 million is the number of American children the attackers would have had to have killed in order to achieve parity. This is followed by a list of even more corrections, in which Churchill recalculates the meaning of parity based solely on the U.S.’s deracination of Iraq since 1990 (further down the correctives will lead him to the “Savage” and to the Slave). True parity would result in 7.5 million dead American children, 15 million dead American adults, the obliteration of “sewage, water sanitation and electrical plants, food production/storage capacity, hospitals, pharmaceutical production facilities, communication centers and much more.” The effects of which would mean not just mass death but “a surviving population wracked by malnutrition an endemic disease”</w:t>
      </w:r>
      <w:r w:rsidRPr="00087A72">
        <w:rPr>
          <w:sz w:val="12"/>
        </w:rPr>
        <w:t xml:space="preserve"> (14). </w:t>
      </w:r>
      <w:r w:rsidRPr="00087A72">
        <w:rPr>
          <w:rStyle w:val="StyleUnderline"/>
        </w:rPr>
        <w:t>“Indeed, applying such standards of ‘pay back’ vis-à-vis American Indians alone would require a lethal reduction in the U.S. population…of between 96 and 99 percent”</w:t>
      </w:r>
      <w:r w:rsidRPr="00087A72">
        <w:rPr>
          <w:sz w:val="12"/>
        </w:rPr>
        <w:t xml:space="preserve"> (15). </w:t>
      </w:r>
      <w:r w:rsidRPr="00087A72">
        <w:rPr>
          <w:rStyle w:val="Emphasis"/>
        </w:rPr>
        <w:t>Suddenly, Mogie Yellow Lodge’s demand for parity (just one big fat White woman to cover up the cracks in his shack) sounds downright generous. Mogie is demanding one Settler, a far cry from demanding parity for ontological death. Were he to demand parity the U.S. “would run out of people long before it ran out of compensatory obligation”</w:t>
      </w:r>
      <w:r w:rsidRPr="00087A72">
        <w:rPr>
          <w:sz w:val="12"/>
        </w:rPr>
        <w:t xml:space="preserve"> (Churchill Roosting Chickens 14-15).</w:t>
      </w:r>
    </w:p>
    <w:p w:rsidR="00414088" w:rsidRPr="00087A72" w:rsidRDefault="00414088" w:rsidP="00414088">
      <w:pPr>
        <w:pStyle w:val="Heading4"/>
      </w:pPr>
      <w:r w:rsidRPr="00087A72">
        <w:t xml:space="preserve">You misdiagnose the root cause of your problem, not matter what is done the ideas of the settler and the non-native are entrenched through your method – instead we must embrace the alt </w:t>
      </w:r>
    </w:p>
    <w:p w:rsidR="00414088" w:rsidRPr="00087A72" w:rsidRDefault="00414088" w:rsidP="00414088">
      <w:pPr>
        <w:rPr>
          <w:sz w:val="16"/>
          <w:szCs w:val="16"/>
        </w:rPr>
      </w:pPr>
      <w:r w:rsidRPr="00087A72">
        <w:rPr>
          <w:rStyle w:val="Style13ptBold"/>
        </w:rPr>
        <w:t xml:space="preserve">Rifkin 2013 </w:t>
      </w:r>
      <w:r w:rsidRPr="00087A72">
        <w:rPr>
          <w:rStyle w:val="Style13ptBold"/>
          <w:b w:val="0"/>
          <w:sz w:val="16"/>
          <w:szCs w:val="16"/>
        </w:rPr>
        <w:t xml:space="preserve">(Mark Rifkin, Professor. US Ethnic Literature University of North Carolina – Greensboro research primarily focuses on Native American writing and politics from the eighteenth century onward, exploring the ways that Indigenous peoples have negotiated U.S. racial and imperial formations.  “Settler common sense” </w:t>
      </w:r>
      <w:r w:rsidRPr="00087A72">
        <w:rPr>
          <w:rStyle w:val="Style13ptBold"/>
          <w:b w:val="0"/>
          <w:i/>
          <w:sz w:val="16"/>
          <w:szCs w:val="16"/>
        </w:rPr>
        <w:t>Settler Colonial Studies</w:t>
      </w:r>
      <w:r w:rsidRPr="00087A72">
        <w:rPr>
          <w:rStyle w:val="Style13ptBold"/>
          <w:b w:val="0"/>
          <w:sz w:val="16"/>
          <w:szCs w:val="16"/>
        </w:rPr>
        <w:t xml:space="preserve">, 2013, Vol. 3, pp. 324-326) [JS] </w:t>
      </w:r>
    </w:p>
    <w:p w:rsidR="00414088" w:rsidRPr="00087A72" w:rsidRDefault="00414088" w:rsidP="00414088">
      <w:pPr>
        <w:rPr>
          <w:sz w:val="16"/>
        </w:rPr>
      </w:pPr>
      <w:r w:rsidRPr="00087A72">
        <w:rPr>
          <w:sz w:val="16"/>
        </w:rPr>
        <w:t>In Settler Colonialism and the Transformation of Anthropology, Patrick Wolfe argues, “</w:t>
      </w:r>
      <w:r w:rsidRPr="00087A72">
        <w:rPr>
          <w:rStyle w:val="StyleUnderline"/>
        </w:rPr>
        <w:t>Settler colonies were (are) premised on the elimination of native societies. The split tensing reflects a determinate feature of settler colonization</w:t>
      </w:r>
      <w:r w:rsidRPr="00087A72">
        <w:rPr>
          <w:sz w:val="16"/>
        </w:rPr>
        <w:t xml:space="preserve">. The colonizers come to stay – invasion is a structure not an event.”5 Offering perhaps the most prominent definition of </w:t>
      </w:r>
      <w:r w:rsidRPr="00087A72">
        <w:rPr>
          <w:rStyle w:val="StyleUnderline"/>
        </w:rPr>
        <w:t>settler colonialism</w:t>
      </w:r>
      <w:r w:rsidRPr="00087A72">
        <w:rPr>
          <w:sz w:val="16"/>
        </w:rPr>
        <w:t xml:space="preserve">, Wolfe’s formulation emphasizes the fact that </w:t>
      </w:r>
      <w:r w:rsidRPr="00087A72">
        <w:rPr>
          <w:rStyle w:val="StyleUnderline"/>
        </w:rPr>
        <w:t>it cannot be localized within a specific period of removal or extermination</w:t>
      </w:r>
      <w:r w:rsidRPr="00087A72">
        <w:rPr>
          <w:sz w:val="16"/>
        </w:rPr>
        <w:t xml:space="preserve"> </w:t>
      </w:r>
      <w:r w:rsidRPr="00087A72">
        <w:rPr>
          <w:rStyle w:val="StyleUnderline"/>
        </w:rPr>
        <w:t>and that it persists as a determinative feature of national territoriality and identity</w:t>
      </w:r>
      <w:r w:rsidRPr="00087A72">
        <w:rPr>
          <w:sz w:val="16"/>
        </w:rPr>
        <w:t>. He argues that</w:t>
      </w:r>
      <w:r w:rsidRPr="00087A72">
        <w:rPr>
          <w:rStyle w:val="StyleUnderline"/>
        </w:rPr>
        <w:t xml:space="preserve"> a “logic of elimination” drives settler governance and sociality, describing “the settler-colonial will” as “a historical force that ultimately derives from the primal drive to expansion that is generally glossed as capitalism</w:t>
      </w:r>
      <w:r w:rsidRPr="00087A72">
        <w:rPr>
          <w:sz w:val="16"/>
        </w:rPr>
        <w:t>” (167), and in “Settler Colonialism and the Elimination of the Native,” he observes that “elimination is an organizing principle of settler-colonial society rather than a one-off (and superceded) occurrence”, adding, “</w:t>
      </w:r>
      <w:r w:rsidRPr="00087A72">
        <w:rPr>
          <w:rStyle w:val="StyleUnderline"/>
        </w:rPr>
        <w:t>Settler colonialism destroys to replace</w:t>
      </w:r>
      <w:r w:rsidRPr="00087A72">
        <w:rPr>
          <w:sz w:val="16"/>
        </w:rPr>
        <w:t>.”6 Rather than being superseded after an initial moment/period of conquest, however, colonization persists since “</w:t>
      </w:r>
      <w:r w:rsidRPr="00087A72">
        <w:rPr>
          <w:rStyle w:val="StyleUnderline"/>
        </w:rPr>
        <w:t>the logic of elimination marks a return whereby the native repressed continues to structure settler-colonial society</w:t>
      </w:r>
      <w:r w:rsidRPr="00087A72">
        <w:rPr>
          <w:sz w:val="16"/>
        </w:rPr>
        <w:t xml:space="preserve">” (390), and “the process of replacement maintains the refractory imprint of the native counter-claim” (389). Yet, when and how do projects of elimination and replacement become geographies of everyday non-Native occupancy that do not understand themselves as predicated on colonial occupation or on a history of settler-Indigenous relation (even though they are), and what are the contours and effects of such experiences of inhabitance and belonging? In characterizing settlement as a “structure”, “logic”, and a “will”, Wolfe seeks to integrate the multivalent aspects of ongoing processes of non-Native expropriation and superintendence, but doing so potentially sidesteps the question of how official governmental initiatives and framings become normalized as the setting for everyday non-Native being and action in ways that cannot be captured solely by reference to “the murderous activities of the frontier rabble” (392–3). In Aileen Moreton-Robinson’s work, </w:t>
      </w:r>
      <w:r w:rsidRPr="00087A72">
        <w:rPr>
          <w:rStyle w:val="StyleUnderline"/>
        </w:rPr>
        <w:t>whiteness functions as the central way of understanding the domination and displacement of Indigenous peoples by non-Natives</w:t>
      </w:r>
      <w:r w:rsidRPr="00087A72">
        <w:rPr>
          <w:sz w:val="16"/>
        </w:rPr>
        <w:t>.7 In “Writing Off Indigenous Sovereignty,” she argues, “</w:t>
      </w:r>
      <w:r w:rsidRPr="00087A72">
        <w:rPr>
          <w:rStyle w:val="Emphasis"/>
        </w:rPr>
        <w:t>As a regime of power, patriarchal White sovereignty operates ideologically, materially and discursively to reproduce and maintain its investment in the nation as a white possession</w:t>
      </w:r>
      <w:r w:rsidRPr="00087A72">
        <w:rPr>
          <w:sz w:val="16"/>
        </w:rPr>
        <w:t>”, and in “Writing Off Treaties”, she suggests, “</w:t>
      </w:r>
      <w:r w:rsidRPr="00087A72">
        <w:rPr>
          <w:rStyle w:val="StyleUnderline"/>
        </w:rPr>
        <w:t>At an ontological level the structure of subjective possession occurs through the imposition of one’s will-to-be on the thing which is perceived to lack will, thus it is open to being possessed</w:t>
      </w:r>
      <w:r w:rsidRPr="00087A72">
        <w:rPr>
          <w:sz w:val="16"/>
        </w:rPr>
        <w:t xml:space="preserve">,” such that “possession ... </w:t>
      </w:r>
      <w:r w:rsidRPr="00087A72">
        <w:rPr>
          <w:rStyle w:val="StyleUnderline"/>
        </w:rPr>
        <w:t>forms part of the ontological structure of white subjectivity</w:t>
      </w:r>
      <w:r w:rsidRPr="00087A72">
        <w:rPr>
          <w:sz w:val="16"/>
        </w:rPr>
        <w:t xml:space="preserve">”.8 </w:t>
      </w:r>
      <w:r w:rsidRPr="00087A72">
        <w:rPr>
          <w:rStyle w:val="Emphasis"/>
        </w:rPr>
        <w:t>Whiteness, then, instantiates a property logic in which subjectivity, placemaking, and political belonging turn on the exertion of a right to untrammelled ownership</w:t>
      </w:r>
      <w:r w:rsidRPr="00087A72">
        <w:rPr>
          <w:sz w:val="16"/>
        </w:rPr>
        <w:t xml:space="preserve"> and in which </w:t>
      </w:r>
      <w:r w:rsidRPr="00087A72">
        <w:rPr>
          <w:rStyle w:val="Emphasis"/>
        </w:rPr>
        <w:t>that process of manufacturing legitimacy for non-Native occupation appears as a self-evident, unquestionable, and invisible frame through which to assess Indigenous voices, claims, and presence</w:t>
      </w:r>
      <w:r w:rsidRPr="00087A72">
        <w:rPr>
          <w:sz w:val="16"/>
        </w:rPr>
        <w:t>. She further observes, “</w:t>
      </w:r>
      <w:r w:rsidRPr="00087A72">
        <w:rPr>
          <w:rStyle w:val="StyleUnderline"/>
        </w:rPr>
        <w:t>it is the legally defined and asserted territorial sovereignty [of the settler nation] that provides the context for national identifications of whiteness” while “one benefits everyday from being tied to a nation that has and continues to constitute itself as a white possession”</w:t>
      </w:r>
      <w:r w:rsidRPr="00087A72">
        <w:rPr>
          <w:sz w:val="16"/>
        </w:rPr>
        <w:t xml:space="preserve"> (85). Tracing a dialectical relation between policy and the everyday, she notes in “Writing Off Indigenous Sovereignty” that the “possessive investment in patriarchal white sovereignty is enhanced through private property ownership. This security produces affect that is encapsulated in a sense of home and place, mobilising an affirmation of a white national identity” (95). Thus, her work raises the issue of how the legal discourses that sustain the settler-state’s “territorial sovereignty” become ordinary through the “affect” of belonging and emplacement generated by “private property”, which reciprocally reinvests in the “white national identity” as its condition of possibility. Yet, “whiteness” names the juridical assertion of authority over Indigenous peoples and lands, the quotidian experience of selfhood and embodiment as a settler subject, and </w:t>
      </w:r>
      <w:r w:rsidRPr="00087A72">
        <w:rPr>
          <w:rStyle w:val="StyleUnderline"/>
        </w:rPr>
        <w:t>the movement(s) between them in ways that can cast settler affect as merely the passive vehicle for a pre-constituted set of state initiatives which settler subjects, in their investment in whiteness (as identity and/or identification), inherently extend and realize.</w:t>
      </w:r>
      <w:r w:rsidRPr="00087A72">
        <w:rPr>
          <w:sz w:val="16"/>
        </w:rPr>
        <w:t xml:space="preserve">9 </w:t>
      </w:r>
      <w:r w:rsidRPr="00087A72">
        <w:rPr>
          <w:rStyle w:val="StyleUnderline"/>
        </w:rPr>
        <w:t>The processes by which legislative and administrative agendas come to function as an animating part of daily life, the differences such realization and localization make in the terms and trajectories of those explicit projects, and the possibilities for forms of disjuncture between the state apparatus and everyday experience are bracketed by the positing of a clear, direct, and inevitable relation characterized as “ontological”.</w:t>
      </w:r>
      <w:r w:rsidRPr="00087A72">
        <w:rPr>
          <w:sz w:val="16"/>
        </w:rPr>
        <w:t xml:space="preserve"> For Jodi Byrd, the deployment of Indianness as a mobile figure works as the principal mode of US settler colonialism. She observes that “colonization and racialization ... have often been conflated”, in ways that “tend to be sited along the axis of inclusion/exclusion”.10 </w:t>
      </w:r>
      <w:r w:rsidRPr="00087A72">
        <w:rPr>
          <w:rStyle w:val="StyleUnderline"/>
        </w:rPr>
        <w:t>Doing so places emphasis on the belonging of citizenship as remediation for past and present violence, thereby “mask[ing] the territoriality of conquest by assigning colonization to the racialized body, which is then policed in its degrees from whiteness</w:t>
      </w:r>
      <w:r w:rsidRPr="00087A72">
        <w:rPr>
          <w:sz w:val="16"/>
        </w:rPr>
        <w:t>” (xxiv). Suggesting that the “</w:t>
      </w:r>
      <w:r w:rsidRPr="00087A72">
        <w:rPr>
          <w:rStyle w:val="StyleUnderline"/>
        </w:rPr>
        <w:t>cacophony of competing struggles for hegemony ... misdirect and cloud attention from the underlying structures of settler colonialism”</w:t>
      </w:r>
      <w:r w:rsidRPr="00087A72">
        <w:rPr>
          <w:sz w:val="16"/>
        </w:rPr>
        <w:t xml:space="preserve"> (xvii), s</w:t>
      </w:r>
      <w:r w:rsidRPr="00087A72">
        <w:rPr>
          <w:rStyle w:val="StyleUnderline"/>
        </w:rPr>
        <w:t>he argues that the latter work through translating indigeneity as Indianness, casting place-based political collectivities as (racialized) populations subject to US jurisdiction and management</w:t>
      </w:r>
      <w:r w:rsidRPr="00087A72">
        <w:rPr>
          <w:sz w:val="16"/>
        </w:rPr>
        <w:t>: “</w:t>
      </w:r>
      <w:r w:rsidRPr="00087A72">
        <w:rPr>
          <w:rStyle w:val="Emphasis"/>
        </w:rPr>
        <w:t>the Indian is left nowhere and everywhere within the ontological premises through which U.S. empire orients, imagines, and critiques itself</w:t>
      </w:r>
      <w:r w:rsidRPr="00087A72">
        <w:rPr>
          <w:sz w:val="16"/>
        </w:rPr>
        <w:t>”; “</w:t>
      </w:r>
      <w:r w:rsidRPr="00087A72">
        <w:rPr>
          <w:rStyle w:val="Emphasis"/>
        </w:rPr>
        <w:t>ideas of Indians and Indianness have served as the ontological ground through which U.S. settler colonialism enacts itself</w:t>
      </w:r>
      <w:r w:rsidRPr="00087A72">
        <w:rPr>
          <w:sz w:val="16"/>
        </w:rPr>
        <w:t xml:space="preserve">” (xix).11 </w:t>
      </w:r>
      <w:r w:rsidRPr="00087A72">
        <w:rPr>
          <w:rStyle w:val="Emphasis"/>
        </w:rPr>
        <w:t>In presenting Indianization as providing the “ontological premises” and serving as the “ontological ground” for US identity and policy,</w:t>
      </w:r>
      <w:r w:rsidRPr="00087A72">
        <w:rPr>
          <w:sz w:val="16"/>
        </w:rPr>
        <w:t xml:space="preserve"> Byrd powerfully links the (re)production of Indianness to a range of political and critical projects and the displacement of the geopolitics of Indigenous sovereignty. She observes that </w:t>
      </w:r>
      <w:r w:rsidRPr="00087A72">
        <w:rPr>
          <w:rStyle w:val="StyleUnderline"/>
        </w:rPr>
        <w:t xml:space="preserve">“imperialism has forced settlers and arrivants </w:t>
      </w:r>
      <w:r w:rsidRPr="00087A72">
        <w:rPr>
          <w:sz w:val="16"/>
        </w:rPr>
        <w:t xml:space="preserve">[her term for non-White non-Natives] </w:t>
      </w:r>
      <w:r w:rsidRPr="00087A72">
        <w:rPr>
          <w:rStyle w:val="StyleUnderline"/>
        </w:rPr>
        <w:t>to cathect the space of the native as their home</w:t>
      </w:r>
      <w:r w:rsidRPr="00087A72">
        <w:rPr>
          <w:sz w:val="16"/>
        </w:rPr>
        <w:t>” (xxxix), but how is such cathexis contingently engendered in everyday ways? Although Byrd gestures in this direction, her focus on the foundationality and historical continuity of the dynamics she addresses emphasizes their role as a coherent and consistent “underlying structure” rather than how they gain scope, motion, and force through reiterative yet shifting formations, practices, and inclinations.</w:t>
      </w:r>
    </w:p>
    <w:p w:rsidR="00414088" w:rsidRPr="00087A72" w:rsidRDefault="00414088" w:rsidP="00414088">
      <w:pPr>
        <w:pStyle w:val="Heading4"/>
      </w:pPr>
      <w:r w:rsidRPr="00087A72">
        <w:t>Thus, the alternative is to reject the affirmative in order to read it as death, this death itself a text which reveals the death-driven enshatterment of Indigenous children as the affirmative’s condition of possibility. Rather than participate in the recuperative hermeneutics of the affirmative which seeks to tell another story, locate another object, reveal another body—reading death as text reveals how violence becomes eroticized in our search for an object of study. Colonial sexuality, playing out most obviously across the bodies of Indigenous women and children, becomes the underlying force in the affirmative’s drive towards knowledge.</w:t>
      </w:r>
    </w:p>
    <w:p w:rsidR="00414088" w:rsidRPr="00087A72" w:rsidRDefault="00414088" w:rsidP="00414088">
      <w:r w:rsidRPr="00087A72">
        <w:rPr>
          <w:rStyle w:val="Style13ptBold"/>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39-42) NIJ</w:t>
      </w:r>
    </w:p>
    <w:p w:rsidR="00414088" w:rsidRPr="00087A72" w:rsidRDefault="00414088" w:rsidP="00414088">
      <w:pPr>
        <w:rPr>
          <w:sz w:val="12"/>
        </w:rPr>
      </w:pPr>
      <w:r w:rsidRPr="00087A72">
        <w:rPr>
          <w:sz w:val="12"/>
        </w:rPr>
        <w:t xml:space="preserve">Sexuality and death present so dense a conjuncture the work has been difficult to begin. For a long time it yielded nothing but circularity. For a long time it seemed a doomed place to start. I think perhaps it is. I think that might be precisely the point. To find a particular form of colonial sexuality, </w:t>
      </w:r>
      <w:r w:rsidRPr="00087A72">
        <w:rPr>
          <w:rStyle w:val="StyleUnderline"/>
        </w:rPr>
        <w:t>to locate</w:t>
      </w:r>
      <w:r w:rsidRPr="00087A72">
        <w:rPr>
          <w:sz w:val="12"/>
        </w:rPr>
        <w:t xml:space="preserve"> it as </w:t>
      </w:r>
      <w:r w:rsidRPr="00087A72">
        <w:rPr>
          <w:rStyle w:val="StyleUnderline"/>
        </w:rPr>
        <w:t>an object of the archive—a practice</w:t>
      </w:r>
      <w:r w:rsidRPr="00087A72">
        <w:rPr>
          <w:sz w:val="12"/>
        </w:rPr>
        <w:t xml:space="preserve"> that sexuality studies and (post)colonial studies scholar Anjali </w:t>
      </w:r>
      <w:r w:rsidRPr="00087A72">
        <w:rPr>
          <w:rStyle w:val="StyleUnderline"/>
        </w:rPr>
        <w:t>Arondekar</w:t>
      </w:r>
      <w:r w:rsidRPr="00087A72">
        <w:rPr>
          <w:sz w:val="12"/>
        </w:rPr>
        <w:t xml:space="preserve"> (2009) </w:t>
      </w:r>
      <w:r w:rsidRPr="00087A72">
        <w:rPr>
          <w:rStyle w:val="StyleUnderline"/>
        </w:rPr>
        <w:t>calls “recuperative hermeneutics”</w:t>
      </w:r>
      <w:r w:rsidRPr="00087A72">
        <w:rPr>
          <w:sz w:val="12"/>
        </w:rPr>
        <w:t xml:space="preserve"> (2)</w:t>
      </w:r>
      <w:r w:rsidRPr="00087A72">
        <w:rPr>
          <w:rStyle w:val="StyleUnderline"/>
        </w:rPr>
        <w:t>—seems to indicate the bringing forth of a kind of veiled hiddenness, a there-to-be-had/found narrative that emerges if the light is right. A “recalcitrant event,” it is already as though there is something to/of sexuality that is lost, or silent—an already melancholy object.</w:t>
      </w:r>
      <w:r w:rsidRPr="00087A72">
        <w:rPr>
          <w:sz w:val="12"/>
        </w:rPr>
        <w:t xml:space="preserve"> 20 </w:t>
      </w:r>
      <w:r w:rsidRPr="00087A72">
        <w:rPr>
          <w:rStyle w:val="StyleUnderline"/>
        </w:rPr>
        <w:t>Arondekar invites us to think of this bringing-out-of-concealment as “the Derridean spectrality model”</w:t>
      </w:r>
      <w:r w:rsidRPr="00087A72">
        <w:rPr>
          <w:sz w:val="12"/>
        </w:rPr>
        <w:t xml:space="preserve"> (ibid). She is (ironically?) inviting us to consider sexuality vis-à-vis its ontology. If one is a critical theorist who’s milieu is the archive, </w:t>
      </w:r>
      <w:r w:rsidRPr="00087A72">
        <w:rPr>
          <w:rStyle w:val="StyleUnderline"/>
        </w:rPr>
        <w:t>Arondekar’s comment also, simultaneously, raises the question/problem of the archive as a kind of objet petit a: an indexing of our desire for archives, our desire for some lost object</w:t>
      </w:r>
      <w:r w:rsidRPr="00087A72">
        <w:rPr>
          <w:sz w:val="12"/>
        </w:rPr>
        <w:t>—perhaps something like sexuality, (even) sexuality itself, or perhaps its origins—</w:t>
      </w:r>
      <w:r w:rsidRPr="00087A72">
        <w:rPr>
          <w:rStyle w:val="StyleUnderline"/>
        </w:rPr>
        <w:t>in archives, and the standing in of archives for that which we most want to touch, describe, know, possess, control. Mal d’archive: a sickness unto death for the archive. We cannot ignore the sexuality latent in the archiviolithic force that destroys as it advances, that Derrida</w:t>
      </w:r>
      <w:r w:rsidRPr="00087A72">
        <w:rPr>
          <w:sz w:val="12"/>
        </w:rPr>
        <w:t xml:space="preserve"> (1995) </w:t>
      </w:r>
      <w:r w:rsidRPr="00087A72">
        <w:rPr>
          <w:rStyle w:val="StyleUnderline"/>
        </w:rPr>
        <w:t>tells us leaves nothing of its own behind</w:t>
      </w:r>
      <w:r w:rsidRPr="00087A72">
        <w:rPr>
          <w:sz w:val="12"/>
        </w:rPr>
        <w:t xml:space="preserve"> (11)</w:t>
      </w:r>
      <w:r w:rsidRPr="00087A72">
        <w:rPr>
          <w:rStyle w:val="StyleUnderline"/>
        </w:rPr>
        <w:t>—this is not to say that it leaves nothing.</w:t>
      </w:r>
      <w:r w:rsidRPr="00087A72">
        <w:rPr>
          <w:sz w:val="12"/>
        </w:rPr>
        <w:t xml:space="preserve"> As this chapter will argue, colonial sexuality leaves traces of itself everywhere. </w:t>
      </w:r>
      <w:r w:rsidRPr="00087A72">
        <w:rPr>
          <w:rStyle w:val="StyleUnderline"/>
        </w:rPr>
        <w:t>It has its own way of making objects out of the earth, or, differently stated, of reordering the libidinal forces of the people autochthonous to that earth. A violent worlding, it is a dispersed and scattered writing. Its generative destructiveness is no less present in the documents it leaves behind it like so many desiccated scales, than it is in what we today call the repeating ‘cycles of abuse’, the mimetic quality of Freud’s primal scene, enacted over and over again. A recursive event, this violent sexual intervention is an enshatterment that continues to make all forms of Indigenous childhood an opening on/into death. This is a worlding that marks over with sexual violence the missing (but not absent) bodies of Aboriginal women and girls, as, under its erotic and obscuring auspices, they seem to vanish into nothingness.</w:t>
      </w:r>
      <w:r w:rsidRPr="00087A72">
        <w:rPr>
          <w:sz w:val="12"/>
        </w:rPr>
        <w:t xml:space="preserve"> 21 </w:t>
      </w:r>
      <w:r w:rsidRPr="00087A72">
        <w:rPr>
          <w:rStyle w:val="StyleUnderline"/>
        </w:rPr>
        <w:t>It underwrites the extraordinarily high rates of Aboriginal suicide and disordered patterns of substance use; it continues to fund the high rates of infant mortality that, even today, plague Aboriginal communities. Presently, Indigenous sexuality seems to recursively enact Edelman’s slogan for queer negativity: no future. In the recursive patterns it is made to repeat this sexuality seems indivisible from death. All of these forms of death enact a refusal of/to (post)colonial futures. They are instances of death-written non-futurity, a futurity that is negated by death.</w:t>
      </w:r>
      <w:r w:rsidRPr="00087A72">
        <w:rPr>
          <w:sz w:val="12"/>
        </w:rPr>
        <w:t xml:space="preserve"> As bodily writings, they bring to mind the connected lexical experience/expression of Gayatri Spivak’s great aunt, whose writing on her body in menstrual blood made of her body an archive of a sexuality that refused, through performative non- reproductivity, to participate in an Imperial future, that likewise refused the kind of future the political movement to which she belonged imagined. Spivak tells us, in her 2010 meditation on her earlier (1988) essay (“Can the Subalterns Speak?”), that unable to carry out an assassination, Bhubaneswari substituted her own death for the death of an unnamed politician. Death had been called for, was required, and she offered herself. Bhubaneswari’s writing in menstrual blood is a non-reproductive bodily writing that could not, for many years, until Spivak herself entered into the practice of reading Bhubaneswari’s death as text, be read outside of sexuality. It is a kind of death that was not legible outside the gendered expectations Bhubaneswari’s seventeen-year-old body carried, even (especially?) in death. These expectations were the ordering frame within which her body made sense, within which her body signified. It is poignant and it is profoundly significant that the sexual logic Bhubaneswari’s death seemed to speak was the catalyst for Spivak’s writing on the subaltern. </w:t>
      </w:r>
      <w:r w:rsidRPr="00087A72">
        <w:rPr>
          <w:rStyle w:val="StyleUnderline"/>
        </w:rPr>
        <w:t>It is important to continue to mark that the present work</w:t>
      </w:r>
      <w:r w:rsidRPr="00087A72">
        <w:rPr>
          <w:sz w:val="12"/>
        </w:rPr>
        <w:t xml:space="preserve">, which in many ways follows Spivak’s, </w:t>
      </w:r>
      <w:r w:rsidRPr="00087A72">
        <w:rPr>
          <w:rStyle w:val="StyleUnderline"/>
        </w:rPr>
        <w:t>engages psychoanalytic theory as a reading practice, reading death as a text.</w:t>
      </w:r>
      <w:r w:rsidRPr="00087A72">
        <w:rPr>
          <w:sz w:val="12"/>
        </w:rPr>
        <w:t xml:space="preserve"> Readers of psychoanalytic theory know that </w:t>
      </w:r>
      <w:r w:rsidRPr="00087A72">
        <w:rPr>
          <w:rStyle w:val="Emphasis"/>
        </w:rPr>
        <w:t>death is never a straightforward object.</w:t>
      </w:r>
      <w:r w:rsidRPr="00087A72">
        <w:rPr>
          <w:rStyle w:val="StyleUnderline"/>
        </w:rPr>
        <w:t xml:space="preserve"> As it intersects the subject it moves underground, it obfuscates itself, it surfaces in the form of drives and instincts. For the indigenous child</w:t>
      </w:r>
      <w:r w:rsidRPr="00087A72">
        <w:rPr>
          <w:sz w:val="12"/>
        </w:rPr>
        <w:t xml:space="preserve"> residents of the IRS, </w:t>
      </w:r>
      <w:r w:rsidRPr="00087A72">
        <w:rPr>
          <w:rStyle w:val="StyleUnderline"/>
        </w:rPr>
        <w:t>sexuality was sutured to death, became a site of death under the purview of the death drive By reading death as text through the interpretive framework of psychoanalysis, this</w:t>
      </w:r>
      <w:r w:rsidRPr="00087A72">
        <w:rPr>
          <w:sz w:val="12"/>
        </w:rPr>
        <w:t xml:space="preserve"> chapter </w:t>
      </w:r>
      <w:r w:rsidRPr="00087A72">
        <w:rPr>
          <w:rStyle w:val="StyleUnderline"/>
        </w:rPr>
        <w:t>seeks to read in the interrupted patterns of sexuality of Aboriginal children in Canadian Indian residential schools—forms of sexual abuse which did in many cases result in literal, on top of, figural death—not that which easily conforms to contemporary ideologies or concepts of agency and resistance, liberal theories of the individual and corresponding multicultural valuations of difference etc. Instead, the aim is on that which is not reconcilable with any of these smooth discourses or ideological formations—the ineluctable remainders.</w:t>
      </w:r>
      <w:r w:rsidRPr="00087A72">
        <w:rPr>
          <w:sz w:val="12"/>
        </w:rPr>
        <w:t xml:space="preserve"> Like the details of the death of Spivak’s foremother, </w:t>
      </w:r>
      <w:r w:rsidRPr="00087A72">
        <w:rPr>
          <w:rStyle w:val="StyleUnderline"/>
        </w:rPr>
        <w:t>I am looking here for that which is not easily integrated and narrativized. What is ambitious here, perhaps even impossible, is an attempt to think colonial sexuality from both directions, in doing so to stretch what we think of as ‘archive’ topographically, to follow the anarchical violence the archive indexes and tamps down, to follow it most vociferously where it seems most to vanish. What remains, open to be interpreted, is a culture of death-drivenness: at the site of the production and reproduction of Indigeneity, of colonialism, in the corporeal records of both and at the loci of their collision/collusion. This is to argue both that colonial sexuality creates its own archives, while at the same time burning them to the ground.</w:t>
      </w:r>
      <w:r w:rsidRPr="00087A72">
        <w:rPr>
          <w:sz w:val="12"/>
        </w:rPr>
        <w:t xml:space="preserve"> And, it is to argue that locating sexuality as it hooks together with death, death understood here colloquially as well as psychoanalytically, within archives, in this case in Colonial Archives, is to already be searching for a spectrality, is already to render both death and sexuality spectral. Further, it is to invest in an object, the archival object of sexuality, which, Arondekar tells us, emerges only after it is lost—“a be-coming that can conversely only take place if more stories of its loss are produced” (17). </w:t>
      </w:r>
      <w:r w:rsidRPr="00087A72">
        <w:rPr>
          <w:rStyle w:val="StyleUnderline"/>
        </w:rPr>
        <w:t xml:space="preserve">The archival object of sexuality becomes itself only as sexuality is assumed to be a presentable absence; only in the stories that are told about sexuality does the archival object of sexuality emerge. The present work does not aim to take place within the economy of this production. </w:t>
      </w:r>
      <w:r w:rsidRPr="00087A72">
        <w:rPr>
          <w:sz w:val="12"/>
        </w:rPr>
        <w:t xml:space="preserve">Can one notice/witness spectrality without participating in producing it? Yet, if we do not, over and over again, seek to produce it, what becomes of it? What becomes of us? Writing sexuality is, I argue, already to encounter archives. It is a writing that cannot seem to get outside of Derrida’s elaboration of what he calls, just outside the frame of the epigraph in which he is quoted above the start of this chapter, the anarchy drive. We know that the anarchy drive is just one pseudonym—there are others—for the death drive. </w:t>
      </w:r>
      <w:r w:rsidRPr="00087A72">
        <w:rPr>
          <w:rStyle w:val="StyleUnderline"/>
        </w:rPr>
        <w:t>That which eludes perception, the anarchy/death drive, Derrida tells us, draws a mask right on the skin. This mask: (an) impression of erogenous—eros producing—colour.</w:t>
      </w:r>
      <w:r w:rsidRPr="00087A72">
        <w:rPr>
          <w:sz w:val="12"/>
        </w:rPr>
        <w:t xml:space="preserve"> So, if in writing, we do not arrive (safely) at sexuality, is there the barest possibility of arriving at its impressions, at the archives it makes of itself as it burns its way towards its own aiming, its own desiring. Is there a way of commenting on the way it writes us, writes our bodies? </w:t>
      </w:r>
      <w:r w:rsidRPr="00087A72">
        <w:rPr>
          <w:rStyle w:val="StyleUnderline"/>
        </w:rPr>
        <w:t>Derrida indicates that this touch of the death drive, its marking of/on the skin—itself, a complicated erogenous zone—is generative of eros, of bodily love/pleasure.</w:t>
      </w:r>
      <w:r w:rsidRPr="00087A72">
        <w:rPr>
          <w:sz w:val="12"/>
        </w:rPr>
        <w:t xml:space="preserve"> He writes: “As inheritance, it [death drive] leaves only its erotic simulacrum, its pseudonym in painting, its sexual idols, its masks of seduction: lovely impressions. These impressions are perhaps the very origin of what is so obscurely called the beauty of the beautiful. As memories of death” (emph. added ibid). As the phrase and its literary context is vital to the unfolding of this chapter, it is important to note before going any further that the critical uptake of Derrida’s </w:t>
      </w:r>
      <w:r w:rsidRPr="00087A72">
        <w:rPr>
          <w:rStyle w:val="StyleUnderline"/>
        </w:rPr>
        <w:t>Mal d’archive</w:t>
      </w:r>
      <w:r w:rsidRPr="00087A72">
        <w:rPr>
          <w:sz w:val="12"/>
        </w:rPr>
        <w:t xml:space="preserve">, particularly for Anglophone readers, has missed what the French title </w:t>
      </w:r>
      <w:r w:rsidRPr="00087A72">
        <w:rPr>
          <w:rStyle w:val="StyleUnderline"/>
        </w:rPr>
        <w:t>conveys: not the fever of the common cold</w:t>
      </w:r>
      <w:r w:rsidRPr="00087A72">
        <w:rPr>
          <w:sz w:val="12"/>
        </w:rPr>
        <w:t xml:space="preserve">, recruiting accompanying images of stomach ache and warm, clammy skin, </w:t>
      </w:r>
      <w:r w:rsidRPr="00087A72">
        <w:rPr>
          <w:rStyle w:val="StyleUnderline"/>
        </w:rPr>
        <w:t>but rather a sickness unto death. This is a sickness that connotes more a relentless desire for possession and mastery that outstrips pleasure than it does la gripe, more a sickness of erotic compulsion that leaves its mark right on the skin, that has no outside. The unto death this sickness marks is</w:t>
      </w:r>
      <w:r w:rsidRPr="00087A72">
        <w:rPr>
          <w:sz w:val="12"/>
        </w:rPr>
        <w:t xml:space="preserve">, remarkably, the least commented upon feature of Derrida’s text. Uptakes of Archive Fever: A Freudian Impression have found productive </w:t>
      </w:r>
      <w:r w:rsidRPr="00087A72">
        <w:rPr>
          <w:rStyle w:val="StyleUnderline"/>
        </w:rPr>
        <w:t>Derrida’s expanded conception of archives as indexical of state power, a power which itself, perhaps, has no outside, and links them to</w:t>
      </w:r>
      <w:r w:rsidRPr="00087A72">
        <w:rPr>
          <w:sz w:val="12"/>
        </w:rPr>
        <w:t xml:space="preserve"> Foucault’s earlier observations about </w:t>
      </w:r>
      <w:r w:rsidRPr="00087A72">
        <w:rPr>
          <w:rStyle w:val="StyleUnderline"/>
        </w:rPr>
        <w:t>the function of archives in the machinations of state power, or perhaps, simply, Power</w:t>
      </w:r>
      <w:r w:rsidRPr="00087A72">
        <w:rPr>
          <w:sz w:val="12"/>
        </w:rPr>
        <w:t xml:space="preserve"> 22 . Carolyn Steedman’s excellent meditation on archive fever foregrounds archives as objects of belief; 23 And, because of the timing of the monograph in the mid 1990’s, the text has broadly been folded into the larger ‘archival turn’. But, even against the background of Freudian psychoanalysis delivered in the monograph’s subtitle, English-speaking readers have neglected what I see as the book’s most outstanding and important feature, which is that the book is in every way about the death drive. This is perhaps not surprising. Even scholarship explicitly focused on the death drive seems to have a difficult time looking it straight in the eye. When we set out to talk about the death drive, we almost always (inevitably? compulsively?) find ourselves talking about something else. Paradoxical though it may seem, this is the best way to begin to talk about the death drive: focusing on the effects it produces, focusing on the forces to which it attaches itself rather than the drive itself. Derrida’s elaboration of mal d’archive goes a long way to demonstrating why this is so. The text is of further value to the present work in the way in which it enacts the polemic that the death drive is simultaneously all about archives, and all about sexuality. </w:t>
      </w:r>
      <w:r w:rsidRPr="00087A72">
        <w:rPr>
          <w:rStyle w:val="StyleUnderline"/>
        </w:rPr>
        <w:t>Archives and the death drive, the death drive and sexuality, sexuality and archives. This Borromean knot arrives, already, densely conjoined around the outside, around the invisible center the tangle indicates/shelters. What is on the inside? Is it the raw center of sexuality itself? Can we get there in words? Can we get there at all? And, if this is a drive with no outside, capable of recruiting everything, of leaving nothing of itself behind, then how do we locate it? How do we trace its movements, its meta- structure, its meta-structuring capacities?</w:t>
      </w:r>
      <w:r w:rsidRPr="00087A72">
        <w:rPr>
          <w:sz w:val="12"/>
        </w:rPr>
        <w:t xml:space="preserve"> These questions are, to my view and to the work at hand, of vital concern. A writing that extends from what I have begun to think of as the paradox, or riddle of the death drive, </w:t>
      </w:r>
      <w:r w:rsidRPr="00087A72">
        <w:rPr>
          <w:rStyle w:val="StyleUnderline"/>
        </w:rPr>
        <w:t>the archival responsibility</w:t>
      </w:r>
      <w:r w:rsidRPr="00087A72">
        <w:rPr>
          <w:sz w:val="12"/>
        </w:rPr>
        <w:t xml:space="preserve"> of the present work is to </w:t>
      </w:r>
      <w:r w:rsidRPr="00087A72">
        <w:rPr>
          <w:rStyle w:val="StyleUnderline"/>
        </w:rPr>
        <w:t>propose a different kind of archival encounter, one that displaces the narrative of retrieval</w:t>
      </w:r>
      <w:r w:rsidRPr="00087A72">
        <w:rPr>
          <w:sz w:val="12"/>
        </w:rPr>
        <w:t xml:space="preserve"> (while marking the compulsion it indicates—for the drive to retrieval is not at all irrelevant) </w:t>
      </w:r>
      <w:r w:rsidRPr="00087A72">
        <w:rPr>
          <w:rStyle w:val="StyleUnderline"/>
        </w:rPr>
        <w:t>with what Arondekar calls “a radically different script of historical continuation”</w:t>
      </w:r>
      <w:r w:rsidRPr="00087A72">
        <w:rPr>
          <w:sz w:val="12"/>
        </w:rPr>
        <w:t xml:space="preserve"> (3). Further, </w:t>
      </w:r>
      <w:r w:rsidRPr="00087A72">
        <w:rPr>
          <w:rStyle w:val="StyleUnderline"/>
        </w:rPr>
        <w:t>it is to note that the script of historical continuation marks, not progress/teleology, but an elemental structure, a repetition in fact, that one can see echoed throughout the colonial and (post)colonial world. Think of it, if you like, as the Fibonacci Sequence 24 of colonial psychic-political life—the structuration that underwrites colonial logic and colonial common sense.</w:t>
      </w:r>
      <w:r w:rsidRPr="00087A72">
        <w:rPr>
          <w:sz w:val="12"/>
        </w:rPr>
        <w:t xml:space="preserve"> Instead of the repeated precise proportionate unfurling of ferns and nautilus shells, the latter of which is also a symbol for expansion and renewal, we have the circularity of the death drive, its obliterating propulsion towards order and mastery, the drive that underwrites/funds the biopolitical impulse that justifies killing in the name of life. </w:t>
      </w:r>
      <w:r w:rsidRPr="00087A72">
        <w:rPr>
          <w:rStyle w:val="StyleUnderline"/>
        </w:rPr>
        <w:t>The critical challenge at hand is to imagine a practice of archival reading that incites relationships between what Arondekar calls “the seductions of recovery and the occlusions such retrieval mandates”</w:t>
      </w:r>
      <w:r w:rsidRPr="00087A72">
        <w:rPr>
          <w:sz w:val="12"/>
        </w:rPr>
        <w:t xml:space="preserve"> (ibid). </w:t>
      </w:r>
      <w:r w:rsidRPr="00087A72">
        <w:rPr>
          <w:rStyle w:val="StyleUnderline"/>
        </w:rPr>
        <w:t>The ethos of this ‘radically different script of historical continuation’ holds on to the movement between embodiment/bodies and the move to the archive, critically refusing the kind of flight from corporeality that seeks to find a disembodied kind of truth—a cleaner, smoother, transcendent truth beyond/above the inconveniences, contradictions, and material limitations, divergent, inchoate wills to power, and ungovernable excesses of physical-psychic life.</w:t>
      </w:r>
      <w:r w:rsidRPr="00087A72">
        <w:rPr>
          <w:sz w:val="12"/>
        </w:rPr>
        <w:t xml:space="preserve"> The uses and abuses of history, Nietzsche reminds us, are always in service of the present. What this indicates here is the necessity of holding on to an analytic of performance, which, itself indicates a particular kind of disappearance, which can at its best prompt a turn away from what performance and critical theory scholar Peggy Phelan (1997) calls “a conserving and conservative method” (3). At its best, performance holds the question of ontology open and draws continually and explicitly on the live body, as referent, as raw material, as erotic simulacrum, as revenant. </w:t>
      </w:r>
      <w:r w:rsidRPr="00087A72">
        <w:rPr>
          <w:rStyle w:val="StyleUnderline"/>
        </w:rPr>
        <w:t>The erogenous leavings of the death drive/archive fever indicate the presence of a live body, even if that body seems</w:t>
      </w:r>
      <w:r w:rsidRPr="00087A72">
        <w:rPr>
          <w:sz w:val="12"/>
        </w:rPr>
        <w:t xml:space="preserve">, in the words of performance and critical theorist Della Pollock (1998), </w:t>
      </w:r>
      <w:r w:rsidRPr="00087A72">
        <w:rPr>
          <w:rStyle w:val="StyleUnderline"/>
        </w:rPr>
        <w:t>to have gone away</w:t>
      </w:r>
      <w:r w:rsidRPr="00087A72">
        <w:rPr>
          <w:sz w:val="12"/>
        </w:rPr>
        <w:t xml:space="preserve"> (1). This is further to enact a kind of Derridean poetics in which the recuperative practices, gestures, and hermeneutics do not precisely return us to a space of absence.</w:t>
      </w:r>
    </w:p>
    <w:p w:rsidR="00414088" w:rsidRPr="00087A72" w:rsidRDefault="00414088" w:rsidP="00414088">
      <w:pPr>
        <w:pStyle w:val="Heading4"/>
      </w:pPr>
      <w:r w:rsidRPr="00087A72">
        <w:t>Settler colonialism maintains itself through the everyday, repetitive acts of practices, presences, and speech acts. Loyalty to an ethic of decolonization requires a refusal of the affirmative as a repudiation of the Settler subject’s ongoing attempt to achieve the end of Indigenous life. Only by an iterative process of refusal can cultivate cracks in the Settler psyche.</w:t>
      </w:r>
    </w:p>
    <w:p w:rsidR="00414088" w:rsidRPr="00087A72" w:rsidRDefault="00414088" w:rsidP="00414088">
      <w:r w:rsidRPr="00087A72">
        <w:rPr>
          <w:rStyle w:val="Style13ptBold"/>
        </w:rPr>
        <w:t>Henderson 15</w:t>
      </w:r>
      <w:r w:rsidRPr="00087A72">
        <w:t xml:space="preserve"> (Phil, Doctoral Student at the University of Victoria "Imagoed communities: the psychosocial space of settler colonialism" Settler Colonial Studies DOI: 10.1080/2201473X.2015.1092194, pp. 10-14) NIJ</w:t>
      </w:r>
    </w:p>
    <w:p w:rsidR="009556BB" w:rsidRPr="00087A72" w:rsidRDefault="00414088" w:rsidP="009556BB">
      <w:pPr>
        <w:rPr>
          <w:sz w:val="12"/>
        </w:rPr>
      </w:pPr>
      <w:r w:rsidRPr="00087A72">
        <w:rPr>
          <w:sz w:val="12"/>
        </w:rPr>
        <w:t xml:space="preserve">Facing assertive indigenous presences within settler colonial spaces, </w:t>
      </w:r>
      <w:r w:rsidRPr="00087A72">
        <w:rPr>
          <w:rStyle w:val="Emphasis"/>
        </w:rPr>
        <w:t>settlers must answer the legitimate charge that their daily life – in all its banality – is predicated upon the privileges produced by ongoing genocide.</w:t>
      </w:r>
      <w:r w:rsidRPr="00087A72">
        <w:rPr>
          <w:sz w:val="12"/>
        </w:rPr>
        <w:t xml:space="preserve"> </w:t>
      </w:r>
      <w:r w:rsidRPr="00087A72">
        <w:rPr>
          <w:rStyle w:val="StyleUnderline"/>
        </w:rPr>
        <w:t>The jarring nature of such charges offers an irreconcilable challenge to settlers qua settlers.</w:t>
      </w:r>
      <w:r w:rsidRPr="00087A72">
        <w:rPr>
          <w:sz w:val="12"/>
        </w:rPr>
        <w:t xml:space="preserve">64 </w:t>
      </w:r>
      <w:r w:rsidRPr="00087A72">
        <w:rPr>
          <w:rStyle w:val="StyleUnderline"/>
        </w:rPr>
        <w:t>Should these charges become impossible to ignore, they threaten to explode the imago of settler colonialism, which had hitherto operated within the settler psyche in a relatively smooth and benign manner. This explosion is potentiated by the revelation of even a portion of the violence that is required to make settler life possible. If, for example, settlers are forced to see ‘their’ beach as a site of murder and ongoing colonization, it becomes more difficult to sustain it within the imaginary as a site of frivolity.</w:t>
      </w:r>
      <w:r w:rsidRPr="00087A72">
        <w:rPr>
          <w:sz w:val="12"/>
        </w:rPr>
        <w:t xml:space="preserve">65 As Brown writes, in the ‘loss of horizons, order, and identity’ the subject experiences a sense of enormous vulnerability.66 Threatened with this ‘loss of containment’, the settler subject embarks down the road to psychosis.67 Thus, to parlay Brown’s thesis to the settler colonial context, </w:t>
      </w:r>
      <w:r w:rsidRPr="00087A72">
        <w:rPr>
          <w:rStyle w:val="StyleUnderline"/>
        </w:rPr>
        <w:t>the uncontrollable rage that indigenous presences induce within the settler is not evidence of the strength of settlers, but rather of a subject lashing out on the brink of its own dissolution. This panic – this rabid and insatiable anger – is always already at the core of the settler as a subject.</w:t>
      </w:r>
      <w:r w:rsidRPr="00087A72">
        <w:rPr>
          <w:sz w:val="12"/>
        </w:rPr>
        <w:t xml:space="preserve"> As Lorenzo Veracini observes, </w:t>
      </w:r>
      <w:r w:rsidRPr="00087A72">
        <w:rPr>
          <w:rStyle w:val="StyleUnderline"/>
        </w:rPr>
        <w:t xml:space="preserve">the settler necessarily remains in a disposition of aggression ‘even after indigenous alterities have ceased to be threatening’. </w:t>
      </w:r>
      <w:r w:rsidRPr="00087A72">
        <w:rPr>
          <w:sz w:val="12"/>
        </w:rPr>
        <w:t xml:space="preserve">68 </w:t>
      </w:r>
      <w:r w:rsidRPr="00087A72">
        <w:rPr>
          <w:rStyle w:val="StyleUnderline"/>
        </w:rPr>
        <w:t>This disposition results from the precarity inherent in the maintenance of settler colonialism’s imago, wherein any and all indigenous presences threaten subjective dissolution of the settler as such.</w:t>
      </w:r>
      <w:r w:rsidRPr="00087A72">
        <w:rPr>
          <w:sz w:val="12"/>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w:t>
      </w:r>
      <w:r w:rsidRPr="00087A72">
        <w:rPr>
          <w:rStyle w:val="StyleUnderline"/>
        </w:rPr>
        <w:t>Their desire to produce a firm imago means that settlers are also always already in a psychically defensive position – that is, the settler’s offensive position</w:t>
      </w:r>
      <w:r w:rsidRPr="00087A72">
        <w:rPr>
          <w:sz w:val="12"/>
        </w:rPr>
        <w:t xml:space="preserve"> on occupied land </w:t>
      </w:r>
      <w:r w:rsidRPr="00087A72">
        <w:rPr>
          <w:rStyle w:val="StyleUnderline"/>
        </w:rPr>
        <w:t>is sustained through a defensive posture. For while settlers desire the total erasure of indigenous populations, the attendant desire to disappear their own identity as settlers necessitates the suppression of both desires, if the subject’s reliance on settler colonial power structure is to be psychically naturalized. Settlers’ reactions to indigenous peoples fit, almost universally, with the two ego defense responses</w:t>
      </w:r>
      <w:r w:rsidRPr="00087A72">
        <w:rPr>
          <w:sz w:val="12"/>
        </w:rPr>
        <w:t xml:space="preserve"> that Sigmund Freud observed. </w:t>
      </w:r>
      <w:r w:rsidRPr="00087A72">
        <w:rPr>
          <w:rStyle w:val="StyleUnderline"/>
        </w:rPr>
        <w:t>The first of these defenses is to attempt a complete conversion of the suppressed desire into a new idea.</w:t>
      </w:r>
      <w:r w:rsidRPr="00087A72">
        <w:rPr>
          <w:sz w:val="12"/>
        </w:rPr>
        <w:t xml:space="preserve"> In settler colonial contexts, </w:t>
      </w:r>
      <w:r w:rsidRPr="00087A72">
        <w:rPr>
          <w:rStyle w:val="StyleUnderline"/>
        </w:rPr>
        <w:t xml:space="preserve">this requires averting attention from the violence of dispossession; as such, settlers often suggest that they aim to create a ‘city on the hill’. </w:t>
      </w:r>
      <w:r w:rsidRPr="00087A72">
        <w:rPr>
          <w:sz w:val="12"/>
        </w:rPr>
        <w:t xml:space="preserve">70 Freud noted that </w:t>
      </w:r>
      <w:r w:rsidRPr="00087A72">
        <w:rPr>
          <w:rStyle w:val="StyleUnderline"/>
        </w:rPr>
        <w:t>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w:t>
      </w:r>
      <w:r w:rsidRPr="00087A72">
        <w:rPr>
          <w:sz w:val="12"/>
        </w:rPr>
        <w:t xml:space="preserve">71 As we have already seen, </w:t>
      </w:r>
      <w:r w:rsidRPr="00087A72">
        <w:rPr>
          <w:rStyle w:val="StyleUnderline"/>
        </w:rPr>
        <w:t>this obsession at once solidifies the power of the settler state, thereby naturalizing the settler and simultaneously perpetuating the processes of erasing indigenous peoples.</w:t>
      </w:r>
      <w:r w:rsidRPr="00087A72">
        <w:rPr>
          <w:sz w:val="12"/>
        </w:rPr>
        <w:t xml:space="preserve"> Psychic defenses are intended to secure the subject from pain, and whether that pain originates inside or outside the psyche is inconsequential. Because of the threat that indigeneity presents to the phantasmatic wholeness of settler colonialism, settlers must always remain suspended in a state of arrested development between these defensive positions. Despite any pretensions to the contrary, </w:t>
      </w:r>
      <w:r w:rsidRPr="00087A72">
        <w:rPr>
          <w:rStyle w:val="StyleUnderline"/>
        </w:rPr>
        <w:t>the settler is necessarily a parochial subject who continuously coils, reacts, disavows, and lashes out, when confronted with his dependency on indigenous peoples and their territory.</w:t>
      </w:r>
      <w:r w:rsidRPr="00087A72">
        <w:rPr>
          <w:sz w:val="12"/>
        </w:rPr>
        <w:t xml:space="preserve">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w:t>
      </w:r>
      <w:r w:rsidRPr="00087A72">
        <w:rPr>
          <w:rStyle w:val="StyleUnderline"/>
        </w:rPr>
        <w:t xml:space="preserve"> </w:t>
      </w:r>
      <w:r w:rsidRPr="00087A72">
        <w:rPr>
          <w:rStyle w:val="Emphasis"/>
        </w:rPr>
        <w:t xml:space="preserve">decolonization must include an analysis of the dominant ‘self-disciplining colonial subject’. </w:t>
      </w:r>
      <w:r w:rsidRPr="00087A72">
        <w:rPr>
          <w:sz w:val="12"/>
        </w:rPr>
        <w:t xml:space="preserve">73 However, as this discussion of subjective precarity demonstrates, the degree of to which these disciplinary or phenomenological processes are complete should not be overstated. For settler-allies must also examine and cultivate the ways in which settler subjects fail to be totally disciplined. Evidence of this incompletion is apparent in the subject’s arrested state of development. </w:t>
      </w:r>
      <w:r w:rsidRPr="00087A72">
        <w:rPr>
          <w:rStyle w:val="StyleUnderline"/>
        </w:rPr>
        <w:t xml:space="preserve">Discovering the instability at the core of the settler subject, indeed of all subjects, is the central conceit of psychoanalysis. </w:t>
      </w:r>
      <w:r w:rsidRPr="00087A72">
        <w:rPr>
          <w:sz w:val="12"/>
        </w:rPr>
        <w:t xml:space="preserve">This exception of at least partial failure to fully subjectivize the settler is also what sets my account apart from Rifkin’s. His phenomenology falls into the trap that Jacqueline Rose observes within many sociological accounts of the subject: that of assuming a successful internalization of norms. From the psychoanalytical perspective, </w:t>
      </w:r>
      <w:r w:rsidRPr="00087A72">
        <w:rPr>
          <w:rStyle w:val="StyleUnderline"/>
        </w:rPr>
        <w:t>the ‘unconscious constantly reveals the “failure”’ of internalization.</w:t>
      </w:r>
      <w:r w:rsidRPr="00087A72">
        <w:rPr>
          <w:sz w:val="12"/>
        </w:rPr>
        <w:t xml:space="preserve">74 As we have seen, </w:t>
      </w:r>
      <w:r w:rsidRPr="00087A72">
        <w:rPr>
          <w:rStyle w:val="StyleUnderline"/>
        </w:rPr>
        <w:t>within settler subjects this can be expressed as an irrational anxiety that expresses itself whenever a settler is confronted with the facts regarding their colonizing status. Under conditions of total subjectification, such charges ought to be unintelligible to the settler.</w:t>
      </w:r>
      <w:r w:rsidRPr="00087A72">
        <w:rPr>
          <w:sz w:val="12"/>
        </w:rPr>
        <w:t xml:space="preserve"> Thus, </w:t>
      </w:r>
      <w:r w:rsidRPr="00087A72">
        <w:rPr>
          <w:rStyle w:val="StyleUnderline"/>
        </w:rPr>
        <w:t>the process of subject formation is always in slippage and never totalized as others might suggest.</w:t>
      </w:r>
      <w:r w:rsidRPr="00087A72">
        <w:rPr>
          <w:sz w:val="12"/>
        </w:rPr>
        <w:t xml:space="preserve">75 </w:t>
      </w:r>
      <w:r w:rsidRPr="00087A72">
        <w:rPr>
          <w:rStyle w:val="Emphasis"/>
        </w:rPr>
        <w:t>Because of this precarity, the settler subject is prone to violence and lashing out; but the subject in slippage also provides an avenue by which the process of settler colonialism can be subverted – creating cracks in a phantasmatic wholeness which can be opened wider.</w:t>
      </w:r>
      <w:r w:rsidRPr="00087A72">
        <w:rPr>
          <w:sz w:val="12"/>
        </w:rPr>
        <w:t xml:space="preserve"> Breakages of this sort offer an opportunity to pursue what Paulette Regan calls a ‘restorying’ of settler colonial history and culture, to decanter settler mythologies built upon and within the dispossession of indigenous peoples.76 </w:t>
      </w:r>
      <w:r w:rsidRPr="00087A72">
        <w:rPr>
          <w:rStyle w:val="Emphasis"/>
        </w:rPr>
        <w:t>The cultivation of these cracks is a necessary part of decolonizing work, as it continues to panic and thus to destabilize settler subjects. Resistance to settler colonialism</w:t>
      </w:r>
      <w:r w:rsidRPr="00087A72">
        <w:rPr>
          <w:sz w:val="12"/>
        </w:rPr>
        <w:t xml:space="preserve"> does not occur only in highly visible moments like the famous conflict at Kanesatake and Kahnawake,77 it also </w:t>
      </w:r>
      <w:r w:rsidRPr="00087A72">
        <w:rPr>
          <w:rStyle w:val="Emphasis"/>
        </w:rPr>
        <w:t>occurs in reiterative and disruptive practices, presences, and speech acts.</w:t>
      </w:r>
      <w:r w:rsidRPr="00087A72">
        <w:rPr>
          <w:sz w:val="12"/>
        </w:rPr>
        <w:t xml:space="preserve"> Goeman correctly observes that </w:t>
      </w:r>
      <w:r w:rsidRPr="00087A72">
        <w:rPr>
          <w:rStyle w:val="Emphasis"/>
        </w:rPr>
        <w:t>the ‘repetitive practices of everyday life’ are what give settler spaces their meaning, as they provide a degree of naturalness to the settler imago and its psychic investments.</w:t>
      </w:r>
      <w:r w:rsidRPr="00087A72">
        <w:rPr>
          <w:sz w:val="12"/>
        </w:rPr>
        <w:t xml:space="preserve">78 As such, </w:t>
      </w:r>
      <w:r w:rsidRPr="00087A72">
        <w:rPr>
          <w:rStyle w:val="StyleUnderline"/>
        </w:rPr>
        <w:t xml:space="preserve">to disrupt the ease of these repetitions is at once to striate radically the otherwise smooth spaces of settler colonialism and also to disrupt the easy (re)production of the settler subject. </w:t>
      </w:r>
      <w:r w:rsidRPr="00087A72">
        <w:rPr>
          <w:sz w:val="12"/>
        </w:rPr>
        <w:t xml:space="preserve">Goeman calls these subversive acts the ‘micro-politics of resistance’, which historically took the form of ‘moving fences, not cooperating with census enumerators, sometimes disrupting survey parties’ amongst other process.79 These acts panic the subject that is disciplined as a product of settler colonial power, by forcing encounters with the sovereign indigenous peoples that were imagined to be gone. This reveals to the settler, if only fleetingly, the violence that founds and sustains the settler colonial relationship. While such practices may not overthrow the settler colonial system, they do subvert its logics by insistently drawing attention to the ongoing presence of indigenous peoples who refuse erasure. 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Island.80 The micro-politics of the movement strengthen indigenous subjects and their spatialities, while leaving an indelible imprint in the settler psyche. Predictably, rage and resentment were provoked in some settlers;81 however, Idle No More also drew thousands of settler-allies into the streets and renewed conversations about the necessity of nation-to-nation relationships. With settler colonial spaces disrupted and a relationship of domination made impossible to ignore, in the tradition of centuries of indigenous resistance, Idle No More put the settler subject into serious flux once more. Conclusion Settler colonialism has been distinguished from colonialism proper by what Wolfe calls its ‘logic of elimination’, which requires the erasure of indigenous peoples from the colonized territory. This is accomplished through a variety of mechanisms that range from outright violence to policies of gradual elimination. Ultimately, </w:t>
      </w:r>
      <w:r w:rsidRPr="00087A72">
        <w:rPr>
          <w:rStyle w:val="StyleUnderline"/>
        </w:rPr>
        <w:t xml:space="preserve">settler colonialism is perpetuated through a double move: to erase indigenous peoples and then to disappear settlers by naturalizing the violence inherent their existence in colonized territory. </w:t>
      </w:r>
      <w:r w:rsidRPr="00087A72">
        <w:rPr>
          <w:sz w:val="12"/>
        </w:rPr>
        <w:t xml:space="preserve">This is accomplished through the production of spatialities bereft of indigeneity. Out of this spatial logic, an imago of settler society is produced that binds settlers both psychically and socially to each other and to the colonized spaces. </w:t>
      </w:r>
      <w:r w:rsidRPr="00087A72">
        <w:rPr>
          <w:rStyle w:val="StyleUnderline"/>
        </w:rPr>
        <w:t>The continual (re)production of a settler colonial imago is necessary to secure the psychic horizons of the settler subject; it is also inextricably bound up with an insatiable need to constantly renew the erasure of indigenous peoples.</w:t>
      </w:r>
      <w:r w:rsidRPr="00087A72">
        <w:rPr>
          <w:sz w:val="12"/>
        </w:rPr>
        <w:t xml:space="preserve"> Thus, in order to secure its continued survival as a subject, the settler must always strive to maintain the conditions of settler colonialism. </w:t>
      </w:r>
      <w:r w:rsidRPr="00087A72">
        <w:rPr>
          <w:rStyle w:val="Emphasis"/>
        </w:rPr>
        <w:t>Total erasure of indigeneity is the grotesque desire of the settler that must be constantly disrupted.</w:t>
      </w:r>
      <w:r w:rsidRPr="00087A72">
        <w:rPr>
          <w:sz w:val="12"/>
        </w:rPr>
        <w:t xml:space="preserve"> Where indigenous peoples have persisted as an insurgent presence in the settler imago, they are always already threatening this disruption of the settler subject at its very core. </w:t>
      </w:r>
      <w:r w:rsidRPr="00087A72">
        <w:rPr>
          <w:rStyle w:val="StyleUnderline"/>
        </w:rPr>
        <w:t>For while the affirmation of indigeneity can induce panic, and subsequently rage, in the settler, it also opens a crack within the imago – that is, within the settler subject itself – through which an ethic of decolonization can emerge.</w:t>
      </w:r>
      <w:r w:rsidRPr="00087A72">
        <w:rPr>
          <w:sz w:val="12"/>
        </w:rPr>
        <w:t xml:space="preserve"> While it seems that settler colonialism is propelled by a tightly circuitous movement of subject formation, projection, and (re)formation, the presence of indigenous peoples in ongoing and sovereign relationship with the land serves as a powerful blockage of to the smoothness of this process.</w:t>
      </w:r>
    </w:p>
    <w:p w:rsidR="00D005A2" w:rsidRPr="00087A72" w:rsidRDefault="00D005A2" w:rsidP="00D005A2">
      <w:pPr>
        <w:pStyle w:val="Heading1"/>
      </w:pPr>
      <w:r w:rsidRPr="00087A72">
        <w:t>Kritik Mechanics</w:t>
      </w:r>
    </w:p>
    <w:p w:rsidR="00D005A2" w:rsidRPr="00087A72" w:rsidRDefault="00D005A2" w:rsidP="00D005A2">
      <w:pPr>
        <w:pStyle w:val="Heading2"/>
      </w:pPr>
      <w:r w:rsidRPr="00087A72">
        <w:t>Links</w:t>
      </w:r>
    </w:p>
    <w:p w:rsidR="00450204" w:rsidRPr="00087A72" w:rsidRDefault="00450204" w:rsidP="00496C79">
      <w:pPr>
        <w:pStyle w:val="Heading3"/>
      </w:pPr>
      <w:r w:rsidRPr="00087A72">
        <w:t>Top Level – Thesis (Cornellier)</w:t>
      </w:r>
    </w:p>
    <w:p w:rsidR="00450204" w:rsidRPr="00087A72" w:rsidRDefault="00450204" w:rsidP="00450204">
      <w:pPr>
        <w:pStyle w:val="Heading4"/>
        <w:rPr>
          <w:rStyle w:val="Style13ptBold"/>
          <w:b/>
        </w:rPr>
      </w:pPr>
      <w:r w:rsidRPr="00087A72">
        <w:rPr>
          <w:rStyle w:val="Style13ptBold"/>
          <w:b/>
        </w:rPr>
        <w:t>The native is constituted as the ghostly thing – rendering all discourses necessary to name the shadow of the Indian</w:t>
      </w:r>
    </w:p>
    <w:p w:rsidR="00450204" w:rsidRPr="00087A72" w:rsidRDefault="00450204" w:rsidP="00450204">
      <w:r w:rsidRPr="00087A72">
        <w:rPr>
          <w:rStyle w:val="Style13ptBold"/>
        </w:rPr>
        <w:t>Cornellier 15</w:t>
      </w:r>
      <w:r w:rsidRPr="00087A72">
        <w:t xml:space="preserve"> (Bruno, Assistant Professor of Cultural Studies in the Department of English, “The ‘Indian thing’: on representation and reality in the liberal settler colony,” </w:t>
      </w:r>
      <w:r w:rsidRPr="00087A72">
        <w:rPr>
          <w:i/>
        </w:rPr>
        <w:t>Settler Colonial Studies</w:t>
      </w:r>
      <w:r w:rsidRPr="00087A72">
        <w:t>, Vol. 3, pp. 58-61)//vikas</w:t>
      </w:r>
    </w:p>
    <w:p w:rsidR="00450204" w:rsidRPr="00087A72" w:rsidRDefault="00450204" w:rsidP="00450204">
      <w:pPr>
        <w:rPr>
          <w:sz w:val="16"/>
        </w:rPr>
      </w:pPr>
      <w:r w:rsidRPr="00087A72">
        <w:rPr>
          <w:sz w:val="16"/>
        </w:rPr>
        <w:t xml:space="preserve">Nevertheless, if in this case it is indeed Canada that makes the Indian its ‘thing’, this does not make Canada the Indian’s undisputed master. </w:t>
      </w:r>
      <w:r w:rsidRPr="00087A72">
        <w:rPr>
          <w:b/>
          <w:u w:val="single"/>
        </w:rPr>
        <w:t>For making the Indian its ‘thing’ means having to adhere to its law. Not the law that governs or regulates the order of things, but the law dictated by the ‘thing’ ‘as an implacable command</w:t>
      </w:r>
      <w:r w:rsidRPr="00087A72">
        <w:rPr>
          <w:sz w:val="16"/>
        </w:rPr>
        <w:t xml:space="preserve"> … [or] an insatiable demand’. 32 For while discourse, by making the Indian its ‘thing’, is not limited by the materiality, corporality, or existence of the Indian, </w:t>
      </w:r>
      <w:r w:rsidRPr="00087A72">
        <w:rPr>
          <w:b/>
          <w:u w:val="single"/>
        </w:rPr>
        <w:t>it is always in the Indian’s name that it hears itself speak (of the Indian)</w:t>
      </w:r>
      <w:r w:rsidRPr="00087A72">
        <w:rPr>
          <w:sz w:val="16"/>
        </w:rPr>
        <w:t xml:space="preserve">. It is, in a word, because </w:t>
      </w:r>
      <w:r w:rsidRPr="00087A72">
        <w:rPr>
          <w:rStyle w:val="Emphasis"/>
        </w:rPr>
        <w:t>discourse has no other choice but to name the Indian and to give the Indian to ‘ourselves’ as a ‘thing’ that the ‘Indian thing’ imposes its law</w:t>
      </w:r>
      <w:r w:rsidRPr="00087A72">
        <w:rPr>
          <w:sz w:val="16"/>
        </w:rPr>
        <w:t>. As Scott Lauria Morgensen explains: ‘</w:t>
      </w:r>
      <w:r w:rsidRPr="00087A72">
        <w:rPr>
          <w:b/>
          <w:u w:val="single"/>
        </w:rPr>
        <w:t>settler subjects normatively recall and perform indigeneity as a history they at once incorporate and transcend, inhabit and defer.</w:t>
      </w:r>
      <w:r w:rsidRPr="00087A72">
        <w:rPr>
          <w:sz w:val="16"/>
        </w:rPr>
        <w:t xml:space="preserve"> </w:t>
      </w:r>
      <w:r w:rsidRPr="00087A72">
        <w:rPr>
          <w:rStyle w:val="Emphasis"/>
        </w:rPr>
        <w:t>Settlers</w:t>
      </w:r>
      <w:r w:rsidRPr="00087A72">
        <w:rPr>
          <w:sz w:val="16"/>
        </w:rPr>
        <w:t xml:space="preserve"> thus </w:t>
      </w:r>
      <w:r w:rsidRPr="00087A72">
        <w:rPr>
          <w:rStyle w:val="Emphasis"/>
        </w:rPr>
        <w:t>are inexplicable apart from their relationality to Indigenous peoples</w:t>
      </w:r>
      <w:r w:rsidRPr="00087A72">
        <w:rPr>
          <w:sz w:val="16"/>
        </w:rPr>
        <w:t xml:space="preserve">.’ 33 Len Findlay insists, in a similar vein, that within the colonial settler state, ‘all communities live as, or in relation to, Indigenes. … </w:t>
      </w:r>
      <w:r w:rsidRPr="00087A72">
        <w:rPr>
          <w:b/>
          <w:u w:val="single"/>
        </w:rPr>
        <w:t>[T]here is no hors-Indigene, no geopolitical or psychic setting, no real or imagined terra nullius free from the satisfactions and unsettlements of Indigene (pre)occupation</w:t>
      </w:r>
      <w:r w:rsidRPr="00087A72">
        <w:rPr>
          <w:sz w:val="16"/>
        </w:rPr>
        <w:t xml:space="preserve">’. 34 Discourse pursues something that it cannot (or will not) touch, while at the same time remaining unable ever to free itself completely from the object of this pursuit. So that </w:t>
      </w:r>
      <w:r w:rsidRPr="00087A72">
        <w:rPr>
          <w:rStyle w:val="Emphasis"/>
        </w:rPr>
        <w:t>even if the ‘thing’ always slips from the grasp of the discourse or desire that seeks its presence, it still asks to be pursued incessantly and unsuccessfully</w:t>
      </w:r>
      <w:r w:rsidRPr="00087A72">
        <w:rPr>
          <w:sz w:val="16"/>
        </w:rPr>
        <w:t xml:space="preserve">. Now </w:t>
      </w:r>
      <w:r w:rsidRPr="00087A72">
        <w:rPr>
          <w:b/>
          <w:u w:val="single"/>
        </w:rPr>
        <w:t>this ‘thing’, although it has made this request, says nothing and means nothing.</w:t>
      </w:r>
      <w:r w:rsidRPr="00087A72">
        <w:rPr>
          <w:sz w:val="16"/>
        </w:rPr>
        <w:t xml:space="preserve"> This means that </w:t>
      </w:r>
      <w:r w:rsidRPr="00087A72">
        <w:rPr>
          <w:rStyle w:val="Emphasis"/>
        </w:rPr>
        <w:t>nothing and no-one can ever guarantee the accuracy or the truth of what is said about it.</w:t>
      </w:r>
      <w:r w:rsidRPr="00087A72">
        <w:rPr>
          <w:sz w:val="16"/>
        </w:rPr>
        <w:t xml:space="preserve"> Because it neither speaks (to us) nor asks (us) for anything at all, </w:t>
      </w:r>
      <w:r w:rsidRPr="00087A72">
        <w:rPr>
          <w:b/>
          <w:u w:val="single"/>
        </w:rPr>
        <w:t>the ‘thing’ can be represented only by a desire that cannot not answer</w:t>
      </w:r>
      <w:r w:rsidRPr="00087A72">
        <w:rPr>
          <w:sz w:val="16"/>
        </w:rPr>
        <w:t xml:space="preserve">, that cannot not speak for it and in its name, </w:t>
      </w:r>
      <w:r w:rsidRPr="00087A72">
        <w:rPr>
          <w:b/>
          <w:u w:val="single"/>
        </w:rPr>
        <w:t>that cannot not command it</w:t>
      </w:r>
      <w:r w:rsidRPr="00087A72">
        <w:rPr>
          <w:sz w:val="16"/>
        </w:rPr>
        <w:t xml:space="preserve">, forever unsuccessfully, </w:t>
      </w:r>
      <w:r w:rsidRPr="00087A72">
        <w:rPr>
          <w:b/>
          <w:u w:val="single"/>
        </w:rPr>
        <w:t>to ‘exist’ or to signify someone or something.</w:t>
      </w:r>
      <w:r w:rsidRPr="00087A72">
        <w:rPr>
          <w:sz w:val="16"/>
        </w:rPr>
        <w:t xml:space="preserve"> The </w:t>
      </w:r>
      <w:r w:rsidRPr="00087A72">
        <w:rPr>
          <w:rStyle w:val="Emphasis"/>
        </w:rPr>
        <w:t>silence of that ‘Indian thing’ commands speech.</w:t>
      </w:r>
      <w:r w:rsidRPr="00087A72">
        <w:rPr>
          <w:sz w:val="16"/>
        </w:rPr>
        <w:t xml:space="preserve"> Or, if not speech, </w:t>
      </w:r>
      <w:r w:rsidRPr="00087A72">
        <w:rPr>
          <w:b/>
          <w:u w:val="single"/>
        </w:rPr>
        <w:t>a reaction or a self-positioning that sometimes commands that we remain silent.</w:t>
      </w:r>
      <w:r w:rsidRPr="00087A72">
        <w:rPr>
          <w:sz w:val="16"/>
        </w:rPr>
        <w:t xml:space="preserve"> So that it is possible to affirm that the ‘thing does not exist or that the fact of its existence is, at the very least, not pertinent; yet, speaking up in its name always produces something. And because the ‘thing’, emerging from the interval born out of the colonial encounter, demands to be spoken of, these speech acts can never be understood as mere solipsism or pure relativism. For to analyse these statements (or these representations) is also to analyse a relation of power in which we speak – not an act of speaking up for Indians or in one’s capacity as an Indian, but in the name of that ‘Indian thing’. Thus, it is through inciting that ‘Indian thing’ to say something, although it is forever aphasic, that it becomes possible to produce and visualise Indian (and Canadian) differences and realities and, consequently, identities. In this way, settlers and Indigenous peoples seek to signify and appropriate for themselves, within a particular racial−colonial relation of power, the Indianness that exerts the perplexity of the identities interpellated by settler colonialism. This explains Gerald Vizenor’s refusal to acknowledge that there had ever been an absence of the Native in colonial representation. He invites us, rather, to observe ‘the eyes and hands in fugitive poses to see the motion of natives, and hear the apophatic narratives of a continuous presence’. 35 I reiterate, then, that </w:t>
      </w:r>
      <w:r w:rsidRPr="00087A72">
        <w:rPr>
          <w:b/>
          <w:u w:val="single"/>
        </w:rPr>
        <w:t>it is due to the intransigent presence and the eloquent silences of those who are designated as ‘Indians’ that the colonial project has to make the Indian its ‘thing’</w:t>
      </w:r>
      <w:r w:rsidRPr="00087A72">
        <w:rPr>
          <w:sz w:val="16"/>
        </w:rPr>
        <w:t xml:space="preserve">. Or rather, the colonial project’s ‘thing’, its substance, its challenge, and its outcome are this Indianness – the Indianness of these absolutely other bodies and territories over which Europe folds itself. It is no longer the truth, then, or the reality of the representation (or the represented) that is at play here. For </w:t>
      </w:r>
      <w:r w:rsidRPr="00087A72">
        <w:rPr>
          <w:rStyle w:val="Emphasis"/>
        </w:rPr>
        <w:t>reality no longer constitutes the measure of the representation, but rather its effect</w:t>
      </w:r>
      <w:r w:rsidRPr="00087A72">
        <w:rPr>
          <w:sz w:val="16"/>
        </w:rPr>
        <w:t xml:space="preserve">. </w:t>
      </w:r>
      <w:r w:rsidRPr="00087A72">
        <w:rPr>
          <w:b/>
          <w:u w:val="single"/>
        </w:rPr>
        <w:t>It will be necessary, then, to stop conceiving of a real Indian</w:t>
      </w:r>
      <w:r w:rsidRPr="00087A72">
        <w:rPr>
          <w:sz w:val="16"/>
        </w:rPr>
        <w:t xml:space="preserve"> (in the flesh) </w:t>
      </w:r>
      <w:r w:rsidRPr="00087A72">
        <w:rPr>
          <w:rStyle w:val="Emphasis"/>
        </w:rPr>
        <w:t>by virtue of the degree of his or her presence or absence in representation</w:t>
      </w:r>
      <w:r w:rsidRPr="00087A72">
        <w:rPr>
          <w:sz w:val="16"/>
        </w:rPr>
        <w:t xml:space="preserve"> (whether this representation is colonial, mainstream, native, or other) or indeed by virtue of a gradient of reality. </w:t>
      </w:r>
      <w:r w:rsidRPr="00087A72">
        <w:rPr>
          <w:b/>
          <w:u w:val="single"/>
        </w:rPr>
        <w:t>Rather, it is henceforth incumbent upon us to</w:t>
      </w:r>
      <w:r w:rsidRPr="00087A72">
        <w:rPr>
          <w:sz w:val="16"/>
        </w:rPr>
        <w:t xml:space="preserve"> affirm and </w:t>
      </w:r>
      <w:r w:rsidRPr="00087A72">
        <w:rPr>
          <w:rStyle w:val="Emphasis"/>
        </w:rPr>
        <w:t>come to terms with the ‘intransitive shadows’</w:t>
      </w:r>
      <w:r w:rsidRPr="00087A72">
        <w:rPr>
          <w:sz w:val="16"/>
        </w:rPr>
        <w:t xml:space="preserve"> 36 – neither presence nor absence – </w:t>
      </w:r>
      <w:r w:rsidRPr="00087A72">
        <w:rPr>
          <w:rStyle w:val="Emphasis"/>
        </w:rPr>
        <w:t>of the Indian in all of its representations.</w:t>
      </w:r>
      <w:r w:rsidRPr="00087A72">
        <w:rPr>
          <w:sz w:val="16"/>
        </w:rPr>
        <w:t xml:space="preserve"> The </w:t>
      </w:r>
      <w:r w:rsidRPr="00087A72">
        <w:rPr>
          <w:b/>
          <w:u w:val="single"/>
        </w:rPr>
        <w:t>term-concept ‘thing’ offers us</w:t>
      </w:r>
      <w:r w:rsidRPr="00087A72">
        <w:rPr>
          <w:sz w:val="16"/>
        </w:rPr>
        <w:t xml:space="preserve">, in this respect, </w:t>
      </w:r>
      <w:r w:rsidRPr="00087A72">
        <w:rPr>
          <w:b/>
          <w:u w:val="single"/>
        </w:rPr>
        <w:t>a way out of the paradigm of the imaginary Indian</w:t>
      </w:r>
      <w:r w:rsidRPr="00087A72">
        <w:rPr>
          <w:sz w:val="16"/>
        </w:rPr>
        <w:t xml:space="preserve"> (or the discursive Indian) </w:t>
      </w:r>
      <w:r w:rsidRPr="00087A72">
        <w:rPr>
          <w:b/>
          <w:u w:val="single"/>
        </w:rPr>
        <w:t>and its demands.</w:t>
      </w:r>
      <w:r w:rsidRPr="00087A72">
        <w:rPr>
          <w:sz w:val="16"/>
        </w:rPr>
        <w:t xml:space="preserve"> That ‘Indian thing’ escapes the logic of imitation and the moral demands (or impediments) of truth and/or of the referential Indian. </w:t>
      </w:r>
      <w:r w:rsidRPr="00087A72">
        <w:rPr>
          <w:b/>
          <w:u w:val="single"/>
        </w:rPr>
        <w:t>To conceive of Indianness as a ‘thing’ is to risk the ‘savage philosophies’ evoked elsewhere</w:t>
      </w:r>
      <w:r w:rsidRPr="00087A72">
        <w:rPr>
          <w:sz w:val="16"/>
        </w:rPr>
        <w:t xml:space="preserve"> by Bracken, that is, </w:t>
      </w:r>
      <w:r w:rsidRPr="00087A72">
        <w:rPr>
          <w:rStyle w:val="Emphasis"/>
        </w:rPr>
        <w:t xml:space="preserve">that desire and taboo of Western metaphysics that enables the sign and the representation to exist beyond </w:t>
      </w:r>
      <w:r w:rsidRPr="00087A72">
        <w:rPr>
          <w:sz w:val="16"/>
        </w:rPr>
        <w:t xml:space="preserve">the </w:t>
      </w:r>
      <w:r w:rsidRPr="00087A72">
        <w:rPr>
          <w:rStyle w:val="Emphasis"/>
        </w:rPr>
        <w:t>opposition of presence and absence, and therefore beyond any and all guarantees of identity.</w:t>
      </w:r>
      <w:r w:rsidRPr="00087A72">
        <w:rPr>
          <w:sz w:val="16"/>
        </w:rPr>
        <w:t xml:space="preserve">37 </w:t>
      </w:r>
      <w:r w:rsidRPr="00087A72">
        <w:rPr>
          <w:b/>
          <w:u w:val="single"/>
        </w:rPr>
        <w:t>Otherness</w:t>
      </w:r>
      <w:r w:rsidRPr="00087A72">
        <w:rPr>
          <w:sz w:val="16"/>
        </w:rPr>
        <w:t xml:space="preserve">, henceforth projected outside the self, </w:t>
      </w:r>
      <w:r w:rsidRPr="00087A72">
        <w:rPr>
          <w:b/>
          <w:u w:val="single"/>
        </w:rPr>
        <w:t>no longer belongs to either the substance or the body of the other, but</w:t>
      </w:r>
      <w:r w:rsidRPr="00087A72">
        <w:rPr>
          <w:sz w:val="16"/>
        </w:rPr>
        <w:t xml:space="preserve"> rather </w:t>
      </w:r>
      <w:r w:rsidRPr="00087A72">
        <w:rPr>
          <w:b/>
          <w:u w:val="single"/>
        </w:rPr>
        <w:t>to the impossible expectation that is born from the meeting of bodies and subjectivities that share a certain propinquity.</w:t>
      </w:r>
      <w:r w:rsidRPr="00087A72">
        <w:rPr>
          <w:sz w:val="16"/>
        </w:rPr>
        <w:t xml:space="preserve"> And if there is indeed a body or substance that exceeds or precedes the representation, this body is only insofar as it is given the gift of a presence. This is why I suggest that Indians, who also compete in the colonial struggle to designate that which is truly ‘Indian’, can never be constrained by the body that girds them. For it is not bodies but indeed that ‘Indian thing’ that constitutes the stakes, the quest, of the racial−colonial relation of power in Québec and Canada – and this, even though it is the bodies that, in the end, are marked, trod upon, and mobilised by the physical and epistemic violence of colonialism. This said, while we may be obliged to acknowledge, with Veracini, that it is indeed a characteristic of settler colonialism that it veils its own conditions of production by continuously attempting to white out the indelible line separating the Indian from the settler (or Indianness from nationality), we will have to admit that the most colossal difficulty – the most pessimistic will call it an impossibility – that awaits the process of decolonisation in Canada will henceforth be to conquer and preserve the power, heretofore reserved for the Sovereign, to draw, signify, represent, and defend this boundary that makes it possible to define Indianness in the face of its exteriority. In other words, the space that asks to be conquered in the decolonisation effort is this ‘vantage point’ from which it is possible to lay claim to a certain authority or sovereignty in pointing one’s finger at that ‘thing’ that truly aligns with Indianness. In such a context, what will be primarily at stake in the politics of indigenous representation, within our liberal modernity, will be this vantage point from which the Sovereign seeks to regulate and limit access, more often than not, in the name of defending and preserving democracy and ‘human rights’. By presenting itself as a defender of the universal right to free expression of dissidence and differences, the liberal state generally manages to consolidate its sovereign power in the face of the actions performed by the dissident bodies that threaten its integrity and its borders. In so doing, </w:t>
      </w:r>
      <w:r w:rsidRPr="00087A72">
        <w:rPr>
          <w:b/>
          <w:u w:val="single"/>
        </w:rPr>
        <w:t>liberalism</w:t>
      </w:r>
      <w:r w:rsidRPr="00087A72">
        <w:rPr>
          <w:sz w:val="16"/>
        </w:rPr>
        <w:t xml:space="preserve">, sanctioned by the universalist and humanist rhetoric that is its lifeblood, </w:t>
      </w:r>
      <w:r w:rsidRPr="00087A72">
        <w:rPr>
          <w:rStyle w:val="Emphasis"/>
        </w:rPr>
        <w:t>seeks to reduce representational work in a context of</w:t>
      </w:r>
      <w:r w:rsidRPr="00087A72">
        <w:rPr>
          <w:sz w:val="16"/>
        </w:rPr>
        <w:t xml:space="preserve"> decolonisation or </w:t>
      </w:r>
      <w:r w:rsidRPr="00087A72">
        <w:rPr>
          <w:rStyle w:val="Emphasis"/>
        </w:rPr>
        <w:t>resistance to a simple exercise of poetic and symbolic expression</w:t>
      </w:r>
      <w:r w:rsidRPr="00087A72">
        <w:rPr>
          <w:sz w:val="16"/>
        </w:rPr>
        <w:t xml:space="preserve">, if not a political exercise </w:t>
      </w:r>
      <w:r w:rsidRPr="00087A72">
        <w:rPr>
          <w:rStyle w:val="Emphasis"/>
        </w:rPr>
        <w:t>of pure form or ‘tokenism’</w:t>
      </w:r>
      <w:r w:rsidRPr="00087A72">
        <w:rPr>
          <w:sz w:val="16"/>
        </w:rPr>
        <w:t xml:space="preserve">, at the edges of or alongside (either way, out of reach of) the normative authorities of political power. This is why I am affirming that, faced with the insurmountable task of decolonising settler colonial states, critical studies of film, media, and literary representations of Natives, if they are to be active participants in the resistance against colonial violence, will henceforth need to make it their duty to refuse to subscribe to any critical position that would make recognition of the true Indian in an ‘accurate’ (or revised, documented) representation a way of better apprehending ‘togetherness’ across the racial−colonial divide. To that effect, </w:t>
      </w:r>
      <w:r w:rsidRPr="00087A72">
        <w:rPr>
          <w:rStyle w:val="Emphasis"/>
        </w:rPr>
        <w:t>we must constantly be reminded that one of the very conditions of possibility for togetherness, in</w:t>
      </w:r>
      <w:r w:rsidRPr="00087A72">
        <w:rPr>
          <w:sz w:val="16"/>
        </w:rPr>
        <w:t xml:space="preserve"> our </w:t>
      </w:r>
      <w:r w:rsidRPr="00087A72">
        <w:rPr>
          <w:rStyle w:val="Emphasis"/>
        </w:rPr>
        <w:t>liberal democracies, is to prevent Natives from extirpating themselves from the ascendancy and the power of death of the Sovereign.</w:t>
      </w:r>
      <w:r w:rsidRPr="00087A72">
        <w:rPr>
          <w:sz w:val="16"/>
        </w:rPr>
        <w:t xml:space="preserve"> Importantly, in the past 15 years, significant scholarly contributions in film and media studies have emerged that focus on processes of production and/or cultural mediation in Indigenous cinema, thus complicating such colonial and intercultural narratives of correction, misrepresentation, and liberal reconciliation.38 More recently, other scholars, while not indifferent to questions of appropriate or responsible representation, have also moved away from discourses that would turn Indigenous media and/or Native self-representation into possible tokens for transracial discourses of recognition that would make indigenous nationhood commensurate with the liberal settler state’s multicultural economy of presence, identity, and selfhood. For instance, Corinn Columpar’s work focuses instead on a definition of Fourth Cinema understood as an intersubjective nexus in which constant cultural and economic tensions, as well as the political (and not just cultural) identity of Indigenous communities, emerge as part of a struggle with the systematic nature of settler colonialism.39 In an analogous manner, Michelle H. Raheja’s recent book describes tactical strategies of reading and making films that are ‘engaging and deconstructing white-generated representations of indigenous people’ as part of larger dialogues about Native American sovereignty. 40 And yet, despite such ground-breaking academic contributions, one would be ill-advised to underestimate the continuous political, cultural, and popular resilience and influence, within journalistic, policy-making, and academic institutions, as well as within the documentary and indigenous film festival circuits, of such liberal philosophical intuition about the self as presence, absence, and/or re-emergence in representation – an intuition which is also conforming to the NFB’s liberal democratic mandate of giving a voice to underrepresented minorities, thus ‘making [them] feel part of this great country’. 41 Towards this end, the critical usefulness of the ‘Indian thing’, as a theoretical concept, is to remove us from an understanding of Indianness that was amalgamated with certain dichotomous oppositions – absence and presence, imaginary and referentiality, alienation and identity. However, it will also be important to recall that the ‘Indian thing’ does not belong to the exteriority of such dichotomous oppositions. Rather, it is born in the interval of these oppositions. It is that which is designated when, on either side of the racial−colonial boundary, an attempt is made to identify that which is Indian and that which is not. Canada and Québec, because their sovereignty rests on the moral and sovereign guarantee that ‘we’ are indeed at home in the territory of the ‘other’, have no other choice but to constantly make Indianness say ‘something’ that makes ‘us’ possible. The same will hold true for Natives who, in a colonial context as well as in a context of resistance vis-à-vis the state, cannot not also take a stand in regard to their Indianness, or, in other words, in regard to this designation that is born out of the colonial encounter – this or that ‘thing’ that I am in regard to you who are not that. Faced with the impossibility of finding a way out of that ‘Indian thing’, I therefore maintain that such </w:t>
      </w:r>
      <w:r w:rsidRPr="00087A72">
        <w:rPr>
          <w:b/>
          <w:u w:val="single"/>
        </w:rPr>
        <w:t>cultural and political predicament calls for alternative strategies of resistance</w:t>
      </w:r>
      <w:r w:rsidRPr="00087A72">
        <w:rPr>
          <w:sz w:val="16"/>
        </w:rPr>
        <w:t xml:space="preserve">, as part of which, </w:t>
      </w:r>
      <w:r w:rsidRPr="00087A72">
        <w:rPr>
          <w:b/>
          <w:u w:val="single"/>
        </w:rPr>
        <w:t>we will no longer seek to restore an Indian reality that could be apprehended through the metaphysics of absence and presence supporting the moral and sovereign architecture of the liberal settler colony.</w:t>
      </w:r>
      <w:r w:rsidRPr="00087A72">
        <w:rPr>
          <w:sz w:val="16"/>
        </w:rPr>
        <w:t xml:space="preserve"> Rather, the task before us will be to imagine a new textuality and to create political or media-based interventions that refuse to sanction the State’s authority to designate what or who truly corresponds to that ‘Indian thing’ – or to categorically forbid the State to situate itself within the confines of Indianness. Importantly, such a proposition does not constitute an abrogation of the firm opposition between that which I am and who you are – you, who are also human – rather, it calls for a constant re-delineation of this opposition. As a result, it is the entire edifice of settler colonialism that is made visible – or at least, the possibility of not seeing this edifice no longer becomes an option. </w:t>
      </w:r>
      <w:r w:rsidRPr="00087A72">
        <w:rPr>
          <w:b/>
          <w:u w:val="single"/>
        </w:rPr>
        <w:t xml:space="preserve">With the dramatisation and constant replotting of the irreducible racial−colonial dividing line that settler colonialism seeks to render invisible, will we thus contribute to denaturalising the sovereign, </w:t>
      </w:r>
      <w:r w:rsidRPr="00087A72">
        <w:rPr>
          <w:rStyle w:val="Emphasis"/>
        </w:rPr>
        <w:t>humanist discourse of the liberal state</w:t>
      </w:r>
      <w:r w:rsidRPr="00087A72">
        <w:rPr>
          <w:b/>
          <w:u w:val="single"/>
        </w:rPr>
        <w:t>.</w:t>
      </w:r>
      <w:r w:rsidRPr="00087A72">
        <w:rPr>
          <w:sz w:val="16"/>
        </w:rPr>
        <w:t xml:space="preserve"> As a result, we might perhaps be allowed to hope that </w:t>
      </w:r>
      <w:r w:rsidRPr="00087A72">
        <w:rPr>
          <w:b/>
          <w:u w:val="single"/>
        </w:rPr>
        <w:t>such a rupture in the relationship between the nation and that ‘Indian thing’ might have the potential to force our liberal democracies to come into a profound</w:t>
      </w:r>
      <w:r w:rsidRPr="00087A72">
        <w:rPr>
          <w:sz w:val="16"/>
        </w:rPr>
        <w:t xml:space="preserve">, concrete, and consequential </w:t>
      </w:r>
      <w:r w:rsidRPr="00087A72">
        <w:rPr>
          <w:b/>
          <w:u w:val="single"/>
        </w:rPr>
        <w:t>awareness of that which the contemporaneousness of the racial and colonial foundations of ‘our’ sovereignty requires in the relationships between the State, Native peoples, and non-Native racialised minorities</w:t>
      </w:r>
      <w:r w:rsidRPr="00087A72">
        <w:rPr>
          <w:sz w:val="16"/>
        </w:rPr>
        <w:t xml:space="preserve"> – and this from both political and institutional standpoints. </w:t>
      </w:r>
      <w:r w:rsidRPr="00087A72">
        <w:rPr>
          <w:rStyle w:val="Emphasis"/>
        </w:rPr>
        <w:t>In the meantime</w:t>
      </w:r>
      <w:r w:rsidRPr="00087A72">
        <w:rPr>
          <w:sz w:val="16"/>
        </w:rPr>
        <w:t xml:space="preserve">, antiracist and </w:t>
      </w:r>
      <w:r w:rsidRPr="00087A72">
        <w:rPr>
          <w:rStyle w:val="Emphasis"/>
        </w:rPr>
        <w:t>anticolonial efforts must take on the task of keeping ardent, like an inextinguishable fire</w:t>
      </w:r>
      <w:r w:rsidRPr="00087A72">
        <w:rPr>
          <w:sz w:val="16"/>
        </w:rPr>
        <w:t xml:space="preserve">, the demands </w:t>
      </w:r>
      <w:r w:rsidRPr="00087A72">
        <w:rPr>
          <w:rStyle w:val="Emphasis"/>
        </w:rPr>
        <w:t>of</w:t>
      </w:r>
      <w:r w:rsidRPr="00087A72">
        <w:rPr>
          <w:sz w:val="16"/>
        </w:rPr>
        <w:t xml:space="preserve"> conflict, </w:t>
      </w:r>
      <w:r w:rsidRPr="00087A72">
        <w:rPr>
          <w:rStyle w:val="Emphasis"/>
        </w:rPr>
        <w:t>incommunicability</w:t>
      </w:r>
      <w:r w:rsidRPr="00087A72">
        <w:rPr>
          <w:sz w:val="16"/>
        </w:rPr>
        <w:t xml:space="preserve">, fracture, and opposition </w:t>
      </w:r>
      <w:r w:rsidRPr="00087A72">
        <w:rPr>
          <w:rStyle w:val="Emphasis"/>
        </w:rPr>
        <w:t>if we hope to eschew the ultimate triumph of settler colonialism: its selfsupersession.</w:t>
      </w:r>
    </w:p>
    <w:p w:rsidR="00126C2B" w:rsidRPr="00087A72" w:rsidRDefault="00126C2B" w:rsidP="00126C2B">
      <w:pPr>
        <w:pStyle w:val="Heading3"/>
      </w:pPr>
      <w:r w:rsidRPr="00087A72">
        <w:t>Top Level – Thesis (Fortier)</w:t>
      </w:r>
    </w:p>
    <w:p w:rsidR="00126C2B" w:rsidRPr="00087A72" w:rsidRDefault="00126C2B" w:rsidP="00126C2B">
      <w:pPr>
        <w:pStyle w:val="Heading4"/>
      </w:pPr>
      <w:r w:rsidRPr="00087A72">
        <w:t>The settler project maintains a global system of colonial exploitation to create a unifying theme of superiority among the settler ranks which maintains the structure of settler colonialism. We must decolonize the capitalist propaganda shoved down our throat that’s called history. Only by doing this can we understand these systems of domination and challenge them.</w:t>
      </w:r>
    </w:p>
    <w:p w:rsidR="00126C2B" w:rsidRPr="00087A72" w:rsidRDefault="00126C2B" w:rsidP="00126C2B">
      <w:r w:rsidRPr="00087A72">
        <w:rPr>
          <w:b/>
        </w:rPr>
        <w:t>FORTIER 15</w:t>
      </w:r>
      <w:r w:rsidRPr="00087A72">
        <w:t xml:space="preserve"> </w:t>
      </w:r>
      <w:r w:rsidRPr="00087A72">
        <w:rPr>
          <w:sz w:val="16"/>
        </w:rPr>
        <w:t>(CRAIG, “UNSETTLING MOVEMENTS: DECOLONIZING NON-INDIGENOUS RADICAL STRUGGLES IN SETTLER COLONIAL STATES.” Pp 77-80squirms)</w:t>
      </w:r>
    </w:p>
    <w:p w:rsidR="00126C2B" w:rsidRPr="00087A72" w:rsidRDefault="00126C2B" w:rsidP="00126C2B">
      <w:pPr>
        <w:ind w:left="-5" w:right="34"/>
        <w:rPr>
          <w:b/>
          <w:iCs/>
          <w:sz w:val="26"/>
          <w:u w:val="single"/>
        </w:rPr>
      </w:pPr>
      <w:r w:rsidRPr="00087A72">
        <w:rPr>
          <w:rStyle w:val="Emphasis"/>
        </w:rPr>
        <w:t>The history of (de)colonization in the Americas is part of a much older story in human societies about the desire and practice of domination and the multiple ways in which this domination is negotiated and resisted. The logic of domination always lurks as a possibility for organizing society and is reflected in the cultural, epistemological, and administrative processes that, “characterizes the formation of most modern Western nation-states</w:t>
      </w:r>
      <w:r w:rsidRPr="00087A72">
        <w:rPr>
          <w:sz w:val="16"/>
        </w:rPr>
        <w:t xml:space="preserve">” (Scott 2009:3). Domination is a crucial component of any project of civilization, ancient and modern. However, as Roxanne Dunbar-Ortiz (2014) correctly points out, the form of colonialism that Indigenous peoples on Turtle Island have experienced “was modern from the beginning: the expansion of European corporations, backed by government armies, into foreign areas with the subsequent appropriation of lands and resources” (6). </w:t>
      </w:r>
      <w:r w:rsidRPr="00087A72">
        <w:rPr>
          <w:rStyle w:val="Emphasis"/>
        </w:rPr>
        <w:t>The processes of genocide, displacement, and exploitation foundational to the logics of capital accumulation are also particular to the desire for totalizing domination inherent to settler colonialism in the modern world system</w:t>
      </w:r>
      <w:r w:rsidRPr="00087A72">
        <w:rPr>
          <w:sz w:val="16"/>
        </w:rPr>
        <w:t xml:space="preserve"> (Wallerstein 1974</w:t>
      </w:r>
      <w:r w:rsidRPr="00087A72">
        <w:rPr>
          <w:rStyle w:val="Emphasis"/>
        </w:rPr>
        <w:t xml:space="preserve">). Since the imposition of Romanized Christianity as the dominant religious tradition in Western Europe and its symbiotic yet tenuous relationship with Enlightenment thinking we see a pattern that conceptualizes humans as being dominated by God and thereby being driven to dominate the land, the animals, other humans, the mind, and the spirit. </w:t>
      </w:r>
      <w:r w:rsidRPr="00087A72">
        <w:rPr>
          <w:rStyle w:val="Emphasis"/>
          <w:b w:val="0"/>
          <w:sz w:val="16"/>
          <w:u w:val="none"/>
        </w:rPr>
        <w:t>The</w:t>
      </w:r>
      <w:r w:rsidRPr="00087A72">
        <w:rPr>
          <w:sz w:val="16"/>
        </w:rPr>
        <w:t xml:space="preserve"> intimate relationship between the logics of domination in Christianity, capitalism, and conquest were set at least by the eleventh to thirteenth century European Crusades to conquer North Africa and the Middle East and secure trade routes for the emerging mercantilist class (Dunbar-Ortiz 2014). As Dunbar-Ortiz (2014) notes, “</w:t>
      </w:r>
      <w:r w:rsidRPr="00087A72">
        <w:rPr>
          <w:rStyle w:val="Emphasis"/>
        </w:rPr>
        <w:t>This profit-based religion was the deadly element that European merchants and settlers brought to the Americas” (32). This desire for domination seeks to be all encompassing and forms the core logic of capitalism and colonialism. Given that capitalism aspires to become a totalizing system of domination, it must continuously expand its reach and cannot allow for the existence of large land bases on which people live and practice non-exploitative forms of governance and relationships with the land.</w:t>
      </w:r>
      <w:r w:rsidRPr="00087A72">
        <w:rPr>
          <w:sz w:val="16"/>
        </w:rPr>
        <w:t xml:space="preserve"> However, as Frederic Jameson (1984) argues, any social formation consists of many modes of production that exist simultaneously as residual, dominant and emergent. </w:t>
      </w:r>
      <w:r w:rsidRPr="00087A72">
        <w:rPr>
          <w:rStyle w:val="Emphasis"/>
        </w:rPr>
        <w:t>Because of the contingent threat of other modes of production, these alternate ways of organizing society need to be consistently attacked, isolated, or erased in order for capitalism to maintain its control as the dominant mode of production. In this sense, Indigenous resistance to the colonization of the Americas is also a struggle against the capitalist mode of production and the logics of domination that maintain the structure of settler colonialism</w:t>
      </w:r>
      <w:r w:rsidRPr="00087A72">
        <w:rPr>
          <w:sz w:val="16"/>
        </w:rPr>
        <w:t xml:space="preserve"> (Wolfe 2006). But these struggles are also an assertion of ways of organizing society and relating to others and the land that are premised on mutuality and reciprocity (Amadahy 2010; Simpson 2011; Coulthard 2014). </w:t>
      </w:r>
      <w:r w:rsidRPr="00087A72">
        <w:rPr>
          <w:rStyle w:val="Emphasis"/>
        </w:rPr>
        <w:t xml:space="preserve">Telling this story from a decolonizing lens requires that we challenge the linear narratives that pervade Western concepts of history, including those of the political left. For instance, the overriding belief that capitalism “evolved” from the feudal mode of production and thus represents a better or higher form of social life prevents many non- Indigenous radicals from taking the holistic process of decolonizing our struggles seriously. These logics can be traced to the counter-revolutionary force of capitalism that emerged to suppress the mobilizations of European land-based peasants against domination by the monarchy, social elites and warlords </w:t>
      </w:r>
      <w:r w:rsidRPr="00087A72">
        <w:rPr>
          <w:sz w:val="16"/>
        </w:rPr>
        <w:t>(Thompson 1991; Federici 2004). As Silvia Federici explains, From the vantage point of this struggle, we can also see that capitalism was not the product of an evolutionary development bringing forth economic forces that were maturing in the womb of the old order. Capitalism was the response of the feudal lords, the patrician merchants, the bishops and popes, to a centuries-long social conflict that, in the end, shook their power, and truly gave ‘all the world a big jolt.</w:t>
      </w:r>
      <w:r w:rsidRPr="00087A72">
        <w:rPr>
          <w:rStyle w:val="Emphasis"/>
        </w:rPr>
        <w:t>’ Capitalism was the counter-revolution that destroyed the possibilities that had emerged from the anti-feudal struggle – possibilities which, if realized, might have spared us the immense destruction of lives and the natural environment that has marked the advance of capitalist relations worldwide.</w:t>
      </w:r>
      <w:r w:rsidRPr="00087A72">
        <w:rPr>
          <w:sz w:val="16"/>
        </w:rPr>
        <w:t xml:space="preserve"> (21). By extending Federici’s analysis</w:t>
      </w:r>
      <w:r w:rsidRPr="00087A72">
        <w:rPr>
          <w:rStyle w:val="Emphasis"/>
        </w:rPr>
        <w:t>, we can understand colonialism as an expansion of European systems of domination to other spaces and territories of the world. Colonialism is the cause of the largest displacement of humans and theft of land the planet has ever known.</w:t>
      </w:r>
      <w:r w:rsidRPr="00087A72">
        <w:rPr>
          <w:sz w:val="16"/>
        </w:rPr>
        <w:t xml:space="preserve"> Nonetheless, at every turn colonialism has been a contested terrain, never capable of achieving its totalizing mission in any part of the world (Singh 1963). This totalizing process was never guaranteed to succeed, as everywhere this system sought to take hold people resisted, “fighting against land privatization, the abolition of customary rights, the imposition of new taxes, wage-dependence, and the continuous presence of armies in their neighborhoods, which was so hated that people rushed to close the gates of their towns to prevent soldiers from settling among them” (Federici 2004:82). </w:t>
      </w:r>
      <w:r w:rsidRPr="00087A72">
        <w:rPr>
          <w:rStyle w:val="Emphasis"/>
        </w:rPr>
        <w:t>One underlying threat to this process of domination in settler colonial states was the possibility to enact relationships of solidarity between those who were being displaced, enslaved, and dispossessed</w:t>
      </w:r>
      <w:r w:rsidRPr="00087A72">
        <w:rPr>
          <w:sz w:val="16"/>
        </w:rPr>
        <w:t xml:space="preserve">. However, in the North American context, examples of such attempts at solidarity appear only sporadically in the historical records. It is much more common to read about the interests of poor white settlers seeking land pitted against those of Indigenous peoples, enslaved Africans, and more recently migrants of colour exploited for their labour power (see Olson 2004; Boggs and Kurashige 2012). J. Sakai (1989) argues, </w:t>
      </w:r>
      <w:r w:rsidRPr="00087A72">
        <w:rPr>
          <w:rStyle w:val="Emphasis"/>
        </w:rPr>
        <w:t xml:space="preserve">“the capitalists proved to their satisfaction that dissent and rebelliousness within the settler ranks could be quelled by increasing the colonial exploitation of other nations and peoples” (11). This would become a recurrent story in the history of settler left struggles, whereby the potential solidarity with insurgent Indigenous, African, Asian, and other oppressed and exploited people was mitigated by the ruling classes through the promise of land and the doctrine of white supremacy. </w:t>
      </w:r>
    </w:p>
    <w:p w:rsidR="00126C2B" w:rsidRPr="00087A72" w:rsidRDefault="00126C2B" w:rsidP="00496C79">
      <w:pPr>
        <w:pStyle w:val="Heading3"/>
      </w:pPr>
      <w:r w:rsidRPr="00087A72">
        <w:t>Top Level – Thesis (Kouri &amp; Skott-Myhre)</w:t>
      </w:r>
    </w:p>
    <w:p w:rsidR="00126C2B" w:rsidRPr="00087A72" w:rsidRDefault="00126C2B" w:rsidP="00126C2B">
      <w:pPr>
        <w:pStyle w:val="Heading4"/>
      </w:pPr>
      <w:r w:rsidRPr="00087A72">
        <w:t>Settler colonialism sets the foundation for the Settler’s psyche—responding to the presence of the Indigenous with violence and denial. As such, anti-Native violence becomes the condition of possibility of psychic well being and the construction of the ego itself.</w:t>
      </w:r>
    </w:p>
    <w:p w:rsidR="00126C2B" w:rsidRPr="00087A72" w:rsidRDefault="00126C2B" w:rsidP="00126C2B">
      <w:r w:rsidRPr="00087A72">
        <w:rPr>
          <w:rStyle w:val="Style13ptBold"/>
        </w:rPr>
        <w:t>Kouri &amp; Skott-Myhre 16</w:t>
      </w:r>
      <w:r w:rsidRPr="00087A72">
        <w:t xml:space="preserve"> (Scott, Researcher in the School of Child &amp; Youth Care at the University of Victoria; Hans, Adjunct Professor of Child and Youth Studies at Brock University "Catastrophe: A Transversal Mapping of Colonialism and Settler Subjectivity" Settler Colonial Studies 6, no. 3, pp. 281-284) NIJ</w:t>
      </w:r>
    </w:p>
    <w:p w:rsidR="00126C2B" w:rsidRPr="00087A72" w:rsidRDefault="00126C2B" w:rsidP="00126C2B">
      <w:pPr>
        <w:rPr>
          <w:sz w:val="12"/>
        </w:rPr>
      </w:pPr>
      <w:r w:rsidRPr="00087A72">
        <w:rPr>
          <w:sz w:val="12"/>
        </w:rPr>
        <w:t xml:space="preserve">The colonial unconscious and transcendent outside To open the field of our own subjectivity as a mode for apprehending catastrophe means to engage the realm of sense, the ineffable, or, in psychoanalytic terms, the unconscious. In the catastrophe of colonial settlement, the unconscious might well be read in both Freudian/Lacanian and Deleuzo–Guattarian registers. We use the term Freudian/Lacanian to indicate a theoretical entangling of Freudian and Lacanian readings of the genetic unconscious as foundationally representative. In the Freudian aspect, the unconscious is a space of forbidden representations of desire, while in the Lacanian it is the space of that which cannot be articulated. In our Freudian/Lacanian reading, </w:t>
      </w:r>
      <w:r w:rsidRPr="00087A72">
        <w:rPr>
          <w:rStyle w:val="StyleUnderline"/>
        </w:rPr>
        <w:t xml:space="preserve">we see the unconscious as a space of repression in which the term settler signifies both that which must not be spoken – because it is forbidden knowledge – and that which cannot be spoken – because it is ineffable, both in the sense that it is too great or too extreme to be spoken and because it is taboo. The production of the term settler then holds a very specific function within the genocidal project of colonization in North America in settling and smoothing the massively disruptive effects of the catastrophe. </w:t>
      </w:r>
      <w:r w:rsidRPr="00087A72">
        <w:rPr>
          <w:sz w:val="12"/>
        </w:rPr>
        <w:t xml:space="preserve">Hutchison examines the settler unconscious via Žižek’s reading of Lacan and proposes that a psychoanalytic examination of affective investments helps us understand the unconscious bonds that settlers have to nationalist discourse.5 Using Lacan’s concept of jouissance (enjoyment in Žižek) as his primary heuristic tool, Hutchison argues that </w:t>
      </w:r>
      <w:r w:rsidRPr="00087A72">
        <w:rPr>
          <w:rStyle w:val="StyleUnderline"/>
        </w:rPr>
        <w:t>the settler is constituted by a desire trapped in a dialectic with lack, a perpetually deferred longing for ‘an imaged lost fullness of the nation’</w:t>
      </w:r>
      <w:r w:rsidRPr="00087A72">
        <w:rPr>
          <w:sz w:val="12"/>
        </w:rPr>
        <w:t xml:space="preserve"> (p. 49). </w:t>
      </w:r>
      <w:r w:rsidRPr="00087A72">
        <w:rPr>
          <w:rStyle w:val="StyleUnderline"/>
        </w:rPr>
        <w:t>Settler societies are bound by affective investments in an Other that prevents the realization of this fullness and therefore conceals the impossibility of ever attaining it – as it was never there – in the first place. Lack therefore comes to manifest itself in a painful or transgressive enjoyment of the series of substitutes which come to stand in for the unattainable fullness and the settler unconscious of illusion only becomes stronger as the fragility of the original myth is challenged.</w:t>
      </w:r>
      <w:r w:rsidRPr="00087A72">
        <w:rPr>
          <w:sz w:val="12"/>
        </w:rPr>
        <w:t xml:space="preserve"> For Hutchison </w:t>
      </w:r>
      <w:r w:rsidRPr="00087A72">
        <w:rPr>
          <w:rStyle w:val="StyleUnderline"/>
        </w:rPr>
        <w:t xml:space="preserve">challenging the discourse of settler nationalism is insufficient because a transgressive enjoyment will perpetually fuel the colonial project when the Other can be imagined to be the threat to the nation’s realization of fullness. The colonial Freudian/Lacanian unconscious that produces the settler in this way then produces both a mythical subject free of the disruptive and forbidden activities engaged in during the extensive historical conquest of Indigenous peoples </w:t>
      </w:r>
      <w:r w:rsidRPr="00087A72">
        <w:rPr>
          <w:sz w:val="12"/>
        </w:rPr>
        <w:t xml:space="preserve">(European, African, Asian, and North American) </w:t>
      </w:r>
      <w:r w:rsidRPr="00087A72">
        <w:rPr>
          <w:rStyle w:val="StyleUnderline"/>
        </w:rPr>
        <w:t>and a mythical event horizon that obscures and eviscerates memory, producing the settler as innocent and desiring of democracy, fullness, and opportunity.</w:t>
      </w:r>
      <w:r w:rsidRPr="00087A72">
        <w:rPr>
          <w:sz w:val="12"/>
        </w:rPr>
        <w:t xml:space="preserve"> The colonial unconscious read in this way is a site of primary repression of that which it is taboo to know. Such an unconscious produces the settler as an identity-cypher to stand in for a subjectivity overwhelmed with shame and guilt and in desperate need of a sociopathic overlay to defer any debt due on the terms of its survival. We, as </w:t>
      </w:r>
      <w:r w:rsidRPr="00087A72">
        <w:rPr>
          <w:rStyle w:val="StyleUnderline"/>
        </w:rPr>
        <w:t>settlers, must not know</w:t>
      </w:r>
      <w:r w:rsidRPr="00087A72">
        <w:rPr>
          <w:sz w:val="12"/>
        </w:rPr>
        <w:t>, in any existential or phenomenological sense</w:t>
      </w:r>
      <w:r w:rsidRPr="00087A72">
        <w:rPr>
          <w:rStyle w:val="StyleUnderline"/>
        </w:rPr>
        <w:t>, the price we have exacted</w:t>
      </w:r>
      <w:r w:rsidRPr="00087A72">
        <w:rPr>
          <w:sz w:val="12"/>
        </w:rPr>
        <w:t xml:space="preserve"> from the land, from the Other, or </w:t>
      </w:r>
      <w:r w:rsidRPr="00087A72">
        <w:rPr>
          <w:rStyle w:val="StyleUnderline"/>
        </w:rPr>
        <w:t>from our own desire.</w:t>
      </w:r>
      <w:r w:rsidRPr="00087A72">
        <w:rPr>
          <w:sz w:val="12"/>
        </w:rPr>
        <w:t xml:space="preserve"> Regan6 masterfully elaborates the many denials that underlie contemporary Canadian settler consciousness such as the residential school system and our work here is to provide a theoretical framework to analyze such denials. </w:t>
      </w:r>
      <w:r w:rsidRPr="00087A72">
        <w:rPr>
          <w:rStyle w:val="StyleUnderline"/>
        </w:rPr>
        <w:t>It is the nature of the psychotic delusion of the settler that such knowing must be denied in the fundamental constitution of identity, and any threat to this systematic denial must be met with the highest degree of savagery to sustain our system of paranoiac foreclosure. Under such a foreclosure of knowledge, the settler must believe that history is in the past and that any and all harm, trauma, and associated accountability has no contemporary actuality.</w:t>
      </w:r>
      <w:r w:rsidRPr="00087A72">
        <w:rPr>
          <w:sz w:val="12"/>
        </w:rPr>
        <w:t xml:space="preserve"> The fact that the lands that are currently known as North America have been the home of Indigenous peoples for millennia7 is only of historical interest. It is something to be taught as an event whose time has passed. The reality of an alternative sociocultural ecology of living peoples with significant diversity among their different cultures, societies, and language groups ‘bound together by a perspective that supports a holistic interdependent worldview, communal rights and a commitment to sustainable decision making’ 8 must be glossed over and homogenized into an element of how we as settlers manage multiculturalism or human rights. The history of thousands of years in which Indigenous peoples across Turtle Island9 developed complex and functional systems of politics, economics, education, health, and spirituality10 is to be reductively and selectively denied and subsumed within the discourses that valorize European and American models of democracy and progress. </w:t>
      </w:r>
      <w:r w:rsidRPr="00087A72">
        <w:rPr>
          <w:rStyle w:val="StyleUnderline"/>
        </w:rPr>
        <w:t>Veracini</w:t>
      </w:r>
      <w:r w:rsidRPr="00087A72">
        <w:rPr>
          <w:sz w:val="12"/>
        </w:rPr>
        <w:t xml:space="preserve"> here </w:t>
      </w:r>
      <w:r w:rsidRPr="00087A72">
        <w:rPr>
          <w:rStyle w:val="StyleUnderline"/>
        </w:rPr>
        <w:t>uses the psychoanalytic concept of the primal scene to interpret settler disavowal of Indigenous histories and explain the flipped temporalization which follows when settlers see Indigenous peoples as entering settler space subsequent to the onset of colonization.</w:t>
      </w:r>
      <w:r w:rsidRPr="00087A72">
        <w:rPr>
          <w:sz w:val="12"/>
        </w:rPr>
        <w:t xml:space="preserve">11 Indigenous peoples’ own accounts of their historical origins through creation stories are produced as quaint, antiquated mythological accounts to be measured against anthropological and archeological evidence produced and legitimated by settler science.12 </w:t>
      </w:r>
      <w:r w:rsidRPr="00087A72">
        <w:rPr>
          <w:rStyle w:val="StyleUnderline"/>
        </w:rPr>
        <w:t>The Freudian/Lacanian settler unconscious erases and reconfigures the history of contact to foreground the settler as the origin point for all relations to follow.</w:t>
      </w:r>
      <w:r w:rsidRPr="00087A72">
        <w:rPr>
          <w:sz w:val="12"/>
        </w:rPr>
        <w:t xml:space="preserve"> This maneuver precludes any history of independent ‘intricate systems of political and commercial alliances’ 13 among ethnically and linguistically diverse Indigenous peoples of Turtle Island. The delusional paranoid constructions derived from the repressive apparatus of the settler unconscious produce the history of first contact of Indigenous peoples with Europeans through the telling of John Cabot’s meeting with the Beothuk or the voyages of Christopher Columbus. To derive this construction, the history of Indigenous and non-Indigenous peoples’ interactions across four periods spanning a thousand years14 must be foreclosed and rewritten to create a narrative in which the colonial project of settlement not only is foregrounded but also becomes the only story of consequence. Veracini calls this disavowal of Indigenous presence and history a ‘non-encounter’ that structures settler colonialism. </w:t>
      </w:r>
      <w:r w:rsidRPr="00087A72">
        <w:rPr>
          <w:rStyle w:val="StyleUnderline"/>
        </w:rPr>
        <w:t>As a structure</w:t>
      </w:r>
      <w:r w:rsidRPr="00087A72">
        <w:rPr>
          <w:sz w:val="12"/>
        </w:rPr>
        <w:t xml:space="preserve">, he adds, </w:t>
      </w:r>
      <w:r w:rsidRPr="00087A72">
        <w:rPr>
          <w:rStyle w:val="StyleUnderline"/>
        </w:rPr>
        <w:t>settler colonialism erases the distinction between colony and metropole, and works toward self-fulfillment as a settled state.</w:t>
      </w:r>
      <w:r w:rsidRPr="00087A72">
        <w:rPr>
          <w:sz w:val="12"/>
        </w:rPr>
        <w:t xml:space="preserve">15 In this telling, conquest and settlement are inevitable and the resulting set of relations the only possible outcome. The construction of any history of relationship, however, has significant implications, not just in terms of the accurate reporting of events, but also in the very production of who we settlers imagine ourselves and the Other to be. If we misapprehend and misconstrue, through repression and denial, key constitutive events that compose us affectively through our interactions with others, then the ways in we become subjectified are significantly impoverished. In this sense, the process of reiterating abstract accounts of colonial history as the development of imperial European institutions and policies in a new land sanitizes the actual corporeal encounters between bodies. The production of the subject as settler also inadvertently opens the realm of abstract colonialism by suggesting that </w:t>
      </w:r>
      <w:r w:rsidRPr="00087A72">
        <w:rPr>
          <w:rStyle w:val="StyleUnderline"/>
        </w:rPr>
        <w:t>settler colonialism ‘is different from other forms of colonialism in that settlers come with the intention of making a new home on the land</w:t>
      </w:r>
      <w:r w:rsidRPr="00087A72">
        <w:rPr>
          <w:sz w:val="12"/>
        </w:rPr>
        <w:t xml:space="preserve">, a homemaking that insists on settler sovereignty over all things in their new domain’. 16 Here we have a subtle move away from sovereignty as the province of the imperial state and the introduction of an individuated subject whose modes of dominance, coercion, and appropriation are founded, not on the state, whose interests are of course intertwined, but on the home and family. </w:t>
      </w:r>
      <w:r w:rsidRPr="00087A72">
        <w:rPr>
          <w:rStyle w:val="StyleUnderline"/>
        </w:rPr>
        <w:t>This home and family could be interpreted as the home and family of the</w:t>
      </w:r>
      <w:r w:rsidRPr="00087A72">
        <w:rPr>
          <w:sz w:val="12"/>
        </w:rPr>
        <w:t xml:space="preserve"> Freudian/</w:t>
      </w:r>
      <w:r w:rsidRPr="00087A72">
        <w:rPr>
          <w:rStyle w:val="StyleUnderline"/>
        </w:rPr>
        <w:t>Lacanian</w:t>
      </w:r>
      <w:r w:rsidRPr="00087A72">
        <w:rPr>
          <w:sz w:val="12"/>
        </w:rPr>
        <w:t xml:space="preserve"> Oedipal/phallic </w:t>
      </w:r>
      <w:r w:rsidRPr="00087A72">
        <w:rPr>
          <w:rStyle w:val="StyleUnderline"/>
        </w:rPr>
        <w:t>unconscious. Family and home in the vernacular of psychoanalysis are founded in primary trauma, and the system of rule deployed in relation to such trauma is founded in the phallic assertion of the father and the primary space of lack as desire that is the mother. To produce the home requires an erasure and sublimation of desire and the dialectic productive capacities of lack. To sustain the family and the home, the rule of the father must eradicate and clear all preceding forms of sovereignty and any alternative modes of production. Settler colonialism</w:t>
      </w:r>
      <w:r w:rsidRPr="00087A72">
        <w:rPr>
          <w:sz w:val="12"/>
        </w:rPr>
        <w:t xml:space="preserve">, read as such a system of patriarchal rule, </w:t>
      </w:r>
      <w:r w:rsidRPr="00087A72">
        <w:rPr>
          <w:rStyle w:val="StyleUnderline"/>
        </w:rPr>
        <w:t>is principally about remapping the land and deploying imperial institutions and policies that forcibly erase Indigenous presence</w:t>
      </w:r>
      <w:r w:rsidRPr="00087A72">
        <w:rPr>
          <w:sz w:val="12"/>
        </w:rPr>
        <w:t xml:space="preserve">, traditions, and life from such maps and from the land itself. </w:t>
      </w:r>
      <w:r w:rsidRPr="00087A72">
        <w:rPr>
          <w:rStyle w:val="StyleUnderline"/>
        </w:rPr>
        <w:t>Canada and the USA, as settler colonial states, were predicated on the discourse of terra nullius, empty land. Lawson describes how in almost unending repetition, colonial space is figured as absence, lack, or emptiness.</w:t>
      </w:r>
      <w:r w:rsidRPr="00087A72">
        <w:rPr>
          <w:sz w:val="12"/>
        </w:rPr>
        <w:t xml:space="preserve">17 </w:t>
      </w:r>
      <w:r w:rsidRPr="00087A72">
        <w:rPr>
          <w:rStyle w:val="StyleUnderline"/>
        </w:rPr>
        <w:t>This absence or lack, in Freudian/Lacanian terms, constitutes the land as the feminine and is at the heart of the dialectics of desire that utilizes the anxiety of absence to generate the imaginary and the symbolic. The dialectics of desire is premised on the lack of phenomenological being or</w:t>
      </w:r>
      <w:r w:rsidRPr="00087A72">
        <w:rPr>
          <w:sz w:val="12"/>
        </w:rPr>
        <w:t xml:space="preserve">, in another term, </w:t>
      </w:r>
      <w:r w:rsidRPr="00087A72">
        <w:rPr>
          <w:rStyle w:val="StyleUnderline"/>
        </w:rPr>
        <w:t>the ineffability of coherent subjectivity. Producing a new subject within a new world required symbolically castrating the old world order. The ambivalence of the symbolic patricide of the old order leaves a residue of shame only partially resolved by a symbolic return to the new world as an empty space or pure possibility. If there is no terra nullius, then there is no escape into a utopic future through the murder of the father. However, the father, as European Empire, is not yet dead and demands a rebirth through the symbolic (and literal) rape of the realm of the feminine that is the new world.</w:t>
      </w:r>
      <w:r w:rsidRPr="00087A72">
        <w:rPr>
          <w:sz w:val="12"/>
        </w:rPr>
        <w:t xml:space="preserve"> This complex set of force relations intersects with the existing sets of Indigenous relations in entanglements of old and new, but the dialectic construction of the settler subjectivity is always to be found in the reading of the Indigenous and all colonial others as lack that will provide and provision the empty canvas of the settlement. As Veracini points out </w:t>
      </w:r>
      <w:r w:rsidRPr="00087A72">
        <w:rPr>
          <w:rStyle w:val="StyleUnderline"/>
        </w:rPr>
        <w:t xml:space="preserve">‘only a sustained disavowal of any founding violence can allow a seamless process of territorialisation’. </w:t>
      </w:r>
      <w:r w:rsidRPr="00087A72">
        <w:rPr>
          <w:sz w:val="12"/>
        </w:rPr>
        <w:t xml:space="preserve">18 It is in these terms that we can come to understand how the British and French colonists acknowledged First Nations land occupation when it served their purposes, such as in trade and strategies of war. This dialectical simultaneous appropriation and evisceration of native sovereignty was designed to open a clear field for the establishment of the homeland for the settler to settle. Alfred explains that during conflicts between the French and British in North America, these powers needed the alliances of Indigenous nations to defeat one another and therefore recognized the original sovereignty of Indigenous nations.19 Britain, once it defeated France in the Seven Years War and asserted control over North America, both recognized Indigenous presence through the Royal Proclamation of 1763 and simultaneously initiated a systematic process of removing Indigenous peoples, language, and culture from the land to profit settler institutions and individuals. The Royal Proclamation established British rule of French-claimed territory in North America and determined that the emerging government would have responsibilities to Indigenous peoples, particularly in land and other treaty negotiation. By the late nineteenth century, however, ‘Canada decided to abandon its responsibility to settle Treaties’ 20 and focused instead on a program of assimilation, community dislocation, and genocide. Wesley-Esquimaux and Smolewshi explain that, following the pandemics and wars, ‘there would have been no one to stem the tide of colonialism because so few would have been left standing and those who survived did not have the strength of mind or body’. 21 Already weakened Indigenous communities could not protect themselves from assimilationist policies set out in the Indian Act and enacted through such bodies as the residential school system. Canadian </w:t>
      </w:r>
      <w:r w:rsidRPr="00087A72">
        <w:rPr>
          <w:rStyle w:val="StyleUnderline"/>
        </w:rPr>
        <w:t>settler colonization</w:t>
      </w:r>
      <w:r w:rsidRPr="00087A72">
        <w:rPr>
          <w:sz w:val="12"/>
        </w:rPr>
        <w:t xml:space="preserve">, including land theft, cultural extermination, the forcible removal of children, and the deliberate spread of disease and pandemics, </w:t>
      </w:r>
      <w:r w:rsidRPr="00087A72">
        <w:rPr>
          <w:rStyle w:val="StyleUnderline"/>
        </w:rPr>
        <w:t xml:space="preserve">was responsible for the deaths of up to 90% of the Indigenous population and rendered Indigenous peoples ‘physically, spiritually, emotionally and psychically traumatized by deep and unresolved grief’. </w:t>
      </w:r>
      <w:r w:rsidRPr="00087A72">
        <w:rPr>
          <w:sz w:val="12"/>
        </w:rPr>
        <w:t xml:space="preserve">22 Clearly what we are describing here is a catastrophe, and </w:t>
      </w:r>
      <w:r w:rsidRPr="00087A72">
        <w:rPr>
          <w:rStyle w:val="StyleUnderline"/>
        </w:rPr>
        <w:t>the catastrophe continues today.</w:t>
      </w:r>
      <w:r w:rsidRPr="00087A72">
        <w:rPr>
          <w:sz w:val="12"/>
        </w:rPr>
        <w:t xml:space="preserve"> As Alfred and Corntassel explain, </w:t>
      </w:r>
      <w:r w:rsidRPr="00087A72">
        <w:rPr>
          <w:rStyle w:val="StyleUnderline"/>
        </w:rPr>
        <w:t>contemporary settlers follow the mandate provided for them by their imperial forefathers’ colonial legacy</w:t>
      </w:r>
      <w:r w:rsidRPr="00087A72">
        <w:rPr>
          <w:sz w:val="12"/>
        </w:rPr>
        <w:t xml:space="preserve">, not by attempting to eradicate the physical signs of Indigenous Peoples as human bodies, but by trying to eradicate their existence as peoples through the erasure of the histories and geographies that provide the foundation for Indigenous cultural identities and sense of self.23 In the reading of catastrophe we provided at the beginning of this writing, we identified two ways to manage the affective dislocations of such rupture. Here we see the first in full extension: the appeal to a transcendent outside that delivers us from the contested and contradictory set of relations that compose the catastrophe as immanent event and hence divert our attention from the actuality of rupture. </w:t>
      </w:r>
      <w:r w:rsidRPr="00087A72">
        <w:rPr>
          <w:rStyle w:val="StyleUnderline"/>
        </w:rPr>
        <w:t>To produce the Other as pure abstraction is to reify the Other as lack and deny any material and corporeal actuality to their existence. This erasure of the Other as anything other than a sociopolitical abstraction to be differentially dealt with through juridical, ideological, and biopolitical regimes of control and discipline is an appeal to the transcendent as absolute.</w:t>
      </w:r>
      <w:r w:rsidRPr="00087A72">
        <w:rPr>
          <w:sz w:val="12"/>
        </w:rPr>
        <w:t xml:space="preserve"> Such a move, however, is not without consequence to the settler as subjectivity in relation to the Other.</w:t>
      </w:r>
    </w:p>
    <w:p w:rsidR="007F2DDD" w:rsidRPr="00087A72" w:rsidRDefault="007F2DDD" w:rsidP="00496C79">
      <w:pPr>
        <w:pStyle w:val="Heading3"/>
      </w:pPr>
      <w:r w:rsidRPr="00087A72">
        <w:t>Top Level – Thesis</w:t>
      </w:r>
      <w:r w:rsidR="00450204" w:rsidRPr="00087A72">
        <w:t xml:space="preserve"> (Young)</w:t>
      </w:r>
    </w:p>
    <w:p w:rsidR="007F2DDD" w:rsidRPr="00087A72" w:rsidRDefault="007F2DDD" w:rsidP="007F2DDD">
      <w:pPr>
        <w:pStyle w:val="Heading4"/>
      </w:pPr>
      <w:r w:rsidRPr="00087A72">
        <w:t>The genocide of the Native is the quilting point for the signifiers “politics” and “subjectivity” to adhere itself to meaning. However, unable to obtain perfect completion—that more perfect union—the Political becomes an accelerating cycle of death driven violence.</w:t>
      </w:r>
    </w:p>
    <w:p w:rsidR="007F2DDD" w:rsidRPr="00087A72" w:rsidRDefault="007F2DDD" w:rsidP="007F2DDD">
      <w:r w:rsidRPr="00087A72">
        <w:rPr>
          <w:rStyle w:val="Style13ptBold"/>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95-100) NIJ</w:t>
      </w:r>
    </w:p>
    <w:p w:rsidR="007F2DDD" w:rsidRPr="00087A72" w:rsidRDefault="007F2DDD" w:rsidP="007F2DDD">
      <w:pPr>
        <w:rPr>
          <w:sz w:val="12"/>
        </w:rPr>
      </w:pPr>
      <w:r w:rsidRPr="00087A72">
        <w:rPr>
          <w:sz w:val="12"/>
        </w:rPr>
        <w:t xml:space="preserve">Whiteness, the Child, and the Logics of Futurity Against the politicized topographies and temporalities of indigeneity and race, I now move into a consideration of the contributions of psychoanalytic theory to the questions of politics and time presented thus far. </w:t>
      </w:r>
      <w:r w:rsidRPr="00087A72">
        <w:rPr>
          <w:rStyle w:val="StyleUnderline"/>
        </w:rPr>
        <w:t>The kinds of questions psychoanalysis is interested in asking, the registers upon which it performs analysis, and its unique emphasis on temporality, language, and difference provide an excellent conceptual apparatus through which we might begin to trouble/problematize stable, taken-for-granted oppositions between psychic and social, personal and political, self and other.</w:t>
      </w:r>
      <w:r w:rsidRPr="00087A72">
        <w:rPr>
          <w:sz w:val="12"/>
        </w:rPr>
        <w:t xml:space="preserve"> Freud’s interest in time is evident in his work on the uncanny, and in his inaugural work on what we might now call trauma studies and conditions we now call post-traumatic stress disorder (PTSD). For Freud, this theory of hysteria introduces a provocative temporality in which traumatic events reoccur, flashing up in perfect replication of themselves, as though happening again and again. In his diagnosis of so-called shell-shocked soldiers returning from World War I, Freud was keenly aware that time did not always progress along an even plane. Though Freud’s analysis of trauma is captivating and critically rich, it is not within my purview here to take on the full extent of this scholarship. Instead, what is most salient to my analysis are the capacities of psychoanalytic theory to move critique outside and beyond prevailing notions of time and narratives of progress that only mean moving forward. This chapter writes from a stance that views it as imperative that scholarship reaches beyond, and thinks outside, the paradigms that invented it. </w:t>
      </w:r>
      <w:r w:rsidRPr="00087A72">
        <w:rPr>
          <w:rStyle w:val="StyleUnderline"/>
        </w:rPr>
        <w:t>Psychoanalytic theory, with its idiosyncratic temporal logics</w:t>
      </w:r>
      <w:r w:rsidRPr="00087A72">
        <w:rPr>
          <w:sz w:val="12"/>
        </w:rPr>
        <w:t>—particularly in conjunction with Foucauldian theory—</w:t>
      </w:r>
      <w:r w:rsidRPr="00087A72">
        <w:rPr>
          <w:rStyle w:val="StyleUnderline"/>
        </w:rPr>
        <w:t>offers a productive and robust way to critique the continuing primacy of normative disciplines whose chronologics have historically warranted a politics that kills in the name of life. Such an approach allows us to hold in productive tension any definition of “the political” as stable and finite, with—as in the case of liberal political philosophy—the legally constructed “person” as its primary epistemological unit. This conceptual capacity of psychoanalysis</w:t>
      </w:r>
      <w:r w:rsidRPr="00087A72">
        <w:rPr>
          <w:sz w:val="12"/>
        </w:rPr>
        <w:t xml:space="preserve">, in turn, </w:t>
      </w:r>
      <w:r w:rsidRPr="00087A72">
        <w:rPr>
          <w:rStyle w:val="StyleUnderline"/>
        </w:rPr>
        <w:t>allows us to politicize a form of life and modality of corporeal personhood hitherto constructed as what</w:t>
      </w:r>
      <w:r w:rsidRPr="00087A72">
        <w:rPr>
          <w:sz w:val="12"/>
        </w:rPr>
        <w:t xml:space="preserve">, in Bataillean parlance, </w:t>
      </w:r>
      <w:r w:rsidRPr="00087A72">
        <w:rPr>
          <w:rStyle w:val="StyleUnderline"/>
        </w:rPr>
        <w:t>we might call colonialism’s accursed share—colonialism’s pure waste.</w:t>
      </w:r>
      <w:r w:rsidRPr="00087A72">
        <w:rPr>
          <w:sz w:val="12"/>
        </w:rPr>
        <w:t xml:space="preserve"> Additionally, </w:t>
      </w:r>
      <w:r w:rsidRPr="00087A72">
        <w:rPr>
          <w:rStyle w:val="StyleUnderline"/>
        </w:rPr>
        <w:t>psychoanalytic notions of the death drive, whose proper movement is explicitly circular, allows us to begin to locate the child within logics of futurity, onto which is laminated a kind of indelible whiteness.</w:t>
      </w:r>
      <w:r w:rsidRPr="00087A72">
        <w:rPr>
          <w:sz w:val="12"/>
        </w:rPr>
        <w:t xml:space="preserve"> For the purpose of my analysis I engage Lacanian psychoanalysis, limiting myself to a consideration of the structure of the drives and to a Lacanian conceptualization of language, and its role in the formation of self and the suturing of the psyche to sociality. Freud, as Teresa De Lauretis (2008) emphasizes, elaborated the death drive between the First and Second World Wars, in a Europe living “under the shadow of death and the threat of biological and cultural genocide” (1). Situating her analysis of the death drive in the contemporary moment, De Lauretis points to this contextual, historical darkening, writing: “I wonder whether our epistemologies can sustain the impact of the real … If I return to Freud’s notion of an unconscious death drive, it is because it conveys the sense and the force of something in human reality that resists discursive articulation as well as political diplomacy, an otherness that haunts the dream of a common world” (9). Using psychoanalysis as reading practice, Freud’s suspicion that human life, both individual and social, is compromised from the beginning by something that undermines it, works against it, is (darkly?) generative. </w:t>
      </w:r>
      <w:r w:rsidRPr="00087A72">
        <w:rPr>
          <w:rStyle w:val="StyleUnderline"/>
        </w:rPr>
        <w:t>The death drive indicates a tension bordering psychic and libidinal relations, which marks Freud’s radical break with Cartesian rationality and points to a negativity that counteracts the optimistic affirmations of human perfectability. This dimension of radical negativity cannot be reduced to an expression of alienated social conditions, nor is it entirely something the body does on its own.</w:t>
      </w:r>
      <w:r w:rsidRPr="00087A72">
        <w:rPr>
          <w:sz w:val="12"/>
        </w:rPr>
        <w:t xml:space="preserve"> Theorized as the destruction drive, the antagonism drive, or sometimes, simply “the drive,” </w:t>
      </w:r>
      <w:r w:rsidRPr="00087A72">
        <w:rPr>
          <w:rStyle w:val="StyleUnderline"/>
        </w:rPr>
        <w:t>it is impossible to escape.</w:t>
      </w:r>
      <w:r w:rsidRPr="00087A72">
        <w:rPr>
          <w:sz w:val="12"/>
        </w:rPr>
        <w:t xml:space="preserve"> In psychoanalytic theory, therefore, particularly in the clinical setting, </w:t>
      </w:r>
      <w:r w:rsidRPr="00087A72">
        <w:rPr>
          <w:rStyle w:val="StyleUnderline"/>
        </w:rPr>
        <w:t>the objective is not to overcome the drive, but rather to come to terms with it, in</w:t>
      </w:r>
      <w:r w:rsidRPr="00087A72">
        <w:rPr>
          <w:sz w:val="12"/>
        </w:rPr>
        <w:t xml:space="preserve"> what Slovenian Lacanian psychoanalytic theorist Slavoj Žižek (1989) calls </w:t>
      </w:r>
      <w:r w:rsidRPr="00087A72">
        <w:rPr>
          <w:rStyle w:val="StyleUnderline"/>
        </w:rPr>
        <w:t xml:space="preserve">“its terrifying dimension” </w:t>
      </w:r>
      <w:r w:rsidRPr="00087A72">
        <w:rPr>
          <w:sz w:val="12"/>
        </w:rPr>
        <w:t xml:space="preserve">(4). </w:t>
      </w:r>
      <w:r w:rsidRPr="00087A72">
        <w:rPr>
          <w:rStyle w:val="StyleUnderline"/>
        </w:rPr>
        <w:t>It is a fundamental axiom of Lacanian psychoanalytic theory that attempts to abolish the drive antagonism are precisely the source of totalitarian temptation.</w:t>
      </w:r>
      <w:r w:rsidRPr="00087A72">
        <w:rPr>
          <w:sz w:val="12"/>
        </w:rPr>
        <w:t xml:space="preserve"> Žižek writes: </w:t>
      </w:r>
      <w:r w:rsidRPr="00087A72">
        <w:rPr>
          <w:rStyle w:val="StyleUnderline"/>
        </w:rPr>
        <w:t>“The greatest mass murders and holocausts have always been perpetrated in the name of man as harmonious being, of a New Man without antagonistic tension”</w:t>
      </w:r>
      <w:r w:rsidRPr="00087A72">
        <w:rPr>
          <w:sz w:val="12"/>
        </w:rPr>
        <w:t xml:space="preserve"> (5). </w:t>
      </w:r>
      <w:r w:rsidRPr="00087A72">
        <w:rPr>
          <w:rStyle w:val="StyleUnderline"/>
        </w:rPr>
        <w:t>So it is that</w:t>
      </w:r>
      <w:r w:rsidRPr="00087A72">
        <w:rPr>
          <w:sz w:val="12"/>
        </w:rPr>
        <w:t xml:space="preserve"> one of Canada’s greatest atrocities— </w:t>
      </w:r>
      <w:r w:rsidRPr="00087A72">
        <w:rPr>
          <w:rStyle w:val="StyleUnderline"/>
        </w:rPr>
        <w:t>the genocide of its First Peoples—took place in the name o</w:t>
      </w:r>
      <w:r w:rsidRPr="00087A72">
        <w:rPr>
          <w:sz w:val="12"/>
        </w:rPr>
        <w:t xml:space="preserve">f Canada itself, that sought </w:t>
      </w:r>
      <w:r w:rsidRPr="00087A72">
        <w:rPr>
          <w:rStyle w:val="StyleUnderline"/>
        </w:rPr>
        <w:t>progress and unification as a single body politic with claims on a shared futurity.</w:t>
      </w:r>
      <w:r w:rsidRPr="00087A72">
        <w:rPr>
          <w:sz w:val="12"/>
        </w:rPr>
        <w:t xml:space="preserve"> The fulfillment of this destiny relied upon the negation of the other, the bad race, the dangerous race, the race that stood outside the purview of the norm and had no share in its time-zone, the ones called to live in the between space—as nobody. </w:t>
      </w:r>
      <w:r w:rsidRPr="00087A72">
        <w:rPr>
          <w:rStyle w:val="StyleUnderline"/>
        </w:rPr>
        <w:t>As the relatively more benign civilization policies failed to convert Aboriginal forms of life into separate but civilized</w:t>
      </w:r>
      <w:r w:rsidRPr="00087A72">
        <w:rPr>
          <w:sz w:val="12"/>
        </w:rPr>
        <w:t xml:space="preserve">, Christian communities on reserves, </w:t>
      </w:r>
      <w:r w:rsidRPr="00087A72">
        <w:rPr>
          <w:rStyle w:val="StyleUnderline"/>
        </w:rPr>
        <w:t>the federal government intensified its tactics. Policies became more aggressive. As these more aggressive policies</w:t>
      </w:r>
      <w:r w:rsidRPr="00087A72">
        <w:rPr>
          <w:sz w:val="12"/>
        </w:rPr>
        <w:t xml:space="preserve"> (such as enfranchisement) </w:t>
      </w:r>
      <w:r w:rsidRPr="00087A72">
        <w:rPr>
          <w:rStyle w:val="StyleUnderline"/>
        </w:rPr>
        <w:t>also failed, the federal government intensified its tactics once again, escalating the stakes and the strategies towards the horizon of assimilation. This ‘doubling down’ in the face of failure is a primary trace effect of the death drive, and indeed, it is not unreasonable to argue that the federal government Indian policy has, since confederation, been death driven. Because the aim of fully eradicating the otherness of the other can only fail</w:t>
      </w:r>
      <w:r w:rsidRPr="00087A72">
        <w:rPr>
          <w:sz w:val="12"/>
        </w:rPr>
        <w:t>—in Freudian parlance, it cannot be mastered—</w:t>
      </w:r>
      <w:r w:rsidRPr="00087A72">
        <w:rPr>
          <w:rStyle w:val="StyleUnderline"/>
        </w:rPr>
        <w:t>the trajectory of the aiming turns in a circularity, orbiting around that which can never be had: perfection. Caught in death drive circularity, the aiming towards the objective</w:t>
      </w:r>
      <w:r w:rsidRPr="00087A72">
        <w:rPr>
          <w:sz w:val="12"/>
        </w:rPr>
        <w:t xml:space="preserve"> (i.e. a unified body politic) </w:t>
      </w:r>
      <w:r w:rsidRPr="00087A72">
        <w:rPr>
          <w:rStyle w:val="StyleUnderline"/>
        </w:rPr>
        <w:t>authorizes, and indeed recruits, escalating violence in the interest of—finally—closing the open.</w:t>
      </w:r>
      <w:r w:rsidRPr="00087A72">
        <w:rPr>
          <w:sz w:val="12"/>
        </w:rPr>
        <w:t xml:space="preserve"> For Žižek, </w:t>
      </w:r>
      <w:r w:rsidRPr="00087A72">
        <w:rPr>
          <w:rStyle w:val="StyleUnderline"/>
        </w:rPr>
        <w:t>this compulsive ‘doubling-down’ in the face of failure to arrive at the impossible horizon of perfection tips towards totalitarian temptation, which</w:t>
      </w:r>
      <w:r w:rsidRPr="00087A72">
        <w:rPr>
          <w:sz w:val="12"/>
        </w:rPr>
        <w:t xml:space="preserve">, he tells us, </w:t>
      </w:r>
      <w:r w:rsidRPr="00087A72">
        <w:rPr>
          <w:rStyle w:val="StyleUnderline"/>
        </w:rPr>
        <w:t>is implicated in the drive to unify a singular body politic, a new man without antagonistic tension. The drive aims for the return to a moment of unity before the intrusion of language and the entrance of the subject into what Lacan calls the Symbolic—the universe of symbols in which all human subjects share. Because this economy of signifiers operates through a modality of difference by association, on the premise that language does not reflect or carry within it universal a priori meaning, spirit, or Truth, signifiers are always and already sliding along a chain of signification that is never truly fixed.</w:t>
      </w:r>
      <w:r w:rsidRPr="00087A72">
        <w:rPr>
          <w:sz w:val="12"/>
        </w:rPr>
        <w:t xml:space="preserve"> Rather, for Lacan, </w:t>
      </w:r>
      <w:r w:rsidRPr="00087A72">
        <w:rPr>
          <w:rStyle w:val="StyleUnderline"/>
        </w:rPr>
        <w:t>meaning is constructed through quilting points, durable concepts that affix ideas to their signifiers and which, in their durability, structure entire fields of meaning.</w:t>
      </w:r>
      <w:r w:rsidRPr="00087A72">
        <w:rPr>
          <w:sz w:val="12"/>
        </w:rPr>
        <w:t xml:space="preserve"> For Lacan, </w:t>
      </w:r>
      <w:r w:rsidRPr="00087A72">
        <w:rPr>
          <w:rStyle w:val="StyleUnderline"/>
        </w:rPr>
        <w:t>subjects are formed by their entrance into this system of sliding difference from a pre-linguistic state retroactively constructed through nostalgic affective associations with unity, perfection, and completion. The loss or lack occurs in the imaginary, the order of presence and absence, and is formalized in the symbolic. This is experienced by the subject as a loss of that to which she/he can never again return, but for which she/he perpetually yearns, and toward which she/he perpetually moves. The circularity of movement toward this impossible horizon is precisely the movement of the drive.</w:t>
      </w:r>
      <w:r w:rsidRPr="00087A72">
        <w:rPr>
          <w:sz w:val="12"/>
        </w:rPr>
        <w:t xml:space="preserve"> It is my argument that the concept of </w:t>
      </w:r>
      <w:r w:rsidRPr="00087A72">
        <w:rPr>
          <w:rStyle w:val="Emphasis"/>
        </w:rPr>
        <w:t>“the Indian” is a quilting point through which the field of politics</w:t>
      </w:r>
      <w:r w:rsidRPr="00087A72">
        <w:rPr>
          <w:sz w:val="12"/>
        </w:rPr>
        <w:t xml:space="preserve"> in Canada </w:t>
      </w:r>
      <w:r w:rsidRPr="00087A72">
        <w:rPr>
          <w:rStyle w:val="Emphasis"/>
        </w:rPr>
        <w:t>is sutured into signification, a durable concept that organizes the meaning of nation, citizen, sovereignty, and subjecthood.</w:t>
      </w:r>
      <w:r w:rsidRPr="00087A72">
        <w:rPr>
          <w:sz w:val="12"/>
        </w:rPr>
        <w:t xml:space="preserve"> Further, </w:t>
      </w:r>
      <w:r w:rsidRPr="00087A72">
        <w:rPr>
          <w:rStyle w:val="StyleUnderline"/>
        </w:rPr>
        <w:t>the hypoxic vision of national unity and a harmonious white(ned) citizenry is a movement propelled by the drive, a circularity impelled by the belief that what is lacking in the present can be made good in the future—an imaginary that activates/harnesses a kind of libidinal energy that is, by its very nature, inexhaustible. It matters, in the instance of the</w:t>
      </w:r>
      <w:r w:rsidRPr="00087A72">
        <w:rPr>
          <w:sz w:val="12"/>
        </w:rPr>
        <w:t xml:space="preserve"> Canadian </w:t>
      </w:r>
      <w:r w:rsidRPr="00087A72">
        <w:rPr>
          <w:rStyle w:val="StyleUnderline"/>
        </w:rPr>
        <w:t>Indian Residential Schools</w:t>
      </w:r>
      <w:r w:rsidRPr="00087A72">
        <w:rPr>
          <w:sz w:val="12"/>
        </w:rPr>
        <w:t xml:space="preserve"> and their mandate, </w:t>
      </w:r>
      <w:r w:rsidRPr="00087A72">
        <w:rPr>
          <w:rStyle w:val="StyleUnderline"/>
        </w:rPr>
        <w:t>that before child subjects enter into the structuration of language/the Symbolic, their bodies are already marked as disprized, abject, inscribed into the signification for, and</w:t>
      </w:r>
      <w:r w:rsidRPr="00087A72">
        <w:rPr>
          <w:sz w:val="12"/>
        </w:rPr>
        <w:t xml:space="preserve">, I argue, </w:t>
      </w:r>
      <w:r w:rsidRPr="00087A72">
        <w:rPr>
          <w:rStyle w:val="StyleUnderline"/>
        </w:rPr>
        <w:t>as, loss itself.</w:t>
      </w:r>
      <w:r w:rsidRPr="00087A72">
        <w:rPr>
          <w:sz w:val="12"/>
        </w:rPr>
        <w:t xml:space="preserve"> As I have argued above, reading through psychoanalytic theory facilitates a conceptualization of subject-formation that includes the role of signification in the contouring of subject/ivities. This analytic rubric is importantly brought to bear in my analysis of “the child” the Canadian Indian Residential School System announces into presence: </w:t>
      </w:r>
      <w:r w:rsidRPr="00087A72">
        <w:rPr>
          <w:rStyle w:val="StyleUnderline"/>
        </w:rPr>
        <w:t>a child fundamentally and constitutively tied to a death whose temporal structure is always deferred, always impartial, always unfolding, and yet always still to be.</w:t>
      </w:r>
      <w:r w:rsidRPr="00087A72">
        <w:rPr>
          <w:sz w:val="12"/>
        </w:rPr>
        <w:t xml:space="preserve"> Indeed, </w:t>
      </w:r>
      <w:r w:rsidRPr="00087A72">
        <w:rPr>
          <w:rStyle w:val="StyleUnderline"/>
        </w:rPr>
        <w:t>even in circumstances in which her/his mode of being in the world is not a deliberate practice of making- spectral, “the child” remains a notoriously ambivalent, slippery signifier. This plasticity</w:t>
      </w:r>
      <w:r w:rsidRPr="00087A72">
        <w:rPr>
          <w:sz w:val="12"/>
        </w:rPr>
        <w:t>—differently stated, this over-abundant availability of “the child” as concept—</w:t>
      </w:r>
      <w:r w:rsidRPr="00087A72">
        <w:rPr>
          <w:rStyle w:val="StyleUnderline"/>
        </w:rPr>
        <w:t>takes on an interesting significance within political thought, functioning not as that which is politicized, but as the signifier in whose name the political mobilizes itself.</w:t>
      </w:r>
      <w:r w:rsidRPr="00087A72">
        <w:rPr>
          <w:sz w:val="12"/>
        </w:rPr>
        <w:t xml:space="preserve"> In this way, </w:t>
      </w:r>
      <w:r w:rsidRPr="00087A72">
        <w:rPr>
          <w:rStyle w:val="StyleUnderline"/>
        </w:rPr>
        <w:t>the child functions as the absolute outside to political thought and the logics of its temporality, functioning instead to condition its possibilities and organize, from beyond its borders, its spatial and temporal limits.</w:t>
      </w:r>
      <w:r w:rsidRPr="00087A72">
        <w:rPr>
          <w:sz w:val="12"/>
        </w:rPr>
        <w:t xml:space="preserve"> An example of this conceptualization of the child as signifier—and certainly one of the more provocative articulations of this phenomena in the contemporary neoliberal moment—is the polemic Lee develops in his monograph No Future: Queer Theory and the Death Drive. For Edelman, the Child—in its conflation with the kind of futurity toward which the teleology of (neo)liberal discourse is mobilized—is not simply important to contemporary politics, but is that which “serves to regulate political discourse [itself]” (ii). Indeed, as Edelman points out, “the figural Child alone embodies the citizen as ideal, entitled to claim full rights to its future share in the nation’s good, though always at the cost of limiting the rights ‘real’ citizens are allowed. For the social exists to preserve for this universalized subject, this fantasmatic Child, a national freedom more highly valued than the actuality of freedom itself” (ii). In Edelman’s polemic, </w:t>
      </w:r>
      <w:r w:rsidRPr="00087A72">
        <w:rPr>
          <w:rStyle w:val="Emphasis"/>
        </w:rPr>
        <w:t>it goes without saying that the figural child is a white child</w:t>
      </w:r>
      <w:r w:rsidRPr="00087A72">
        <w:rPr>
          <w:sz w:val="12"/>
        </w:rPr>
        <w:t xml:space="preserve"> and that children of colour, children of mixed heritage, </w:t>
      </w:r>
      <w:r w:rsidRPr="00087A72">
        <w:rPr>
          <w:rStyle w:val="StyleUnderline"/>
        </w:rPr>
        <w:t>Indian children</w:t>
      </w:r>
      <w:r w:rsidRPr="00087A72">
        <w:rPr>
          <w:sz w:val="12"/>
        </w:rPr>
        <w:t xml:space="preserve">—within the Ideological State Apparatus of the Indian Residential Schools—far from carrying the over-abundant significance Edelman so adeptly parses, signify on only the most spectral of registers. This child, I argue, as a kind of spectral(ized) partial subject, </w:t>
      </w:r>
      <w:r w:rsidRPr="00087A72">
        <w:rPr>
          <w:rStyle w:val="StyleUnderline"/>
        </w:rPr>
        <w:t>instantiates a subjectivity simultaneously over-exposed to the political and over-determined by the word of the law, while barely accorded even the status of bare life. This is a subject that is hailed into a circularity of misrecognition in a relationship with death that is virtually inescapable. This relationship with death is the suture that connects this subject to the social.</w:t>
      </w:r>
      <w:r w:rsidRPr="00087A72">
        <w:rPr>
          <w:sz w:val="12"/>
        </w:rPr>
        <w:t xml:space="preserve"> Edelman’s argument does not address racialized formations of self-hood, but is no less relevant to the argument I seek to develop here. Indeed, it is perhaps all the keener in what it omits—which is the child of color. This omission points to the level of signification and the way in which the whitened child is effortlessly lifted from the problematically raced body—the body whose racialized status is found problematic. This fantasy of purification through signification speaks, in ways that are eloquent and disturbing in equal measure, precisely the fantasy of the Canadian Indian Residential School System: that the body of the Indian could be left behind in a transcendent movement away from the vexatious quagmire posed by the Indian body toward the realm of what Kantian philosophy calls pure spirit, the realm of whiteness, purity, and hypoxic visions of what Edelman calls, “a national freedom more highly valued than the actuality of freedom itself” (ii). This fantasy of corporeal abandonment points to the latent desire of Western philosophical thought that seeks, through the disavowal of bodily finitude and a fetishization of the logos, access to purity of form, a fantasy that relegates, leaves trapped, the sometimes racialized, sometimes feminized other, mired in flesh and finitude from which it is allowed no escape. </w:t>
      </w:r>
      <w:r w:rsidRPr="00087A72">
        <w:rPr>
          <w:rStyle w:val="StyleUnderline"/>
        </w:rPr>
        <w:t>The Indigenous person</w:t>
      </w:r>
      <w:r w:rsidRPr="00087A72">
        <w:rPr>
          <w:sz w:val="12"/>
        </w:rPr>
        <w:t xml:space="preserve">, we remember from Hegel’s Lectures on the Philosophy of World History, </w:t>
      </w:r>
      <w:r w:rsidRPr="00087A72">
        <w:rPr>
          <w:rStyle w:val="StyleUnderline"/>
        </w:rPr>
        <w:t>is imagined as always already outside the teleology of history, already extinct. This way of understanding difference, through the rubric of historical progress, remains central to liberal and neoliberal political thought, economic practices, and policies in the current moment.</w:t>
      </w:r>
      <w:r w:rsidRPr="00087A72">
        <w:rPr>
          <w:sz w:val="12"/>
        </w:rPr>
        <w:t xml:space="preserve"> Prising the child away from the Indian, meanwhile, continues to have important implications in the way we imagine colonial forms, not only of life, but also of death.</w:t>
      </w:r>
    </w:p>
    <w:p w:rsidR="007F2DDD" w:rsidRPr="00087A72" w:rsidRDefault="007F2DDD" w:rsidP="007F2DDD">
      <w:pPr>
        <w:pStyle w:val="Heading4"/>
      </w:pPr>
      <w:r w:rsidRPr="00087A72">
        <w:t>The process of the coming-into-being of the world is a settler colonial process by which the Indian is yoked to death and framed by the interpellative call-t0-die.</w:t>
      </w:r>
    </w:p>
    <w:p w:rsidR="007F2DDD" w:rsidRPr="00087A72" w:rsidRDefault="007F2DDD" w:rsidP="007F2DDD">
      <w:r w:rsidRPr="00087A72">
        <w:rPr>
          <w:rStyle w:val="Style13ptBold"/>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12-16) NIJ</w:t>
      </w:r>
    </w:p>
    <w:p w:rsidR="007F2DDD" w:rsidRPr="00087A72" w:rsidRDefault="007F2DDD" w:rsidP="007F2DDD">
      <w:pPr>
        <w:rPr>
          <w:u w:val="single"/>
        </w:rPr>
      </w:pPr>
      <w:r w:rsidRPr="00087A72">
        <w:rPr>
          <w:rStyle w:val="StyleUnderline"/>
        </w:rPr>
        <w:t>What does it mean, to “kill the Indian in the child?” What kind of death does this ordinance mandate? What kind of life does it inaugurate?</w:t>
      </w:r>
      <w:r w:rsidRPr="00087A72">
        <w:rPr>
          <w:sz w:val="12"/>
        </w:rPr>
        <w:t xml:space="preserve"> This dissertation, on the Canadian Indian Residential School System, writes into the ambiguous, paradoxical, world-making violence of the IRS mandate: “Kill the Indian in the Child.” Subtending the one hundred and twenty-year history of residential schooling in Canada, </w:t>
      </w:r>
      <w:r w:rsidRPr="00087A72">
        <w:rPr>
          <w:rStyle w:val="StyleUnderline"/>
        </w:rPr>
        <w:t>the directive to kill on the one hand and save on the other has an uncertain provenance.</w:t>
      </w:r>
      <w:r w:rsidRPr="00087A72">
        <w:rPr>
          <w:sz w:val="12"/>
        </w:rPr>
        <w:t xml:space="preserve"> It is often and incorrectly attributed to Duncan Campbell Scott, who oversaw residential schools at the height of their brutality toward Aboriginal peoples in the 1920’s and 1930’s. 12 Some critics (e.g., Mark Abley, Scott’s biographer) attribute it to an American military officer. Regardless of its indeterminate origin, the phrase was, and is, emblematic of the IRS, whose design was to eradicate Indianness, thereby expanding civility. A remarkably durable fragment of historical rhetoric, the slogan is referenced in virtually every contemporary account of Canadian Indian residential schooling. As the epigraph to this chapter section indicates, the TRC Final Report on the IRS foregrounds the phrase in their introduction to Indian Residential Schools. More colloquial texts (e.g., Wikipedia) place it front and center in the IRS histories they offer. In nearly every instance, the phrase simply arrives in the text and sits there as given. I have yet to see an account of the IRS that offers a convincing citational account for its origin. The phrase is widely accepted as the guiding ethos, what I call the quo animo, of the IRS and the horizon of expanded ‘citizenship’ towards which it so violently operated. Circulating as a mythic utterance without an origin, </w:t>
      </w:r>
      <w:r w:rsidRPr="00087A72">
        <w:rPr>
          <w:rStyle w:val="StyleUnderline"/>
        </w:rPr>
        <w:t xml:space="preserve">the phrase is untimely, telling, materializing. </w:t>
      </w:r>
      <w:r w:rsidRPr="00087A72">
        <w:rPr>
          <w:rStyle w:val="Emphasis"/>
        </w:rPr>
        <w:t>Its continued presence at once establishes the centrality of killing in the colonial project of nation-making, and identifies the death of the non-European native other as a necessary, even optimal, outcome of colonial worlding.</w:t>
      </w:r>
      <w:r w:rsidRPr="00087A72">
        <w:rPr>
          <w:rStyle w:val="StyleUnderline"/>
        </w:rPr>
        <w:t xml:space="preserve"> Precisely because it cannot be ascribed/anchored to a specific speaker in/at a specific moment in time, the fantasy of eradication it indexes cannot be foreclosed as an anachronistic artifact of a racist epoch now past.</w:t>
      </w:r>
      <w:r w:rsidRPr="00087A72">
        <w:rPr>
          <w:sz w:val="12"/>
        </w:rPr>
        <w:t xml:space="preserve"> Likewise, anchoring it to ‘an unfortunately misguided speaker’ (e.g., Duncan Campbell Scott) cannot contain it. As I engage it here, </w:t>
      </w:r>
      <w:r w:rsidRPr="00087A72">
        <w:rPr>
          <w:rStyle w:val="StyleUnderline"/>
        </w:rPr>
        <w:t>the phrase has material force, functioning as an original, generative, interpellative speech-act: an inaugural site in the formation of Indianness</w:t>
      </w:r>
      <w:r w:rsidRPr="00087A72">
        <w:rPr>
          <w:sz w:val="12"/>
        </w:rPr>
        <w:t xml:space="preserve">, childhood, life, and death in Canada. </w:t>
      </w:r>
      <w:r w:rsidRPr="00087A72">
        <w:rPr>
          <w:rStyle w:val="StyleUnderline"/>
        </w:rPr>
        <w:t xml:space="preserve">Under its auspices, being “Indian” placed one under the totalizing authority of colonial sovereign dominion, whose worlding capacities had the puissance (the valence of power that indicates force, as in strength or might) and pouvoir (the valence of power that indicates political authority, the right to decide/rule) to </w:t>
      </w:r>
      <w:r w:rsidRPr="00087A72">
        <w:rPr>
          <w:rStyle w:val="Emphasis"/>
        </w:rPr>
        <w:t>constitute Indianness as inextricably joined with death.</w:t>
      </w:r>
      <w:r w:rsidRPr="00087A72">
        <w:rPr>
          <w:sz w:val="12"/>
        </w:rPr>
        <w:t xml:space="preserve"> 13 </w:t>
      </w:r>
      <w:r w:rsidRPr="00087A72">
        <w:rPr>
          <w:rStyle w:val="StyleUnderline"/>
        </w:rPr>
        <w:t>It signaled the impossibility of being both Indian and child, since one was marked for dying and the other for saving. Simultaneously, it reinforced colonial sovereignty, guaranteeing the sovereign right of the nation both to kill and to let live, and extended these rights over life and death into the power to decide when and who to ‘save,’ and how to ‘save’ them. It marked ‘Indians’ as bodies unfit for self-governance and self- regulation.</w:t>
      </w:r>
      <w:r w:rsidRPr="00087A72">
        <w:rPr>
          <w:sz w:val="12"/>
        </w:rPr>
        <w:t xml:space="preserve"> As it enters the present work, the IRS quo amino makes visible the aggressiveness within liberal discourses on legitimate citizenship, and foreshadows the privileging in the contemporary moment of what Lee Edelman describes as the all-pervasive figure of the (white) Child as the linchpin of our current universal politics of reproductive furturism. 14 Finally, and of central importance to the work at hand, it points to the way in which </w:t>
      </w:r>
      <w:r w:rsidRPr="00087A72">
        <w:rPr>
          <w:rStyle w:val="StyleUnderline"/>
        </w:rPr>
        <w:t xml:space="preserve">the colonial commonsense figures Indianness as always outside the state, or body politic, and the sheltering protections and rights it offers. </w:t>
      </w:r>
      <w:r w:rsidRPr="00087A72">
        <w:rPr>
          <w:sz w:val="12"/>
        </w:rPr>
        <w:t xml:space="preserve">Recent scholarship and media coverage of the IRS, particularly in the wake of the seven-year TRC inquiry, has focused on naming and describing specific instances of abuse, ascribing institutional responsibility, and demanding accountability from responsible parties. This is necessary and significant work. However, the mechanisms through which the category of “the Indian” was pried from the “the child”—by which the former was deemed killable, and her/his death deemed necessary for the health, betterment, and survival of the latter—remain under-examined. My dissertation intervenes into the racialized, racializing, and lethal violence that provides for the sustentation of the IRS, and underwrites its quo animo. Though this violence can at times be subterranean, my argument is that it nonetheless secures social relations and manifests within the everyday: both historically, and in our current moment. Accordingly, the dissertation tries to show the (sometimes unexpected) ways the semantic object, “killing the Indian in the child,” is sliced into its composite parts, “the Indian” and “the child,” along a number of axes. Nearly all of these ‘severings’ occur within the register of everyday speech and everyday scenes, through the language and deeds of ordinary people. </w:t>
      </w:r>
      <w:r w:rsidRPr="00087A72">
        <w:rPr>
          <w:rStyle w:val="StyleUnderline"/>
        </w:rPr>
        <w:t>My analysis into the world-making violence that constitutes what it means to be Indian</w:t>
      </w:r>
      <w:r w:rsidRPr="00087A72">
        <w:rPr>
          <w:sz w:val="12"/>
        </w:rPr>
        <w:t xml:space="preserve"> in the era of the IRS and following, </w:t>
      </w:r>
      <w:r w:rsidRPr="00087A72">
        <w:rPr>
          <w:rStyle w:val="StyleUnderline"/>
        </w:rPr>
        <w:t>attends to Saidiya Hartman’s exploration of racial subjugation during slavery and its aftermath.</w:t>
      </w:r>
      <w:r w:rsidRPr="00087A72">
        <w:rPr>
          <w:sz w:val="12"/>
        </w:rPr>
        <w:t xml:space="preserve"> In her book, Scenes of Subjection: Terror, Slavery, and Self-making in Nineteenth Century America, </w:t>
      </w:r>
      <w:r w:rsidRPr="00087A72">
        <w:rPr>
          <w:rStyle w:val="StyleUnderline"/>
        </w:rPr>
        <w:t>Hartman focuses on forms of domination that often go undetected, in particular the encroachments of power that take place through the notions of humanity, enjoyment, protection, rights, and consent.</w:t>
      </w:r>
      <w:r w:rsidRPr="00087A72">
        <w:rPr>
          <w:sz w:val="12"/>
        </w:rPr>
        <w:t xml:space="preserve"> Hartman resists spectacularizing black pain, arguing that the violent complexity that unfolds in familiar, sensational accounts of black suffering play out no less complexly in everyday scenes. By situating her analysis at points at which the lethal, racial, racializing violence of black pain seem almost imperceptible, she shows that the vanishing point of theory and representations of suffering bodies is a rich and important site for analysis. </w:t>
      </w:r>
      <w:r w:rsidRPr="00087A72">
        <w:rPr>
          <w:rStyle w:val="StyleUnderline"/>
        </w:rPr>
        <w:t>My own analysis of Indigenous child suffering attempts to locate the lethality of colonial worldings where only the barest outline of presence remains. By striving to follow the violence colonial archives have endeavored to nullify, palliate, tamp down, my aim is to contribute to the legacy of Hartman’s call to write the suffering of bodies without ontologizing them, or over-exposing them to the same world-defining violence that attempted to shatter them.</w:t>
      </w:r>
      <w:r w:rsidRPr="00087A72">
        <w:rPr>
          <w:sz w:val="12"/>
        </w:rPr>
        <w:t xml:space="preserve"> </w:t>
      </w:r>
      <w:r w:rsidRPr="00087A72">
        <w:rPr>
          <w:rStyle w:val="StyleUnderline"/>
        </w:rPr>
        <w:t>This project of writing towards the suffering of the Indigenous child body, and the bodily disappearance such suffering so often opened into</w:t>
      </w:r>
      <w:r w:rsidRPr="00087A72">
        <w:rPr>
          <w:sz w:val="12"/>
        </w:rPr>
        <w:t xml:space="preserve">, is greatly indebted to Gayatri Spivak’s insights on subalternity. The proceeding chapters do elaborate Spivak’s shaping influence. I cannot, however, overemphasize the possibilities Spivak’s literary attunement to sites of subaltern death have opened for this study, which </w:t>
      </w:r>
      <w:r w:rsidRPr="00087A72">
        <w:rPr>
          <w:rStyle w:val="StyleUnderline"/>
        </w:rPr>
        <w:t>is informed</w:t>
      </w:r>
      <w:r w:rsidRPr="00087A72">
        <w:rPr>
          <w:sz w:val="12"/>
        </w:rPr>
        <w:t xml:space="preserve"> equally </w:t>
      </w:r>
      <w:r w:rsidRPr="00087A72">
        <w:rPr>
          <w:rStyle w:val="StyleUnderline"/>
        </w:rPr>
        <w:t>by</w:t>
      </w:r>
      <w:r w:rsidRPr="00087A72">
        <w:rPr>
          <w:sz w:val="12"/>
        </w:rPr>
        <w:t xml:space="preserve"> her approach to </w:t>
      </w:r>
      <w:r w:rsidRPr="00087A72">
        <w:rPr>
          <w:rStyle w:val="StyleUnderline"/>
        </w:rPr>
        <w:t>reading certain instances of subaltern death as text, as well as</w:t>
      </w:r>
      <w:r w:rsidRPr="00087A72">
        <w:rPr>
          <w:sz w:val="12"/>
        </w:rPr>
        <w:t xml:space="preserve"> her commitment to archival research as what she calls an </w:t>
      </w:r>
      <w:r w:rsidRPr="00087A72">
        <w:rPr>
          <w:rStyle w:val="StyleUnderline"/>
        </w:rPr>
        <w:t>“un-grasping.” Spivak describes the ethos of the latter as that in which one reaches (into history, into archives) not as an attempt to recuperate, claim, and fix lost bodies as knowable objects, but precisely not to fix or claim.</w:t>
      </w:r>
      <w:r w:rsidRPr="00087A72">
        <w:rPr>
          <w:sz w:val="12"/>
        </w:rPr>
        <w:t xml:space="preserve"> I frame my work here as speaking back to, or into this meditation of Spivak on the Rani of Sirmur, in which Spivak (1985) examines the absence of a text that can “answer one back” after what she calls “the planned epistemic violence of the imperialist project” (256). 15 The generative brilliance of Spivak’s work, as I see it, is her ability to hold in tension the literary-deconstructivist orientation to philosophy/theory with the political economic imperatives of empire, imperialism, colonialism: what postcolonial thinker Ranjana Khanna (2003) calls “the contingencies of Europe” (5). </w:t>
      </w:r>
      <w:r w:rsidRPr="00087A72">
        <w:rPr>
          <w:rStyle w:val="StyleUnderline"/>
        </w:rPr>
        <w:t>Spivak provides a way to read/interpret death as text, excavating the living substrata upon which power inscribes itself.</w:t>
      </w:r>
      <w:r w:rsidRPr="00087A72">
        <w:rPr>
          <w:sz w:val="12"/>
        </w:rPr>
        <w:t xml:space="preserve"> She calls these living substrata “the subaltern.” </w:t>
      </w:r>
      <w:r w:rsidRPr="00087A72">
        <w:rPr>
          <w:rStyle w:val="Emphasis"/>
        </w:rPr>
        <w:t xml:space="preserve">Reading death as a text, she locates the claims on being and self that underwrite what most would simply call the ontological. She shows that claims on being are always ideological, and therefore always political—and therefore always to the benefit of some at the expense of others. </w:t>
      </w:r>
      <w:r w:rsidRPr="00087A72">
        <w:rPr>
          <w:sz w:val="12"/>
        </w:rPr>
        <w:t xml:space="preserve">Just as Spivak’s account of British India shows the ways in which imperial interests convoked new subjects and forms of subjectivity, while rendering (its) others utterly silent, my study emphasizes the ways of being in the world that the IRS formed and formalized. </w:t>
      </w:r>
      <w:r w:rsidRPr="00087A72">
        <w:rPr>
          <w:rStyle w:val="StyleUnderline"/>
        </w:rPr>
        <w:t>The IRS’ claims on being, ‘what is’ and therefore ‘what should be,’ convoked colonial subjects, shaped modern national selfhood, and articulated citizenship. Some of these notions of citizenship and corresponding aggregates of civility, responsibility, and normativity were spoken into existence. Others were created, or worlded, as their underside, rendered as earthly raw materials, as primitive, deviant: the ‘bad’ other against which the modern Euro-American self, the ‘good’ subject of colonial governance, was aggregated.</w:t>
      </w:r>
    </w:p>
    <w:p w:rsidR="00540BEA" w:rsidRPr="00087A72" w:rsidRDefault="00540BEA" w:rsidP="00496C79">
      <w:pPr>
        <w:pStyle w:val="Heading3"/>
      </w:pPr>
      <w:r w:rsidRPr="00087A72">
        <w:t>Top Level – Queer Indigenous Thesis</w:t>
      </w:r>
    </w:p>
    <w:p w:rsidR="00540BEA" w:rsidRPr="00087A72" w:rsidRDefault="00540BEA" w:rsidP="00540BEA">
      <w:pPr>
        <w:pStyle w:val="Heading4"/>
      </w:pPr>
      <w:r w:rsidRPr="00087A72">
        <w:t xml:space="preserve">The Queer Indigenous poltergeist—the anomalous positionality that comes into being when the ante-ontology of Indigeneity crosses paths with the anti-subjectivity of queerness—haunts the world with its terror and wills a decolonial world into the future. </w:t>
      </w:r>
    </w:p>
    <w:p w:rsidR="00540BEA" w:rsidRPr="00087A72" w:rsidRDefault="00540BEA" w:rsidP="00540BEA">
      <w:r w:rsidRPr="00087A72">
        <w:rPr>
          <w:rStyle w:val="Style13ptBold"/>
        </w:rPr>
        <w:t>Belcourt 16</w:t>
      </w:r>
      <w:r w:rsidRPr="00087A72">
        <w:t xml:space="preserve"> (Billy Ray, 2016 Rhodes Scholar, Winner of the Griffin Prize for Poetry, and Doctoral Student at the University of Alberta “A Poltergeist Manifesto” </w:t>
      </w:r>
      <w:r w:rsidRPr="00087A72">
        <w:rPr>
          <w:i/>
        </w:rPr>
        <w:t xml:space="preserve">Feral Feminism </w:t>
      </w:r>
      <w:r w:rsidRPr="00087A72">
        <w:t>6, 25-28) NIJ</w:t>
      </w:r>
    </w:p>
    <w:p w:rsidR="00540BEA" w:rsidRPr="00087A72" w:rsidRDefault="00540BEA" w:rsidP="00540BEA">
      <w:pPr>
        <w:rPr>
          <w:sz w:val="12"/>
        </w:rPr>
      </w:pPr>
      <w:r w:rsidRPr="00087A72">
        <w:rPr>
          <w:sz w:val="12"/>
        </w:rPr>
        <w:t xml:space="preserve"> “I went through a really hard time… I was beaten; more than once. I was choked” (Klassen 2014). These were the words of Tyler-Alan Jacobs, a two-spirit man from the Squamish Nation, capturing at once </w:t>
      </w:r>
      <w:r w:rsidRPr="00087A72">
        <w:rPr>
          <w:rStyle w:val="StyleUnderline"/>
        </w:rPr>
        <w:t>the terror of queer life on the reserve and the hardening of time into a thing that slows down bodies and pushes them outside its securitized geographies.</w:t>
      </w:r>
      <w:r w:rsidRPr="00087A72">
        <w:rPr>
          <w:sz w:val="12"/>
        </w:rPr>
        <w:t xml:space="preserve"> Jacobs had grown up with his attackers, attackers who were energized by the pronouncement of queerness—how it insisted on being noticed, how it insisted on being. When the dust settled, “his right eye [had] dislodged and the side of his faced [had] caved in” (ibid.). </w:t>
      </w:r>
      <w:r w:rsidRPr="00087A72">
        <w:rPr>
          <w:rStyle w:val="StyleUnderline"/>
        </w:rPr>
        <w:t xml:space="preserve">Settler colonialism is fundamentally affective: it takes hold of the body, makes it perspire, and wears it out. It converts flesh into pliable automations and people into grim reapers who must choose which lives are worth keeping in the world. It can turn a person into a murderer in a matter of seconds; it is an epistemic rupturing of our attachments to life, to each other, and to ourselves. It is as if settler colonialism were simultaneously a rescue and military operation, a holy war of sorts tasked with exorcising the spectre of queer indigeneity and its putative infectivity. </w:t>
      </w:r>
      <w:r w:rsidRPr="00087A72">
        <w:rPr>
          <w:sz w:val="12"/>
        </w:rPr>
        <w:t xml:space="preserve">I rehearse this case because it allows me to risk qualifying the reserve as a geography saturated with heteronormativity’s socialities. This is a strategic interdiction that destroys supposedly degenerative queer affect worlds, untangling some bodies and not others from the future. I don’t have the statistics to substantiate these claims, but there is an archive of heartbreak and loss that is easy to come by if you ask the right people. Indeed, what would such statistics tell us that we don’t already know? What would the biopolitical work of data collection do to a knowledge-making project that thinks outside the big worlds of Statistics and Demography and, instead, inside the smaller, more precarious worlds created in the wake of gossip? I worry about ethnographic projects that seek to account for things and theory in the material in order to map the coordinates of an aberration to anchor it and its voyeurs in the theatres of the academy. </w:t>
      </w:r>
      <w:r w:rsidRPr="00087A72">
        <w:rPr>
          <w:rStyle w:val="StyleUnderline"/>
        </w:rPr>
        <w:t xml:space="preserve">The desire to attach to a body is too easily energized by a biological reading of gender that repudiates the very subjects it seeks so desperately to know and to study. </w:t>
      </w:r>
      <w:r w:rsidRPr="00087A72">
        <w:rPr>
          <w:sz w:val="12"/>
        </w:rPr>
        <w:t xml:space="preserve">What about the body? I have been asked this question, again and again. </w:t>
      </w:r>
      <w:r w:rsidRPr="00087A72">
        <w:rPr>
          <w:rStyle w:val="StyleUnderline"/>
        </w:rPr>
        <w:t>A feral theory is something of a call to arms: abolish this sort of ethnography and turn to those emergent methodologies that might better make sense of the affects and life-forms that are just now coming into focus and have been destroyed or made invisible in the name of research itself. Queer indigeneity</w:t>
      </w:r>
      <w:r w:rsidRPr="00087A72">
        <w:rPr>
          <w:sz w:val="12"/>
        </w:rPr>
        <w:t xml:space="preserve">, to borrow Fred Moten’s description of blackness, </w:t>
      </w:r>
      <w:r w:rsidRPr="00087A72">
        <w:rPr>
          <w:rStyle w:val="StyleUnderline"/>
        </w:rPr>
        <w:t>might “come most clearly into relief, by way of its negation”</w:t>
      </w:r>
      <w:r w:rsidRPr="00087A72">
        <w:rPr>
          <w:sz w:val="12"/>
        </w:rPr>
        <w:t xml:space="preserve"> (2014). </w:t>
      </w:r>
      <w:r w:rsidRPr="00087A72">
        <w:rPr>
          <w:rStyle w:val="StyleUnderline"/>
        </w:rPr>
        <w:t>Perhaps decolonization needs to be a sort of séance: an attempt to communicate with the dead, a collective rising-up from the reserve’s necropolis, a feral becoming-undead.</w:t>
      </w:r>
      <w:r w:rsidRPr="00087A72">
        <w:rPr>
          <w:sz w:val="12"/>
        </w:rPr>
        <w:t xml:space="preserve"> Boyd and Thrush’s Phantom Past, Indigenous Presence thinks indigeneity and its shaky histories vis-à-vis the language of haunting, where </w:t>
      </w:r>
      <w:r w:rsidRPr="00087A72">
        <w:rPr>
          <w:rStyle w:val="StyleUnderline"/>
        </w:rPr>
        <w:t>haunting is an endurant facet of “the experience of colonialism”</w:t>
      </w:r>
      <w:r w:rsidRPr="00087A72">
        <w:rPr>
          <w:sz w:val="12"/>
        </w:rPr>
        <w:t xml:space="preserve"> (Bodinger de Uriarte 2012, 303). But, </w:t>
      </w:r>
      <w:r w:rsidRPr="00087A72">
        <w:rPr>
          <w:rStyle w:val="StyleUnderline"/>
        </w:rPr>
        <w:t>for me, ghostliness is differentially distributed: some more than others will be wrenched into the domain of the dead and forced to will their own ontologies into the now. Perhaps the universalist notion that haunting is a metonym for indigeneity repudiates the very life-forms that it claims to include: those who are differently queered and gendered, and, because of this, haunt waywardly and in ways that cannot be easily predicted</w:t>
      </w:r>
      <w:r w:rsidRPr="00087A72">
        <w:rPr>
          <w:sz w:val="12"/>
        </w:rPr>
        <w:t xml:space="preserve"> (Ahmed 2015). </w:t>
      </w:r>
      <w:r w:rsidRPr="00087A72">
        <w:rPr>
          <w:rStyle w:val="StyleUnderline"/>
        </w:rPr>
        <w:t>This paper thus takes an imaginative turn and proceeds with something of an incantation to summon the figure of the queer Indigenous poltergeist—the feral monster in the horror story of decolonization. Queer Indigenous poltergeists do not linger inaudibly in the background; we are beside ourselves with anger, we make loud noises and throw objects around because we are demanding retribution for homicide, unloved love, and cold shoulders. We do not reconcile; we escape the reserve, pillage and mangle the settler-colonial episteme. Our arrival is both uneventful and apocalyptic, a point of departure and an entry point for an ontology that corresponds with a future that has yet to come. Sometimes all we have is the promise of the future. For the queer Indigenous poltergeist, resurrection is its own form of decolonial love. The poltergeist is an ontological anomaly: a fusion of human, object, and ghost, a “creature of social reality” and a “creature of fiction”</w:t>
      </w:r>
      <w:r w:rsidRPr="00087A72">
        <w:rPr>
          <w:sz w:val="12"/>
        </w:rPr>
        <w:t xml:space="preserve"> (Haraway 1991, 149). From the German poltern meaning “[to] make noise, [to] rattle” and Geist or “ghost,” it literally means “noisy ghost,” speaking into existence an anti-subjectivity that emerges in the aftermath of death or murder (“Poltergeist”). It is the subject of Tobe Hooper’s 1982 film Poltergeist, which tells a story of “a haunting based on revenge” (Tuck and Ree 2013, 652). The film’s haunting is a wronging premised on an initial wrong: the eponymous poltergeist materializes when a mansion is constructed on a cemetery—a disturbing of spirits, if you will. José Esteban </w:t>
      </w:r>
      <w:r w:rsidRPr="00087A72">
        <w:rPr>
          <w:rStyle w:val="StyleUnderline"/>
        </w:rPr>
        <w:t>Muñoz argues that “The double ontology of ghosts and ghostliness, the manner in which ghosts exist inside and out and traverse categorical distinctions, seems especially useful for... queer criticism”</w:t>
      </w:r>
      <w:r w:rsidRPr="00087A72">
        <w:rPr>
          <w:sz w:val="12"/>
        </w:rPr>
        <w:t xml:space="preserve"> (2009, 46). In this paper, </w:t>
      </w:r>
      <w:r w:rsidRPr="00087A72">
        <w:rPr>
          <w:rStyle w:val="StyleUnderline"/>
        </w:rPr>
        <w:t>the poltergeist names the form which indigeneity takes when it brings queer matter into its folds.</w:t>
      </w:r>
      <w:r w:rsidRPr="00087A72">
        <w:rPr>
          <w:sz w:val="12"/>
        </w:rPr>
        <w:t xml:space="preserve"> In other words, </w:t>
      </w:r>
      <w:r w:rsidRPr="00087A72">
        <w:rPr>
          <w:rStyle w:val="StyleUnderline"/>
        </w:rPr>
        <w:t>this essay evokes haunting as a metaphor to hint at the ways in which queerness was murderously absorbed into the past and prematurely expected to stay there as an effect of colonialism’s drive to eliminate all traces of sexualities and genders that wandered astray. The poltergeist conceptualizes the work of queer indigeneity in the present insofar as it does not presuppose the mysterious intentions of the ghost—an otherworldly force that is bad, good, and undetectable all at once.</w:t>
      </w:r>
      <w:r w:rsidRPr="00087A72">
        <w:rPr>
          <w:sz w:val="12"/>
        </w:rPr>
        <w:t xml:space="preserve"> Instead, </w:t>
      </w:r>
      <w:r w:rsidRPr="00087A72">
        <w:rPr>
          <w:rStyle w:val="StyleUnderline"/>
        </w:rPr>
        <w:t>the poltergeist is melancholic in its grief, but also pissed off. It refuses to remain in the spiritual, a space cheapened in relation to the staunch materiality of the real, and one that, though housing our conditions of possibility, cannot contain all of us. We protest forms of cruel nostalgia that tether ghosts to a discarded past within which queer Indigenous life once flourished because we know that we will never get it back and that most of us likely never experienced it in the first place.</w:t>
      </w:r>
      <w:r w:rsidRPr="00087A72">
        <w:rPr>
          <w:sz w:val="12"/>
        </w:rPr>
        <w:t xml:space="preserve"> We long for that kind of love, but we know it is hard to come by. I turn to the poltergeist because I don’t have anywhere else to go. Help me, I could say. But I won’t. </w:t>
      </w:r>
      <w:r w:rsidRPr="00087A72">
        <w:rPr>
          <w:rStyle w:val="StyleUnderline"/>
        </w:rPr>
        <w:t>Queer indigeneity, then, is neither here nor there, neither dead nor alive but</w:t>
      </w:r>
      <w:r w:rsidRPr="00087A72">
        <w:rPr>
          <w:sz w:val="12"/>
        </w:rPr>
        <w:t xml:space="preserve">, to use Judith Butler’s language, </w:t>
      </w:r>
      <w:r w:rsidRPr="00087A72">
        <w:rPr>
          <w:rStyle w:val="StyleUnderline"/>
        </w:rPr>
        <w:t>interminably spectral</w:t>
      </w:r>
      <w:r w:rsidRPr="00087A72">
        <w:rPr>
          <w:sz w:val="12"/>
        </w:rPr>
        <w:t xml:space="preserve"> (2006, 33). </w:t>
      </w:r>
      <w:r w:rsidRPr="00087A72">
        <w:rPr>
          <w:rStyle w:val="StyleUnderline"/>
        </w:rPr>
        <w:t>We are ghosts that haunt the reserve in the event of resurrection.</w:t>
      </w:r>
      <w:r w:rsidRPr="00087A72">
        <w:rPr>
          <w:sz w:val="12"/>
        </w:rPr>
        <w:t xml:space="preserve"> According to Indigenous and Northern Affairs Canada, a reserve is a “tract of land, the legal title to which is held by the Crown, set apart for the use and benefit of an Indian band” (“Terminology”). </w:t>
      </w:r>
      <w:r w:rsidRPr="00087A72">
        <w:rPr>
          <w:rStyle w:val="StyleUnderline"/>
        </w:rPr>
        <w:t>The “reserve system” is part of the dispossessory ethos through which the settler state reifies land as the sign of sovereignty itself, and thus effects the political death of indigeneity, decomposing it into nothingness, into contaminated dirt. Reserves are the products of imaginations gone wild; they are ruins that bear “the physical imprint of the supernatural” on arid land, on decaying trailers arranged like weathered tombstones</w:t>
      </w:r>
      <w:r w:rsidRPr="00087A72">
        <w:rPr>
          <w:sz w:val="12"/>
        </w:rPr>
        <w:t xml:space="preserve"> (Tuck and Ree 2013, 653). </w:t>
      </w:r>
      <w:r w:rsidRPr="00087A72">
        <w:rPr>
          <w:rStyle w:val="StyleUnderline"/>
        </w:rPr>
        <w:t>They are borderlands that connote simultaneous possession and dispossession: they represent the collision between settler sovereignty (insofar as the Crown holds the legal title to the land) and indigeneity (pointing to a genre of life that is distinctly Indigenous). Reserves were</w:t>
      </w:r>
      <w:r w:rsidRPr="00087A72">
        <w:rPr>
          <w:sz w:val="12"/>
        </w:rPr>
        <w:t>—some might say they still are—</w:t>
      </w:r>
      <w:r w:rsidRPr="00087A72">
        <w:rPr>
          <w:rStyle w:val="StyleUnderline"/>
        </w:rPr>
        <w:t>zones of death that regulated and regulate the movements of Indigenous bodies, quarantining their putatively contaminated flesh outside modern life in order to preserve settler-colonial futurities. It is as if the reserve were a site of complete atrophy, where indigeneity is supposed to waste away or degenerate, where queerness has already bled out.</w:t>
      </w:r>
      <w:r w:rsidRPr="00087A72">
        <w:rPr>
          <w:sz w:val="12"/>
        </w:rPr>
        <w:t xml:space="preserve"> Look at the blood on your hands! </w:t>
      </w:r>
      <w:r w:rsidRPr="00087A72">
        <w:rPr>
          <w:rStyle w:val="StyleUnderline"/>
        </w:rPr>
        <w:t>The queer Indigenous poltergeist, however, foregrounds what I call a “reserve consciousness” —an awareness of the deathliness of the reserve. A reserve consciousness might be a kind of critical phenomenology that</w:t>
      </w:r>
      <w:r w:rsidRPr="00087A72">
        <w:rPr>
          <w:sz w:val="12"/>
        </w:rPr>
        <w:t xml:space="preserve">, to use Lisa Guenther’s description of this sort of insurgent knowledge project, </w:t>
      </w:r>
      <w:r w:rsidRPr="00087A72">
        <w:rPr>
          <w:rStyle w:val="StyleUnderline"/>
        </w:rPr>
        <w:t>pulls up “traces of what is not quite or no longer there—that which has been rubbed out or consigned to invisibility”</w:t>
      </w:r>
      <w:r w:rsidRPr="00087A72">
        <w:rPr>
          <w:sz w:val="12"/>
        </w:rPr>
        <w:t xml:space="preserve"> (2015): here, the so-called on-reserve Indian. </w:t>
      </w:r>
      <w:r w:rsidRPr="00087A72">
        <w:rPr>
          <w:rStyle w:val="StyleUnderline"/>
        </w:rPr>
        <w:t>It might be about becoming a frictive surface; by rubbing up against things and resisting motion between objects, we might become unstuck. Queer Indigenous poltergeists are</w:t>
      </w:r>
      <w:r w:rsidRPr="00087A72">
        <w:rPr>
          <w:sz w:val="12"/>
        </w:rPr>
        <w:t xml:space="preserve"> what Sara Ahmed calls </w:t>
      </w:r>
      <w:r w:rsidRPr="00087A72">
        <w:rPr>
          <w:rStyle w:val="StyleUnderline"/>
        </w:rPr>
        <w:t>“blockage points”: where communication stops because we cannot get through</w:t>
      </w:r>
      <w:r w:rsidRPr="00087A72">
        <w:rPr>
          <w:sz w:val="12"/>
        </w:rPr>
        <w:t xml:space="preserve"> (2011, 68). </w:t>
      </w:r>
      <w:r w:rsidRPr="00087A72">
        <w:rPr>
          <w:rStyle w:val="StyleUnderline"/>
        </w:rPr>
        <w:t>That is, queer indigeneity connotes an ethical impasse, a dead end that presents us with two options: exorcism or resurrection. If settler colonialism is topological, if it persists despite elastic deformations such as stretching and twisting, wear and tear, we might have to make friction to survive. I turn to the reserve because it is a geography of affect, one in which the heaviness of atmospheres crushes some bodies to death and in which some must bear the weight of settler colonialism more than others. The violence done to us has wrenched us outside the physical world and into the supernatural. Some of us are spirits—open wounds that refuse to heal because our blood might be the one thing that cannot be stolen. Does resistance always feel like resistance, or does it sometimes feel like bleeding out</w:t>
      </w:r>
      <w:r w:rsidRPr="00087A72">
        <w:rPr>
          <w:sz w:val="12"/>
        </w:rPr>
        <w:t xml:space="preserve"> (Berlant 2011)? Feral Socialities I must leave the beaten path and go where we are not. </w:t>
      </w:r>
      <w:r w:rsidRPr="00087A72">
        <w:rPr>
          <w:rStyle w:val="StyleUnderline"/>
        </w:rPr>
        <w:t>Queerness</w:t>
      </w:r>
      <w:r w:rsidRPr="00087A72">
        <w:rPr>
          <w:sz w:val="12"/>
        </w:rPr>
        <w:t xml:space="preserve">, according to Muñoz, </w:t>
      </w:r>
      <w:r w:rsidRPr="00087A72">
        <w:rPr>
          <w:rStyle w:val="StyleUnderline"/>
        </w:rPr>
        <w:t>is not yet here; it is an ideality that “we may never touch,” that propels us onward</w:t>
      </w:r>
      <w:r w:rsidRPr="00087A72">
        <w:rPr>
          <w:sz w:val="12"/>
        </w:rPr>
        <w:t xml:space="preserve"> (2009, 1). Likewise, </w:t>
      </w:r>
      <w:r w:rsidRPr="00087A72">
        <w:rPr>
          <w:rStyle w:val="StyleUnderline"/>
        </w:rPr>
        <w:t xml:space="preserve">Halberstam suggests that the presentness of queerness signals a kind of emerging ontology. He argues that failure “is something that queers do and have always done exceptionally well in contrast to the grim scenarios of success” that structure “a heteronormative, capitalist society” </w:t>
      </w:r>
      <w:r w:rsidRPr="00087A72">
        <w:rPr>
          <w:sz w:val="12"/>
        </w:rPr>
        <w:t xml:space="preserve">(2011, 2-3). For Muñoz, </w:t>
      </w:r>
      <w:r w:rsidRPr="00087A72">
        <w:rPr>
          <w:rStyle w:val="StyleUnderline"/>
        </w:rPr>
        <w:t>queer failure is about “doing something that is missing in straight time’s always already flawed temporal mapping practice”</w:t>
      </w:r>
      <w:r w:rsidRPr="00087A72">
        <w:rPr>
          <w:sz w:val="12"/>
        </w:rPr>
        <w:t xml:space="preserve"> (2009, 174). We know, however, that this isn’t the entire story. </w:t>
      </w:r>
      <w:r w:rsidRPr="00087A72">
        <w:rPr>
          <w:rStyle w:val="StyleUnderline"/>
        </w:rPr>
        <w:t>Whereas Muñoz’s queer past morphs into the here and now of homonormativity’s carceral tempos, indigeneity’s queernesses are saturated with the trauma of colonialism’s becoming-structure. Queer death doubles as the settler state’s condition of possibility. Pre-contact queer indigeneities had been absorbed into colonialism’s death grip; however, this making-dead was also a making-undead in the enduring of ghosts</w:t>
      </w:r>
      <w:r w:rsidRPr="00087A72">
        <w:rPr>
          <w:sz w:val="12"/>
        </w:rPr>
        <w:t xml:space="preserve"> (Derrida 1994, 310). </w:t>
      </w:r>
      <w:r w:rsidRPr="00087A72">
        <w:rPr>
          <w:rStyle w:val="StyleUnderline"/>
        </w:rPr>
        <w:t>If haunting</w:t>
      </w:r>
      <w:r w:rsidRPr="00087A72">
        <w:rPr>
          <w:sz w:val="12"/>
        </w:rPr>
        <w:t xml:space="preserve">, according to Tuck and Ree, </w:t>
      </w:r>
      <w:r w:rsidRPr="00087A72">
        <w:rPr>
          <w:rStyle w:val="StyleUnderline"/>
        </w:rPr>
        <w:t>“lies precisely in its refusal to stop,” then the queer Indigenous poltergeist fails to have died by way of time travel</w:t>
      </w:r>
      <w:r w:rsidRPr="00087A72">
        <w:rPr>
          <w:sz w:val="12"/>
        </w:rPr>
        <w:t xml:space="preserve"> (2013, 642). </w:t>
      </w:r>
      <w:r w:rsidRPr="00087A72">
        <w:rPr>
          <w:rStyle w:val="StyleUnderline"/>
        </w:rPr>
        <w:t>Queer indigeneity might be a kind of “feral sociality”: we are in a wild state after escaping colonial captivity and domestication. When the state evicts you, you might have to become feral to endure. To be feral is to linger in the back alleys of the settler state. It is a refusal of settler statecraft, a strategic failing to approximate the metrics of colonial citizenship, a giving up on the ethical future that reconciliation supposedly promises.</w:t>
      </w:r>
      <w:r w:rsidRPr="00087A72">
        <w:rPr>
          <w:sz w:val="12"/>
        </w:rPr>
        <w:t xml:space="preserve"> As an aside, I suspect that </w:t>
      </w:r>
      <w:r w:rsidRPr="00087A72">
        <w:rPr>
          <w:rStyle w:val="StyleUnderline"/>
        </w:rPr>
        <w:t>the settler state’s reconciliatory ethos is always-already a domesticating project</w:t>
      </w:r>
      <w:r w:rsidRPr="00087A72">
        <w:rPr>
          <w:sz w:val="12"/>
        </w:rPr>
        <w:t xml:space="preserve">: it contains Indigenous suffering within the spectacularized theatre of the Truth and Reconciliation Commission, building a post-Residential School temporality in which Indigenous peoples have been repaired through monetary reparations and storytelling. </w:t>
      </w:r>
      <w:r w:rsidRPr="00087A72">
        <w:rPr>
          <w:rStyle w:val="StyleUnderline"/>
        </w:rPr>
        <w:t>In the melodrama of reconciliation, the settler state wins its centuries-long war against Indian lawlessness by healing Indigenous peoples of the trauma that blocked them from becoming properly emotive citizens. Queer indigeneity</w:t>
      </w:r>
      <w:r w:rsidRPr="00087A72">
        <w:rPr>
          <w:sz w:val="12"/>
        </w:rPr>
        <w:t xml:space="preserve">, however, </w:t>
      </w:r>
      <w:r w:rsidRPr="00087A72">
        <w:rPr>
          <w:rStyle w:val="StyleUnderline"/>
        </w:rPr>
        <w:t xml:space="preserve">escapes discursive and affective concealment and therefore the category of the human itself, disturbing the binary clash between the living and nonliving by way of its un-humanity, a kind of “dead living” whereby flesh is animated through death. Perhaps we must become feral to imagine other space-times, to imagine other kinds of queerness. If settler colonialism incentivizes our collusion with the humanist enterprise of multiculturalism (and it does), what would it mean to refuse humanity and actualize other subject formations? In other words, how do the un-living live? </w:t>
      </w:r>
      <w:r w:rsidRPr="00087A72">
        <w:rPr>
          <w:sz w:val="12"/>
        </w:rPr>
        <w:t xml:space="preserve">Here, </w:t>
      </w:r>
      <w:r w:rsidRPr="00087A72">
        <w:rPr>
          <w:rStyle w:val="StyleUnderline"/>
        </w:rPr>
        <w:t>I want to propose the concept of “Indian time” to theorize the temporality and liminality of queer indigeneity as it festers in the slippage between near-death and the refusal to die. Indian time colloquially describes the regularity with which Indigenous peoples arrive late or are behind schedule. I appropriate this idiom to argue that the presentness of queer indigeneity is prefigured by an escape from and bringing forward of the past as well as a taking residence in the future. To be queer and Indigenous might mean to live outside time, to fall out of that form of affective life. Indian time thus nullifies the normative temporality of settler colonialism in which death is the telos of the human and being-in-death is an ontological fallacy. It connotes the conversion of queer indigeneity into non-living matter, into ephemera lurking in the shadows of the present, waiting, watching, and conspiring.</w:t>
      </w:r>
      <w:r w:rsidRPr="00087A72">
        <w:rPr>
          <w:sz w:val="12"/>
        </w:rPr>
        <w:t xml:space="preserve"> Where Jasbir Puar argues that all things under the rubric of queer are always-already calculated into the state’s biopolitical mathematic, queer indigeneity cannot be held captive because it cannot be seen—we are still emerging in the social while simultaneously altering its substance (2012). </w:t>
      </w:r>
      <w:r w:rsidRPr="00087A72">
        <w:rPr>
          <w:rStyle w:val="StyleUnderline"/>
        </w:rPr>
        <w:t>If decolonization is, according to Tuck and K. Wayne Yang’s reading of Frantz Fanon, an “unclean break from a colonial condition,” perhaps the queer Indigenous poltergeist is feral enough to will a decolonial world into a future that hails rather than expels its ghosts</w:t>
      </w:r>
      <w:r w:rsidRPr="00087A72">
        <w:rPr>
          <w:sz w:val="12"/>
        </w:rPr>
        <w:t xml:space="preserve"> (2012, 20). The queer Indigenous poltergeist might have nothing else to lose.</w:t>
      </w:r>
    </w:p>
    <w:p w:rsidR="00BF6777" w:rsidRPr="00087A72" w:rsidRDefault="00BF6777" w:rsidP="00496C79">
      <w:pPr>
        <w:pStyle w:val="Heading3"/>
      </w:pPr>
      <w:r w:rsidRPr="00087A72">
        <w:t>Link – Agamben</w:t>
      </w:r>
    </w:p>
    <w:p w:rsidR="00934B8A" w:rsidRPr="00087A72" w:rsidRDefault="00934B8A" w:rsidP="00934B8A">
      <w:pPr>
        <w:pStyle w:val="Heading4"/>
        <w:rPr>
          <w:rFonts w:eastAsia="Calibri"/>
        </w:rPr>
      </w:pPr>
      <w:r w:rsidRPr="00087A72">
        <w:rPr>
          <w:rFonts w:eastAsia="Calibri"/>
        </w:rPr>
        <w:t xml:space="preserve">Amaben’s rhetoric fails to include discussion of Indigenous people </w:t>
      </w:r>
    </w:p>
    <w:p w:rsidR="00934B8A" w:rsidRPr="00087A72" w:rsidRDefault="00934B8A" w:rsidP="00934B8A">
      <w:pPr>
        <w:rPr>
          <w:rFonts w:eastAsia="Calibri" w:cs="Times New Roman"/>
          <w:sz w:val="16"/>
        </w:rPr>
      </w:pPr>
      <w:r w:rsidRPr="00087A72">
        <w:rPr>
          <w:rFonts w:eastAsia="Calibri" w:cs="Times New Roman"/>
          <w:b/>
        </w:rPr>
        <w:t>Arnold 17</w:t>
      </w:r>
      <w:r w:rsidRPr="00087A72">
        <w:rPr>
          <w:rFonts w:eastAsia="Calibri" w:cs="Times New Roman"/>
        </w:rPr>
        <w:t xml:space="preserve"> </w:t>
      </w:r>
      <w:r w:rsidRPr="00087A72">
        <w:rPr>
          <w:rFonts w:eastAsia="Calibri" w:cs="Times New Roman"/>
          <w:sz w:val="16"/>
        </w:rPr>
        <w:t>(Jobb Dixon, Department of Conflict Resolution Studies, Menno Simons College, University of Winnipeg, 520 Portage Avenue, Winnipeg, Manitoba, R3C 0G2, Canada., “Bare Nature and the Genocide– Ecocide Nexus—The Conditions of General Threat and the Hope of Cultural Adaptation: The Case of Canada’s Tar Sands”, pgg. 24-26)</w:t>
      </w:r>
    </w:p>
    <w:p w:rsidR="00934B8A" w:rsidRPr="00087A72" w:rsidRDefault="00934B8A" w:rsidP="00934B8A">
      <w:pPr>
        <w:spacing w:after="200" w:line="276" w:lineRule="auto"/>
        <w:rPr>
          <w:rFonts w:eastAsia="Calibri" w:cs="Times New Roman"/>
          <w:sz w:val="14"/>
        </w:rPr>
      </w:pPr>
      <w:r w:rsidRPr="00087A72">
        <w:rPr>
          <w:rFonts w:eastAsia="Calibri" w:cs="Times New Roman"/>
          <w:u w:val="single"/>
        </w:rPr>
        <w:t>Agamben’s project is</w:t>
      </w:r>
      <w:r w:rsidRPr="00087A72">
        <w:rPr>
          <w:rFonts w:eastAsia="Calibri" w:cs="Times New Roman"/>
        </w:rPr>
        <w:t xml:space="preserve"> </w:t>
      </w:r>
      <w:r w:rsidRPr="00087A72">
        <w:rPr>
          <w:rFonts w:eastAsia="Calibri" w:cs="Times New Roman"/>
          <w:sz w:val="14"/>
        </w:rPr>
        <w:t>also</w:t>
      </w:r>
      <w:r w:rsidRPr="00087A72">
        <w:rPr>
          <w:rFonts w:eastAsia="Calibri" w:cs="Times New Roman"/>
        </w:rPr>
        <w:t xml:space="preserve"> </w:t>
      </w:r>
      <w:r w:rsidRPr="00087A72">
        <w:rPr>
          <w:rFonts w:eastAsia="Calibri" w:cs="Times New Roman"/>
          <w:u w:val="single"/>
        </w:rPr>
        <w:t>an inquiry into what is sacred about human life</w:t>
      </w:r>
      <w:r w:rsidRPr="00087A72">
        <w:rPr>
          <w:rFonts w:eastAsia="Calibri" w:cs="Times New Roman"/>
        </w:rPr>
        <w:t xml:space="preserve">. </w:t>
      </w:r>
      <w:r w:rsidRPr="00087A72">
        <w:rPr>
          <w:rFonts w:eastAsia="Calibri" w:cs="Times New Roman"/>
          <w:u w:val="single"/>
        </w:rPr>
        <w:t>Agamben proceeds by way of Emile Durkheim’s conception of the sacred as relating to movement between deeply ambivalent threshold states</w:t>
      </w:r>
      <w:r w:rsidRPr="00087A72">
        <w:rPr>
          <w:rFonts w:eastAsia="Calibri" w:cs="Times New Roman"/>
          <w:sz w:val="14"/>
        </w:rPr>
        <w:t xml:space="preserve">: . . . there are two kinds of sacred things, the auspicious and the inauspicious. Not only is there no clear border between these two opposite kinds, but the same object can pass from one to the other without changing nature. The impure is made from the pure, and vice versa. The ambiguity of the sacred consists in the possibility of this transmutation. (Durkheim cited in, Agamben, 1998, p. 78) What are we to make of this ambivalent understanding sacred life? </w:t>
      </w:r>
      <w:r w:rsidRPr="00087A72">
        <w:rPr>
          <w:rFonts w:eastAsia="Calibri" w:cs="Times New Roman"/>
          <w:u w:val="single"/>
        </w:rPr>
        <w:t>Agamben’s concern seems to be with what happens to life as it is subjugated, processed, and passed through a biopolitical apparatus. In other words, he is worried about what will happen to large segments of the world’s expanding and increasingly precarious population. These ethical considerations permeate Agamben’s analysis of the legal threshold spaces that produce and regulate life as biopower</w:t>
      </w:r>
      <w:r w:rsidRPr="00087A72">
        <w:rPr>
          <w:rFonts w:eastAsia="Calibri" w:cs="Times New Roman"/>
        </w:rPr>
        <w:t xml:space="preserve">. </w:t>
      </w:r>
      <w:r w:rsidRPr="00087A72">
        <w:rPr>
          <w:rFonts w:eastAsia="Calibri" w:cs="Times New Roman"/>
          <w:sz w:val="14"/>
        </w:rPr>
        <w:t xml:space="preserve">The conceptual scope and analytical utility of the bare life concept has generated commentary and engagement with role of states of exception in colonial contexts (Svirsky &amp; Bignall, 2012). </w:t>
      </w:r>
      <w:r w:rsidRPr="00087A72">
        <w:rPr>
          <w:rFonts w:eastAsia="Calibri" w:cs="Times New Roman"/>
          <w:u w:val="single"/>
        </w:rPr>
        <w:t>A few commentaries have generated particularly rich analyses that help situate the concept of sacredness in relation to bare life and bare nature</w:t>
      </w:r>
      <w:r w:rsidRPr="00087A72">
        <w:rPr>
          <w:rFonts w:eastAsia="Calibri" w:cs="Times New Roman"/>
        </w:rPr>
        <w:t xml:space="preserve">. </w:t>
      </w:r>
      <w:r w:rsidRPr="00087A72">
        <w:rPr>
          <w:rFonts w:eastAsia="Calibri" w:cs="Times New Roman"/>
          <w:sz w:val="14"/>
        </w:rPr>
        <w:t xml:space="preserve">Specifically, Judith Butler (2014) qualifies Agamben’s metaphysical and juridical approach as too “a-relational, contrasted only with the sovereign power that lays it bare outside of the polis” (p. 24). As discussed above, relational and embodied understandings tie together the affective and land-based understandings established as affective ontologies and ways-of-being (Coulthard, 2014; Gould, 2009). Additionally, </w:t>
      </w:r>
      <w:r w:rsidRPr="00087A72">
        <w:rPr>
          <w:rFonts w:eastAsia="Calibri" w:cs="Times New Roman"/>
          <w:u w:val="single"/>
        </w:rPr>
        <w:t xml:space="preserve">Mark Rifkin </w:t>
      </w:r>
      <w:r w:rsidRPr="00087A72">
        <w:rPr>
          <w:rFonts w:eastAsia="Calibri" w:cs="Times New Roman"/>
        </w:rPr>
        <w:t xml:space="preserve">(2009) </w:t>
      </w:r>
      <w:r w:rsidRPr="00087A72">
        <w:rPr>
          <w:rFonts w:eastAsia="Calibri" w:cs="Times New Roman"/>
          <w:u w:val="single"/>
        </w:rPr>
        <w:t>contends that Agamben’s “emphasis on biopolitics tends to come at the expense of a discussion of geopolitics, the production of race supplanting the production of space” noting Agamben’s thinking has proceeded without significant “discussion of Indigenous Peoples”</w:t>
      </w:r>
      <w:r w:rsidRPr="00087A72">
        <w:rPr>
          <w:rFonts w:eastAsia="Calibri" w:cs="Times New Roman"/>
        </w:rPr>
        <w:t xml:space="preserve"> (p. 90). </w:t>
      </w:r>
      <w:r w:rsidRPr="00087A72">
        <w:rPr>
          <w:rFonts w:eastAsia="Calibri" w:cs="Times New Roman"/>
          <w:u w:val="single"/>
        </w:rPr>
        <w:t>Rifkin’s indigenization of bare life is especially relevant in the context of settler-colonial states.</w:t>
      </w:r>
      <w:r w:rsidRPr="00087A72">
        <w:rPr>
          <w:rFonts w:eastAsia="Calibri" w:cs="Times New Roman"/>
        </w:rPr>
        <w:t xml:space="preserve"> </w:t>
      </w:r>
      <w:r w:rsidRPr="00087A72">
        <w:rPr>
          <w:rFonts w:eastAsia="Calibri" w:cs="Times New Roman"/>
          <w:u w:val="single"/>
        </w:rPr>
        <w:t>Colonial processes employ</w:t>
      </w:r>
      <w:r w:rsidRPr="00087A72">
        <w:rPr>
          <w:rFonts w:eastAsia="Calibri" w:cs="Times New Roman"/>
        </w:rPr>
        <w:t xml:space="preserve"> </w:t>
      </w:r>
      <w:r w:rsidRPr="00087A72">
        <w:rPr>
          <w:rFonts w:eastAsia="Calibri" w:cs="Times New Roman"/>
          <w:sz w:val="14"/>
        </w:rPr>
        <w:t>exceptional</w:t>
      </w:r>
      <w:r w:rsidRPr="00087A72">
        <w:rPr>
          <w:rFonts w:eastAsia="Calibri" w:cs="Times New Roman"/>
        </w:rPr>
        <w:t xml:space="preserve"> </w:t>
      </w:r>
      <w:r w:rsidRPr="00087A72">
        <w:rPr>
          <w:rFonts w:eastAsia="Calibri" w:cs="Times New Roman"/>
          <w:u w:val="single"/>
        </w:rPr>
        <w:t>measures to both “regulate . . . proper kinds of embodiment</w:t>
      </w:r>
      <w:r w:rsidRPr="00087A72">
        <w:rPr>
          <w:rFonts w:eastAsia="Calibri" w:cs="Times New Roman"/>
        </w:rPr>
        <w:t xml:space="preserve"> (“bare life”)” </w:t>
      </w:r>
      <w:r w:rsidRPr="00087A72">
        <w:rPr>
          <w:rFonts w:eastAsia="Calibri" w:cs="Times New Roman"/>
          <w:u w:val="single"/>
        </w:rPr>
        <w:t>while they also use sovereign power to “legitimate modes of collective occupancy”—which Rifkin refers to as “bare habitance</w:t>
      </w:r>
      <w:r w:rsidRPr="00087A72">
        <w:rPr>
          <w:rFonts w:eastAsia="Calibri" w:cs="Times New Roman"/>
        </w:rPr>
        <w:t xml:space="preserve">” (Rifkin, 2009, p. 90). </w:t>
      </w:r>
      <w:r w:rsidRPr="00087A72">
        <w:rPr>
          <w:rFonts w:eastAsia="Calibri" w:cs="Times New Roman"/>
          <w:u w:val="single"/>
        </w:rPr>
        <w:t>These interventions into Agamben’s bare life paradigm provide a more grounded and relational way of understanding how states of exception function in modern biopolitical governance structures</w:t>
      </w:r>
      <w:r w:rsidRPr="00087A72">
        <w:rPr>
          <w:rFonts w:eastAsia="Calibri" w:cs="Times New Roman"/>
        </w:rPr>
        <w:t xml:space="preserve">. </w:t>
      </w:r>
      <w:r w:rsidRPr="00087A72">
        <w:rPr>
          <w:rFonts w:eastAsia="Calibri" w:cs="Times New Roman"/>
          <w:sz w:val="16"/>
        </w:rPr>
        <w:t xml:space="preserve">Space and Culture 21(1) </w:t>
      </w:r>
      <w:r w:rsidRPr="00087A72">
        <w:rPr>
          <w:rFonts w:eastAsia="Calibri" w:cs="Times New Roman"/>
          <w:u w:val="single"/>
        </w:rPr>
        <w:t>Indigenizing Agamben’s analysis of bare life decenters Western traditions of sovereignty, while emphasizing Indigenous legal traditions based on interdependent understandings of the affective and relational qualities that constitute unique ontological and ecological systems</w:t>
      </w:r>
      <w:r w:rsidRPr="00087A72">
        <w:rPr>
          <w:rFonts w:eastAsia="Calibri" w:cs="Times New Roman"/>
        </w:rPr>
        <w:t xml:space="preserve">. </w:t>
      </w:r>
      <w:r w:rsidRPr="00087A72">
        <w:rPr>
          <w:rFonts w:eastAsia="Calibri" w:cs="Times New Roman"/>
          <w:sz w:val="16"/>
        </w:rPr>
        <w:t>The current hegemonic forms of biopolitical governance responsible for proliferating states of exception and sacrifice are not the only option. Perhaps most significantly</w:t>
      </w:r>
      <w:r w:rsidRPr="00087A72">
        <w:rPr>
          <w:rFonts w:eastAsia="Calibri" w:cs="Times New Roman"/>
          <w:u w:val="single"/>
        </w:rPr>
        <w:t>, the decentering of Agamben’s totalizing analysis of absolute sovereignty exercised through states of exception opens-up important possibilities for delegitimating the violent potentials inherent in Western sovereign processes</w:t>
      </w:r>
      <w:r w:rsidRPr="00087A72">
        <w:rPr>
          <w:rFonts w:eastAsia="Calibri" w:cs="Times New Roman"/>
        </w:rPr>
        <w:t xml:space="preserve"> (Sexton, 2016). </w:t>
      </w:r>
      <w:r w:rsidRPr="00087A72">
        <w:rPr>
          <w:rFonts w:eastAsia="Calibri" w:cs="Times New Roman"/>
          <w:sz w:val="14"/>
        </w:rPr>
        <w:t xml:space="preserve">Non-Western approaches to power offer culturally adaptive forms of governance based on principles of interdependence that have long been the basis of Indigenous legal traditions (Borrows, 2010). </w:t>
      </w:r>
    </w:p>
    <w:p w:rsidR="00BF6777" w:rsidRPr="00087A72" w:rsidRDefault="00BF6777" w:rsidP="00BF6777">
      <w:pPr>
        <w:pStyle w:val="Heading4"/>
      </w:pPr>
      <w:r w:rsidRPr="00087A72">
        <w:t xml:space="preserve">Agamben reinscribes normative models of sovereignty, excludes the possibility for Indigenous politics, and is unable to apprehend the existence of the indigenous </w:t>
      </w:r>
    </w:p>
    <w:p w:rsidR="00BF6777" w:rsidRPr="00087A72" w:rsidRDefault="00BF6777" w:rsidP="00BF6777">
      <w:r w:rsidRPr="00087A72">
        <w:rPr>
          <w:rStyle w:val="Style13ptBold"/>
        </w:rPr>
        <w:t>Rifkin 15</w:t>
      </w:r>
      <w:r w:rsidRPr="00087A72">
        <w:t xml:space="preserve"> (Mark Rifkin is Director of the Women's and Gender Studies Program and Professor of English at the University of North Carolina, Greensboro and the author of several books, including Settler Common Sense: Queerness and Everyday Colonialism in the American Renaissance, “On the (geo)politics of belonging: Agamben and the UN Declaration on the Rights of Indigenous Peoples,” </w:t>
      </w:r>
      <w:r w:rsidRPr="00087A72">
        <w:rPr>
          <w:i/>
        </w:rPr>
        <w:t>Settler Colonial Studies</w:t>
      </w:r>
      <w:r w:rsidRPr="00087A72">
        <w:t>)//vikas</w:t>
      </w:r>
    </w:p>
    <w:p w:rsidR="00BF6777" w:rsidRPr="00087A72" w:rsidRDefault="00BF6777" w:rsidP="00BF6777">
      <w:pPr>
        <w:rPr>
          <w:rStyle w:val="Emphasis"/>
        </w:rPr>
      </w:pPr>
      <w:r w:rsidRPr="00087A72">
        <w:rPr>
          <w:sz w:val="14"/>
        </w:rPr>
        <w:t xml:space="preserve">However, </w:t>
      </w:r>
      <w:r w:rsidRPr="00087A72">
        <w:rPr>
          <w:b/>
          <w:u w:val="single"/>
        </w:rPr>
        <w:t>Agamben casts the exception exemplified</w:t>
      </w:r>
      <w:r w:rsidRPr="00087A72">
        <w:rPr>
          <w:sz w:val="14"/>
        </w:rPr>
        <w:t xml:space="preserve"> by the camp </w:t>
      </w:r>
      <w:r w:rsidRPr="00087A72">
        <w:rPr>
          <w:b/>
          <w:u w:val="single"/>
        </w:rPr>
        <w:t>as a falling away from a prior constitutional ideal, namely ‘the functional nexus between a determinate localization</w:t>
      </w:r>
      <w:r w:rsidRPr="00087A72">
        <w:rPr>
          <w:sz w:val="14"/>
        </w:rPr>
        <w:t xml:space="preserve"> (</w:t>
      </w:r>
      <w:r w:rsidRPr="00087A72">
        <w:rPr>
          <w:b/>
          <w:u w:val="single"/>
        </w:rPr>
        <w:t>territory</w:t>
      </w:r>
      <w:r w:rsidRPr="00087A72">
        <w:rPr>
          <w:sz w:val="14"/>
        </w:rPr>
        <w:t xml:space="preserve">) </w:t>
      </w:r>
      <w:r w:rsidRPr="00087A72">
        <w:rPr>
          <w:b/>
          <w:u w:val="single"/>
        </w:rPr>
        <w:t>and a determinate order</w:t>
      </w:r>
      <w:r w:rsidRPr="00087A72">
        <w:rPr>
          <w:sz w:val="14"/>
        </w:rPr>
        <w:t xml:space="preserve"> (</w:t>
      </w:r>
      <w:r w:rsidRPr="00087A72">
        <w:rPr>
          <w:b/>
          <w:u w:val="single"/>
        </w:rPr>
        <w:t>the state</w:t>
      </w:r>
      <w:r w:rsidRPr="00087A72">
        <w:rPr>
          <w:sz w:val="14"/>
        </w:rPr>
        <w:t xml:space="preserve">), </w:t>
      </w:r>
      <w:r w:rsidRPr="00087A72">
        <w:rPr>
          <w:b/>
          <w:u w:val="single"/>
        </w:rPr>
        <w:t>which was mediated by automatic regulations for the inscription of life</w:t>
      </w:r>
      <w:r w:rsidRPr="00087A72">
        <w:rPr>
          <w:sz w:val="14"/>
        </w:rPr>
        <w:t xml:space="preserve"> (</w:t>
      </w:r>
      <w:r w:rsidRPr="00087A72">
        <w:rPr>
          <w:b/>
          <w:u w:val="single"/>
        </w:rPr>
        <w:t>birth or nation</w:t>
      </w:r>
      <w:r w:rsidRPr="00087A72">
        <w:rPr>
          <w:sz w:val="14"/>
        </w:rPr>
        <w:t xml:space="preserve">)’. 12 </w:t>
      </w:r>
      <w:r w:rsidRPr="00087A72">
        <w:rPr>
          <w:b/>
          <w:u w:val="single"/>
        </w:rPr>
        <w:t>In this vein</w:t>
      </w:r>
      <w:r w:rsidRPr="00087A72">
        <w:rPr>
          <w:sz w:val="14"/>
        </w:rPr>
        <w:t xml:space="preserve">, the contemporary work of </w:t>
      </w:r>
      <w:r w:rsidRPr="00087A72">
        <w:rPr>
          <w:b/>
          <w:u w:val="single"/>
        </w:rPr>
        <w:t>sovereignty plays on</w:t>
      </w:r>
      <w:r w:rsidRPr="00087A72">
        <w:rPr>
          <w:sz w:val="14"/>
        </w:rPr>
        <w:t xml:space="preserve"> ‘an </w:t>
      </w:r>
      <w:r w:rsidRPr="00087A72">
        <w:rPr>
          <w:b/>
          <w:u w:val="single"/>
        </w:rPr>
        <w:t>ambiguity inherent in the</w:t>
      </w:r>
      <w:r w:rsidRPr="00087A72">
        <w:rPr>
          <w:sz w:val="14"/>
        </w:rPr>
        <w:t xml:space="preserve"> nature and </w:t>
      </w:r>
      <w:r w:rsidRPr="00087A72">
        <w:rPr>
          <w:b/>
          <w:u w:val="single"/>
        </w:rPr>
        <w:t>function of</w:t>
      </w:r>
      <w:r w:rsidRPr="00087A72">
        <w:rPr>
          <w:sz w:val="14"/>
        </w:rPr>
        <w:t xml:space="preserve"> the concept of </w:t>
      </w:r>
      <w:r w:rsidRPr="00087A72">
        <w:rPr>
          <w:b/>
          <w:u w:val="single"/>
        </w:rPr>
        <w:t>people in Western politics</w:t>
      </w:r>
      <w:r w:rsidRPr="00087A72">
        <w:rPr>
          <w:sz w:val="14"/>
        </w:rPr>
        <w:t xml:space="preserve">’: ‘the People as … an integral body politic’ and ‘the people as a subset … of needy and excluded bodies’. 13 </w:t>
      </w:r>
      <w:r w:rsidRPr="00087A72">
        <w:rPr>
          <w:b/>
          <w:u w:val="single"/>
        </w:rPr>
        <w:t>For Agamben, that potential difference between the People as a unified polity and</w:t>
      </w:r>
      <w:r w:rsidRPr="00087A72">
        <w:rPr>
          <w:sz w:val="14"/>
        </w:rPr>
        <w:t xml:space="preserve"> the </w:t>
      </w:r>
      <w:r w:rsidRPr="00087A72">
        <w:rPr>
          <w:b/>
          <w:u w:val="single"/>
        </w:rPr>
        <w:t>people as a series of bodies</w:t>
      </w:r>
      <w:r w:rsidRPr="00087A72">
        <w:rPr>
          <w:sz w:val="14"/>
        </w:rPr>
        <w:t xml:space="preserve"> (any subset of which can be abandoned as bare life) </w:t>
      </w:r>
      <w:r w:rsidRPr="00087A72">
        <w:rPr>
          <w:b/>
          <w:u w:val="single"/>
        </w:rPr>
        <w:t>gets realized in contemporary forms of state sovereignty, in which exception has become ‘the rule’</w:t>
      </w:r>
      <w:r w:rsidRPr="00087A72">
        <w:rPr>
          <w:sz w:val="14"/>
        </w:rPr>
        <w:t xml:space="preserve">. 14 </w:t>
      </w:r>
      <w:r w:rsidRPr="00087A72">
        <w:rPr>
          <w:rStyle w:val="Emphasis"/>
        </w:rPr>
        <w:t>In this</w:t>
      </w:r>
      <w:r w:rsidRPr="00087A72">
        <w:rPr>
          <w:sz w:val="14"/>
        </w:rPr>
        <w:t xml:space="preserve"> formulation, </w:t>
      </w:r>
      <w:r w:rsidRPr="00087A72">
        <w:rPr>
          <w:rStyle w:val="Emphasis"/>
        </w:rPr>
        <w:t>there is no room for conceptualizing</w:t>
      </w:r>
      <w:r w:rsidRPr="00087A72">
        <w:rPr>
          <w:sz w:val="14"/>
        </w:rPr>
        <w:t xml:space="preserve"> those </w:t>
      </w:r>
      <w:r w:rsidRPr="00087A72">
        <w:rPr>
          <w:rStyle w:val="Emphasis"/>
        </w:rPr>
        <w:t>groups potentially included under</w:t>
      </w:r>
      <w:r w:rsidRPr="00087A72">
        <w:rPr>
          <w:sz w:val="14"/>
        </w:rPr>
        <w:t xml:space="preserve"> the rubric </w:t>
      </w:r>
      <w:r w:rsidRPr="00087A72">
        <w:rPr>
          <w:rStyle w:val="Emphasis"/>
        </w:rPr>
        <w:t>‘indigenous’ as peoples. Put another way, Agamben presumes</w:t>
      </w:r>
      <w:r w:rsidRPr="00087A72">
        <w:rPr>
          <w:sz w:val="14"/>
        </w:rPr>
        <w:t xml:space="preserve"> a </w:t>
      </w:r>
      <w:r w:rsidRPr="00087A72">
        <w:rPr>
          <w:rStyle w:val="Emphasis"/>
        </w:rPr>
        <w:t>coherence between territory and political entity, between</w:t>
      </w:r>
      <w:r w:rsidRPr="00087A72">
        <w:rPr>
          <w:sz w:val="14"/>
        </w:rPr>
        <w:t xml:space="preserve"> the </w:t>
      </w:r>
      <w:r w:rsidRPr="00087A72">
        <w:rPr>
          <w:rStyle w:val="Emphasis"/>
        </w:rPr>
        <w:t>space of the nation and</w:t>
      </w:r>
      <w:r w:rsidRPr="00087A72">
        <w:rPr>
          <w:sz w:val="14"/>
        </w:rPr>
        <w:t xml:space="preserve"> the </w:t>
      </w:r>
      <w:r w:rsidRPr="00087A72">
        <w:rPr>
          <w:rStyle w:val="Emphasis"/>
        </w:rPr>
        <w:t>governance of the state, in order to foreground the shifting status of persons within its domain, who may be excluded from legal protection. This focus on the biopolitics of exception</w:t>
      </w:r>
      <w:r w:rsidRPr="00087A72">
        <w:rPr>
          <w:sz w:val="14"/>
        </w:rPr>
        <w:t xml:space="preserve">, the </w:t>
      </w:r>
      <w:r w:rsidRPr="00087A72">
        <w:rPr>
          <w:rStyle w:val="Emphasis"/>
        </w:rPr>
        <w:t>creation of zones of bare life, leads him away from</w:t>
      </w:r>
      <w:r w:rsidRPr="00087A72">
        <w:rPr>
          <w:sz w:val="14"/>
        </w:rPr>
        <w:t xml:space="preserve"> the </w:t>
      </w:r>
      <w:r w:rsidRPr="00087A72">
        <w:rPr>
          <w:rStyle w:val="Emphasis"/>
        </w:rPr>
        <w:t>geopolitics of exception, the forced incorporation of Indigenous peoples’ territory into</w:t>
      </w:r>
      <w:r w:rsidRPr="00087A72">
        <w:rPr>
          <w:sz w:val="14"/>
        </w:rPr>
        <w:t xml:space="preserve">/as the </w:t>
      </w:r>
      <w:r w:rsidRPr="00087A72">
        <w:rPr>
          <w:rStyle w:val="Emphasis"/>
        </w:rPr>
        <w:t>‘domestic’ space of the settler-state.</w:t>
      </w:r>
      <w:r w:rsidRPr="00087A72">
        <w:rPr>
          <w:sz w:val="14"/>
        </w:rPr>
        <w:t xml:space="preserve"> The territorial and </w:t>
      </w:r>
      <w:r w:rsidRPr="00087A72">
        <w:rPr>
          <w:b/>
          <w:u w:val="single"/>
        </w:rPr>
        <w:t>jurisdictional integrity of the settler-state requires asserting authority over lands claimed by polities who trace</w:t>
      </w:r>
      <w:r w:rsidRPr="00087A72">
        <w:rPr>
          <w:sz w:val="14"/>
        </w:rPr>
        <w:t xml:space="preserve"> their </w:t>
      </w:r>
      <w:r w:rsidRPr="00087A72">
        <w:rPr>
          <w:b/>
          <w:u w:val="single"/>
        </w:rPr>
        <w:t>identity to a time before the founding of the state</w:t>
      </w:r>
      <w:r w:rsidRPr="00087A72">
        <w:rPr>
          <w:sz w:val="14"/>
        </w:rPr>
        <w:t xml:space="preserve"> and whose </w:t>
      </w:r>
      <w:r w:rsidRPr="00087A72">
        <w:rPr>
          <w:b/>
          <w:u w:val="single"/>
        </w:rPr>
        <w:t>existence as such is not reducible to</w:t>
      </w:r>
      <w:r w:rsidRPr="00087A72">
        <w:rPr>
          <w:sz w:val="14"/>
        </w:rPr>
        <w:t xml:space="preserve"> the </w:t>
      </w:r>
      <w:r w:rsidRPr="00087A72">
        <w:rPr>
          <w:b/>
          <w:u w:val="single"/>
        </w:rPr>
        <w:t>state’s logics and legalities.</w:t>
      </w:r>
      <w:r w:rsidRPr="00087A72">
        <w:rPr>
          <w:sz w:val="14"/>
        </w:rPr>
        <w:t xml:space="preserve"> Therefore, </w:t>
      </w:r>
      <w:r w:rsidRPr="00087A72">
        <w:rPr>
          <w:b/>
          <w:u w:val="single"/>
        </w:rPr>
        <w:t>settler governments’ rendering of Indigenous peoples and</w:t>
      </w:r>
      <w:r w:rsidRPr="00087A72">
        <w:rPr>
          <w:sz w:val="14"/>
        </w:rPr>
        <w:t xml:space="preserve"> the </w:t>
      </w:r>
      <w:r w:rsidRPr="00087A72">
        <w:rPr>
          <w:b/>
          <w:u w:val="single"/>
        </w:rPr>
        <w:t>lands they continue to claim as exceptional</w:t>
      </w:r>
      <w:r w:rsidRPr="00087A72">
        <w:rPr>
          <w:sz w:val="14"/>
        </w:rPr>
        <w:t xml:space="preserve"> – </w:t>
      </w:r>
      <w:r w:rsidRPr="00087A72">
        <w:rPr>
          <w:rStyle w:val="Emphasis"/>
        </w:rPr>
        <w:t>as anomalies outside of law but subject to the state’s sovereign power</w:t>
      </w:r>
      <w:r w:rsidRPr="00087A72">
        <w:rPr>
          <w:sz w:val="14"/>
        </w:rPr>
        <w:t xml:space="preserve"> – indicates not a falling away from a prior ideal but </w:t>
      </w:r>
      <w:r w:rsidRPr="00087A72">
        <w:rPr>
          <w:rStyle w:val="Emphasis"/>
        </w:rPr>
        <w:t>an expression of the irresolvable tension in settler jurisdiction</w:t>
      </w:r>
      <w:r w:rsidRPr="00087A72">
        <w:rPr>
          <w:sz w:val="14"/>
        </w:rPr>
        <w:t xml:space="preserve"> and legal geography. </w:t>
      </w:r>
      <w:r w:rsidRPr="00087A72">
        <w:rPr>
          <w:b/>
          <w:u w:val="single"/>
        </w:rPr>
        <w:t>The state seeks to resolve this running legitimacy crisis by</w:t>
      </w:r>
      <w:r w:rsidRPr="00087A72">
        <w:rPr>
          <w:sz w:val="14"/>
        </w:rPr>
        <w:t xml:space="preserve">, in various ways, </w:t>
      </w:r>
      <w:r w:rsidRPr="00087A72">
        <w:rPr>
          <w:b/>
          <w:u w:val="single"/>
        </w:rPr>
        <w:t>repudiating</w:t>
      </w:r>
      <w:r w:rsidRPr="00087A72">
        <w:rPr>
          <w:sz w:val="14"/>
        </w:rPr>
        <w:t xml:space="preserve"> the </w:t>
      </w:r>
      <w:r w:rsidRPr="00087A72">
        <w:rPr>
          <w:b/>
          <w:u w:val="single"/>
        </w:rPr>
        <w:t>existence of Indigenous polities as ‘distinct peoples’.</w:t>
      </w:r>
      <w:r w:rsidRPr="00087A72">
        <w:rPr>
          <w:sz w:val="14"/>
        </w:rPr>
        <w:t xml:space="preserve"> In emphasizing and enumerating possibilities for Indigenous difference, the Declaration turns this process of exceptionalization inside-out, taking the limits of settler law as a starting point for imagining rights neither encompassed by state regimes nor determined by state narratives and criteria. Article 9 states, ‘Indigenous peoples and individuals have the right to belong to an indigenous community or nation, in accordance with the traditions and customs of the community or nation concerned,’ and as noted in the preambular paragraphs, Indigenous peoples possess ‘inherent rights … which derive from their political, economic, and social structures and from their cultures, spiritual traditions, histories and philosophies, especially their rights to their lands, territories and resources’. 15 Along with the earlier mentioned insistence on ‘collective rights’ to ‘integrity as distinct peoples’, the Declaration in these moments suggests the existence of principles and institutions that need not be equivalent to those of the encompassing state. UNDRIP indicates that having distinct ‘traditions’, ‘customs’, ‘political, economic, and social structures’, ‘cultures’, ‘spiritual traditions’, and/or ‘histories and philosophies’ materializes Indigenous peoplehood rather than constituting it as an alegal island of anomaly within the state. The Declaration’s cataloging of how Indigenous peoples might be nonidentical with respect to the states that claim jurisdiction over them suggests something like Agamben’s notion of ‘form-of-life’. He uses this phrase to designate ‘a life that can never be separated from its form, a life in which it is never possible to isolate something such as naked life’. 16 </w:t>
      </w:r>
      <w:r w:rsidRPr="00087A72">
        <w:rPr>
          <w:b/>
          <w:u w:val="single"/>
        </w:rPr>
        <w:t>State sovereignty, according to Agamben, depends on</w:t>
      </w:r>
      <w:r w:rsidRPr="00087A72">
        <w:rPr>
          <w:sz w:val="14"/>
        </w:rPr>
        <w:t xml:space="preserve"> the </w:t>
      </w:r>
      <w:r w:rsidRPr="00087A72">
        <w:rPr>
          <w:b/>
          <w:u w:val="single"/>
        </w:rPr>
        <w:t xml:space="preserve">distinction between the law and </w:t>
      </w:r>
      <w:r w:rsidRPr="00087A72">
        <w:rPr>
          <w:sz w:val="14"/>
        </w:rPr>
        <w:t xml:space="preserve">the sphere of </w:t>
      </w:r>
      <w:r w:rsidRPr="00087A72">
        <w:rPr>
          <w:b/>
          <w:u w:val="single"/>
        </w:rPr>
        <w:t>bare</w:t>
      </w:r>
      <w:r w:rsidRPr="00087A72">
        <w:rPr>
          <w:sz w:val="14"/>
        </w:rPr>
        <w:t xml:space="preserve">/naked </w:t>
      </w:r>
      <w:r w:rsidRPr="00087A72">
        <w:rPr>
          <w:b/>
          <w:u w:val="single"/>
        </w:rPr>
        <w:t>life that lies outside the law</w:t>
      </w:r>
      <w:r w:rsidRPr="00087A72">
        <w:rPr>
          <w:sz w:val="14"/>
        </w:rPr>
        <w:t xml:space="preserve"> and to which persons and groups can be abandoned. </w:t>
      </w:r>
      <w:r w:rsidRPr="00087A72">
        <w:rPr>
          <w:rStyle w:val="Emphasis"/>
        </w:rPr>
        <w:t>However</w:t>
      </w:r>
      <w:r w:rsidRPr="00087A72">
        <w:rPr>
          <w:sz w:val="14"/>
        </w:rPr>
        <w:t xml:space="preserve">, the notion of </w:t>
      </w:r>
      <w:r w:rsidRPr="00087A72">
        <w:rPr>
          <w:rStyle w:val="Emphasis"/>
        </w:rPr>
        <w:t>‘form-of-life’ marks the potential for ways of being that are not defined with reference to the state’s logics, criteria, or procedures.</w:t>
      </w:r>
      <w:r w:rsidRPr="00087A72">
        <w:rPr>
          <w:sz w:val="14"/>
        </w:rPr>
        <w:t xml:space="preserve"> Instead, </w:t>
      </w:r>
      <w:r w:rsidRPr="00087A72">
        <w:rPr>
          <w:b/>
          <w:u w:val="single"/>
        </w:rPr>
        <w:t>they are constituted through their own terms – ‘a life’ immanently immersed in ‘its form’</w:t>
      </w:r>
      <w:r w:rsidRPr="00087A72">
        <w:rPr>
          <w:sz w:val="14"/>
        </w:rPr>
        <w:t xml:space="preserve">. Notably, </w:t>
      </w:r>
      <w:r w:rsidRPr="00087A72">
        <w:rPr>
          <w:rStyle w:val="Emphasis"/>
        </w:rPr>
        <w:t>this concept remains intently ill defined</w:t>
      </w:r>
      <w:r w:rsidRPr="00087A72">
        <w:rPr>
          <w:sz w:val="14"/>
        </w:rPr>
        <w:t xml:space="preserve">; </w:t>
      </w:r>
      <w:r w:rsidRPr="00087A72">
        <w:rPr>
          <w:rStyle w:val="Emphasis"/>
        </w:rPr>
        <w:t>Agamben does not specify the</w:t>
      </w:r>
      <w:r w:rsidRPr="00087A72">
        <w:rPr>
          <w:sz w:val="14"/>
        </w:rPr>
        <w:t xml:space="preserve"> contours or </w:t>
      </w:r>
      <w:r w:rsidRPr="00087A72">
        <w:rPr>
          <w:rStyle w:val="Emphasis"/>
        </w:rPr>
        <w:t>characteristics of what a life beyond state sovereignty would entail.</w:t>
      </w:r>
      <w:r w:rsidRPr="00087A72">
        <w:rPr>
          <w:sz w:val="14"/>
        </w:rPr>
        <w:t xml:space="preserve"> Similarly, the Declaration offers numerous permutations of potential expressions of indigeneity without circumscribing what shapes peoplehood might take. The document refuses to adjudicate the authenticity of Indigenous self-definition. Rather, it positions ‘indigenous’ as marking an open-ended potential for kinds of collective belonging, emplacement, and self-governance other than those explicitly sanctioned by the state – ones whose ‘form’ cannot be predetermined by settler legalities or the modes of exception mobilized to legitimize national jurisdiction against the challenge posed by groups whose geopolitical claims precede/exceed that of the state. Moreover, the centrality of the term ‘peoples’ to the document – as opposed to ‘people’ or ‘populations’ – indicates a refusal to understand the entities in question as aggregates of persons, in which case indigeneity could be defined as an individual trait (such as racial ‘blood’ substance). In this way, the Declaration seeks to defer the reduction of peoplehood to putatively biological features – to a version of ‘bare life’ that falls within the orbit of the state’s sovereignty. </w:t>
      </w:r>
      <w:r w:rsidRPr="00087A72">
        <w:rPr>
          <w:rStyle w:val="Emphasis"/>
        </w:rPr>
        <w:t>Agamben’s argument</w:t>
      </w:r>
      <w:r w:rsidRPr="00087A72">
        <w:rPr>
          <w:sz w:val="14"/>
        </w:rPr>
        <w:t xml:space="preserve">, though, </w:t>
      </w:r>
      <w:r w:rsidRPr="00087A72">
        <w:rPr>
          <w:rStyle w:val="Emphasis"/>
        </w:rPr>
        <w:t>does not really countenance such collective claims</w:t>
      </w:r>
      <w:r w:rsidRPr="00087A72">
        <w:rPr>
          <w:sz w:val="14"/>
        </w:rPr>
        <w:t xml:space="preserve">, </w:t>
      </w:r>
      <w:r w:rsidRPr="00087A72">
        <w:rPr>
          <w:rStyle w:val="Emphasis"/>
        </w:rPr>
        <w:t>especially to self-governance and control over territory.</w:t>
      </w:r>
      <w:r w:rsidRPr="00087A72">
        <w:rPr>
          <w:sz w:val="14"/>
        </w:rPr>
        <w:t xml:space="preserve"> </w:t>
      </w:r>
      <w:r w:rsidRPr="00087A72">
        <w:rPr>
          <w:b/>
          <w:u w:val="single"/>
        </w:rPr>
        <w:t>He connects his critique of sovereignty to a critique of identity, not simply</w:t>
      </w:r>
      <w:r w:rsidRPr="00087A72">
        <w:rPr>
          <w:sz w:val="14"/>
        </w:rPr>
        <w:t xml:space="preserve"> as </w:t>
      </w:r>
      <w:r w:rsidRPr="00087A72">
        <w:rPr>
          <w:b/>
          <w:u w:val="single"/>
        </w:rPr>
        <w:t>licensed by the state but as</w:t>
      </w:r>
      <w:r w:rsidRPr="00087A72">
        <w:rPr>
          <w:sz w:val="14"/>
        </w:rPr>
        <w:t xml:space="preserve"> any </w:t>
      </w:r>
      <w:r w:rsidRPr="00087A72">
        <w:rPr>
          <w:b/>
          <w:u w:val="single"/>
        </w:rPr>
        <w:t>predetermination of commonness</w:t>
      </w:r>
      <w:r w:rsidRPr="00087A72">
        <w:rPr>
          <w:sz w:val="14"/>
        </w:rPr>
        <w:t xml:space="preserve"> – ‘beings who would always already … be this or that thing’. 17 </w:t>
      </w:r>
      <w:r w:rsidRPr="00087A72">
        <w:rPr>
          <w:rStyle w:val="Emphasis"/>
        </w:rPr>
        <w:t>As part of seeking to envision a radical openness not foreordained by state directives</w:t>
      </w:r>
      <w:r w:rsidRPr="00087A72">
        <w:rPr>
          <w:sz w:val="14"/>
        </w:rPr>
        <w:t xml:space="preserve">/imperatives, </w:t>
      </w:r>
      <w:r w:rsidRPr="00087A72">
        <w:rPr>
          <w:rStyle w:val="Emphasis"/>
        </w:rPr>
        <w:t xml:space="preserve">he disavows the possibility of modes of communality whose operation remains irreducible to the legalities and political determinations </w:t>
      </w:r>
      <w:r w:rsidRPr="00087A72">
        <w:rPr>
          <w:sz w:val="14"/>
        </w:rPr>
        <w:t xml:space="preserve">of the state. </w:t>
      </w:r>
      <w:r w:rsidRPr="00087A72">
        <w:rPr>
          <w:b/>
          <w:u w:val="single"/>
        </w:rPr>
        <w:t>This</w:t>
      </w:r>
      <w:r w:rsidRPr="00087A72">
        <w:rPr>
          <w:sz w:val="14"/>
        </w:rPr>
        <w:t xml:space="preserve"> dynamic </w:t>
      </w:r>
      <w:r w:rsidRPr="00087A72">
        <w:rPr>
          <w:b/>
          <w:u w:val="single"/>
        </w:rPr>
        <w:t>can be connected to his tendency to address exception as a falling away from</w:t>
      </w:r>
      <w:r w:rsidRPr="00087A72">
        <w:rPr>
          <w:sz w:val="14"/>
        </w:rPr>
        <w:t xml:space="preserve"> the </w:t>
      </w:r>
      <w:r w:rsidRPr="00087A72">
        <w:rPr>
          <w:b/>
          <w:u w:val="single"/>
        </w:rPr>
        <w:t>prior integrity of the nexus of law-territory-people</w:t>
      </w:r>
      <w:r w:rsidRPr="00087A72">
        <w:rPr>
          <w:sz w:val="14"/>
        </w:rPr>
        <w:t xml:space="preserve"> in the operation of the nation-state. In this vein, he proposes that all connections between birth and political belonging to territory be severed as a necessary part of displacing the violence of sovereignty, which produces the exception and constructs zones of exception like the concentration camp. He asserts, ‘the idea of a people today is nothing other than the empty support of state identity and is recognized only as such’. 18 For this reason, Agamben takes the figure of the refugee as the (individualist) paradigm through which to imagine a way beyond bare life. He argues, ‘If the refugee represents such a disquieting element in the order of the nation-state, this is so primarily because by breaking the identity between the human and the citizen and that between nativity and nationality, it brings the originary function of sovereignty to crisis.’ 19 Separating ‘nativity’ from ‘nationality’ works to distinguish birth (‘the human’) from belonging to a particular political entity (‘the citizen’). In doing so, </w:t>
      </w:r>
      <w:r w:rsidRPr="00087A72">
        <w:rPr>
          <w:b/>
          <w:u w:val="single"/>
        </w:rPr>
        <w:t>Agamben seeks to envision forms-of-life that are not always already captured within the sovereignty of the state, that do not bear a pre-given ‘identity’.</w:t>
      </w:r>
      <w:r w:rsidRPr="00087A72">
        <w:rPr>
          <w:sz w:val="14"/>
        </w:rPr>
        <w:t xml:space="preserve"> The figure of the ‘refugee’, then, suggests a body whose political status remains indeterminate, not inherently belonging to any particular space. Agamben suggests that truly attending to that figure would enable a thinking of politics not wedded to the state’s exertion of control over an area in which its sovereignty enables it to strip persons of all status but bare life. </w:t>
      </w:r>
      <w:r w:rsidRPr="00087A72">
        <w:rPr>
          <w:b/>
          <w:u w:val="single"/>
        </w:rPr>
        <w:t>To assert collective political authority over a determinate territory</w:t>
      </w:r>
      <w:r w:rsidRPr="00087A72">
        <w:rPr>
          <w:sz w:val="14"/>
        </w:rPr>
        <w:t xml:space="preserve"> – to be a people – </w:t>
      </w:r>
      <w:r w:rsidRPr="00087A72">
        <w:rPr>
          <w:b/>
          <w:u w:val="single"/>
        </w:rPr>
        <w:t>necessarily entails being a state and exerting sovereignty, which</w:t>
      </w:r>
      <w:r w:rsidRPr="00087A72">
        <w:rPr>
          <w:sz w:val="14"/>
        </w:rPr>
        <w:t xml:space="preserve"> for </w:t>
      </w:r>
      <w:r w:rsidRPr="00087A72">
        <w:rPr>
          <w:b/>
          <w:u w:val="single"/>
        </w:rPr>
        <w:t>Agamben translates as</w:t>
      </w:r>
      <w:r w:rsidRPr="00087A72">
        <w:rPr>
          <w:sz w:val="14"/>
        </w:rPr>
        <w:t xml:space="preserve"> ‘the </w:t>
      </w:r>
      <w:r w:rsidRPr="00087A72">
        <w:rPr>
          <w:b/>
          <w:u w:val="single"/>
        </w:rPr>
        <w:t>ability to decide on the state of exception</w:t>
      </w:r>
      <w:r w:rsidRPr="00087A72">
        <w:rPr>
          <w:sz w:val="14"/>
        </w:rPr>
        <w:t xml:space="preserve">’ </w:t>
      </w:r>
      <w:r w:rsidRPr="00087A72">
        <w:rPr>
          <w:b/>
          <w:u w:val="single"/>
        </w:rPr>
        <w:t>and</w:t>
      </w:r>
      <w:r w:rsidRPr="00087A72">
        <w:rPr>
          <w:sz w:val="14"/>
        </w:rPr>
        <w:t xml:space="preserve">, thus, to </w:t>
      </w:r>
      <w:r w:rsidRPr="00087A72">
        <w:rPr>
          <w:b/>
          <w:u w:val="single"/>
        </w:rPr>
        <w:t>abandon persons and populations beyond</w:t>
      </w:r>
      <w:r w:rsidRPr="00087A72">
        <w:rPr>
          <w:sz w:val="14"/>
        </w:rPr>
        <w:t xml:space="preserve"> the reach of </w:t>
      </w:r>
      <w:r w:rsidRPr="00087A72">
        <w:rPr>
          <w:b/>
          <w:u w:val="single"/>
        </w:rPr>
        <w:t>law’s protections. In seeking a path beyond the state as the purveyor of sovereign violence</w:t>
      </w:r>
      <w:r w:rsidRPr="00087A72">
        <w:rPr>
          <w:sz w:val="14"/>
        </w:rPr>
        <w:t xml:space="preserve">, though, </w:t>
      </w:r>
      <w:r w:rsidRPr="00087A72">
        <w:rPr>
          <w:rStyle w:val="Emphasis"/>
        </w:rPr>
        <w:t>Agamben forecloses the potential for modes of collectivity organized around placemaking.</w:t>
      </w:r>
      <w:r w:rsidRPr="00087A72">
        <w:rPr>
          <w:sz w:val="14"/>
        </w:rPr>
        <w:t xml:space="preserve"> If form-of-life must mean the absence of a relation between birth and communal connection to a given space, then </w:t>
      </w:r>
      <w:r w:rsidRPr="00087A72">
        <w:rPr>
          <w:b/>
          <w:u w:val="single"/>
        </w:rPr>
        <w:t>Agamben implicitly prejudges what will count as a properly non-statist form</w:t>
      </w:r>
      <w:r w:rsidRPr="00087A72">
        <w:rPr>
          <w:sz w:val="14"/>
        </w:rPr>
        <w:t xml:space="preserve">. This presumption of placelessness – the refugee – as </w:t>
      </w:r>
      <w:r w:rsidRPr="00087A72">
        <w:rPr>
          <w:rStyle w:val="Emphasis"/>
        </w:rPr>
        <w:t>the normative frame for thinking against contemporary modes of state sovereignty smuggles in a set of presumptions about what constitutes ‘the political’ as such.</w:t>
      </w:r>
      <w:r w:rsidRPr="00087A72">
        <w:rPr>
          <w:sz w:val="14"/>
        </w:rPr>
        <w:t xml:space="preserve"> For example, </w:t>
      </w:r>
      <w:r w:rsidRPr="00087A72">
        <w:rPr>
          <w:rStyle w:val="Emphasis"/>
        </w:rPr>
        <w:t>political collectivity equals nation-statehood, and individual personhood serves as</w:t>
      </w:r>
      <w:r w:rsidRPr="00087A72">
        <w:rPr>
          <w:sz w:val="14"/>
        </w:rPr>
        <w:t xml:space="preserve"> the a priori basis for defining </w:t>
      </w:r>
      <w:r w:rsidRPr="00087A72">
        <w:rPr>
          <w:rStyle w:val="Emphasis"/>
        </w:rPr>
        <w:t>humanness</w:t>
      </w:r>
      <w:r w:rsidRPr="00087A72">
        <w:rPr>
          <w:sz w:val="14"/>
        </w:rPr>
        <w:t xml:space="preserve"> (rather than, say, understanding being human as inherently a communal process). Agamben presents belonging to a collective as an enchaining ‘identity’ that he contrasts with the supposed non-belonging of individuality. For this reason, </w:t>
      </w:r>
      <w:r w:rsidRPr="00087A72">
        <w:rPr>
          <w:rStyle w:val="Emphasis"/>
        </w:rPr>
        <w:t>his conceptualization of ‘politics’ implicitly remains wedded to liberal notions of citizenship</w:t>
      </w:r>
      <w:r w:rsidRPr="00087A72">
        <w:rPr>
          <w:sz w:val="14"/>
        </w:rPr>
        <w:t xml:space="preserve"> (and of selfpossession and individual autonomy), even if he envisions such ‘politics’ as putatively set free from the apparatus of the state. </w:t>
      </w:r>
      <w:r w:rsidRPr="00087A72">
        <w:rPr>
          <w:rStyle w:val="Emphasis"/>
        </w:rPr>
        <w:t>This vision</w:t>
      </w:r>
      <w:r w:rsidRPr="00087A72">
        <w:rPr>
          <w:sz w:val="14"/>
        </w:rPr>
        <w:t xml:space="preserve">, then, </w:t>
      </w:r>
      <w:r w:rsidRPr="00087A72">
        <w:rPr>
          <w:rStyle w:val="Emphasis"/>
        </w:rPr>
        <w:t>forecloses the potential for engaging with indigeneity in ways that largely replicate the logic of the settler-state</w:t>
      </w:r>
      <w:r w:rsidRPr="00087A72">
        <w:rPr>
          <w:b/>
          <w:u w:val="single"/>
        </w:rPr>
        <w:t>: there’s the nation and the persons that constitute the nation’s ‘people’, but no possibility of distinct peoples on land claimed by the nation-state.</w:t>
      </w:r>
      <w:r w:rsidRPr="00087A72">
        <w:rPr>
          <w:sz w:val="14"/>
        </w:rPr>
        <w:t xml:space="preserve"> This very problem of intelligibility, though, arises in Agamben’s discussion of forms-of-life. He suggests, ‘We can communicate with others only through what in us – as much as in others – has remained potential, and any communication … is first of all communication not of something in common but of communicability itself.’ 20 </w:t>
      </w:r>
      <w:r w:rsidRPr="00087A72">
        <w:rPr>
          <w:rStyle w:val="Emphasis"/>
        </w:rPr>
        <w:t>Agamben’s assumption that the state serves as the only vehicle for peoplehood</w:t>
      </w:r>
      <w:r w:rsidRPr="00087A72">
        <w:rPr>
          <w:sz w:val="14"/>
        </w:rPr>
        <w:t xml:space="preserve"> – for place-based political collectivity – </w:t>
      </w:r>
      <w:r w:rsidRPr="00087A72">
        <w:rPr>
          <w:rStyle w:val="Emphasis"/>
        </w:rPr>
        <w:t>and that the individual axiomatically provides the unit for ‘the human’ shuts down the potential for communicating a notion of indigeneity.</w:t>
      </w:r>
    </w:p>
    <w:p w:rsidR="00BF6777" w:rsidRPr="00087A72" w:rsidRDefault="00BF6777" w:rsidP="00496C79">
      <w:pPr>
        <w:pStyle w:val="Heading3"/>
      </w:pPr>
      <w:r w:rsidRPr="00087A72">
        <w:t>Link – Agriculture (Development)</w:t>
      </w:r>
    </w:p>
    <w:p w:rsidR="00BF6777" w:rsidRPr="00087A72" w:rsidRDefault="00BF6777" w:rsidP="00BF6777">
      <w:pPr>
        <w:pStyle w:val="Heading4"/>
      </w:pPr>
      <w:r w:rsidRPr="00087A72">
        <w:t xml:space="preserve">Developmental discourse fuels the myth of the settler’s home, culminating in cultural erasure of the native </w:t>
      </w:r>
    </w:p>
    <w:p w:rsidR="00BF6777" w:rsidRPr="00087A72" w:rsidRDefault="00BF6777" w:rsidP="00BF6777">
      <w:r w:rsidRPr="00087A72">
        <w:rPr>
          <w:rStyle w:val="Style13ptBold"/>
        </w:rPr>
        <w:t>Whyte 16</w:t>
      </w:r>
      <w:r w:rsidRPr="00087A72">
        <w:t xml:space="preserve"> (Kyle Powys, Associate Professor of Philosophy and Community Sustainability at Michigan State University, “Indigeneity and US Settler Colonialism,” Oxford </w:t>
      </w:r>
      <w:r w:rsidRPr="00087A72">
        <w:rPr>
          <w:i/>
        </w:rPr>
        <w:t>Handbook of Philosophy and Race</w:t>
      </w:r>
      <w:r w:rsidRPr="00087A72">
        <w:t>, pp. 9-12)//vikas</w:t>
      </w:r>
    </w:p>
    <w:p w:rsidR="00BF6777" w:rsidRPr="00087A72" w:rsidRDefault="00BF6777" w:rsidP="00BF6777">
      <w:pPr>
        <w:rPr>
          <w:sz w:val="16"/>
        </w:rPr>
      </w:pPr>
      <w:r w:rsidRPr="00087A72">
        <w:rPr>
          <w:b/>
          <w:u w:val="single"/>
        </w:rPr>
        <w:t>One should not underestimate the physicality and scale of the US settler homeland creation process.</w:t>
      </w:r>
      <w:r w:rsidRPr="00087A72">
        <w:rPr>
          <w:sz w:val="16"/>
        </w:rPr>
        <w:t xml:space="preserve"> Europeans, and eventually </w:t>
      </w:r>
      <w:r w:rsidRPr="00087A72">
        <w:rPr>
          <w:b/>
          <w:u w:val="single"/>
        </w:rPr>
        <w:t>US Americans</w:t>
      </w:r>
      <w:r w:rsidRPr="00087A72">
        <w:rPr>
          <w:sz w:val="16"/>
        </w:rPr>
        <w:t xml:space="preserve">, had to physically shape the lands and waters to reflect their future aspirations and fears, economic systems, cultures, ways of life and heritages. They </w:t>
      </w:r>
      <w:r w:rsidRPr="00087A72">
        <w:rPr>
          <w:b/>
          <w:u w:val="single"/>
        </w:rPr>
        <w:t>literally had to carve out</w:t>
      </w:r>
      <w:r w:rsidRPr="00087A72">
        <w:rPr>
          <w:sz w:val="16"/>
        </w:rPr>
        <w:t xml:space="preserve">, or inscribe, </w:t>
      </w:r>
      <w:r w:rsidRPr="00087A72">
        <w:rPr>
          <w:b/>
          <w:u w:val="single"/>
        </w:rPr>
        <w:t>a homeland for themselves, within a territory whose ecosystems were already coupled</w:t>
      </w:r>
      <w:r w:rsidRPr="00087A72">
        <w:rPr>
          <w:sz w:val="16"/>
        </w:rPr>
        <w:t xml:space="preserve"> with the social, political and cultural institutions of different populations (e.g. the Anishinaabe seasonal round system). Moreover, </w:t>
      </w:r>
      <w:r w:rsidRPr="00087A72">
        <w:rPr>
          <w:b/>
          <w:u w:val="single"/>
        </w:rPr>
        <w:t>for many people who want a territory to be a homeland for themselves, they have to be able to claim it as a place</w:t>
      </w:r>
      <w:r w:rsidRPr="00087A72">
        <w:rPr>
          <w:sz w:val="16"/>
        </w:rPr>
        <w:t xml:space="preserve">. That is, </w:t>
      </w:r>
      <w:r w:rsidRPr="00087A72">
        <w:rPr>
          <w:rStyle w:val="Emphasis"/>
        </w:rPr>
        <w:t>they have to make themselves believe that they are the “Indigenous” inhabitants of that region</w:t>
      </w:r>
      <w:r w:rsidRPr="00087A72">
        <w:rPr>
          <w:sz w:val="16"/>
        </w:rPr>
        <w:t xml:space="preserve">. So the homeland process involves the creation or adaptation of stories, customs, histories, and so on, that justify settlers’ own desires to have the right to live there and to make their occupation an inevitable part of their heritage and future trajectory. </w:t>
      </w:r>
      <w:r w:rsidRPr="00087A72">
        <w:rPr>
          <w:rStyle w:val="Emphasis"/>
        </w:rPr>
        <w:t>The “industrial” aspect of this process has involved and continues to involve the ways that capitalism and other economic forms exploit natural</w:t>
      </w:r>
      <w:r w:rsidRPr="00087A72">
        <w:rPr>
          <w:sz w:val="16"/>
        </w:rPr>
        <w:t xml:space="preserve"> and human res</w:t>
      </w:r>
      <w:r w:rsidRPr="00087A72">
        <w:rPr>
          <w:rStyle w:val="Emphasis"/>
        </w:rPr>
        <w:t>ources as part of the support-system for settler homeland inscription, maintenance, and development.</w:t>
      </w:r>
      <w:r w:rsidRPr="00087A72">
        <w:rPr>
          <w:sz w:val="16"/>
        </w:rPr>
        <w:t xml:space="preserve"> Lacking long- term knowledge of the ecosystem and applying their own understandings from elsewhere to the land, </w:t>
      </w:r>
      <w:r w:rsidRPr="00087A72">
        <w:rPr>
          <w:b/>
          <w:u w:val="single"/>
        </w:rPr>
        <w:t>they established large-scale industrial agriculture, factories, transportation systems, and hydro-technologies such as dams.</w:t>
      </w:r>
      <w:r w:rsidRPr="00087A72">
        <w:rPr>
          <w:sz w:val="16"/>
        </w:rPr>
        <w:t xml:space="preserve"> These </w:t>
      </w:r>
      <w:r w:rsidRPr="00087A72">
        <w:rPr>
          <w:rStyle w:val="Emphasis"/>
        </w:rPr>
        <w:t>technological systems replaced Indigenous technological systems, altering the ecosystems through clearing land, pollution and the construction of barriers and arteries</w:t>
      </w:r>
      <w:r w:rsidRPr="00087A72">
        <w:rPr>
          <w:sz w:val="16"/>
        </w:rPr>
        <w:t xml:space="preserve"> (e.g. roads, pipelines and dams). At the same time, industrial processes gradually distanced many settlers from an awareness of how their societies were based on these forms of natural, animal and human resource exploitation. For many industrial processes take place on lands where the predominate populations are Indigenous or people of color, or the labor required for certain industries, such as large agriculture, stems from migrant populations. Industrial settler colonialism, hence, obscures its own support systems. In this sense, settler colonialism is not fundamentally a discursive construct or mental state (Tuck and Yang 2012). Rather, </w:t>
      </w:r>
      <w:r w:rsidRPr="00087A72">
        <w:rPr>
          <w:rStyle w:val="Emphasis"/>
        </w:rPr>
        <w:t>industrial settler colonialism is a physical, material and ecological excavation that can ground and provide evidence for</w:t>
      </w:r>
      <w:r w:rsidRPr="00087A72">
        <w:rPr>
          <w:sz w:val="16"/>
        </w:rPr>
        <w:t xml:space="preserve"> the </w:t>
      </w:r>
      <w:r w:rsidRPr="00087A72">
        <w:rPr>
          <w:rStyle w:val="Emphasis"/>
        </w:rPr>
        <w:t>discursive constructs and mental states of settlers.</w:t>
      </w:r>
      <w:r w:rsidRPr="00087A72">
        <w:rPr>
          <w:sz w:val="16"/>
        </w:rPr>
        <w:t xml:space="preserve"> For example, </w:t>
      </w:r>
      <w:r w:rsidRPr="00087A72">
        <w:rPr>
          <w:b/>
          <w:u w:val="single"/>
        </w:rPr>
        <w:t>discourses such as US agrarian myths, with obligations to till the land, find</w:t>
      </w:r>
      <w:r w:rsidRPr="00087A72">
        <w:rPr>
          <w:sz w:val="16"/>
        </w:rPr>
        <w:t xml:space="preserve"> their </w:t>
      </w:r>
      <w:r w:rsidRPr="00087A72">
        <w:rPr>
          <w:b/>
          <w:u w:val="single"/>
        </w:rPr>
        <w:t>value when one clears the land for agriculture from another’s land</w:t>
      </w:r>
      <w:r w:rsidRPr="00087A72">
        <w:rPr>
          <w:sz w:val="16"/>
        </w:rPr>
        <w:t xml:space="preserve"> that has not been used that way. When we fly over large parts of the United States, the land is visible as the ongoing quest to fulfill a specific agricultural vision. The </w:t>
      </w:r>
      <w:r w:rsidRPr="00087A72">
        <w:rPr>
          <w:rStyle w:val="Emphasis"/>
        </w:rPr>
        <w:t>patchwork of fields, farms, and small towns is often considered to be “beautiful” by many settlers or emblematic of something else of value</w:t>
      </w:r>
      <w:r w:rsidRPr="00087A72">
        <w:rPr>
          <w:sz w:val="16"/>
        </w:rPr>
        <w:t xml:space="preserve">, such as </w:t>
      </w:r>
      <w:r w:rsidRPr="00087A72">
        <w:rPr>
          <w:rStyle w:val="Emphasis"/>
        </w:rPr>
        <w:t>“feeding the world” or “growth.”</w:t>
      </w:r>
      <w:r w:rsidRPr="00087A72">
        <w:rPr>
          <w:sz w:val="16"/>
        </w:rPr>
        <w:t xml:space="preserve"> Someone once told me that the only way to see “real America” was to take back highways through small towns in the “breadbasket” of the US and “New England.” We can compare, at least using our imagination, how the “patchwork” sections of North America would have looked like from an airplane angle when they were under Indigenous systems of self-government—for example, for Anishinaabe seasonal round system of self-governance. The form of oppression, then, associated with industrial settler colonialism is that settler societies seek to erase Indigenous peoples, and in a number of ways: physically, “ecosystemicly,” discursively, culturally, and so forth. When one views the land today, one no longer sees very many signs of Indigenous peoples. Instead, one sees the physical manifestations of US settler society, whether that includes miles and miles of industrial agriculture in the Midwest or urban neighborhoods dotted with coffee shops and restaurants or massive military industrial or petrochemical complexes that stretch out over miles in order to manufacture weapons or produce fuel. Settler colonialism is not confined to the first generation of settlers; rather, it is the people today too—and of nearly all political leanings—who continue to shape the physical landscape to make the land their homeland––and in the process erase Indigenous peoples. </w:t>
      </w:r>
      <w:r w:rsidRPr="00087A72">
        <w:rPr>
          <w:rStyle w:val="Emphasis"/>
        </w:rPr>
        <w:t>One of the key structural features of industrial settler colonialism is to facilitate erasure through the establishment of dilemmas and disappearances.</w:t>
      </w:r>
      <w:r w:rsidRPr="00087A72">
        <w:rPr>
          <w:sz w:val="16"/>
        </w:rPr>
        <w:t xml:space="preserve"> </w:t>
      </w:r>
      <w:r w:rsidRPr="00087A72">
        <w:rPr>
          <w:b/>
          <w:u w:val="single"/>
        </w:rPr>
        <w:t>Disappearances are direct productions of ignorance that render Indigenous peoples invisible in their own homelands. One can locate these disappearances in technologies of disappearing</w:t>
      </w:r>
      <w:r w:rsidRPr="00087A72">
        <w:rPr>
          <w:sz w:val="16"/>
        </w:rPr>
        <w:t xml:space="preserve"> themselves. For example, the US public school curriculum typically does not feature any material on Indigenous peoples. In cases where it does, they are often discriminatory, such as the California “missions” assignment that students in California often do in 4th grade that involves visiting a Spanish mission. In this assignment, they become acquainted with religious and philanthropic efforts to “develop” the region for settlement. This </w:t>
      </w:r>
      <w:r w:rsidRPr="00087A72">
        <w:rPr>
          <w:rStyle w:val="Emphasis"/>
        </w:rPr>
        <w:t>notion of “development” is a technology of disappearing that disappears</w:t>
      </w:r>
      <w:r w:rsidRPr="00087A72">
        <w:rPr>
          <w:sz w:val="16"/>
        </w:rPr>
        <w:t xml:space="preserve"> the already </w:t>
      </w:r>
      <w:r w:rsidRPr="00087A72">
        <w:rPr>
          <w:rStyle w:val="Emphasis"/>
        </w:rPr>
        <w:t>existing</w:t>
      </w:r>
      <w:r w:rsidRPr="00087A72">
        <w:t xml:space="preserve"> </w:t>
      </w:r>
      <w:r w:rsidRPr="00087A72">
        <w:rPr>
          <w:sz w:val="16"/>
          <w:szCs w:val="16"/>
        </w:rPr>
        <w:t>and thriving</w:t>
      </w:r>
      <w:r w:rsidRPr="00087A72">
        <w:t xml:space="preserve"> </w:t>
      </w:r>
      <w:r w:rsidRPr="00087A72">
        <w:rPr>
          <w:rStyle w:val="Emphasis"/>
        </w:rPr>
        <w:t>Indigenous peoples in the land and the implication of some of the missions in genocide</w:t>
      </w:r>
      <w:r w:rsidRPr="00087A72">
        <w:rPr>
          <w:sz w:val="16"/>
        </w:rPr>
        <w:t xml:space="preserve"> for the sake of centering settler discourses.</w:t>
      </w:r>
    </w:p>
    <w:p w:rsidR="00540BEA" w:rsidRPr="00087A72" w:rsidRDefault="00540BEA" w:rsidP="00496C79">
      <w:pPr>
        <w:pStyle w:val="Heading3"/>
      </w:pPr>
      <w:r w:rsidRPr="00087A72">
        <w:t>Link – Anthropocentrism</w:t>
      </w:r>
    </w:p>
    <w:p w:rsidR="00540BEA" w:rsidRPr="00087A72" w:rsidRDefault="00540BEA" w:rsidP="00540BEA">
      <w:pPr>
        <w:pStyle w:val="Heading4"/>
      </w:pPr>
      <w:r w:rsidRPr="00087A72">
        <w:t>Settler colonialism is the root cause of anthropocentric speciesism—fitting animals into the dominant paradigms of Settler cosmology which not only reinvests in anthropocentric violence, but requires the ongoing genocide of the Native as its condition of possibility.</w:t>
      </w:r>
    </w:p>
    <w:p w:rsidR="00540BEA" w:rsidRPr="00087A72" w:rsidRDefault="00540BEA" w:rsidP="00540BEA">
      <w:r w:rsidRPr="00087A72">
        <w:rPr>
          <w:rStyle w:val="Style13ptBold"/>
        </w:rPr>
        <w:t>Belcourt 15</w:t>
      </w:r>
      <w:r w:rsidRPr="00087A72">
        <w:t xml:space="preserve"> (Billy Ray, 2016 Rhodes Scholar, Winner of the Griffin Prize for Poetry, and Doctoral Student at the University of Alberta “Animal Bodies, Colonial Subjects: (Re)Locating Animality in Decolonial Thought” </w:t>
      </w:r>
      <w:r w:rsidRPr="00087A72">
        <w:rPr>
          <w:i/>
        </w:rPr>
        <w:t xml:space="preserve">Societies </w:t>
      </w:r>
      <w:r w:rsidRPr="00087A72">
        <w:t>5, pp. 2-7) NIJ</w:t>
      </w:r>
    </w:p>
    <w:p w:rsidR="00540BEA" w:rsidRPr="00087A72" w:rsidRDefault="00540BEA" w:rsidP="00540BEA">
      <w:pPr>
        <w:rPr>
          <w:u w:val="single"/>
        </w:rPr>
      </w:pPr>
      <w:r w:rsidRPr="00087A72">
        <w:rPr>
          <w:rStyle w:val="StyleUnderline"/>
        </w:rPr>
        <w:t>It is my contention that Critical Animal Studies</w:t>
      </w:r>
      <w:r w:rsidRPr="00087A72">
        <w:rPr>
          <w:sz w:val="12"/>
        </w:rPr>
        <w:t xml:space="preserve"> (CAS) </w:t>
      </w:r>
      <w:r w:rsidRPr="00087A72">
        <w:rPr>
          <w:rStyle w:val="StyleUnderline"/>
        </w:rPr>
        <w:t>and mainstream animal activisms have failed to center an analysis of settler colonialism and therefore operate within “the givenness of the white-supremacist, settler state”</w:t>
      </w:r>
      <w:r w:rsidRPr="00087A72">
        <w:rPr>
          <w:sz w:val="12"/>
        </w:rPr>
        <w:t xml:space="preserve"> [2] (p. 10). </w:t>
      </w:r>
      <w:r w:rsidRPr="00087A72">
        <w:rPr>
          <w:rStyle w:val="StyleUnderline"/>
        </w:rPr>
        <w:t>This theoretical absence is thus a form of colonial violence wherein indigeneity is invisibilized, wherein the Indigenous body is re-made into a site of modern impossibility to make possible the re-shaping of animal subjectivities as settler-colonial imaginaries.</w:t>
      </w:r>
      <w:r w:rsidRPr="00087A72">
        <w:rPr>
          <w:sz w:val="12"/>
        </w:rPr>
        <w:t xml:space="preserve"> However, I am not concerned with decolonizing an academic field imagined through settler modes of knowledge production. </w:t>
      </w:r>
      <w:r w:rsidRPr="00087A72">
        <w:rPr>
          <w:rStyle w:val="StyleUnderline"/>
        </w:rPr>
        <w:t>Although some CAS scholars have proposed a framework of “total liberation” through which all social justice activism addresses colonial and speciesist oppression, they have framed decolonization as a “responsibility for all who fight for social justice” without centering indigeneity or calling for both the destruction of the settler state</w:t>
      </w:r>
      <w:r w:rsidRPr="00087A72">
        <w:rPr>
          <w:sz w:val="12"/>
        </w:rPr>
        <w:t xml:space="preserve"> and a repatriation of land to Indigenous communities [3] (p. 59). </w:t>
      </w:r>
      <w:r w:rsidRPr="00087A72">
        <w:rPr>
          <w:rStyle w:val="StyleUnderline"/>
        </w:rPr>
        <w:t>Here, a decolonial theory that is not accountable to Indigenous politics as a site of colonial rupture erases the referent (the Indigenous body) through which decolonization was mobilized in the first place. This misrecognition of the Indigenousness of decolonization not only integrates decolonial thought into a discursive space of sameness</w:t>
      </w:r>
      <w:r w:rsidRPr="00087A72">
        <w:rPr>
          <w:sz w:val="12"/>
        </w:rPr>
        <w:t xml:space="preserve"> (as merely a social justice project and not one of Indigenous life-makingness), </w:t>
      </w:r>
      <w:r w:rsidRPr="00087A72">
        <w:rPr>
          <w:rStyle w:val="StyleUnderline"/>
        </w:rPr>
        <w:t>but also colonizes it by re-centering and therefore re-subjectifying the settler as an acting body—that is, as a body that deploys decolonial politics without unsettling the colonial history through which settler-colonial life-ways are already Indigenous death-ways.</w:t>
      </w:r>
      <w:r w:rsidRPr="00087A72">
        <w:rPr>
          <w:sz w:val="12"/>
        </w:rPr>
        <w:t xml:space="preserve"> For instance, in Defining Critical Animal Studies, Anthony J. Nocella II et al. argue that CAS must advance “a holistic understanding of the commonality of oppressions… in favor of decentralizing and democratizing society at all levels and on a global basis” [4] (p. xxvii). </w:t>
      </w:r>
      <w:r w:rsidRPr="00087A72">
        <w:rPr>
          <w:rStyle w:val="StyleUnderline"/>
        </w:rPr>
        <w:t>This rendering of “oppressions” as commensurable, however, obfuscates the singularity of settler colonialism insofar as its irreducible elements are the disappearance of indigeneity and the sedimentation of settler life-ways as normative. That is, “decolonization wants something different than [other] forms of justice” and is far too often subsumed into “other civil and human-rights based social justice projects”</w:t>
      </w:r>
      <w:r w:rsidRPr="00087A72">
        <w:rPr>
          <w:sz w:val="12"/>
        </w:rPr>
        <w:t xml:space="preserve"> [5] (p. 2). Further, Nocella II’s animal ethic as an ethic that democratizes nonetheless secures settler sovereignty by merely making the settler state less oppressive (if that is even possible) and is thus antithetical to decolonization. </w:t>
      </w:r>
      <w:r w:rsidRPr="00087A72">
        <w:rPr>
          <w:rStyle w:val="StyleUnderline"/>
        </w:rPr>
        <w:t>Decolonization is therefore “not accountable to settlers or settler futurity” insofar as it calls for the destruction of the settler state and its associated modes of operability</w:t>
      </w:r>
      <w:r w:rsidRPr="00087A72">
        <w:rPr>
          <w:sz w:val="12"/>
        </w:rPr>
        <w:t xml:space="preserve"> [5] (p. 35). In other words, </w:t>
      </w:r>
      <w:r w:rsidRPr="00087A72">
        <w:rPr>
          <w:rStyle w:val="StyleUnderline"/>
        </w:rPr>
        <w:t>decolonization does not exist as a process through which settlers are encouraged to participate in “self-transformation”</w:t>
      </w:r>
      <w:r w:rsidRPr="00087A72">
        <w:rPr>
          <w:sz w:val="12"/>
        </w:rPr>
        <w:t xml:space="preserve"> [3] (p. 52), </w:t>
      </w:r>
      <w:r w:rsidRPr="00087A72">
        <w:rPr>
          <w:rStyle w:val="StyleUnderline"/>
        </w:rPr>
        <w:t>it is not a politics of allyship, nor is it “a generic term for struggles against oppressive conditions”</w:t>
      </w:r>
      <w:r w:rsidRPr="00087A72">
        <w:rPr>
          <w:sz w:val="12"/>
        </w:rPr>
        <w:t xml:space="preserve"> [5] (p. 21). Although radical vestiges of CAS have deployed prison abolition, anti-capitalism, and anti-racism as analytics through which an intersectional animal ethic is evidenced, I argue that </w:t>
      </w:r>
      <w:r w:rsidRPr="00087A72">
        <w:rPr>
          <w:rStyle w:val="StyleUnderline"/>
        </w:rPr>
        <w:t>there are fundamental distinctions between the politics of intersectionality and decolonization. Intersectionality, for example, grounds critical theory in difference and consequently stabilizes the settler identity insofar as it seeks reform from within—a “within” that is both embodied and institutionalized</w:t>
      </w:r>
      <w:r w:rsidRPr="00087A72">
        <w:rPr>
          <w:sz w:val="12"/>
        </w:rPr>
        <w:t xml:space="preserve"> (i.e., through settler identity politics and legislative reform). </w:t>
      </w:r>
      <w:r w:rsidRPr="00087A72">
        <w:rPr>
          <w:rStyle w:val="StyleUnderline"/>
        </w:rPr>
        <w:t>Decolonization, however, cannot exist within these fleshy and architectural spaces of whiteness through which Indigenous politico-economic structures are anachronized and the totality of decolonization is rendered unimaginable.</w:t>
      </w:r>
      <w:r w:rsidRPr="00087A72">
        <w:rPr>
          <w:sz w:val="12"/>
        </w:rPr>
        <w:t xml:space="preserve"> Instead, </w:t>
      </w:r>
      <w:r w:rsidRPr="00087A72">
        <w:rPr>
          <w:rStyle w:val="StyleUnderline"/>
        </w:rPr>
        <w:t xml:space="preserve">decolonization must problematize the logic of multiculturalism that secures the settler subject position. Whereas intersectionality, detached from its grounding in black feminist thought, has become an ahistorical theoretical universality insofar as it has been re-deployed as a social justice credential, decolonization is always and only rooted in lived experiences of indigeneity, in unbecoming a site of settler colonialism. </w:t>
      </w:r>
      <w:r w:rsidRPr="00087A72">
        <w:rPr>
          <w:sz w:val="12"/>
        </w:rPr>
        <w:t xml:space="preserve">In their critique of the ways in which academia (as an infrastructure of whiteness) has settled and appropriated decolonization, </w:t>
      </w:r>
      <w:r w:rsidRPr="00087A72">
        <w:rPr>
          <w:rStyle w:val="StyleUnderline"/>
        </w:rPr>
        <w:t>Eve Tuck and K. Wayne Yang argue that internal colonialism requires “the biopolitical and geopolitical management of people, land, flora, and fauna within the ‘domestic’ borders of the imperial nation”</w:t>
      </w:r>
      <w:r w:rsidRPr="00087A72">
        <w:rPr>
          <w:sz w:val="12"/>
        </w:rPr>
        <w:t xml:space="preserve"> [my emphasis] [5] (pp. 4–5). </w:t>
      </w:r>
      <w:r w:rsidRPr="00087A72">
        <w:rPr>
          <w:rStyle w:val="StyleUnderline"/>
        </w:rPr>
        <w:t>However, Tuck and Yang do not position the animal body as the fleshy material(ity) against and through which settler colonialism is materialized insofar as the oppression of animals and, as I will argue, the (settler-colonial) politicization of animality progresses the settler state.</w:t>
      </w:r>
      <w:r w:rsidRPr="00087A72">
        <w:rPr>
          <w:sz w:val="12"/>
        </w:rPr>
        <w:t xml:space="preserve"> I therefore contend that </w:t>
      </w:r>
      <w:r w:rsidRPr="00087A72">
        <w:rPr>
          <w:rStyle w:val="Emphasis"/>
        </w:rPr>
        <w:t>we cannot dismantle speciesism or re-imagine human-animal relations in the North American context without first or simultaneously dismantling settler colonialism and re-theorizing domesticated animal bodies as colonial subjects that must be centered in decolonial thought.</w:t>
      </w:r>
      <w:r w:rsidRPr="00087A72">
        <w:rPr>
          <w:sz w:val="12"/>
        </w:rPr>
        <w:t xml:space="preserve"> </w:t>
      </w:r>
      <w:r w:rsidRPr="00087A72">
        <w:rPr>
          <w:rStyle w:val="StyleUnderline"/>
        </w:rPr>
        <w:t>To re-figure speciesism and neoliberalized animal subjectivities as vehicles for settler-colonial continuity, I consider the ways in which an animal ethic is important to decolonial thought by re-framing animality as a politics of space and introducing anthropocentrism</w:t>
      </w:r>
      <w:r w:rsidRPr="00087A72">
        <w:rPr>
          <w:sz w:val="12"/>
        </w:rPr>
        <w:t xml:space="preserve"> to Andrea Smith’s theorizations of the logics of white supremacy. I then reject the colonial politics of animal recognition proposed by Sue Donaldson and Will Kymlicka in Zoopolis: A Political Theory of Animal Rights to scrutinize contemporary re-configurations of animality within settler-colonial infrastructures of being. Here, I suggest that Zoopolis is representative of a neoliberal trend in CAS wherein the re-construction of animality is only conceivable through settler-colonial epistemologies. However, to refrain from subsuming animal ethics within a discourse of anthropocentric struggle, I conclude by considering Indigenous cosmologies to offer a decolonial ethic that accounts for animal bodies as resurgent bodies. </w:t>
      </w:r>
      <w:r w:rsidRPr="00087A72">
        <w:rPr>
          <w:rStyle w:val="Emphasis"/>
        </w:rPr>
        <w:t>It is thus my contention that animal domestication, speciesism, and other modern human-animal interactions are only possible because of and through the historic and ongoing erasure of Indigenous bodies and the emptying of Indigenous lands for settler-colonial expansion.</w:t>
      </w:r>
      <w:r w:rsidRPr="00087A72">
        <w:rPr>
          <w:sz w:val="12"/>
        </w:rPr>
        <w:t xml:space="preserve"> For that reason, </w:t>
      </w:r>
      <w:r w:rsidRPr="00087A72">
        <w:rPr>
          <w:rStyle w:val="Emphasis"/>
        </w:rPr>
        <w:t>we cannot address animal oppression or talk about animal liberation without naming settler colonialism and white supremacy as political mechanisms that require the simultaneous exploitation or destruction of animal and Indigenous bodies.</w:t>
      </w:r>
      <w:r w:rsidRPr="00087A72">
        <w:rPr>
          <w:sz w:val="12"/>
        </w:rPr>
        <w:t xml:space="preserve"> Indeed, </w:t>
      </w:r>
      <w:r w:rsidRPr="00087A72">
        <w:rPr>
          <w:rStyle w:val="StyleUnderline"/>
        </w:rPr>
        <w:t>the domestication of animal bodies as colonial and capitalist subjects always already reifies “hegemonic forms of [settler and speciesist] power”</w:t>
      </w:r>
      <w:r w:rsidRPr="00087A72">
        <w:rPr>
          <w:sz w:val="12"/>
        </w:rPr>
        <w:t xml:space="preserve"> [6] (p. 84). Here, </w:t>
      </w:r>
      <w:r w:rsidRPr="00087A72">
        <w:rPr>
          <w:rStyle w:val="StyleUnderline"/>
        </w:rPr>
        <w:t>animals are “always being interpellated by [spatial] recognition” to deploy animal bodies as settler-colonial utilities</w:t>
      </w:r>
      <w:r w:rsidRPr="00087A72">
        <w:rPr>
          <w:sz w:val="12"/>
        </w:rPr>
        <w:t xml:space="preserve"> [7] (p. 453). I propose a “politics of space” to conceptualize the ways in which settler moves to knowing and/or constructing animal bodies and/or subjectivities (re)locates animals within particular geographic and architectural spaces. </w:t>
      </w:r>
      <w:r w:rsidRPr="00087A72">
        <w:rPr>
          <w:rStyle w:val="StyleUnderline"/>
        </w:rPr>
        <w:t>The insertion of animal bodies into specific industrialized, colonized, and vacated spaces (such as (factory) farms, urban apartments, and “emptied” forests) is therefore the gesture through which animality is made intelligible and material in the settler imagination.</w:t>
      </w:r>
      <w:r w:rsidRPr="00087A72">
        <w:rPr>
          <w:sz w:val="12"/>
        </w:rPr>
        <w:t xml:space="preserve"> In other words, I argue that </w:t>
      </w:r>
      <w:r w:rsidRPr="00087A72">
        <w:rPr>
          <w:rStyle w:val="StyleUnderline"/>
        </w:rPr>
        <w:t>colonial animalities are inseparable from the colonized spaces in which they are subjected and labored.</w:t>
      </w:r>
      <w:r w:rsidRPr="00087A72">
        <w:rPr>
          <w:sz w:val="12"/>
        </w:rPr>
        <w:t xml:space="preserve"> Here, a decolonial animal ethic must also be a land ethic insofar as the repatriation of land to Indigenous peoples would logically require a re-articulation of animality. This falsely naturalized relationship between the animal body and colonized spaces must then become a point of decolonial intervention. That is, </w:t>
      </w:r>
      <w:r w:rsidRPr="00087A72">
        <w:rPr>
          <w:rStyle w:val="StyleUnderline"/>
        </w:rPr>
        <w:t>settler colonialism itself operates through a militant and racist politics of territoriality whereby Indigenous lands are physically and symbolically evacuated to be re-made into settler spaces</w:t>
      </w:r>
      <w:r w:rsidRPr="00087A72">
        <w:rPr>
          <w:sz w:val="12"/>
        </w:rPr>
        <w:t xml:space="preserve"> [8] (p. 7). </w:t>
      </w:r>
      <w:r w:rsidRPr="00087A72">
        <w:rPr>
          <w:rStyle w:val="StyleUnderline"/>
        </w:rPr>
        <w:t>This re-making</w:t>
      </w:r>
      <w:r w:rsidRPr="00087A72">
        <w:rPr>
          <w:sz w:val="12"/>
        </w:rPr>
        <w:t xml:space="preserve">, according to Taiaiake Alfred, </w:t>
      </w:r>
      <w:r w:rsidRPr="00087A72">
        <w:rPr>
          <w:rStyle w:val="StyleUnderline"/>
        </w:rPr>
        <w:t>is prefigured by the doctrine of terra nullius in which Turtle Island is imagined to be devoid of ownership prior to European contac</w:t>
      </w:r>
      <w:r w:rsidRPr="00087A72">
        <w:rPr>
          <w:sz w:val="12"/>
        </w:rPr>
        <w:t xml:space="preserve">t [9] (p. 45). Precisely because “decolonization… must involve the repatriation of land” to Indigenous communities [5] (p. 7), </w:t>
      </w:r>
      <w:r w:rsidRPr="00087A72">
        <w:rPr>
          <w:rStyle w:val="StyleUnderline"/>
        </w:rPr>
        <w:t>the disassembling of the settler state requires the abolition of the spaces in which speciesism occurs</w:t>
      </w:r>
      <w:r w:rsidRPr="00087A72">
        <w:rPr>
          <w:sz w:val="12"/>
        </w:rPr>
        <w:t xml:space="preserve"> (i.e., slaughterhouses, research laboratories, butcher shops, zoos, and amusement parks). </w:t>
      </w:r>
      <w:r w:rsidRPr="00087A72">
        <w:rPr>
          <w:rStyle w:val="StyleUnderline"/>
        </w:rPr>
        <w:t>Factory farms</w:t>
      </w:r>
      <w:r w:rsidRPr="00087A72">
        <w:rPr>
          <w:sz w:val="12"/>
        </w:rPr>
        <w:t xml:space="preserve">, for example, </w:t>
      </w:r>
      <w:r w:rsidRPr="00087A72">
        <w:rPr>
          <w:rStyle w:val="StyleUnderline"/>
        </w:rPr>
        <w:t>are violent colonial geographies wherein the animal body is subject to surveillance and death to produce capital/commodity products and sustain carnivorous food cultures</w:t>
      </w:r>
      <w:r w:rsidRPr="00087A72">
        <w:rPr>
          <w:sz w:val="12"/>
        </w:rPr>
        <w:t xml:space="preserve"> [10] (p. 123). It would thus be anthropocentric to ignore animality if our politics of decolonization is to disrupt all colonized spaces and liberate all colonized subjects. Although mainstream animal activists have called for the eradication of factory farms and slaughterhouses, they mobilize, I argue, through a politics of morality that cannot disrupt capitalist production on a large scale. </w:t>
      </w:r>
      <w:r w:rsidRPr="00087A72">
        <w:rPr>
          <w:rStyle w:val="StyleUnderline"/>
        </w:rPr>
        <w:t>The absence of decolonial politics in the animal liberation movement is further evident in the ways in which activists assist the settler state to invisibilize “the work [Indigenous peoples] have been doing to protect other animal species”</w:t>
      </w:r>
      <w:r w:rsidRPr="00087A72">
        <w:rPr>
          <w:sz w:val="12"/>
        </w:rPr>
        <w:t xml:space="preserve"> [11] </w:t>
      </w:r>
      <w:r w:rsidRPr="00087A72">
        <w:rPr>
          <w:rStyle w:val="StyleUnderline"/>
        </w:rPr>
        <w:t>and have therefore reproduced the colonial mythology in which indigeneity is incommensurable with social justice ideologies. Insofar as decolonization is a violent and totalizing gesture that displaces the mechanisms governing (settler) colonialism</w:t>
      </w:r>
      <w:r w:rsidRPr="00087A72">
        <w:rPr>
          <w:sz w:val="12"/>
        </w:rPr>
        <w:t xml:space="preserve"> [12] (p. 1), </w:t>
      </w:r>
      <w:r w:rsidRPr="00087A72">
        <w:rPr>
          <w:rStyle w:val="StyleUnderline"/>
        </w:rPr>
        <w:t>those spaces for animal activism that center whiteness thus further impossibilize decolonization and leave in tact the power relation that makes speciesism possible</w:t>
      </w:r>
      <w:r w:rsidRPr="00087A72">
        <w:rPr>
          <w:sz w:val="12"/>
        </w:rPr>
        <w:t xml:space="preserve"> [13] (p. 142). </w:t>
      </w:r>
      <w:r w:rsidRPr="00087A72">
        <w:rPr>
          <w:rStyle w:val="StyleUnderline"/>
        </w:rPr>
        <w:t xml:space="preserve">A decolonial animal ethic must instead center both indigeneity and animality as sites of anti-colonial possibility. </w:t>
      </w:r>
      <w:r w:rsidRPr="00087A72">
        <w:rPr>
          <w:sz w:val="12"/>
        </w:rPr>
        <w:t>2. Anthropocentrism, Settler Colonialism, and White Supremacy In “Indigeneity, Settler Colonialism, White Supremacy”, Andrea Smith argues that the “three primary logics of white supremacy” are slaveability/anti-black racism, genocide, and orientalism, which anchor capitalism, colonialism, and war respectively [2] (p. 1). Smith later suggests that “the consequence of not developing a critical apparatus for intersecting all the logics of white supremacy… is that it prevents us from imagining an alternative” to the settler-colonial and racial state [2] (pp. 5–6). To document the colonization of animal bodies, I suggest that a</w:t>
      </w:r>
      <w:r w:rsidRPr="00087A72">
        <w:rPr>
          <w:rStyle w:val="StyleUnderline"/>
        </w:rPr>
        <w:t>nthropocentrism is the fourth logic of white supremacy.</w:t>
      </w:r>
      <w:r w:rsidRPr="00087A72">
        <w:rPr>
          <w:sz w:val="12"/>
        </w:rPr>
        <w:t xml:space="preserve"> According to Donaldson and Kymlicka, anthropocentrism is a “moral theory that takes humanity as its standard”—that is, it is a making of “humanness” that circumscribes the “essence” of “‘being human’ or of ‘humanity’” [14] (p. 33). This rendering of humanness as the objective subject position is, however, a speciesist (and patriarchal) project when personhood is secured as that which relates “to man and mankind” [my emphasis] [15]. </w:t>
      </w:r>
      <w:r w:rsidRPr="00087A72">
        <w:rPr>
          <w:rStyle w:val="StyleUnderline"/>
        </w:rPr>
        <w:t>Anthropocentrism</w:t>
      </w:r>
      <w:r w:rsidRPr="00087A72">
        <w:rPr>
          <w:sz w:val="12"/>
        </w:rPr>
        <w:t xml:space="preserve">, I argue, is therefore the anchor of speciesism, capitalism, and settler colonialism. This logic </w:t>
      </w:r>
      <w:r w:rsidRPr="00087A72">
        <w:rPr>
          <w:rStyle w:val="StyleUnderline"/>
        </w:rPr>
        <w:t>holds that settlers (as reifications of whiteness) are always already entitled to domesticated animal bodies as sites of commodity/food production, eroticism, violence, and/or companionship; a reality that is possible because of a history of animal injury and forced human-animal proximity</w:t>
      </w:r>
      <w:r w:rsidRPr="00087A72">
        <w:rPr>
          <w:sz w:val="12"/>
        </w:rPr>
        <w:t xml:space="preserve"> [16] (p. 417). Just as Smith’s original logics intersect through deployments of settler sovereignty and racism, it is my contention that </w:t>
      </w:r>
      <w:r w:rsidRPr="00087A72">
        <w:rPr>
          <w:rStyle w:val="StyleUnderline"/>
        </w:rPr>
        <w:t>speciesism intersects with the logic of genocide to secure a capitalist project of animal agriculture that requires the disappearance of Indigenous bodies from the land</w:t>
      </w:r>
      <w:r w:rsidRPr="00087A72">
        <w:rPr>
          <w:sz w:val="12"/>
        </w:rPr>
        <w:t xml:space="preserve"> [5] (p. 9). </w:t>
      </w:r>
      <w:r w:rsidRPr="00087A72">
        <w:rPr>
          <w:rStyle w:val="StyleUnderline"/>
        </w:rPr>
        <w:t>If settler colonialism is to remain both “territorially acquisitive in perpetuity” and the only postionality through which a body is entitled to politically act against (or through) animals</w:t>
      </w:r>
      <w:r w:rsidRPr="00087A72">
        <w:rPr>
          <w:sz w:val="12"/>
        </w:rPr>
        <w:t xml:space="preserve"> [8] (p. 152), </w:t>
      </w:r>
      <w:r w:rsidRPr="00087A72">
        <w:rPr>
          <w:rStyle w:val="StyleUnderline"/>
        </w:rPr>
        <w:t>then the animal body must always be interpellated as a colonial subject—that is, as a body subject to settler colonial (mis)recognition. Anthropocentrism is then a politics of space whereby land is commodified and privatized for animal agriculture. Although this unsustainable food system uses approximately thirty percent of the Earth’s land mass and accounts for “nearly half of all water used in the United States”</w:t>
      </w:r>
      <w:r w:rsidRPr="00087A72">
        <w:rPr>
          <w:sz w:val="12"/>
        </w:rPr>
        <w:t xml:space="preserve"> [17], </w:t>
      </w:r>
      <w:r w:rsidRPr="00087A72">
        <w:rPr>
          <w:rStyle w:val="StyleUnderline"/>
        </w:rPr>
        <w:t>decolonial thought has yet to deconstruct the settler-colonial, anthropocentric, and capitalist logics governing animal agriculture that assume the facticity of settler colonialism. The logic of anthropocentrism is also militarized through racial hierarchies that further distance the white settler from blackness and indigeneity as animalized sites of tragedy, marginality, poverty, and primitivism. That is, black and Indigenous bodies are dehumanized and inscribed (and continually re-inscribed) with animal status—which is always a speciesist rendering of animality as injuring—to refuse humanness to people of color and colonized subjects. This not only commits a violence that re-locates racialized bodies to the margins of settler society as non-humans, but also performs an epistemic violence that denies animality its own subjectivity and re-makes it into a mode of being that can be re-made as blackness and indigeneity</w:t>
      </w:r>
      <w:r w:rsidRPr="00087A72">
        <w:rPr>
          <w:sz w:val="12"/>
        </w:rPr>
        <w:t xml:space="preserve"> [18] (p. 32). </w:t>
      </w:r>
      <w:r w:rsidRPr="00087A72">
        <w:rPr>
          <w:rStyle w:val="StyleUnderline"/>
        </w:rPr>
        <w:t>While Maria Lugones suggests that the “modern colonial/gender system” locates animality on the bodies of colonized women to fortify the ontological particularities of white womanhood</w:t>
      </w:r>
      <w:r w:rsidRPr="00087A72">
        <w:rPr>
          <w:sz w:val="12"/>
        </w:rPr>
        <w:t xml:space="preserve"> [19] (pp. 202–203), </w:t>
      </w:r>
      <w:r w:rsidRPr="00087A72">
        <w:rPr>
          <w:rStyle w:val="StyleUnderline"/>
        </w:rPr>
        <w:t>this argument is premised on the assumption that animality is an attribute (not a form of subjectivity) that violently reduces humanness to animality. My intention</w:t>
      </w:r>
      <w:r w:rsidRPr="00087A72">
        <w:rPr>
          <w:sz w:val="12"/>
        </w:rPr>
        <w:t xml:space="preserve">, however, </w:t>
      </w:r>
      <w:r w:rsidRPr="00087A72">
        <w:rPr>
          <w:rStyle w:val="StyleUnderline"/>
        </w:rPr>
        <w:t>is to trace the ways in which anthropocentrism is weaponized as white supremacy and to disrupt the speciesist logic that circumscribes anti-colonial theorizations of animality.</w:t>
      </w:r>
      <w:r w:rsidRPr="00087A72">
        <w:rPr>
          <w:sz w:val="12"/>
        </w:rPr>
        <w:t xml:space="preserve"> Although Smith refers specifically to the ways in which blackness is made enslaveable to anchor capitalism, she also reminds us that “the capitalist system ultimately commodifies all” bodies [2] (p. 2). In that sense, </w:t>
      </w:r>
      <w:r w:rsidRPr="00087A72">
        <w:rPr>
          <w:rStyle w:val="StyleUnderline"/>
        </w:rPr>
        <w:t xml:space="preserve">the speciesist re-signification of the animal body as a laboring body within economies of food and commodity production further attaches the animal to the settler state. If settler colonialism and white supremacy mobilize through anthropocentrism (and they do) and capitalism requires the acquisition of Indigenous lands for animal agriculture (and it does), then decolonization is only possible through an animal ethic that disrupts anthropocentrism as a settler-colonial logic. </w:t>
      </w:r>
      <w:r w:rsidRPr="00087A72">
        <w:rPr>
          <w:sz w:val="12"/>
        </w:rPr>
        <w:t xml:space="preserve">3. Rejecting the Colonial Politics of Animal Recognition In Zoopolis, Donaldson and Kymlicka re-cast animality within the language of “political and cultural membership” to propose a non-speciesist and deontological re-figuring of human-animal relations that models contemporary applications of neoliberal citizenship [14] (p. 14). Donaldson and Kymlicka suggest that Animal Rights Theory has failed to think beyond negative rights (i.e., the right not to be killed or confined), and therefore argue that “animals, like humans, should be seen as possessing certain inviolable rights” as determined by doctrines of human rights [14] (pp. 4–6). Here, </w:t>
      </w:r>
      <w:r w:rsidRPr="00087A72">
        <w:rPr>
          <w:rStyle w:val="StyleUnderline"/>
        </w:rPr>
        <w:t>Donaldson and Kymlicka envisage new human-animal relational duties by re-categorizing domesticated animals as citizens, feral animals as denizens, and wild animals as members of sovereign nations</w:t>
      </w:r>
      <w:r w:rsidRPr="00087A72">
        <w:rPr>
          <w:sz w:val="12"/>
        </w:rPr>
        <w:t xml:space="preserve"> [14] (p. 13). Although the latter categorizations have implications for Indigenous peoples’ claims to territorial permanence and political autonomy, </w:t>
      </w:r>
      <w:r w:rsidRPr="00087A72">
        <w:rPr>
          <w:rStyle w:val="StyleUnderline"/>
        </w:rPr>
        <w:t>I contend that the recognition, or rather, misrecognition of domesticated animal subjectivities re-colonizes the animal body to foreclose it within settler-colonial infrastructures of subjecthood and governmentality. That is, Zoopolis militarizes recognition as the hegemonic mode of animal activism to further entrench settler citizenship as the prima facie mode of post-political and post-colonial existence.</w:t>
      </w:r>
      <w:r w:rsidRPr="00087A72">
        <w:rPr>
          <w:sz w:val="12"/>
        </w:rPr>
        <w:t xml:space="preserve"> Here, </w:t>
      </w:r>
      <w:r w:rsidRPr="00087A72">
        <w:rPr>
          <w:rStyle w:val="StyleUnderline"/>
        </w:rPr>
        <w:t>settler colonialism is only afforded a future—that is, it only becomes tangible and prophetic—by locating itself on the bodies of settler citizens that are always already culturally and corporeally not Indigenous. The problem with settler citizenship as a model for animality is that it operationalizes animal bodies as “sites of… phantasmatic” settler promise</w:t>
      </w:r>
      <w:r w:rsidRPr="00087A72">
        <w:rPr>
          <w:sz w:val="12"/>
        </w:rPr>
        <w:t xml:space="preserve"> [6] (p. 89). </w:t>
      </w:r>
      <w:r w:rsidRPr="00087A72">
        <w:rPr>
          <w:rStyle w:val="StyleUnderline"/>
        </w:rPr>
        <w:t>In other words, the animal body is re-made into “the mechanism by which certain sanctioned fantasies… are insidiously elevated as the parameters of realness”</w:t>
      </w:r>
      <w:r w:rsidRPr="00087A72">
        <w:rPr>
          <w:sz w:val="12"/>
        </w:rPr>
        <w:t xml:space="preserve"> [6] (p. 89). That is, </w:t>
      </w:r>
      <w:r w:rsidRPr="00087A72">
        <w:rPr>
          <w:rStyle w:val="StyleUnderline"/>
        </w:rPr>
        <w:t>the animal body’s entrance into discourses of settler citizenship reproduces the assumed facticity of the settler state as the de facto technology of post-colonial power (as if colonialism is an historicized and finalized event). In this context, settler colonialism mobilizes as a non-violent apparatus “to produce forms of life that make settler colonialism’s constitutive hierarchies seems natural”</w:t>
      </w:r>
      <w:r w:rsidRPr="00087A72">
        <w:rPr>
          <w:sz w:val="12"/>
        </w:rPr>
        <w:t xml:space="preserve"> [8] (p. 152). Here, </w:t>
      </w:r>
      <w:r w:rsidRPr="00087A72">
        <w:rPr>
          <w:rStyle w:val="StyleUnderline"/>
        </w:rPr>
        <w:t>settler colonialism generates life forms that interpellate settler presents and settler futures by re-locating indigeneity to the threshold of settler society as the frame of reference against which settler citizens are constructed. I therefore reject the colonial politics of animal recognition</w:t>
      </w:r>
      <w:r w:rsidRPr="00087A72">
        <w:rPr>
          <w:sz w:val="12"/>
        </w:rPr>
        <w:t xml:space="preserve"> proposed by Donaldson and Kymlicka </w:t>
      </w:r>
      <w:r w:rsidRPr="00087A72">
        <w:rPr>
          <w:rStyle w:val="StyleUnderline"/>
        </w:rPr>
        <w:t>because it operates within—and consequently upholds—colonial infrastructures of settler citizenship and neoliberal subjecthood that re-orient animal bodies as the mundane surfaces on which settler colonialism is discursively reified.</w:t>
      </w:r>
      <w:r w:rsidRPr="00087A72">
        <w:rPr>
          <w:sz w:val="12"/>
        </w:rPr>
        <w:t xml:space="preserve"> I appropriate Coulthard’s “politics of recognition” to suggest that Donaldson and Kymlicka “reproduce the very configurations of colonial power” that require the erasure and/or assimilation of Indigenous peoples to re-situate animal bodies into settler political discourses [7] (p. 437). Donaldson and Kymlicka argue that domesticated animals should be conferred citizenship because they “are members of our society” with the “capacity to have and express a subjective good, to participate, and to cooperate” in settler-colonial polities [14] (p. 122). </w:t>
      </w:r>
      <w:r w:rsidRPr="00087A72">
        <w:rPr>
          <w:rStyle w:val="StyleUnderline"/>
        </w:rPr>
        <w:t>This, in effect, re-makes animals as subjects of neoliberalism</w:t>
      </w:r>
      <w:r w:rsidRPr="00087A72">
        <w:rPr>
          <w:sz w:val="12"/>
        </w:rPr>
        <w:t xml:space="preserve"> (i.e., as objects of speciesism within political economies of violence) </w:t>
      </w:r>
      <w:r w:rsidRPr="00087A72">
        <w:rPr>
          <w:rStyle w:val="StyleUnderline"/>
        </w:rPr>
        <w:t>into neoliberal subjects</w:t>
      </w:r>
      <w:r w:rsidRPr="00087A72">
        <w:rPr>
          <w:sz w:val="12"/>
        </w:rPr>
        <w:t xml:space="preserve"> (i.e., as bodies that interpellate neoliberalism as a political mechanism). As Donaldson and Kymlicka frame “citizenship [as] a cooperative social project… in which all are recognized as equals” and “all benefit from the goods of social life” [14] (p. 137), s</w:t>
      </w:r>
      <w:r w:rsidRPr="00087A72">
        <w:rPr>
          <w:rStyle w:val="StyleUnderline"/>
        </w:rPr>
        <w:t>ettler citizenship is centered as if it were a post-racial concept that is operationalized within homogenized and post-political landscapes of neoliberal pluralism. That is, settler citizenship is romanticized as if the state governs from a universalized space of sameness that is not characteristically violent and racist. As a neoliberal delusion of progress that repackages colonial domination by vacating anthropocentrism from political rhetoric without questioning the very parameters through which such rhetoric is militarized against Indigenous peoples</w:t>
      </w:r>
      <w:r w:rsidRPr="00087A72">
        <w:rPr>
          <w:sz w:val="12"/>
        </w:rPr>
        <w:t xml:space="preserve"> [7] (p. 447), </w:t>
      </w:r>
      <w:r w:rsidRPr="00087A72">
        <w:rPr>
          <w:rStyle w:val="StyleUnderline"/>
        </w:rPr>
        <w:t>Donaldson and Kymlicka’s citizenship model forecloses radical Indigenous responses to state violence by diffusing settler colonialism’s discursive and corporeal particularities. This framework then jeopardizes decolonial projects that contest the genocidal model in which “everything within a settle colonial society strains to destroy or assimilate the Native in order to disappear them from the land”</w:t>
      </w:r>
      <w:r w:rsidRPr="00087A72">
        <w:rPr>
          <w:sz w:val="12"/>
        </w:rPr>
        <w:t xml:space="preserve"> [5] (p. 9). </w:t>
      </w:r>
      <w:r w:rsidRPr="00087A72">
        <w:rPr>
          <w:rStyle w:val="StyleUnderline"/>
        </w:rPr>
        <w:t>Precisely because decolonization “sets out to change the order of the world” as “an agenda for total disorder”</w:t>
      </w:r>
      <w:r w:rsidRPr="00087A72">
        <w:rPr>
          <w:sz w:val="12"/>
        </w:rPr>
        <w:t xml:space="preserve"> [11] (p. 2), </w:t>
      </w:r>
      <w:r w:rsidRPr="00087A72">
        <w:rPr>
          <w:rStyle w:val="StyleUnderline"/>
        </w:rPr>
        <w:t>a politics of neoliberal animal citizenship is antithetical to decolonization because it reproduces settler sovereignty and normalizes the very structure(s) against which Indigenous peoples have mobilized.</w:t>
      </w:r>
      <w:r w:rsidRPr="00087A72">
        <w:rPr>
          <w:sz w:val="12"/>
        </w:rPr>
        <w:t xml:space="preserve"> Thus, that which is knowable through Donaldson and Kymlicka’s colonial politics of animal recognition is a neoliberal justice that constitutes and is constituted by settler fantasies of animal re-subjectification as Indigenous erasure and settler sovereignty. I thus suggest that </w:t>
      </w:r>
      <w:r w:rsidRPr="00087A72">
        <w:rPr>
          <w:rStyle w:val="StyleUnderline"/>
        </w:rPr>
        <w:t>Donaldson and Kymlicka’s theory of domesticated animal citizenship is in actuality a politics of “strategic domestication” in which animal subjectivities are circumscribed by “the terms of recognition in such a way that the foundation of” settler society is “relatively undisturbed” and further compartmentalized</w:t>
      </w:r>
      <w:r w:rsidRPr="00087A72">
        <w:rPr>
          <w:sz w:val="12"/>
        </w:rPr>
        <w:t xml:space="preserve"> [7] (p. 451). I contend that </w:t>
      </w:r>
      <w:r w:rsidRPr="00087A72">
        <w:rPr>
          <w:rStyle w:val="StyleUnderline"/>
        </w:rPr>
        <w:t>this re-building of animal ontologies and human-animal relations within the language of citizenship cannot disrupt those power mechanisms</w:t>
      </w:r>
      <w:r w:rsidRPr="00087A72">
        <w:rPr>
          <w:sz w:val="12"/>
        </w:rPr>
        <w:t xml:space="preserve"> (i.e., capitalism, settler colonialism, and white supremacy) </w:t>
      </w:r>
      <w:r w:rsidRPr="00087A72">
        <w:rPr>
          <w:rStyle w:val="StyleUnderline"/>
        </w:rPr>
        <w:t>that require the oppression of both Indigenous and animal bodies. That is, the explicit gesture toward “social and political integration”</w:t>
      </w:r>
      <w:r w:rsidRPr="00087A72">
        <w:rPr>
          <w:sz w:val="12"/>
        </w:rPr>
        <w:t xml:space="preserve"> advocated in Zoopolis </w:t>
      </w:r>
      <w:r w:rsidRPr="00087A72">
        <w:rPr>
          <w:rStyle w:val="StyleUnderline"/>
        </w:rPr>
        <w:t>locates animals (as colonized subjects with settler citizenship) within symbolic and literal spaces of settler coloniality</w:t>
      </w:r>
      <w:r w:rsidRPr="00087A72">
        <w:rPr>
          <w:sz w:val="12"/>
        </w:rPr>
        <w:t xml:space="preserve"> [14] (p. 153). For instance, </w:t>
      </w:r>
      <w:r w:rsidRPr="00087A72">
        <w:rPr>
          <w:rStyle w:val="StyleUnderline"/>
        </w:rPr>
        <w:t>Donaldson and Kymlicka argue that the criminal (in)justice system should be expanded to better “protect” animal bodies as co-citizens</w:t>
      </w:r>
      <w:r w:rsidRPr="00087A72">
        <w:rPr>
          <w:sz w:val="12"/>
        </w:rPr>
        <w:t xml:space="preserve"> [14] (p. 132). </w:t>
      </w:r>
      <w:r w:rsidRPr="00087A72">
        <w:rPr>
          <w:rStyle w:val="StyleUnderline"/>
        </w:rPr>
        <w:t>Imagining the criminal (in)justice system through analytics such as deterrence, “deserved retribution”, and “protection of basic rights”</w:t>
      </w:r>
      <w:r w:rsidRPr="00087A72">
        <w:rPr>
          <w:sz w:val="12"/>
        </w:rPr>
        <w:t xml:space="preserve"> [14] (p. 132), </w:t>
      </w:r>
      <w:r w:rsidRPr="00087A72">
        <w:rPr>
          <w:rStyle w:val="StyleUnderline"/>
        </w:rPr>
        <w:t>Donaldson and Kymlicka adopt a carceral neoliberalism in which animals as settler citizens are afforded the privilege of state protection while other bodies (namely Indigenous and black bodies) are subject to police violence and incarceration as white supremacist tactics of dislocation, dispossession, and disappearance. That is, the normalization of prisons as settler-colonized spaces works to physically remove people of color from public spaces that are mediated by logics of white supremacy and white privilege. This resultantly substitutes forms of economic and/or speciesist violence (i.e., animal abuse) for the racialized violence of the prison industrial complex as a settler-colonial mechanism. A decolonized animal ethic would instead recognize the ways in which settler sovereignty is prophesized and exclusivized by a politics of carcerality that is a “weapon of whiteness” through which Indigenous peoples “disappear into whiteness” [2] (p. 6).</w:t>
      </w:r>
      <w:r w:rsidRPr="00087A72">
        <w:rPr>
          <w:sz w:val="12"/>
        </w:rPr>
        <w:t xml:space="preserve"> Here, I reject Donaldson and Kymlicka’s utopian construction of neoliberal democratic citizenship as fundamentally “equal” to remind readers that all infrastructures and logics of settler colonialism (i.e., political participation, capitalism, and carcerality) always mobilize against Indigenous bodies as genocidal and assimilationist gestures [14] (p. 155). </w:t>
      </w:r>
      <w:r w:rsidRPr="00087A72">
        <w:rPr>
          <w:rStyle w:val="StyleUnderline"/>
        </w:rPr>
        <w:t>For that reason, modern re-configurations of animality cannot be oriented towards a politics of neoliberal citizenship and settler sovereignty. Instead, they must be embedded in a politics of decolonization that recognizes the ways in which Indigenous bodies and epistemologies are literally at stake in statist re-imaginings of animality.</w:t>
      </w:r>
    </w:p>
    <w:p w:rsidR="00E06E0C" w:rsidRPr="00087A72" w:rsidRDefault="00E06E0C" w:rsidP="00496C79">
      <w:pPr>
        <w:pStyle w:val="Heading3"/>
      </w:pPr>
      <w:r w:rsidRPr="00087A72">
        <w:t>Link – Anzaldua</w:t>
      </w:r>
    </w:p>
    <w:p w:rsidR="00E06E0C" w:rsidRPr="00087A72" w:rsidRDefault="00E06E0C" w:rsidP="00E06E0C">
      <w:pPr>
        <w:pStyle w:val="Heading4"/>
      </w:pPr>
      <w:r w:rsidRPr="00087A72">
        <w:t>Gloria Anzaldúa’s analysis re-ifies indigenous inferiority.</w:t>
      </w:r>
    </w:p>
    <w:p w:rsidR="00E06E0C" w:rsidRPr="00087A72" w:rsidRDefault="00E06E0C" w:rsidP="00E06E0C">
      <w:r w:rsidRPr="00087A72">
        <w:rPr>
          <w:b/>
        </w:rPr>
        <w:t>Smith 10</w:t>
      </w:r>
      <w:r w:rsidRPr="00087A72">
        <w:t xml:space="preserve"> (Andrea, “Queer Theory and Native Studies: The heteronormativity of Settler Colonialism” </w:t>
      </w:r>
      <w:hyperlink r:id="rId14" w:history="1">
        <w:r w:rsidRPr="00087A72">
          <w:rPr>
            <w:rStyle w:val="Hyperlink"/>
          </w:rPr>
          <w:t>GLQ: A Journal of Lesbian and Gay Studies</w:t>
        </w:r>
      </w:hyperlink>
      <w:r w:rsidRPr="00087A72">
        <w:t>, Vol. 16, No. 1-2 (2010), pp. 50-55) IA</w:t>
      </w:r>
    </w:p>
    <w:p w:rsidR="00E06E0C" w:rsidRPr="00087A72" w:rsidRDefault="00E06E0C" w:rsidP="00E06E0C">
      <w:pPr>
        <w:rPr>
          <w:u w:val="single"/>
        </w:rPr>
      </w:pPr>
      <w:r w:rsidRPr="00087A72">
        <w:rPr>
          <w:sz w:val="12"/>
        </w:rPr>
        <w:t xml:space="preserve">Besides providing a helpful place from which to engage the politics of decolonization, a subjectless critique can further reveal how </w:t>
      </w:r>
      <w:r w:rsidRPr="00087A72">
        <w:rPr>
          <w:u w:val="single"/>
        </w:rPr>
        <w:t>current scholarship reaffirms the assumption of settler colonialism</w:t>
      </w:r>
      <w:r w:rsidRPr="00087A72">
        <w:rPr>
          <w:sz w:val="12"/>
        </w:rPr>
        <w:t xml:space="preserve">. A subjectless critique helps highlight the ideological function of “the Native” even in works not ostensibly about Native peoples, thus expanding the intellectual reach of Native studies. In particular, Berlant’s previously described work on infantile citizenship provides some insights as to why </w:t>
      </w:r>
      <w:r w:rsidRPr="00087A72">
        <w:rPr>
          <w:b/>
          <w:iCs/>
          <w:u w:val="single"/>
        </w:rPr>
        <w:t>the continuing colonization of Native peoples in the United States is normalized within critical theory</w:t>
      </w:r>
      <w:r w:rsidRPr="00087A72">
        <w:rPr>
          <w:u w:val="single"/>
        </w:rPr>
        <w:t>.</w:t>
      </w:r>
      <w:r w:rsidRPr="00087A72">
        <w:rPr>
          <w:sz w:val="12"/>
        </w:rPr>
        <w:t xml:space="preserve"> As she explains, </w:t>
      </w:r>
      <w:r w:rsidRPr="00087A72">
        <w:rPr>
          <w:u w:val="single"/>
        </w:rPr>
        <w:t>“The abstract image of the future generated by the national culture machine also stands for a crisis in the present: what gets consolidated now as the future model citizen provides an alibi or an inspiration for the moralized political rhetorics for the present and for reactionary legislative and juridical practice. . . .</w:t>
      </w:r>
      <w:r w:rsidRPr="00087A72">
        <w:rPr>
          <w:sz w:val="12"/>
        </w:rPr>
        <w:t xml:space="preserve"> </w:t>
      </w:r>
      <w:r w:rsidRPr="00087A72">
        <w:rPr>
          <w:u w:val="single"/>
        </w:rPr>
        <w:t>Condensed into the image/hieroglyph of the innocent or incipient American, these anxieties and desires are about whose citizenship — whose subjectivity, whose forms of intimacy and interest, whose bodies and identifications, whose heroic narratives — will direct America’s future.”</w:t>
      </w:r>
      <w:r w:rsidRPr="00087A72">
        <w:rPr>
          <w:sz w:val="12"/>
        </w:rPr>
        <w:t xml:space="preserve">40 Her analysis expands our analysis of genocide to include not just the physical disappearance of Native peoples but the ideological function of the figure of the Native within genocidal discourses. Ironically, however, while a subjectless critique may highlight this ideological function, it may be the case that within queer theory it obfuscates the manner in which the “queer” subject is also a settler subject. That is, we can posit </w:t>
      </w:r>
      <w:r w:rsidRPr="00087A72">
        <w:rPr>
          <w:b/>
          <w:iCs/>
          <w:u w:val="single"/>
        </w:rPr>
        <w:t>the Native as the infantile “citizen” that enables the future of the white, settler citizen</w:t>
      </w:r>
      <w:r w:rsidRPr="00087A72">
        <w:rPr>
          <w:u w:val="single"/>
        </w:rPr>
        <w:t>.</w:t>
      </w:r>
      <w:r w:rsidRPr="00087A72">
        <w:rPr>
          <w:sz w:val="12"/>
        </w:rPr>
        <w:t xml:space="preserve"> As many historians have noted, colonizers expected to find “Eden” in the Americas, “a place of simplicity, innocence, harmony, love, and happiness, where the climate is balmy and fruits of nature’s bounty are found on the trees year round.”41 Many of the early colonial narratives describe the Americas as an idyllic paradise. However, as Kirkpatrick Sale argues, colonizers approached “paradise” through their colonial and patriarchal lens. Consequently, they viewed the land and indigenous peoples as something to be used for their own purposes; coloniz- ers could not respect the integrity of either the land or indigenous peoples. “The resulting tensions, then could be resolved . . . only by being played out against . . . the natural world and natural peoples. . . . the only way the people of Christian Europe ultimately could live with the reality of the Noble Savage in the Golden World was to transform it progressively into the Savage Beast in the Hideous Wil- derness.”42 </w:t>
      </w:r>
      <w:r w:rsidRPr="00087A72">
        <w:rPr>
          <w:u w:val="single"/>
        </w:rPr>
        <w:t>Within this colonial imaginary, the Native is an empty signifier that provides the occasion for Europe to remake its corrupt civilization. Once the Euro- pean is remade, the Native is rendered permanently infantile or — as mostly com- monly understood — an innocent savage. She cannot mature into adult citizenship, she can only be locked into a permanent state of infancy — degenerate into brutal savagery or disappear into “civilization.”</w:t>
      </w:r>
      <w:r w:rsidRPr="00087A72">
        <w:rPr>
          <w:sz w:val="12"/>
        </w:rPr>
        <w:t xml:space="preserve"> </w:t>
      </w:r>
      <w:r w:rsidRPr="00087A72">
        <w:rPr>
          <w:u w:val="single"/>
        </w:rPr>
        <w:t>The Native as infantile citizen continues</w:t>
      </w:r>
      <w:r w:rsidRPr="00087A72">
        <w:rPr>
          <w:sz w:val="12"/>
        </w:rPr>
        <w:t xml:space="preserve"> to exist not only in mainstream or conservative political thought but also </w:t>
      </w:r>
      <w:r w:rsidRPr="00087A72">
        <w:rPr>
          <w:u w:val="single"/>
        </w:rPr>
        <w:t>within radical theory and activism</w:t>
      </w:r>
      <w:r w:rsidRPr="00087A72">
        <w:rPr>
          <w:sz w:val="12"/>
        </w:rPr>
        <w:t xml:space="preserve">. </w:t>
      </w:r>
      <w:r w:rsidRPr="00087A72">
        <w:rPr>
          <w:u w:val="single"/>
        </w:rPr>
        <w:t>The “crying Indian” enables the birth of a white enlightened environmental consciousness.</w:t>
      </w:r>
      <w:r w:rsidRPr="00087A72">
        <w:rPr>
          <w:sz w:val="12"/>
        </w:rPr>
        <w:t xml:space="preserve"> This new consciousness, however, does not entail engaging with current environmental struggles on indigenous lands. An example of this tendency can be found in the work of Gayatri Chakravorty Spivak. She describes indig- enous peoples as providing a space for ecological knowledge, but then argues that this knowledge will be lost once indigenous peoples, whom she describes as racial minorities rather than as colonized peoples, necessarily assimilate into the settler state. “But must that part of their cultural habit that internalizes the techniques of their pre-national ecological sanity be irretrievably lost to plan- etary justice in the urgently needed process of integration, as a minority, into the modern state?”43 Thus some strands of postcolonial thought ironically rest on the continued colonization of indigenous peoples. As Povinelli’s Empire of Love describes, </w:t>
      </w:r>
      <w:r w:rsidRPr="00087A72">
        <w:rPr>
          <w:b/>
          <w:iCs/>
          <w:u w:val="single"/>
        </w:rPr>
        <w:t>queer politics and consciousness often rely on a primitivist notion of the indigenous as the space of free and unfettered sexuality that allows the white queer citizen to remake his or her sexuality.</w:t>
      </w:r>
      <w:r w:rsidRPr="00087A72">
        <w:rPr>
          <w:sz w:val="12"/>
        </w:rPr>
        <w:t xml:space="preserve"> However, once this sexual praxis is engaged, it does not translate into solidarity with indigenous peoples’ land struggles. </w:t>
      </w:r>
      <w:r w:rsidRPr="00087A72">
        <w:rPr>
          <w:u w:val="single"/>
        </w:rPr>
        <w:t>The subjectless critique thus calls attention to both the importance of Native peoples within scholarly work and their disappearance within this work. At the same time, it may be the case that it is in fact a subjectless critique that disguises the fact that the queer, postcolonial, or environmentally conscious subject is simultaneously a settler subject.</w:t>
      </w:r>
      <w:r w:rsidRPr="00087A72">
        <w:rPr>
          <w:sz w:val="12"/>
        </w:rPr>
        <w:t xml:space="preserve"> This primitivist discourse that relies on the disappearance of the Native is found, ironically, also within ethnic studies and queer of color critique. For instance, </w:t>
      </w:r>
      <w:r w:rsidRPr="00087A72">
        <w:rPr>
          <w:u w:val="single"/>
        </w:rPr>
        <w:t xml:space="preserve">within racial justice activism as well as ethnic studies analysis, it is the primitive Native that enables a mature mestizaje consciousness. </w:t>
      </w:r>
      <w:r w:rsidRPr="00087A72">
        <w:rPr>
          <w:b/>
          <w:iCs/>
          <w:u w:val="single"/>
        </w:rPr>
        <w:t>Gloria Anzaldúa’s Borderlands, the foundational text of borderlands theory, situates Indians and Europeans in a dichotomy that can be healed through mestizaje. Anzaldúa positions Indian culture as having “no tolerance for deviance,” a problem that can be healed by the “tolerance for ambiguity” that those of mixed race “necessarily possess.” Thus a rigid, unambiguous Indian becomes juxtaposed unfavorably with the mestiza who “can’t hold concepts or ideas in rigid boundaries.”</w:t>
      </w:r>
      <w:r w:rsidRPr="00087A72">
        <w:rPr>
          <w:sz w:val="12"/>
        </w:rPr>
        <w:t xml:space="preserve">44 </w:t>
      </w:r>
      <w:r w:rsidRPr="00087A72">
        <w:rPr>
          <w:b/>
          <w:iCs/>
          <w:u w:val="single"/>
        </w:rPr>
        <w:t>As many scholars have noted, Native identity is relegated to a primitive past, a premodern precursor to the more modern, sophisticated mestizo identity.</w:t>
      </w:r>
      <w:r w:rsidRPr="00087A72">
        <w:rPr>
          <w:sz w:val="12"/>
        </w:rPr>
        <w:t xml:space="preserve">45 In queer of color critique in particular, </w:t>
      </w:r>
      <w:r w:rsidRPr="00087A72">
        <w:rPr>
          <w:u w:val="single"/>
        </w:rPr>
        <w:t xml:space="preserve">mestizaje and queerness often intersect to disappear indigeneity through the figure of the diasporic or hybrid queer subject. </w:t>
      </w:r>
      <w:r w:rsidRPr="00087A72">
        <w:rPr>
          <w:sz w:val="12"/>
        </w:rPr>
        <w:t xml:space="preserve">The consequence is that queer of color critique, while making critical interventions into both critical race and queer studies, generally lacks an analysis of settler colonialism and genocide. Within queer of color critique, many scholars engage subjectless critique while fully interrogating its limits. As such, this work can benefit the development of Native studies. At the same time, however, </w:t>
      </w:r>
      <w:r w:rsidRPr="00087A72">
        <w:rPr>
          <w:u w:val="single"/>
        </w:rPr>
        <w:t xml:space="preserve">a critical limit often not explored by queer of color critique is the limits of settler colonialism. As such, indigeneity frequently disappears within these projects. Once again, a subjectless critique within Native studies assists in interrogating projects based on a queer of color critique that does not directly incorporate an analysis of Native peoples. At the same time, however, queer of color critique’s version of subjectless critique can also veil the queer of color subject’s investment in settler colonialism. </w:t>
      </w:r>
      <w:r w:rsidRPr="00087A72">
        <w:rPr>
          <w:sz w:val="12"/>
        </w:rPr>
        <w:t xml:space="preserve">As an example, Gayatri </w:t>
      </w:r>
      <w:r w:rsidRPr="00087A72">
        <w:rPr>
          <w:u w:val="single"/>
        </w:rPr>
        <w:t>Gopinath</w:t>
      </w:r>
      <w:r w:rsidRPr="00087A72">
        <w:rPr>
          <w:sz w:val="12"/>
        </w:rPr>
        <w:t xml:space="preserve"> critiques Madonna for cultural theft, but then very uncritically celebrates the British Punjabi artist Apache Indian’s obvious appropriation of Apache culture. Gopinath lauds this move for its “referencing of multiple diasporic locations including the Caribbean, India, the UK, and the United States,” neglecting to list the Apache nation as a national location.46 She </w:t>
      </w:r>
      <w:r w:rsidRPr="00087A72">
        <w:rPr>
          <w:u w:val="single"/>
        </w:rPr>
        <w:t>seems to implicitly subscribe to the colonialist notion that Apache nationhood can be subsumed under the settler colonial logic of the United States. Furthermore, this appropriation is celebrated in the service of a “de-essentialized notion of ‘Indian’ identity.”47 Just as mestizo identity appropriates an essentialized indigenous iden- tity, this time a mestizo “Indian” identity depends on the erasure of indigenous Apache identity</w:t>
      </w:r>
      <w:r w:rsidRPr="00087A72">
        <w:rPr>
          <w:sz w:val="12"/>
        </w:rPr>
        <w:t xml:space="preserve">. Quoting George Lipsitz, Gopinath likens Apache Indian’s project to the appropriation of Native identity by African Americans during Mardi Gras celebrations as a “politics emanating from Indian imagery to affirm Black nationalism [which] lead[s] logically to a pan-ethnic anti-racism that moves beyond essentialism.”48 But why does appropriation necessarily lead to antiracism? First, this appropriation tends to depend on a very essentialized notion of Native identity that becomes the raw material for the building of a complex postmodern identity. Second, where is the evidence that any of these practices actually contribute to solidarity work with contemporary indigenous struggles? As many Native scholars have argued, </w:t>
      </w:r>
      <w:r w:rsidRPr="00087A72">
        <w:rPr>
          <w:u w:val="single"/>
        </w:rPr>
        <w:t>Native peoples are entrapped in a logic of genocidal appropriation. This logic holds that indigenous peoples must disappear.</w:t>
      </w:r>
      <w:r w:rsidRPr="00087A72">
        <w:rPr>
          <w:sz w:val="12"/>
        </w:rPr>
        <w:t xml:space="preserve"> In fact, </w:t>
      </w:r>
      <w:r w:rsidRPr="00087A72">
        <w:rPr>
          <w:u w:val="single"/>
        </w:rPr>
        <w:t>they must always be disappearing, to allow nonindigenous people’s rightful claim over this land. Through this logic of genocide, non-Native people then become the rightful inheritors of all that was indigenous — land, resources, indigenous spirituality, or culture.</w:t>
      </w:r>
      <w:r w:rsidRPr="00087A72">
        <w:rPr>
          <w:sz w:val="12"/>
        </w:rPr>
        <w:t xml:space="preserve"> Rayna Green demonstrates that </w:t>
      </w:r>
      <w:r w:rsidRPr="00087A72">
        <w:rPr>
          <w:u w:val="single"/>
        </w:rPr>
        <w:t>the cultural appropriation of indigeneity is based on a logic of genocide: non-Native peoples imagine themselves as the rightful inheritors of all that previously belonged to “vanished” Indians, thus entitling them to ownership of this land. “The living performance of ‘playing Indian’ by non-Indian peoples depends upon the physical and psychological removal, even the death, of real Indians. In that sense, the per- formance, purportedly often done out of a stated and implicit love for Indians, is really the obverse of another well-known cultural phenomenon, ‘Indian hating,’ as most often expressed in another, deadly performance genre called ‘genocide.’”49 After all, why would non-Native peoples need to play Indian if they thought Indi- ans were still alive and perfectly capable of being Indian themselves?</w:t>
      </w:r>
      <w:r w:rsidRPr="00087A72">
        <w:rPr>
          <w:sz w:val="12"/>
        </w:rPr>
        <w:t xml:space="preserve"> Thus the appropriation of Native identity by even people of color or Third World subjects cannot be easily distinguished from a logic of genocide or a logic of biopower whereby Natives must die so that postmodern subjects can live. Gopinath’s </w:t>
      </w:r>
      <w:r w:rsidRPr="00087A72">
        <w:rPr>
          <w:u w:val="single"/>
        </w:rPr>
        <w:t>uncritical support for appropriating indigeneity also contributes to her problematic juxtaposition of a simple national identity with a com- plex diasporic identity. Her work centers the diasporic subject as what troubles national identity. She “embraces diaspora as a concept for its potential to fore- ground notions of impurity and inauthenticity that resoundingly reject the ethnic and religious absolutism at the center of nationalist projects.”50 She then likens diaspora to queerness. “</w:t>
      </w:r>
      <w:r w:rsidRPr="00087A72">
        <w:rPr>
          <w:b/>
          <w:iCs/>
          <w:u w:val="single"/>
        </w:rPr>
        <w:t>A queer diasporic framework productively exploits the analogous relation between nation and diaspora on the one hand, and between het- erosexuality and queerness on the other</w:t>
      </w:r>
      <w:r w:rsidRPr="00087A72">
        <w:rPr>
          <w:u w:val="single"/>
        </w:rPr>
        <w:t xml:space="preserve">; in other words, queerness is to heterosex- uality as the diaspora is to the nation.”51 </w:t>
      </w:r>
      <w:r w:rsidRPr="00087A72">
        <w:rPr>
          <w:b/>
          <w:iCs/>
          <w:u w:val="single"/>
        </w:rPr>
        <w:t>This logic follows Anzaldúa’s framework of juxtaposing the complicated, queer mestizo subject with the primitive, simple, indigenous subject. A subjectless critique within Native studies enables an indig- enous critique of queer of color projects that do not directly engage Native studies but do depend ideologically on the disappearance of Native peoples.</w:t>
      </w:r>
      <w:r w:rsidRPr="00087A72">
        <w:rPr>
          <w:u w:val="single"/>
        </w:rPr>
        <w:t xml:space="preserve"> In particular, such a critique leads me to conclude that, just as, for instance, </w:t>
      </w:r>
      <w:r w:rsidRPr="00087A72">
        <w:rPr>
          <w:b/>
          <w:iCs/>
          <w:u w:val="single"/>
        </w:rPr>
        <w:t>the image of the “welfare queen” becomes coded language to signify blackness, images of nation- hood as necessarily simplistic and essentialist rest on the shadow of the primi- tive indigenous subject who cannot transcend her nationalistic identifications.</w:t>
      </w:r>
      <w:r w:rsidRPr="00087A72">
        <w:rPr>
          <w:u w:val="single"/>
        </w:rPr>
        <w:t xml:space="preserve"> The indigenous subject is once again an “infantile citizen,” firmly rooted within a nation and a land base, and hence is insufficiently queered without a mixed or diasporic subject.</w:t>
      </w:r>
      <w:r w:rsidRPr="00087A72">
        <w:rPr>
          <w:sz w:val="12"/>
        </w:rPr>
        <w:t xml:space="preserve"> Thus, even though Gopinath actually critiques the notion that the proper queer subject can be denoted by leaving home and community as a free self-determined citizen, </w:t>
      </w:r>
      <w:r w:rsidRPr="00087A72">
        <w:rPr>
          <w:u w:val="single"/>
        </w:rPr>
        <w:t>her likening of queerness to diaspora tends to reify the assumption that the (indigenous) nation cannot be queered on its own. Left to its own, the (indigenous) nation is positioned as a heterosexual norm that requires diaspora to queer it.</w:t>
      </w:r>
      <w:r w:rsidRPr="00087A72">
        <w:rPr>
          <w:sz w:val="12"/>
        </w:rPr>
        <w:t xml:space="preserve"> </w:t>
      </w:r>
      <w:r w:rsidRPr="00087A72">
        <w:rPr>
          <w:u w:val="single"/>
        </w:rPr>
        <w:t>Instead, perhaps we can understand indigenous nationhood as already queered.</w:t>
      </w:r>
      <w:r w:rsidRPr="00087A72">
        <w:rPr>
          <w:sz w:val="12"/>
        </w:rPr>
        <w:t xml:space="preserve"> Gopinath’s work does suggest some ways nationhood could be queered. She troubles the normative notion of the home as a place “to be escaped in order to emerge into another more liberatory space,” in favor of “remaking the space of home within.”52 Echoing Silva’s and Puar’s analysis, she reads a variety of texts to argue that the narrative of leaving home to attain personal liberation again rests on the logic of the self-determining universal subject transcending particularity. “The equation of liberation with leaving and oppressing with ‘staying put’ cannot be upheld. In rejecting this progress narrative of freedom through exile and the renunciation of home, these texts instead enable a queer reworking of the very space of home itself.”53 Thus, if home can be remade, perhaps we could go farther than Gopinath and argue that the home is always already being remade: this remaking is not necessarily dependent on the diasporic subject. Renya Ramirez’s ethnography of urban Native communities suggests a way to put an analysis of diaspora in conversation with indigeneity to further Gopi- nath’s project of remaking home. She critiques prevalent notions of urban Native peoples “living as exiles without a culture, inhabiting a nether-world between the traditional and modern,” seeing them instead as people whose travel to and from reservations actually strengthens their relationship to their land base.54 Informed by her ethnographic subjects, Ramirez develops the concept of the hub, which can be a geographic space (such as an urban area) as well as an activity (such as Internet communication) that allows people to maintain relationships and to develop political coalitions. However, the hub does not privilege the diasporic subject in relation to the nondiasporic subject who remains home. Rather, Ramirez’s narrative positions them all as having pivotal roles in developing political alliances, challenging oppressive behaviors within indigenous nations, and combating settler colonialism. </w:t>
      </w:r>
    </w:p>
    <w:p w:rsidR="00540BEA" w:rsidRPr="00087A72" w:rsidRDefault="00540BEA" w:rsidP="00540BEA">
      <w:pPr>
        <w:pStyle w:val="Heading4"/>
      </w:pPr>
      <w:r w:rsidRPr="00087A72">
        <w:t>The rhetoric of Mestizaje and Mestiza in Anzaldúa’s work represents the drive towards Settler Indigenizaetion that simultaneously drives genocidal violence and ensures the continuation of pure-blood rhetorics. Even if Anzaldúa avoids this in practice, the rhetoric of mestizaje inevitably culminates in primitivist and racist understandings of the Native.</w:t>
      </w:r>
    </w:p>
    <w:p w:rsidR="00540BEA" w:rsidRPr="00087A72" w:rsidRDefault="00540BEA" w:rsidP="00540BEA">
      <w:r w:rsidRPr="00087A72">
        <w:rPr>
          <w:rStyle w:val="Style13ptBold"/>
        </w:rPr>
        <w:t>Ríos 16</w:t>
      </w:r>
      <w:r w:rsidRPr="00087A72">
        <w:t xml:space="preserve"> (Gabriela Raquel, Professor in the Department of English at the University of Oklahoma “Mestizaje” in </w:t>
      </w:r>
      <w:r w:rsidRPr="00087A72">
        <w:rPr>
          <w:i/>
        </w:rPr>
        <w:t>Decolonizing Rhetoric and Composition Studies</w:t>
      </w:r>
      <w:r w:rsidRPr="00087A72">
        <w:t>, pp. 110-120) NIJ</w:t>
      </w:r>
    </w:p>
    <w:p w:rsidR="00E06E0C" w:rsidRPr="00087A72" w:rsidRDefault="00540BEA" w:rsidP="00E06E0C">
      <w:pPr>
        <w:rPr>
          <w:b/>
          <w:iCs/>
          <w:sz w:val="26"/>
          <w:u w:val="single"/>
        </w:rPr>
      </w:pPr>
      <w:r w:rsidRPr="00087A72">
        <w:rPr>
          <w:rStyle w:val="StyleUnderline"/>
        </w:rPr>
        <w:t>During the revolutionary period in many Latin American countries, indigeneity came to be defined by governing forces through the notion of blood quantum.</w:t>
      </w:r>
      <w:r w:rsidRPr="00087A72">
        <w:rPr>
          <w:sz w:val="12"/>
        </w:rPr>
        <w:t xml:space="preserve"> Additionally, </w:t>
      </w:r>
      <w:r w:rsidRPr="00087A72">
        <w:rPr>
          <w:rStyle w:val="StyleUnderline"/>
        </w:rPr>
        <w:t>it became synonymous with “primitivism” and “savageness.”</w:t>
      </w:r>
      <w:r w:rsidRPr="00087A72">
        <w:rPr>
          <w:sz w:val="12"/>
        </w:rPr>
        <w:t xml:space="preserve"> As such, Indigenous people and Indigenous cultures were deemed antithetical to “progress.” </w:t>
      </w:r>
      <w:r w:rsidRPr="00087A72">
        <w:rPr>
          <w:rStyle w:val="StyleUnderline"/>
        </w:rPr>
        <w:t>Nevertheless, the high rates of miscegenation in Latin America created a different kind of “Indian Problem”</w:t>
      </w:r>
      <w:r w:rsidRPr="00087A72">
        <w:rPr>
          <w:sz w:val="12"/>
        </w:rPr>
        <w:t xml:space="preserve"> than the one faced by its neighbors in the United States and Canada. </w:t>
      </w:r>
      <w:r w:rsidRPr="00087A72">
        <w:rPr>
          <w:rStyle w:val="StyleUnderline"/>
        </w:rPr>
        <w:t xml:space="preserve">The so-called “rampant mixing” of various now-racialized people led prominent political figures of the nineteenth and twentieth centuries to strategically construct a national mestizo subject through the concepts of indigenismo and mestizofilia. </w:t>
      </w:r>
      <w:r w:rsidRPr="00087A72">
        <w:rPr>
          <w:sz w:val="12"/>
        </w:rPr>
        <w:t xml:space="preserve">Mexican scholars such as Jorge José Gómez-Izquierdo have argued that from 1910 on </w:t>
      </w:r>
      <w:r w:rsidRPr="00087A72">
        <w:rPr>
          <w:rStyle w:val="StyleUnderline"/>
        </w:rPr>
        <w:t xml:space="preserve">mestizofilia became a way to account for and show value in Mexico’s racial and cultural heterogeneity while nevertheless homogenizing it through the eugenicist logic of “mixed-race” superiority. </w:t>
      </w:r>
      <w:r w:rsidRPr="00087A72">
        <w:rPr>
          <w:sz w:val="12"/>
        </w:rPr>
        <w:t xml:space="preserve">In a broader approach to the topic, Olivia Gall’s Racismo, Mestizaje y Modernidad argues that the trope of </w:t>
      </w:r>
      <w:r w:rsidRPr="00087A72">
        <w:rPr>
          <w:rStyle w:val="StyleUnderline"/>
        </w:rPr>
        <w:t xml:space="preserve">mestizaje was used by elites as a way to erase or marginalize not only the Indigenous but also the Black population in Latin America and the United States. </w:t>
      </w:r>
      <w:r w:rsidRPr="00087A72">
        <w:rPr>
          <w:sz w:val="12"/>
        </w:rPr>
        <w:t xml:space="preserve">In Mexico and elsewhere, José Vasconselos’s raza cosmica and Manuel Gamio’s </w:t>
      </w:r>
      <w:r w:rsidRPr="00087A72">
        <w:rPr>
          <w:rStyle w:val="StyleUnderline"/>
        </w:rPr>
        <w:t>“integrationist” politics were</w:t>
      </w:r>
      <w:r w:rsidRPr="00087A72">
        <w:rPr>
          <w:sz w:val="12"/>
        </w:rPr>
        <w:t xml:space="preserve"> two of the more prominent logics </w:t>
      </w:r>
      <w:r w:rsidRPr="00087A72">
        <w:rPr>
          <w:rStyle w:val="StyleUnderline"/>
        </w:rPr>
        <w:t>used to justify the forced removal of Indigenas</w:t>
      </w:r>
      <w:r w:rsidRPr="00087A72">
        <w:rPr>
          <w:sz w:val="12"/>
        </w:rPr>
        <w:t xml:space="preserve"> into ejidos (or reserves) </w:t>
      </w:r>
      <w:r w:rsidRPr="00087A72">
        <w:rPr>
          <w:rStyle w:val="StyleUnderline"/>
        </w:rPr>
        <w:t>while simultaneously justifying mestizos’ claim to land, based not only on their “Indian blood” but also on their racial superiority as “mixed-bloods.” An important part of constructing the “Mexican Mestizo Nation,” then, becomes to “civilize the Indian within,” the national subject, which is decidedly not the Indian subject</w:t>
      </w:r>
      <w:r w:rsidRPr="00087A72">
        <w:rPr>
          <w:sz w:val="12"/>
        </w:rPr>
        <w:t xml:space="preserve">: “To incorporate the Indian let us not try to ‘Europeanize’ him all at once; to the contrary, let us ‘indianize’ ourselves a bit […] [n]aturally, we should not exaggerate to a ridiculous degree our closeness with the Indian” (quoted in Saldaña-Portillo 211). DECOLONIAL APPROACHES TO MESTIZAJE Decolonial approaches to mestizaje vary, but I focus on two particular decolonial perspectives and genealogies for mestizaje, one stemming from Latin American Studies and one from Chicanx/Indigenous Studies. 3 The current status of mestizaje in both areas is contested, particularly because of differences in how it is taken up differently through decolonialism by each. Decoloniality in Latin American Studies: Epistemic Options Although she did not necessarily see it as decolonial or even postcolonial, Gloria Anzaldúa’s work on mestizaje has become foundational for decolonial theory in Latin American Studies and for many Chicanx scholars. </w:t>
      </w:r>
      <w:r w:rsidRPr="00087A72">
        <w:rPr>
          <w:rStyle w:val="StyleUnderline"/>
        </w:rPr>
        <w:t>According to Anzaldúa, her new articulation of the consciousness of the mestiza explodes the logic of racial and cultural purity built into mestizaje in its colonial formations.</w:t>
      </w:r>
      <w:r w:rsidRPr="00087A72">
        <w:rPr>
          <w:sz w:val="12"/>
        </w:rPr>
        <w:t xml:space="preserve"> The new mestiza does not simply respond to the colonial logic of mestizaje through the familiar Hegelian dialectic; rather, the new mestiza consciousness transforms the logic of colonial mestizaje by allowing for plurality and complexity, even ambiguity. Her orientation to mestizaje challenges the ways it was originally used to exclude certain peoples from power and resources by recognizing our interconnectedness to other peoples and to nonhuman beings and objects: The work of mestiza consciousness is to break down the subject/object duality that keeps her prisoner. […] [T]he answer to the problem between the white race and the colored, between males and females, lies in healing the split that originates in the very foundation of our lives, our culture, our languages, our thoughts. (80) In this way, </w:t>
      </w:r>
      <w:r w:rsidRPr="00087A72">
        <w:rPr>
          <w:rStyle w:val="StyleUnderline"/>
        </w:rPr>
        <w:t>Anzaldúa argues that her new mestiza consciousness opens up possibilities rather than foreclosing them, and it creates a “tolerance for ambiguity” that can be transformed subconsciously in an intimate way/ location. For Anzaldúa, this process is a spiritual one by which “the possibility of uniting all that is separate occurs” in order to create a third element “which is greater than the sum of its severed parts”</w:t>
      </w:r>
      <w:r w:rsidRPr="00087A72">
        <w:rPr>
          <w:sz w:val="12"/>
        </w:rPr>
        <w:t xml:space="preserve"> (101–102). </w:t>
      </w:r>
      <w:r w:rsidRPr="00087A72">
        <w:rPr>
          <w:rStyle w:val="StyleUnderline"/>
        </w:rPr>
        <w:t>This third element is a mestiza consciousness.</w:t>
      </w:r>
      <w:r w:rsidRPr="00087A72">
        <w:rPr>
          <w:sz w:val="12"/>
        </w:rPr>
        <w:t xml:space="preserve"> Thus, Anzaldúa challenges Western knowledge formations, such as the subject–object split and binary oppositions, that she argues have sustained various forms of oppression. In his important work on critical uses of race in Chicanx culture, Rafael PérezTorres argues this kind of “cultural mixture—premised on the lived practices of racial mixture—serves to achieve a change of those people and communities involved” (48). Emma Pérez’ crucial work in a “decolonial imaginary” likewise sees Anzaldúa’s conception of mestizaje as one that problematizes a colonial inscription about “purity” of blood, of culture, even of sexuality (26). Pérez’s thinking advocates for a local history of Chicana feminism that rejects the subject–object dichotomy and offers a way to make Chicana forms of knowledge visible options for “future possibilities.” Walter Mignolo’s decolonial theory in Latin American Studies has heavily influenced Chicanx studies. Mignolo first began articulating his theory of decoloniality in The Darker Side of the Renaissance, where he began a line of inquiry into the semiotic dimensions of coloniality starting in the sixteenth century. Although many Postcolonial or Subaltern Studies’ scholars locate a colonial legacy within economic or historical structures alone, Mignolo introduces “colonial semiosis” as both a field and a concept—one that contemplates colonial economies and colonial histories and that “implies the coexistence of interactions among and cultural production by members of radically different cultural traditions” (8, 9). Later, in Local Histories/Global Designs, he posits “border thinking” as that which can illuminate the invisible logic of coloniality embedded in modernity (3). This concept is heavily influenced by Anzaldúa’s mestiza consciousness, and like Anzaldúa, Mignolo argues that thinking from the colonial wound (or as Anzaldúa would say, the herida abierta) can change both the terms and the content of the conversation about colonialism and its ongoing legacies. Racial formations such as mestizaje are a product of colonial design insofar as they are predicated in descriptions of blood mixture or skin color that are biologized and racialized. Whereas Mignolo eschews mestizaje in its racial formation, in The Darker Side of Western Modernity he nevertheless advocates Anzaldúa’s “conciencia de la mestiza” and even Rodolfo Kusch’s formulation of “mestizo consciousness” (which, Mignolo admits, is perhaps better understood as “immigrant consciousness” given Kusch’s German background). He treats both as “diverse expressions and experiences of the same condition of existence: the awareness of coloniality of being” and as “different modes of experiencing the colonial wound and of engaging the decolonial option” (108, 109). In reframing the conversation in this way, Mignolo argues it is necessary to understand colonialism from the perspective of subaltern, colonial subjects in order to make visible their “subjugated knowledges”—a term he borrows from Foucault—and to see them as decolonial options ( Local 20). For Mignolo, it is important to understand these as “options” and not alternatives or other truths because to do so accepts that there is “ a modernity and a development to which nothing but alternatives could exist” ( Western xxviii–xxix). In short, the decolonial theories of Pérez and Mignolo aim to expose the logic of coloniality in order to better illuminate decolonial options. Anzaldúa’s new mestiza consciousness presents one option for undoing the epistemic damage of colonialism and for making visible the histories and diverse knowledges that have been subjugated by colonial designs. Decoloniality in Indigenous Studies: The Problem of Settler Colonialism Rather than focus on coloniality, </w:t>
      </w:r>
      <w:r w:rsidRPr="00087A72">
        <w:rPr>
          <w:rStyle w:val="StyleUnderline"/>
        </w:rPr>
        <w:t xml:space="preserve">decolonial perspectives in Indigenous Studies tend to emphasize settler colonialism. </w:t>
      </w:r>
      <w:r w:rsidRPr="00087A72">
        <w:rPr>
          <w:sz w:val="12"/>
        </w:rPr>
        <w:t xml:space="preserve">The difference simultaneously is subtle and not-so subtle. Whereas writers in Latin American Studies, such as Mignolo and Pérez, see decolonization as primarily discursive 4 and/or epistemological and implicitly “future”-focused, writers in </w:t>
      </w:r>
      <w:r w:rsidRPr="00087A72">
        <w:rPr>
          <w:rStyle w:val="StyleUnderline"/>
        </w:rPr>
        <w:t>Indigenous Studies</w:t>
      </w:r>
      <w:r w:rsidRPr="00087A72">
        <w:rPr>
          <w:sz w:val="12"/>
        </w:rPr>
        <w:t xml:space="preserve"> see decolonization as being primarily about sovereignty; they </w:t>
      </w:r>
      <w:r w:rsidRPr="00087A72">
        <w:rPr>
          <w:rStyle w:val="StyleUnderline"/>
        </w:rPr>
        <w:t xml:space="preserve">argue for colonial impact to be acknowledged and dismantled. </w:t>
      </w:r>
      <w:r w:rsidRPr="00087A72">
        <w:rPr>
          <w:sz w:val="12"/>
        </w:rPr>
        <w:t xml:space="preserve">What’s more, </w:t>
      </w:r>
      <w:r w:rsidRPr="00087A72">
        <w:rPr>
          <w:rStyle w:val="StyleUnderline"/>
        </w:rPr>
        <w:t xml:space="preserve">colonial impact is seen most prominently as one having to </w:t>
      </w:r>
      <w:r w:rsidRPr="00087A72">
        <w:rPr>
          <w:sz w:val="12"/>
        </w:rPr>
        <w:t xml:space="preserve">do with territorial claims (e.g., to land, knowledge, representations, etc.) and, as such, as having to </w:t>
      </w:r>
      <w:r w:rsidRPr="00087A72">
        <w:rPr>
          <w:rStyle w:val="StyleUnderline"/>
        </w:rPr>
        <w:t>do with settler subjects and Indigenous subjects</w:t>
      </w:r>
      <w:r w:rsidRPr="00087A72">
        <w:rPr>
          <w:sz w:val="12"/>
        </w:rPr>
        <w:t xml:space="preserve">, even on a hemispheric or global level. Although these categories are certainly understood as discursively defined, scholars of Indigenous Studies nevertheless recognize that settler nations continue to rob the resources (e.g., land-based, cultural, knowledge, and otherwise) of peoples who are marked as Indigenous by the state. </w:t>
      </w:r>
      <w:r w:rsidRPr="00087A72">
        <w:rPr>
          <w:rStyle w:val="StyleUnderline"/>
        </w:rPr>
        <w:t xml:space="preserve">They also see this project as one predicated on the ongoing genocide or disappearance of these indigenous subjects </w:t>
      </w:r>
      <w:r w:rsidRPr="00087A72">
        <w:rPr>
          <w:sz w:val="12"/>
        </w:rPr>
        <w:t xml:space="preserve">(e.g., see Audra Simpson’s Mohawk Interruptus). In looking to “unsettle” the logics of colonialism, Indigenous Studies scholars offer a similar perspective to that of Latin American Studies scholars. However, as </w:t>
      </w:r>
      <w:r w:rsidRPr="00087A72">
        <w:rPr>
          <w:rStyle w:val="StyleUnderline"/>
        </w:rPr>
        <w:t>Indigenous Studie</w:t>
      </w:r>
      <w:r w:rsidRPr="00087A72">
        <w:rPr>
          <w:sz w:val="12"/>
        </w:rPr>
        <w:t xml:space="preserve">s has taken on a more hemispheric approach, the field </w:t>
      </w:r>
      <w:r w:rsidRPr="00087A72">
        <w:rPr>
          <w:rStyle w:val="StyleUnderline"/>
        </w:rPr>
        <w:t>has critiqued mestizaje as a logic born of modernity, claiming that it constitutes settler-subjects over and against Indigenous subjects.</w:t>
      </w:r>
      <w:r w:rsidRPr="00087A72">
        <w:rPr>
          <w:sz w:val="12"/>
        </w:rPr>
        <w:t xml:space="preserve"> Similarly, Dylan Miner argues that </w:t>
      </w:r>
      <w:r w:rsidRPr="00087A72">
        <w:rPr>
          <w:rStyle w:val="Emphasis"/>
        </w:rPr>
        <w:t xml:space="preserve">while scholars like Anzaldúa attempt to write from indigenist perspectives, they “are never fully situated in dialogue with tribal epistemologies or ontologies” </w:t>
      </w:r>
      <w:r w:rsidRPr="00087A72">
        <w:rPr>
          <w:sz w:val="12"/>
        </w:rPr>
        <w:t xml:space="preserve">(218). In addition, as stated previously, the indigenist turn in Chicanx Studies has also disavowed mestizaje, or at least problematized it. For example, Lourdes Alberto argues that Ana Castillo’s Mixquiahuala Letters constructs </w:t>
      </w:r>
      <w:r w:rsidRPr="00087A72">
        <w:rPr>
          <w:rStyle w:val="Emphasis"/>
        </w:rPr>
        <w:t>a mestizo consciousness that “needs the unchanging ruins of indigeneity in order to operate as a dynamic subject position” in order to expose the privilege of mestizaje as a logic that constructs the Chicana as “a universal subject that can access both the Indian and the colonial” but only through the silencing of the Native woman</w:t>
      </w:r>
      <w:r w:rsidRPr="00087A72">
        <w:rPr>
          <w:sz w:val="12"/>
        </w:rPr>
        <w:t xml:space="preserve"> (44, emphasis added). This tension exists, as George Hartley argues, not only because we “uncritically accep[t] the nation-state as arbiter of indigenous status,” but also (perhaps paradoxically) because we do not account for it (56). In other words, it is often because </w:t>
      </w:r>
      <w:r w:rsidRPr="00087A72">
        <w:rPr>
          <w:rStyle w:val="StyleUnderline"/>
        </w:rPr>
        <w:t>Chicanxs do not or cannot account for how nation-states structure and define indigeneity in ways that should be challenged or superseded in our reclamations of a mode of being, which has been taken from us, that we end up angering American Indian people and Mexican indigenas when we lay claims to land through Indigenous lineage or ancestry</w:t>
      </w:r>
      <w:r w:rsidRPr="00087A72">
        <w:rPr>
          <w:sz w:val="12"/>
        </w:rPr>
        <w:t xml:space="preserve"> (i.e., Aztlan). Finally, Andrea </w:t>
      </w:r>
      <w:r w:rsidRPr="00087A72">
        <w:rPr>
          <w:rStyle w:val="StyleUnderline"/>
        </w:rPr>
        <w:t xml:space="preserve">Smith’s important critique of indigeneity as a borderland highlights how Gloria Anzaldúa and others have constructed a “new mestiza consciousness” that “illuminates how to enact a (border) crossing from marginalized other to whole woman who constantly shifts, crosses, and gains power from contradiction and ambiguity,” a phenomenon that occurs as well in mixed-blood constructions in American Indian Studies, “in which </w:t>
      </w:r>
      <w:r w:rsidRPr="00087A72">
        <w:rPr>
          <w:rStyle w:val="Emphasis"/>
        </w:rPr>
        <w:t>‘mixed-blood’ identity attains a teleological status as the new and improved indigenous identity</w:t>
      </w:r>
      <w:r w:rsidRPr="00087A72">
        <w:rPr>
          <w:rStyle w:val="StyleUnderline"/>
        </w:rPr>
        <w:t>, as though indigenous identity in and of itself is incapable of addressing the challenges and complexity of contemporary life”</w:t>
      </w:r>
      <w:r w:rsidRPr="00087A72">
        <w:rPr>
          <w:sz w:val="12"/>
        </w:rPr>
        <w:t xml:space="preserve"> (“Against the Law”). Smith’s critique recognizes how </w:t>
      </w:r>
      <w:r w:rsidRPr="00087A72">
        <w:rPr>
          <w:rStyle w:val="Emphasis"/>
        </w:rPr>
        <w:t xml:space="preserve">Anzaldúa’s mestizaje operates according to a logic of modernity (i.e., of futurity and progress) that cannot include indigeneity. </w:t>
      </w:r>
      <w:r w:rsidRPr="00087A72">
        <w:rPr>
          <w:sz w:val="12"/>
        </w:rPr>
        <w:t xml:space="preserve">114 G.R. RÍOS MESTIZ@ RHETORICS Part of the tension between such perspectives toward decoloniality stems from identity politics and their material impact. In some ways, this tension is linked theoretically to tensions between discursive and materialist critiques of power. For both Latin American and Indigenous Decolonial Studies, rhetoric (and writing or literacy) are crucial facets of colonialism and its legacy. For example, Mignolo shows that part of the epistemic quality of colonialism is its privileging of alphabetic literacy and denouncing of sophist rhetorical traditions ( Local Histories/Global Designs). In Indigenous Studies, scholars such as Andrea Smith argue that a crucial component of colonial legacy is ethnographic entrapment, whereby the Indigenous (and other marginalized peoples) are rendered arhetorical and, thus, put in a position to be seen only as objects of knowledge rather than as sovereign intellectuals (“Ethnographic Entrapment”). It would seem, therefore, that Rhetoric and Composition Studies is a site ripe with decolonial potential. Many in our discipline have turned to mestizaje for thinking about colonialism in some liberatory way. Andrea Lundsford introduced Anzaldúa to the discipline to bring postcolonial (if not decolonial) studies into Composition, and since then, scholars, such as Angela Haas, Damián Baca, and Cristina D. Ramirez, have attempted more rigorously to engage “Mestiz@” rhetorics in their decolonial potential. In all of these moments, we have taken to the epistemic quality of mestizaje through identity or culture in some way and/or in relation to nation-building. Baca’s book, Mestiz@ Scripts, Digital Migrations, and the Territories of Writing, for example, uses </w:t>
      </w:r>
      <w:r w:rsidRPr="00087A72">
        <w:rPr>
          <w:rStyle w:val="StyleUnderline"/>
        </w:rPr>
        <w:t>the concept of mestizaje</w:t>
      </w:r>
      <w:r w:rsidRPr="00087A72">
        <w:rPr>
          <w:sz w:val="12"/>
        </w:rPr>
        <w:t xml:space="preserve"> to examine what he calls “new” literacies. Additionally, in a characteristically mestizo process, these new literacies create a mezcla (mixture) of European writing and “Aztec” imaging practices, which </w:t>
      </w:r>
      <w:r w:rsidRPr="00087A72">
        <w:rPr>
          <w:rStyle w:val="StyleUnderline"/>
        </w:rPr>
        <w:t>render (sometimes implicitly and sometimes explicitly) indigeneity and Indigenous culture as the “old” and the mestiz@ the new.</w:t>
      </w:r>
      <w:r w:rsidRPr="00087A72">
        <w:rPr>
          <w:sz w:val="12"/>
        </w:rPr>
        <w:t xml:space="preserve"> Although Baca claims that he does not place Indigenous peoples who have recognized tribal affiliation in the United States within the “Mestiz@” continuum, he nonetheless does place the remainder of the “intellectual province of Mesoamerica” within that continuum (2). 5 In this vein Baca is inadvertently rehearsing a familiar narrative of modernity and logic of coloniality—</w:t>
      </w:r>
      <w:r w:rsidRPr="00087A72">
        <w:rPr>
          <w:rStyle w:val="Emphasis"/>
        </w:rPr>
        <w:t>the “mixed” or “hybrid” subject and cultures represent a “new,” more advanced civilization that comes to be in that familiar universal/particular dialectic, wherein Chicanxs become the “universal” subject.</w:t>
      </w:r>
      <w:r w:rsidRPr="00087A72">
        <w:rPr>
          <w:sz w:val="12"/>
        </w:rPr>
        <w:t xml:space="preserve"> However, for Baca—and for many Chicanxs and other Indigenous people—the project of nation-building is still crucial for a decolonial project. This is partly because of the ongoing occupation of Native lands by an “outsider” in US and Canadian areas, where Chicanxs and other Indigenous peoples have theorized decolonization. In her article on “forging a mestiza rhetoric,” Christina Ramirez articulates a similar concern. Taking a feminist stance, her work uses Anzaldúa’s and Baca’s work to highlight the ways in which the project of mestizaje in Mexico was also a gendered and sexualized project. Her work also recognizes the role that writing, in particular, played in construction of national Mexican subjects; additionally, she shows how women were often marginalized in these constructions because of their limited access to public platforms and public discourses. In looking to Mexican women journalists’ writing during the time of Mexico’s revolution, however, she argues that Mexican women nationals articulated a national identity that was more inclusive than dominant, patriarchal articulations. For example, she argues that the women writers of the Violetas de Anahuac used a mestiza rhetoric that “blurred the magazines first two purposes—that of contributing to national progress and that of constructing a national identity—with another purpose: forwarding feminism” (614). Nevertheless, as Ramirez shows, some of these women eschewed this frame, as it was part of a colonial discourse of nation-building at the time (621). However, she argues that a “contemporary” notion of mestizaje is more “inclusive” because it resists assimilation. Similarly, Jay Dolmage finds Anzaldúa’s reclamation of the word mestiza to be generative, not so much because it allows for inclusivity but because rhetorically it challenges the history of denigration attached to mestiza bodies, suggesting mestiza rhetorics “can always be inherently subversive, embodied, powerfully Other modes of persuasion, even while they have most often been represented as opposite” (224). While I understand Baca’s, Ramirez’s, and Dolmage’s claims, I think it important to pay closer attention to why these women—and why many women today—resist thinking about themselves, their culture, and their intellectual practices as “mestiza.” Doing so will help us better understand and somehow address the ongoing tension between Chicanxs and American Indian scholarship and practice and, in turn, consider its implications for Rhetoric and Composition Studies. TENSIONS AND OVERLAP IN DECOLONIAL APPROACHES TO MESTIZAJE6 Even though these two approaches to mestizaje seem hoplessly at odds, I believe that they ultimately come together in fruitful ways. Nevertheless, I think it is important to locate the (fruitful) moments of tension in order to better account for the fruitful moments of overlap. Such tensions exist in how scholars come to understand the colonial problem, power relationships, and the politics of identity. The Colonial Problem </w:t>
      </w:r>
      <w:r w:rsidRPr="00087A72">
        <w:rPr>
          <w:rStyle w:val="StyleUnderline"/>
        </w:rPr>
        <w:t>Latin American theorists who espouse mestizaje as decolonial do so because they tend to see the problem of colonialism as something having more to do with modernity than with Indigenous subjects or even indigeneity as a concept.</w:t>
      </w:r>
      <w:r w:rsidRPr="00087A72">
        <w:rPr>
          <w:sz w:val="12"/>
        </w:rPr>
        <w:t xml:space="preserve"> In other words, at its core, colonialism is a product of modernity that has been in the making since the Enlightenment. What’s more, as Linda Alcoff points out, for Mignolo the epistemic effects of colonialism are its most damaging and least understood (80). Coloniality, therefore, is about how power-knowledge is used to define and establish colonial relations among people, land, and so on. </w:t>
      </w:r>
      <w:r w:rsidRPr="00087A72">
        <w:rPr>
          <w:rStyle w:val="StyleUnderline"/>
        </w:rPr>
        <w:t>Still, the decolonial option does not seek to resist or undo colonial (knowledge) designs so much as it seeks to expose or make visible the designs that have been subjugated by the colonial matrix of power.</w:t>
      </w:r>
      <w:r w:rsidRPr="00087A72">
        <w:rPr>
          <w:sz w:val="12"/>
        </w:rPr>
        <w:t xml:space="preserve"> In the latter case, border thinking and decoloniality are important so as not to reinstate the colonial conditions of possibility with different content. Border thinking is what allows us to understand how the rhetoric (or the epistemology) of modernity hides not only the ways in which development exists only at the cost of lives, but also the many differing forms of knowledge available to us as we (re)design our relationships to one another, to land, and so on. For Mignolo, mestiza/o consciousness is one option because it stems from the colonial wound and because it challenges the colonial impulse toward homogeneity—that is, it allows for plurality. Perez’s articulation of “hidden” histories of women in the formation of Mexican nationals, along with Ramirez’s similar accounting of Mexican women journalists, also see the problem of colonialism as having to do with homogeneity and purity. These scholars see decolonial potential in mestizaje’s ability to account for how women and other marginalized people’s histories are undervalued because they resist the homogenizing tendencies of colonialism. Thus, these formations of decolonial thinking do not necessarily seek to resist or undo colonial formations so much as they hope to expose the many formations of futurity and progress that it seeks to dominate or hide. In contrast, </w:t>
      </w:r>
      <w:r w:rsidRPr="00087A72">
        <w:rPr>
          <w:rStyle w:val="Emphasis"/>
        </w:rPr>
        <w:t>Indigenous Studies scholars see the colonial problem as one that is fundamentally about the Indigenous subject and/or indigeneity and the settler subject.</w:t>
      </w:r>
      <w:r w:rsidRPr="00087A72">
        <w:rPr>
          <w:rStyle w:val="StyleUnderline"/>
        </w:rPr>
        <w:t xml:space="preserve"> These scholars also find it necessary to resist and dismantle the structures that sustain settler-colonialism.</w:t>
      </w:r>
      <w:r w:rsidRPr="00087A72">
        <w:rPr>
          <w:rStyle w:val="Emphasis"/>
        </w:rPr>
        <w:t xml:space="preserve"> They argue not only that the genocide of indigenous subjects is at the core of colonialism, but also that so too is the need for settler subjects to “indigenize” themselves through and with the Indigenous subject. Most of these scholars see mestizaje as one mechanism by which this project is made manifest.</w:t>
      </w:r>
      <w:r w:rsidRPr="00087A72">
        <w:rPr>
          <w:rStyle w:val="StyleUnderline"/>
        </w:rPr>
        <w:t xml:space="preserve"> For there to be a “mixed” culture, subject, and knowledge, there must be a “pure” culture, subject, knowledge with which to mix.</w:t>
      </w:r>
      <w:r w:rsidRPr="00087A72">
        <w:rPr>
          <w:sz w:val="12"/>
        </w:rPr>
        <w:t xml:space="preserve"> Additionally, </w:t>
      </w:r>
      <w:r w:rsidRPr="00087A72">
        <w:rPr>
          <w:rStyle w:val="StyleUnderline"/>
        </w:rPr>
        <w:t xml:space="preserve">in mestizaje the indigenous portion of the mixture is fixed in time and space, whereas the hybrid or mixed subject gains futurity and teleological status. </w:t>
      </w:r>
      <w:r w:rsidRPr="00087A72">
        <w:rPr>
          <w:sz w:val="12"/>
        </w:rPr>
        <w:t xml:space="preserve">Power has more to do with access to resources and cultural capital in Indigenous Studies’ decolonial approaches to mestizaje. Moreover, sovereignty and nation-building are also equally important to these approaches that see mestizaje as something irrevocably linked to colonial nationbuilding regimes. The Politics of Identity and Power Relations Perhaps at the core of these tensions is the problem of identity politics— and it is here that I find a fruitful overlap and hopefully room for more dialogue—between Latin American and Chicanx/Indigenous Studies’ decolonial approaches to mestizaje. Mignolo’s restructuring of the universal/particular dilemma as a modern/colonial problem in many ways helps us push past identity politics, even though he still sees identity politics as “another [decolonial] option” ( Darker 137). In fact, his use of the “universal/particular” dilemma is in part a way to move away from identity politics. Nevertheless, there is some slippage in Mignolo’s discussion of identity, as Alcoff points out: “On the one hand he shies away from identity politics, but then again he articulates a form of it when he makes such claims as ‘for those whom colonial legacies are real (i.e. they hurt) that they are more (logically, historically, and emotionally) inclined than others to theorize the past in terms of coloniality’” (99). In his most recent book, published after Alcoff’s piece, Mignolo explains that he does not eschew identity but rather recognizes how many Indigenous groups have found identity in politics to be a more ethical and inclusive model of politics. This strategy resists the liberal tendency to remove identity from politics entirely, which results in “objectivity without identity” ( Darker 137). Of course, objectivity without identity is a falsity—objectivity has often been ascribed to the unmarked categories of maleness, whiteness, able-bodiedness, and so on. Miner, following George Lipsitz, offers a similar take that draws identity from politics so as to acknowledge “the need to connect research to action and develop collective identities rooted in radical political orientations, as opposed to fixating on identity politics” (217). For Miner, however, this is decidedly a move away from </w:t>
      </w:r>
      <w:r w:rsidRPr="00087A72">
        <w:rPr>
          <w:rStyle w:val="Emphasis"/>
        </w:rPr>
        <w:t>mestizaje</w:t>
      </w:r>
      <w:r w:rsidRPr="00087A72">
        <w:rPr>
          <w:sz w:val="12"/>
        </w:rPr>
        <w:t xml:space="preserve">, which he argues (along with Jack Forbes and Saldaña-Portillo) </w:t>
      </w:r>
      <w:r w:rsidRPr="00087A72">
        <w:rPr>
          <w:rStyle w:val="Emphasis"/>
        </w:rPr>
        <w:t xml:space="preserve">is so deeply implicated in colonialism that it cannot offer any effective political gain. </w:t>
      </w:r>
      <w:r w:rsidRPr="00087A72">
        <w:rPr>
          <w:sz w:val="12"/>
        </w:rPr>
        <w:t xml:space="preserve">Miner’s response here is similar to Smith’s regarding the concept of “subjectless critique” that has become a powerful and useful corrective to identity politics. According to Smith, queer theory’s subjectless critique is important insofar as it resists ethnographic entrapment, which scholars across Latin American and Chicanx and Indigenous Studies agree is a product of colonial design. Additionally, it allows us to resist normalizing logics and discourses based on “inclusion without transformation.” Much like Mignolo, however, she argues that </w:t>
      </w:r>
      <w:r w:rsidRPr="00087A72">
        <w:rPr>
          <w:rStyle w:val="StyleUnderline"/>
        </w:rPr>
        <w:t>subjectless critique has the potential to (and often does) reinstate a normalized subject even while disavowing it.</w:t>
      </w:r>
      <w:r w:rsidRPr="00087A72">
        <w:rPr>
          <w:sz w:val="12"/>
        </w:rPr>
        <w:t xml:space="preserve"> In fact, Smith argues that </w:t>
      </w:r>
      <w:r w:rsidRPr="00087A72">
        <w:rPr>
          <w:rStyle w:val="StyleUnderline"/>
        </w:rPr>
        <w:t>even a queer of color orientation to mestizaje seems to do just that.</w:t>
      </w:r>
      <w:r w:rsidRPr="00087A72">
        <w:rPr>
          <w:sz w:val="12"/>
        </w:rPr>
        <w:t xml:space="preserve"> </w:t>
      </w:r>
      <w:r w:rsidRPr="00087A72">
        <w:rPr>
          <w:rStyle w:val="Emphasis"/>
        </w:rPr>
        <w:t>What disappears in a subjectless critique is the ongoing occupation of Native lands and the genocide of Native peoples.</w:t>
      </w:r>
      <w:r w:rsidRPr="00087A72">
        <w:rPr>
          <w:sz w:val="12"/>
        </w:rPr>
        <w:t xml:space="preserve"> In short, </w:t>
      </w:r>
      <w:r w:rsidRPr="00087A72">
        <w:rPr>
          <w:rStyle w:val="StyleUnderline"/>
        </w:rPr>
        <w:t>subjectless critique and postidentity stances have the potential to “disappear” the Native subject.</w:t>
      </w:r>
      <w:r w:rsidRPr="00087A72">
        <w:rPr>
          <w:sz w:val="12"/>
        </w:rPr>
        <w:t xml:space="preserve"> Additionally, </w:t>
      </w:r>
      <w:r w:rsidRPr="00087A72">
        <w:rPr>
          <w:rStyle w:val="StyleUnderline"/>
        </w:rPr>
        <w:t>it operates on a kind of agency for opting out</w:t>
      </w:r>
      <w:r w:rsidRPr="00087A72">
        <w:rPr>
          <w:sz w:val="12"/>
        </w:rPr>
        <w:t xml:space="preserve"> (or, perhaps in Mignolo’s case, for opting in) </w:t>
      </w:r>
      <w:r w:rsidRPr="00087A72">
        <w:rPr>
          <w:rStyle w:val="StyleUnderline"/>
        </w:rPr>
        <w:t xml:space="preserve">that Indigenous peoples and others who face material conditions of starvation, violence, or war do not possess. </w:t>
      </w:r>
      <w:r w:rsidRPr="00087A72">
        <w:rPr>
          <w:sz w:val="12"/>
        </w:rPr>
        <w:t xml:space="preserve">In other words, while Mignolo does believe that there are those for whom the experiences of a colonial legacy are “real,” he nonetheless seems to think these people’s experiences can be easily reduced and, perhaps, harmoniously aligned with those for whom the colonial legacy is less direct. Nevertheless, mestizaje has been and continues to be a source of tension between Chicanxs, American Indians, and even many Mexican indigenas, primarily because </w:t>
      </w:r>
      <w:r w:rsidRPr="00087A72">
        <w:rPr>
          <w:rStyle w:val="StyleUnderline"/>
        </w:rPr>
        <w:t xml:space="preserve">Anzaldúa simultaneously marks herself as distinct from “lo indio” while at the same time biologically linking herself to “lo indio” </w:t>
      </w:r>
      <w:r w:rsidRPr="00087A72">
        <w:rPr>
          <w:rStyle w:val="Emphasis"/>
        </w:rPr>
        <w:t>in a familiar eugenicist and biopolitical logic</w:t>
      </w:r>
      <w:r w:rsidRPr="00087A72">
        <w:rPr>
          <w:rStyle w:val="StyleUnderline"/>
        </w:rPr>
        <w:t xml:space="preserve"> used by Mexican nationals. Additionally, the mestiza consciousness represents a “better” or more “advanced” state of being. It is also important to consider that mestizaje continues to be a source of oppression and exclusion more so than a source of liberation in social uses among Indigenous groups in Latin America</w:t>
      </w:r>
      <w:r w:rsidRPr="00087A72">
        <w:rPr>
          <w:sz w:val="12"/>
        </w:rPr>
        <w:t xml:space="preserve"> (see Marisol de la Cadena’s Indigenous Mestizos and Beatriz Reyes-Foster’s “Grieving for Mestizaje”). In many ways, this tension is linked to materialist and discursive orientations to identity and to the ways we tend to separate the material from the discursive. </w:t>
      </w:r>
      <w:r w:rsidRPr="00087A72">
        <w:rPr>
          <w:rStyle w:val="StyleUnderline"/>
        </w:rPr>
        <w:t>We are left with troubling, conflicting, and contradictory stances in relation to mestizaje—that is, either we locate indigeneity and Indigenous peoples vis-à-vis racist, eugenicist state-sanctioned logics or we locate it vis-à-vis racist, eugencist biological logics. Both matter (however paradoxically) for the same reason: (ongoing) genocide.</w:t>
      </w:r>
      <w:r w:rsidRPr="00087A72">
        <w:rPr>
          <w:sz w:val="12"/>
        </w:rPr>
        <w:t xml:space="preserve"> One corrective might be, as Miner suggests, that we simply claim our identities through our politics, and that we align ourselves with Indigenous epistemologies and ontologies. In practice, </w:t>
      </w:r>
      <w:r w:rsidRPr="00087A72">
        <w:rPr>
          <w:rStyle w:val="Emphasis"/>
        </w:rPr>
        <w:t>the very notion of mestizaje—and perhaps also of hybridity more generally—rather than exploding the logics of “purity” (i.e., of race, of culture, etc.) actually reifies them because it relies on “pure” subjects that then “mix” to create the mixed “mestiza consciousness” that is ultimately superior to its “parts.”</w:t>
      </w:r>
      <w:r w:rsidRPr="00087A72">
        <w:rPr>
          <w:sz w:val="12"/>
        </w:rPr>
        <w:t xml:space="preserve"> Additionally, </w:t>
      </w:r>
      <w:r w:rsidRPr="00087A72">
        <w:rPr>
          <w:rStyle w:val="StyleUnderline"/>
        </w:rPr>
        <w:t xml:space="preserve">it highlights that as much as modernity has to do with development, it also has to do with the erasure of Indigenous people. In other words, </w:t>
      </w:r>
      <w:r w:rsidRPr="00087A72">
        <w:rPr>
          <w:rStyle w:val="Emphasis"/>
        </w:rPr>
        <w:t>even though the mestiza becomes visible, she does so only at the expense of the Indigenous.</w:t>
      </w:r>
    </w:p>
    <w:p w:rsidR="009A7C8F" w:rsidRPr="00087A72" w:rsidRDefault="00EC4346" w:rsidP="00496C79">
      <w:pPr>
        <w:pStyle w:val="Heading3"/>
      </w:pPr>
      <w:r w:rsidRPr="00087A72">
        <w:t>Link – Art</w:t>
      </w:r>
    </w:p>
    <w:p w:rsidR="00EC4346" w:rsidRPr="00087A72" w:rsidRDefault="00EC4346" w:rsidP="00EC4346">
      <w:pPr>
        <w:pStyle w:val="Heading4"/>
      </w:pPr>
      <w:r w:rsidRPr="00087A72">
        <w:t>Graffiti along the border is not only an affirmation of settler appropriation which erases the native from existence, but a liberal notion of self-expression which constitutes the necessary, western paradigm of ownership</w:t>
      </w:r>
    </w:p>
    <w:p w:rsidR="00EC4346" w:rsidRPr="00087A72" w:rsidRDefault="00EC4346" w:rsidP="00EC4346">
      <w:r w:rsidRPr="00087A72">
        <w:rPr>
          <w:rStyle w:val="Style13ptBold"/>
        </w:rPr>
        <w:t>Hammond 11</w:t>
      </w:r>
      <w:r w:rsidRPr="00087A72">
        <w:t xml:space="preserve"> (Jay, MA degree in the department of anthropology at Columbia University, “Speaking of Opium: Ownership and (Settler) Colonial Dispossession,” </w:t>
      </w:r>
      <w:r w:rsidRPr="00087A72">
        <w:rPr>
          <w:i/>
        </w:rPr>
        <w:t>Settler Colonial Studies</w:t>
      </w:r>
      <w:r w:rsidRPr="00087A72">
        <w:t>, DOI: 10.1080/2201473X.2011.10648814, pp. 107-109)//vikas</w:t>
      </w:r>
    </w:p>
    <w:p w:rsidR="00EC4346" w:rsidRPr="00087A72" w:rsidRDefault="00EC4346" w:rsidP="00EC4346">
      <w:pPr>
        <w:rPr>
          <w:b/>
          <w:iCs/>
          <w:sz w:val="24"/>
          <w:u w:val="single"/>
        </w:rPr>
      </w:pPr>
      <w:r w:rsidRPr="00087A72">
        <w:rPr>
          <w:sz w:val="14"/>
        </w:rPr>
        <w:t xml:space="preserve">The shift from granting monopolies to the aristocracy through nepotism or preference to granting monopolies to individuals on the basis of originality and contribution to industry laid the groundwork for the contemporary global intellectual property regime. </w:t>
      </w:r>
      <w:r w:rsidRPr="00087A72">
        <w:rPr>
          <w:b/>
          <w:u w:val="single"/>
        </w:rPr>
        <w:t>The coalescing of liberalism and private property marked the beginning of a regime of intellectual property predicated on</w:t>
      </w:r>
      <w:r w:rsidRPr="00087A72">
        <w:rPr>
          <w:sz w:val="14"/>
        </w:rPr>
        <w:t xml:space="preserve"> the notion that natural resources such as opium can be appropriated, propertied and sold through </w:t>
      </w:r>
      <w:r w:rsidRPr="00087A72">
        <w:rPr>
          <w:b/>
          <w:u w:val="single"/>
        </w:rPr>
        <w:t>a discourse of</w:t>
      </w:r>
      <w:r w:rsidRPr="00087A72">
        <w:rPr>
          <w:sz w:val="14"/>
        </w:rPr>
        <w:t xml:space="preserve"> individual </w:t>
      </w:r>
      <w:r w:rsidRPr="00087A72">
        <w:rPr>
          <w:b/>
          <w:u w:val="single"/>
        </w:rPr>
        <w:t>ownership and innovation.</w:t>
      </w:r>
      <w:r w:rsidRPr="00087A72">
        <w:rPr>
          <w:sz w:val="14"/>
        </w:rPr>
        <w:t xml:space="preserve"> However, </w:t>
      </w:r>
      <w:r w:rsidRPr="00087A72">
        <w:rPr>
          <w:rStyle w:val="Emphasis"/>
        </w:rPr>
        <w:t>indigenous political critique has begun to articulate</w:t>
      </w:r>
      <w:r w:rsidRPr="00087A72">
        <w:rPr>
          <w:sz w:val="14"/>
        </w:rPr>
        <w:t xml:space="preserve"> the workings of what it has termed ‘</w:t>
      </w:r>
      <w:r w:rsidRPr="00087A72">
        <w:rPr>
          <w:rStyle w:val="Emphasis"/>
        </w:rPr>
        <w:t>biocolonialism</w:t>
      </w:r>
      <w:r w:rsidRPr="00087A72">
        <w:rPr>
          <w:sz w:val="14"/>
        </w:rPr>
        <w:t xml:space="preserve">’, </w:t>
      </w:r>
      <w:r w:rsidRPr="00087A72">
        <w:rPr>
          <w:rStyle w:val="Emphasis"/>
        </w:rPr>
        <w:t xml:space="preserve">which includes the colonial appropriation </w:t>
      </w:r>
      <w:r w:rsidRPr="00087A72">
        <w:rPr>
          <w:sz w:val="14"/>
        </w:rPr>
        <w:t xml:space="preserve">and circulation </w:t>
      </w:r>
      <w:r w:rsidRPr="00087A72">
        <w:rPr>
          <w:rStyle w:val="Emphasis"/>
        </w:rPr>
        <w:t>of natural resources.</w:t>
      </w:r>
      <w:r w:rsidRPr="00087A72">
        <w:rPr>
          <w:sz w:val="14"/>
        </w:rPr>
        <w:t xml:space="preserve"> 7 In addition, many legal scholars have argued that </w:t>
      </w:r>
      <w:r w:rsidRPr="00087A72">
        <w:rPr>
          <w:rStyle w:val="Emphasis"/>
        </w:rPr>
        <w:t>intellectual property law is itself a reflection of</w:t>
      </w:r>
      <w:r w:rsidRPr="00087A72">
        <w:rPr>
          <w:sz w:val="14"/>
        </w:rPr>
        <w:t xml:space="preserve"> the history of </w:t>
      </w:r>
      <w:r w:rsidRPr="00087A72">
        <w:rPr>
          <w:rStyle w:val="Emphasis"/>
        </w:rPr>
        <w:t>colonialism as a mechanism of exploitation through commodification.</w:t>
      </w:r>
      <w:r w:rsidRPr="00087A72">
        <w:rPr>
          <w:sz w:val="14"/>
        </w:rPr>
        <w:t xml:space="preserve"> For example, legal scholar and anthropologist Rosemary Coombe has articulated a critique of intellectual property law through a discussion of individualism and Orientalism. 8 Borrowing the idea of the ‘European Art/Culture system’ from historian James Clifford, Coombe reviews the ways in which </w:t>
      </w:r>
      <w:r w:rsidRPr="00087A72">
        <w:rPr>
          <w:b/>
          <w:u w:val="single"/>
        </w:rPr>
        <w:t xml:space="preserve">the terms </w:t>
      </w:r>
      <w:r w:rsidRPr="00087A72">
        <w:rPr>
          <w:rStyle w:val="Emphasis"/>
        </w:rPr>
        <w:t>‘art’</w:t>
      </w:r>
      <w:r w:rsidRPr="00087A72">
        <w:rPr>
          <w:b/>
          <w:u w:val="single"/>
        </w:rPr>
        <w:t xml:space="preserve"> and ‘culture’ </w:t>
      </w:r>
      <w:r w:rsidRPr="00087A72">
        <w:rPr>
          <w:rStyle w:val="Emphasis"/>
        </w:rPr>
        <w:t>shifted</w:t>
      </w:r>
      <w:r w:rsidRPr="00087A72">
        <w:rPr>
          <w:sz w:val="14"/>
        </w:rPr>
        <w:t xml:space="preserve"> their </w:t>
      </w:r>
      <w:r w:rsidRPr="00087A72">
        <w:rPr>
          <w:rStyle w:val="Emphasis"/>
        </w:rPr>
        <w:t>meanings as part of the larger historical project of colonialism</w:t>
      </w:r>
      <w:r w:rsidRPr="00087A72">
        <w:rPr>
          <w:b/>
          <w:u w:val="single"/>
        </w:rPr>
        <w:t xml:space="preserve">, global capitalism </w:t>
      </w:r>
      <w:r w:rsidRPr="00087A72">
        <w:rPr>
          <w:rStyle w:val="Emphasis"/>
        </w:rPr>
        <w:t>and</w:t>
      </w:r>
      <w:r w:rsidRPr="00087A72">
        <w:rPr>
          <w:b/>
          <w:u w:val="single"/>
        </w:rPr>
        <w:t xml:space="preserve"> the </w:t>
      </w:r>
      <w:r w:rsidRPr="00087A72">
        <w:rPr>
          <w:rStyle w:val="Emphasis"/>
        </w:rPr>
        <w:t>distribution liberal ideas of autonomy and creative expression.</w:t>
      </w:r>
      <w:r w:rsidRPr="00087A72">
        <w:rPr>
          <w:sz w:val="14"/>
        </w:rPr>
        <w:t xml:space="preserve"> 9 Before this shift, art referred primarily to what we would today understand to be craft. A highly specialised skill in a specific industry such as that of the cobbler or luthier fell under the idea of art, while culture referred to an organic growth such as a yogurt culture. </w:t>
      </w:r>
      <w:r w:rsidRPr="00087A72">
        <w:rPr>
          <w:rStyle w:val="Emphasis"/>
        </w:rPr>
        <w:t>Art with a capital A develops</w:t>
      </w:r>
      <w:r w:rsidRPr="00087A72">
        <w:rPr>
          <w:b/>
          <w:u w:val="single"/>
        </w:rPr>
        <w:t xml:space="preserve"> in the nineteenth century </w:t>
      </w:r>
      <w:r w:rsidRPr="00087A72">
        <w:rPr>
          <w:rStyle w:val="Emphasis"/>
        </w:rPr>
        <w:t>as the product of the expressive faculties of an autonomous self</w:t>
      </w:r>
      <w:r w:rsidRPr="00087A72">
        <w:rPr>
          <w:sz w:val="14"/>
        </w:rPr>
        <w:t xml:space="preserve">, often </w:t>
      </w:r>
      <w:r w:rsidRPr="00087A72">
        <w:rPr>
          <w:b/>
          <w:u w:val="single"/>
        </w:rPr>
        <w:t>referred to as a ‘genius’</w:t>
      </w:r>
      <w:r w:rsidRPr="00087A72">
        <w:rPr>
          <w:sz w:val="14"/>
        </w:rPr>
        <w:t xml:space="preserve">. Similarly, culture as an organic growth morphs into Culture (capital C) – which refers to the progress of civilisation. Raymond Williams has categorised the nineteenth century notion of Culture into three categories; Culture as ‘a process of intellectual, spiritual and aesthetic development’ Culture as ‘a particular way of life, whether of a people, a period, a group or humanity’ and Culture as ‘the works and practices of intellectual and especially artistic activity’. 10 Coombe discusses Art (capital A) as well as Williams’ first and third concepts of Culture under the rubric of what she terms ‘possessive individualism’. More than anything else, </w:t>
      </w:r>
      <w:r w:rsidRPr="00087A72">
        <w:rPr>
          <w:b/>
          <w:u w:val="single"/>
        </w:rPr>
        <w:t>the European Art/Culture system develops as a method of asserting ownership over</w:t>
      </w:r>
      <w:r w:rsidRPr="00087A72">
        <w:rPr>
          <w:sz w:val="14"/>
        </w:rPr>
        <w:t xml:space="preserve"> a wide variety of </w:t>
      </w:r>
      <w:r w:rsidRPr="00087A72">
        <w:rPr>
          <w:b/>
          <w:u w:val="single"/>
        </w:rPr>
        <w:t>artifacts, products of creative expression as well as natural resources</w:t>
      </w:r>
      <w:r w:rsidRPr="00087A72">
        <w:rPr>
          <w:sz w:val="14"/>
        </w:rPr>
        <w:t xml:space="preserve"> (such as opium). </w:t>
      </w:r>
      <w:r w:rsidRPr="00087A72">
        <w:rPr>
          <w:rStyle w:val="Emphasis"/>
        </w:rPr>
        <w:t>Art is no longer the product of years of the development of a craft, but</w:t>
      </w:r>
      <w:r w:rsidRPr="00087A72">
        <w:rPr>
          <w:sz w:val="14"/>
        </w:rPr>
        <w:t xml:space="preserve"> an </w:t>
      </w:r>
      <w:r w:rsidRPr="00087A72">
        <w:rPr>
          <w:rStyle w:val="Emphasis"/>
        </w:rPr>
        <w:t>expression of autonomy and individuality that works to assert ownership over</w:t>
      </w:r>
      <w:r w:rsidRPr="00087A72">
        <w:rPr>
          <w:sz w:val="14"/>
        </w:rPr>
        <w:t xml:space="preserve"> that </w:t>
      </w:r>
      <w:r w:rsidRPr="00087A72">
        <w:rPr>
          <w:rStyle w:val="Emphasis"/>
        </w:rPr>
        <w:t>expression.</w:t>
      </w:r>
      <w:r w:rsidRPr="00087A72">
        <w:rPr>
          <w:sz w:val="14"/>
        </w:rPr>
        <w:t xml:space="preserve"> Culture – in Williams’ first and third senses, development of the self and/or works and practices of intellect – is also a technology of ownership that is legitimated through colonial notions of the unceasing progress of civilisation. This unceasing progress – which can also be understood as </w:t>
      </w:r>
      <w:r w:rsidRPr="00087A72">
        <w:rPr>
          <w:b/>
          <w:u w:val="single"/>
        </w:rPr>
        <w:t>the logic of development</w:t>
      </w:r>
      <w:r w:rsidRPr="00087A72">
        <w:rPr>
          <w:sz w:val="14"/>
        </w:rPr>
        <w:t xml:space="preserve"> – </w:t>
      </w:r>
      <w:r w:rsidRPr="00087A72">
        <w:rPr>
          <w:rStyle w:val="Emphasis"/>
        </w:rPr>
        <w:t>is to be mirrored through</w:t>
      </w:r>
      <w:r w:rsidRPr="00087A72">
        <w:rPr>
          <w:sz w:val="14"/>
        </w:rPr>
        <w:t xml:space="preserve"> a similar </w:t>
      </w:r>
      <w:r w:rsidRPr="00087A72">
        <w:rPr>
          <w:rStyle w:val="Emphasis"/>
        </w:rPr>
        <w:t>progression of the self and its intellectual and artistic expressions</w:t>
      </w:r>
      <w:r w:rsidRPr="00087A72">
        <w:rPr>
          <w:sz w:val="14"/>
        </w:rPr>
        <w:t xml:space="preserve">. Here we have the fusing of the aforementioned Lockean notions of property with Kantian notions of the ‘private’ self that exists in contrast to, but as a necessary part of, public life. Liberal autonomy and private property are necessary components of Art as an expression of creative genius and Culture as a sign of the progress of civilisation and the self. And then there is Williams’ second notion of culture as a way of life that corresponds to particular ‘peoples’ that are defined by collective practices as well as a specific geographical location. This is the definition of culture that corresponds to the creation of anthropology as a scholarly field of inquiry. Coombe designates this understanding of culture as circulating with a lower case ‘c’. Here, culture is understood not under the sign of liberal autonomy or property, but as a collection of values and practices to be attributed to a ‘people’ rather than to a single author/individual. 11 If Art and Culture represent a possessive individualism that is reflective of the coterminous phenomena of colonialism, liberalism and property, culture (lower case c) underpins an Orientalism that imagines societies that are the inverse of Western Culture. Important for our discussion here is the way in which culture (lower case c) is often viewed as the ‘raw materiel’ for Culture or Art. Or, in the case of opium, ‘Medicine’ (within the logics of intellectual property law). For example, there is a clear division in intellectual property law between private works and the public domain. The resources available within the public domain are imagined to be freely available to all producers of Art or Culture. And yet, indigenous culture is often appropriated under the idea that it exists in the public domain. Legal and science studies scholar Laurelyn Whitt has argued that the public domain operates within intellectual property law as a nexus of power that works to delegitimise indigenous creative and intellectual expression as ‘raw materiel’. 12 We see this across artistic mediums and throughout the nineteenth and twentieth centuries. Whether we are referring to Picasso’s use of aboriginal imagery, new age musician Enigma’s use of Taiwanese aboriginal singing in his un-self consciously titled international hit ‘Return to Innocence’, or the British appropriation of opium in India, it is exceedingly clear that the public domain is far from a neutral space that is free from the power relations within colonial histories. 13 </w:t>
      </w:r>
      <w:r w:rsidRPr="00087A72">
        <w:rPr>
          <w:b/>
          <w:u w:val="single"/>
        </w:rPr>
        <w:t>Liberal notions of the autonomous genius that derives raw materials from the public domain as</w:t>
      </w:r>
      <w:r w:rsidRPr="00087A72">
        <w:rPr>
          <w:sz w:val="14"/>
        </w:rPr>
        <w:t xml:space="preserve"> a mode of </w:t>
      </w:r>
      <w:r w:rsidRPr="00087A72">
        <w:rPr>
          <w:b/>
          <w:u w:val="single"/>
        </w:rPr>
        <w:t>individual self-expression are not only manifest throughout the logics of intellectual property law, but</w:t>
      </w:r>
      <w:r w:rsidRPr="00087A72">
        <w:rPr>
          <w:sz w:val="14"/>
        </w:rPr>
        <w:t xml:space="preserve"> they are </w:t>
      </w:r>
      <w:r w:rsidRPr="00087A72">
        <w:rPr>
          <w:rStyle w:val="Emphasis"/>
        </w:rPr>
        <w:t>necessary elements of empire.</w:t>
      </w:r>
      <w:r w:rsidRPr="00087A72">
        <w:rPr>
          <w:sz w:val="14"/>
        </w:rPr>
        <w:t xml:space="preserve"> These </w:t>
      </w:r>
      <w:r w:rsidRPr="00087A72">
        <w:rPr>
          <w:sz w:val="14"/>
          <w:szCs w:val="14"/>
        </w:rPr>
        <w:t>legal</w:t>
      </w:r>
      <w:r w:rsidRPr="00087A72">
        <w:t xml:space="preserve"> </w:t>
      </w:r>
      <w:r w:rsidRPr="00087A72">
        <w:rPr>
          <w:rStyle w:val="Emphasis"/>
        </w:rPr>
        <w:t>discourses of ownership in the context of a colonial dispossession laid the groundwork for</w:t>
      </w:r>
      <w:r w:rsidRPr="00087A72">
        <w:rPr>
          <w:sz w:val="14"/>
        </w:rPr>
        <w:t xml:space="preserve"> later </w:t>
      </w:r>
      <w:r w:rsidRPr="00087A72">
        <w:rPr>
          <w:rStyle w:val="Emphasis"/>
        </w:rPr>
        <w:t>settler colonial dispossession in the context of cultural discourses of ownership.</w:t>
      </w:r>
    </w:p>
    <w:p w:rsidR="009A7C8F" w:rsidRPr="00087A72" w:rsidRDefault="009A7C8F" w:rsidP="009A7C8F">
      <w:pPr>
        <w:pStyle w:val="Heading4"/>
      </w:pPr>
      <w:r w:rsidRPr="00087A72">
        <w:t>Erasure of the history of colonization through idolized euro-settler art has ignored the preexisting civilizations, and covered it up with a canvas of cleared fields and new open land.</w:t>
      </w:r>
    </w:p>
    <w:p w:rsidR="009A7C8F" w:rsidRPr="00087A72" w:rsidRDefault="009A7C8F" w:rsidP="009A7C8F">
      <w:r w:rsidRPr="00087A72">
        <w:rPr>
          <w:rStyle w:val="Style13ptBold"/>
        </w:rPr>
        <w:t xml:space="preserve">Taschereau Mamers 17 </w:t>
      </w:r>
      <w:r w:rsidRPr="00087A72">
        <w:t xml:space="preserve"> (Danielle, University of Western Ontario, Graduate in media studies "Settler Colonial Ways of Seeing: Documentary Governance of Indigenous Life in Canada and its Disruption" (2017). Electronic Thesis and Dissertation Repository. 4651. https://ir.lib.uwo.ca/etd/4651)</w:t>
      </w:r>
    </w:p>
    <w:p w:rsidR="009A7C8F" w:rsidRPr="00087A72" w:rsidRDefault="009A7C8F" w:rsidP="009A7C8F">
      <w:r w:rsidRPr="00087A72">
        <w:t xml:space="preserve"> Settler politics and aesthetics converge in two broad modes of seeing: first, that imagined through cultural re-</w:t>
      </w:r>
      <w:r w:rsidRPr="00087A72">
        <w:rPr>
          <w:rStyle w:val="StyleUnderline"/>
        </w:rPr>
        <w:t xml:space="preserve">presentation or “cultural governance” (Shapiro 2004) </w:t>
      </w:r>
      <w:r w:rsidRPr="00087A72">
        <w:t>and, second, that imagined through bureaucratic re- presentation. P</w:t>
      </w:r>
      <w:r w:rsidRPr="00087A72">
        <w:rPr>
          <w:rStyle w:val="StyleUnderline"/>
        </w:rPr>
        <w:t xml:space="preserve">ractices of sovereign governance over “Indian” subjects frequently involve 45 aspects of both modes of representation. Settler colonial logics operating within cultural and art practices demonstrate how visual conventions naturalize a particular way of seeing. </w:t>
      </w:r>
      <w:r w:rsidRPr="00087A72">
        <w:t xml:space="preserve">The naturalization of </w:t>
      </w:r>
      <w:r w:rsidRPr="00087A72">
        <w:rPr>
          <w:rStyle w:val="Emphasis"/>
        </w:rPr>
        <w:t>settler logics within cultural and art practices serves as a useful heuristic for analyzing bureaucratic techniques as enacting a similar process. While cultural representations are more expressly established through visual techniques, ways of seeing are also at work in bureaucratic representation.</w:t>
      </w:r>
      <w:r w:rsidRPr="00087A72">
        <w:t xml:space="preserve"> John Berger notes that ways of seeing—</w:t>
      </w:r>
      <w:r w:rsidRPr="00087A72">
        <w:rPr>
          <w:rStyle w:val="StyleUnderline"/>
        </w:rPr>
        <w:t>which encompasses the objects of sight, but also the conditions under which something is seen—mystify the past to insulate contemporary regimes of power (</w:t>
      </w:r>
      <w:r w:rsidRPr="00087A72">
        <w:t xml:space="preserve">1972, 11). From his analysis of the </w:t>
      </w:r>
      <w:r w:rsidRPr="00087A72">
        <w:rPr>
          <w:rStyle w:val="Emphasis"/>
        </w:rPr>
        <w:t>European oil painting tradition, Berger argues that the practices of the tradition’s agents—painters, collectors, historians, curators— naturalize a system of conventions that represent the world as a privately owned possession. The sum total of these visual conventions and their interpretation is a way of seeing that obscures the patriarchal capitalist relations of possession inscribed into oil paintings, presenting themselves as a window to the world</w:t>
      </w:r>
      <w:r w:rsidRPr="00087A72">
        <w:rPr>
          <w:rStyle w:val="StyleUnderline"/>
        </w:rPr>
        <w:t xml:space="preserve"> (109). Berger’s argument is a useful provocation for </w:t>
      </w:r>
      <w:r w:rsidRPr="00087A72">
        <w:rPr>
          <w:rStyle w:val="Emphasis"/>
        </w:rPr>
        <w:t>considering the ways of seeing reflected in settler colonial framing of Indigenous life as “Indian</w:t>
      </w:r>
      <w:r w:rsidRPr="00087A72">
        <w:rPr>
          <w:rStyle w:val="StyleUnderline"/>
        </w:rPr>
        <w:t>” within a bureaucratic tradition of representation.</w:t>
      </w:r>
      <w:r w:rsidRPr="00087A72">
        <w:t xml:space="preserve"> The oil painting tradition works with canvas, paint, galleries, and museums to represent the world as possess-able. </w:t>
      </w:r>
      <w:r w:rsidRPr="00087A72">
        <w:rPr>
          <w:rStyle w:val="StyleUnderline"/>
        </w:rPr>
        <w:t>In still life paintings, the possessable world is made up of bourgeois objects; however, the landscape painting extends this perspective to the world itself. A quick scan through the Canadian collections of most art institutions in this country present a multitude of landscape paintings: vast, unpopulated, pristine, property.</w:t>
      </w:r>
      <w:r w:rsidRPr="00087A72">
        <w:t xml:space="preserve"> There is no shortage of critical work on Canadian landscape painting—particularly the Group of Seven—and the role of this body of work in envisioning the territory of what is now Canada as the property of first the British Crown and later, Canada.3 </w:t>
      </w:r>
      <w:r w:rsidRPr="00087A72">
        <w:rPr>
          <w:rStyle w:val="Emphasis"/>
        </w:rPr>
        <w:t xml:space="preserve">These painterly documents of open space—most often the untamed and unclaimed north and west—enact an aesthetic terra nullius, transforming Indigenous lands into available property, often without reference to the 3 </w:t>
      </w:r>
      <w:r w:rsidRPr="00087A72">
        <w:t xml:space="preserve">For example, see Bordo (1992, 1997, 2011), Braun (2002), Dawn (2006), Mackey (2002), Moray (2006), O’Brian and White (2007), and Osborne (1998). 46 material, historical, and political conditions of invasion or the continued presence of Indigenous nations. </w:t>
      </w:r>
      <w:r w:rsidRPr="00087A72">
        <w:rPr>
          <w:rStyle w:val="Emphasis"/>
        </w:rPr>
        <w:t>Such paintings present the land as unoccupied and render it within visual conventions that naturalize the appropriative gaze of Euro-modern capitalism</w:t>
      </w:r>
      <w:r w:rsidRPr="00087A72">
        <w:t xml:space="preserve">. This process </w:t>
      </w:r>
      <w:r w:rsidRPr="00087A72">
        <w:rPr>
          <w:rStyle w:val="StyleUnderline"/>
        </w:rPr>
        <w:t xml:space="preserve">exemplifies the capacity of landscape painting as a genre to serve as the “dreamscape of imperialism” </w:t>
      </w:r>
      <w:r w:rsidRPr="00087A72">
        <w:t xml:space="preserve">(Mitchell 2002, 10). The Group of Seven and other iterations of Canadian landscape art enact a mode of cultural governance that gets hold of space in service of </w:t>
      </w:r>
      <w:r w:rsidRPr="00087A72">
        <w:rPr>
          <w:rStyle w:val="StyleUnderline"/>
        </w:rPr>
        <w:t>settler aspirations while mystifying the political and violent histories of invasion and seizure of territory</w:t>
      </w:r>
      <w:r w:rsidRPr="00087A72">
        <w:t xml:space="preserve">. Ways of seeing are not limited to sensuous apprehension, but include a </w:t>
      </w:r>
      <w:r w:rsidRPr="00087A72">
        <w:rPr>
          <w:rStyle w:val="Emphasis"/>
        </w:rPr>
        <w:t>broader attempt to arrange the field of the perceptible. A second practice of vision—bureaucratic re-presentation—operates alongside cultural representation in settler colonial ways of seeing. The bureaucratic tradition uses documents, maps, law, and administrators to represent the world as knowable and governable</w:t>
      </w:r>
      <w:r w:rsidRPr="00087A72">
        <w:t>. In tandem with the landscape painting, the land survey and the map also enact an aesthetic transformation, rendering land visible as property. As James Scott’s analysis of state practices of seeing reveals, the representational conventions and agents of the bureaucratic tradition combine with sovereign logics to form the ways of seeing employed in statecraft</w:t>
      </w:r>
      <w:r w:rsidRPr="00087A72">
        <w:rPr>
          <w:rStyle w:val="StyleUnderline"/>
        </w:rPr>
        <w:t xml:space="preserve">. The abstract, simplified, abridged ways that states depict their objects of governance seek to establish a rational order that, when infused with sovereign power, “would enable much of the reality they depicted to be remade” </w:t>
      </w:r>
      <w:r w:rsidRPr="00087A72">
        <w:t xml:space="preserve">(1998, 3). The representational work of the bureaucratic tradition does not merely mistake the map for the territory. Rather, it operates as if the map is the territory: the </w:t>
      </w:r>
      <w:r w:rsidRPr="00087A72">
        <w:rPr>
          <w:rStyle w:val="StyleUnderline"/>
        </w:rPr>
        <w:t>map renders the unknown territory in terms knowable to sovereign power and the territory is then intervened upon as if it were selfsame with the map. Settler colonial sovereignty desires to get hold of territory, but also the bodies within that territory</w:t>
      </w:r>
      <w:r w:rsidRPr="00087A72">
        <w:t xml:space="preserve"> (Agamben 1998; Foucault 2003, 1977). In both cultural and bureaucratic modes, settler colonial ways of seeing </w:t>
      </w:r>
      <w:r w:rsidRPr="00087A72">
        <w:rPr>
          <w:rStyle w:val="StyleUnderline"/>
        </w:rPr>
        <w:t>direct visual techniques towards Indigenous bodies to contribute to the sovereign project of claiming juridical power over those bodies and make them visible as “Indians”. The representation of Indigenous peoples as “Indians” is famously at work in the portraiture</w:t>
      </w:r>
      <w:r w:rsidRPr="00087A72">
        <w:t xml:space="preserve"> of Edward S. Curtis. 47 </w:t>
      </w:r>
      <w:r w:rsidRPr="00087A72">
        <w:rPr>
          <w:rStyle w:val="Emphasis"/>
        </w:rPr>
        <w:t>Travelling across the North American West and frequently above the 49th parallel, Curtis worked in a salvage ethnography tradition and aimed to photograph members of Indigenous communities before they “vanished</w:t>
      </w:r>
      <w:r w:rsidRPr="00087A72">
        <w:t xml:space="preserve">”.4 While Curtis’s work has been praised as a valuable historical document (Touchie 2010), his portraits are circumscribed by the settler </w:t>
      </w:r>
      <w:r w:rsidRPr="00087A72">
        <w:rPr>
          <w:rStyle w:val="Emphasis"/>
        </w:rPr>
        <w:t>colonial vision of “Indians” as disappearing and unable to exert claims to territory as sovereign, self-determining Indigenous nations. Here again, the material and political conditions that have directly contributed to the conditions of “vanishing” are obscured and the impending disappearance of “Indians” is naturalized as an unavoidable, inevitable outcome</w:t>
      </w:r>
      <w:r w:rsidRPr="00087A72">
        <w:t xml:space="preserve">. In a recent critical response to cultural representations of “Indians”, the 2014 group exhibition Sovereign Acts curated by Wanda Nanibush </w:t>
      </w:r>
      <w:r w:rsidRPr="00087A72">
        <w:rPr>
          <w:rStyle w:val="StyleUnderline"/>
        </w:rPr>
        <w:t>presented contemporary Indigenous artists’ engagement with the history of Indigenous performances of cultural practices to satisfy the desires of the settler imaginary, often as a mode of economic survival.</w:t>
      </w:r>
      <w:r w:rsidRPr="00087A72">
        <w:t xml:space="preserve"> The exhibition’s collected works include photograph and video works that disrupt colonial gazes that seek to </w:t>
      </w:r>
      <w:r w:rsidRPr="00087A72">
        <w:rPr>
          <w:rStyle w:val="StyleUnderline"/>
        </w:rPr>
        <w:t>limit the field of Indigenous appearance to the trope of “vanishing Indians”.</w:t>
      </w:r>
      <w:r w:rsidRPr="00087A72">
        <w:t xml:space="preserve"> The show included Jeff Thomas’s photographs of powwow dancers wearing both traditional regalia and contemporary jeans and sneakers and Robert Houle’s Paris/Ojibwa paintings that trace the history of Anishinaabe performers who travelled to Paris and across Europe in the mid-19th century</w:t>
      </w:r>
      <w:r w:rsidRPr="00087A72">
        <w:rPr>
          <w:rStyle w:val="StyleUnderline"/>
        </w:rPr>
        <w:t>, making a living performing for European elites the very dances the settler colonizers were prohibiting in Canada. Both of these works disrupt the colonial trope of “vanishing Indians” by highlighting continuities across time, documenting Indigenous peoples engaged in the “modern” pursuits of travel and commerce, and demonstrating the important work of preserving cultural practice</w:t>
      </w:r>
      <w:r w:rsidRPr="00087A72">
        <w:t xml:space="preserve">. While Curtis’s photographs provide documentation of vanishing “Indians”, the works in Sovereign Acts thematize and break away from colonial frames of visibility. The works included </w:t>
      </w:r>
      <w:r w:rsidRPr="00087A72">
        <w:rPr>
          <w:rStyle w:val="StyleUnderline"/>
        </w:rPr>
        <w:t>in Nanibush’s show seize the very capacity for cultural representations to make 4 Practices of imaging, classifying, and studying “vanishing” castes and tribes deemed nearly-extinct was also used in other colonial contexts</w:t>
      </w:r>
      <w:r w:rsidRPr="00087A72">
        <w:t xml:space="preserve">. In his study of colonial photography in India, Christopher Pinney describes this orientation to represention-as-preservation as part of a “salvage paradigm” (1997, 45-56). For analysis of the role of photography in colonization, see Hight and Sampson (2013), Landau and Kaspin (2002), and Maxwell (2000). 48 </w:t>
      </w:r>
      <w:r w:rsidRPr="00087A72">
        <w:rPr>
          <w:rStyle w:val="StyleUnderline"/>
        </w:rPr>
        <w:t>Indigenous lives visible as “Indian” bodies that Curtis’s photographs naturalized and do so in ways that assert Indigenous presence. The “Indian” bodies of cultural representation also find their doubles in bureaucratic re-presentation</w:t>
      </w:r>
      <w:r w:rsidRPr="00087A72">
        <w:t>. Much like the relationship between map and landscape, the Canadian state’s definition of “Indian” operates within the conventions of the bureaucratic tradition to reinforce the appearance of vanishing and of non-sovereignty</w:t>
      </w:r>
      <w:r w:rsidRPr="00087A72">
        <w:rPr>
          <w:rStyle w:val="StyleUnderline"/>
        </w:rPr>
        <w:t>. Schematic re-presentations of Indigenous life attempt to naturalize a political order by claiming to reflect the world as it is and to exert an ordering authority over Indigenous lives by re-presenting them as “Indians”. This conceptualization of “Indian” as a re- presentation and indeed a misre-presentation of Indigenous lives borrows</w:t>
      </w:r>
      <w:r w:rsidRPr="00087A72">
        <w:t xml:space="preserve"> from Gerald Vizenor’s articulation of “Indians” as a simulation.5 “Indians”, he writes, “are the simulations of the discoverable other [...] the simulations of the other have no real origin, no original reference” (Vizenor and Lee 1999, 85). Rather than referencing or accurately depicting the lives of actual Indigenous peoples, communities, and nations, Vizenor argues that the re-presentations of </w:t>
      </w:r>
      <w:r w:rsidRPr="00087A72">
        <w:rPr>
          <w:rStyle w:val="StyleUnderline"/>
        </w:rPr>
        <w:t>“Indians” in literature, archives, and state and cultural narratives—asserted as “authentic”—aim to replace the realities of Indigenous life in public discourse (1994, vii). As simulations circulating without reference to Indigenous reality, the many forms of “Indian” enact a politics of erasure. The re-presentational strategies of settler colonial artists, writers, bureaucrats, politicians, archivists, theorists, social scientists, and other purveyors of “Indian” images and stories contribute to the settler dominance by de-realizing Indigenous presence.</w:t>
      </w:r>
      <w:r w:rsidRPr="00087A72">
        <w:t xml:space="preserve"> For Vizenor, the figure of the “Indian” is both a simulation and the visual form of erasure: the re-presentational “Indian” substitutes and renders invisible Indigenous peoples, nations, and realities. In recent work, Thomas King has also taken up the notion of Indigenous peoples being erased by simulations of Indianness. King observes: “North America has had a long association with Native people, but despite the history the two groups have shared, North America no longer sees Indians” (2012, 53, emphasis in original). In lieu of Indigenous 5 In his own writing, Vizenor renders “Indian” in italicized lower-case. I have rendered it in quotation marks to maintain consistency with the rest of the dissertation, except when directly quoting Vizenor. 49 presence, he argues, settler citizens and state agents are only interested in seeing and engaging with “bits of cultural debris—authentic and constructed” (2012, 54). </w:t>
      </w:r>
    </w:p>
    <w:p w:rsidR="00BF6777" w:rsidRPr="00087A72" w:rsidRDefault="00BF6777" w:rsidP="00496C79">
      <w:pPr>
        <w:pStyle w:val="Heading3"/>
      </w:pPr>
      <w:r w:rsidRPr="00087A72">
        <w:t>Link – Asylum</w:t>
      </w:r>
    </w:p>
    <w:p w:rsidR="00BF6777" w:rsidRPr="00087A72" w:rsidRDefault="00BF6777" w:rsidP="00BF6777">
      <w:pPr>
        <w:pStyle w:val="Heading4"/>
        <w:rPr>
          <w:rFonts w:cstheme="majorHAnsi"/>
        </w:rPr>
      </w:pPr>
      <w:r w:rsidRPr="00087A72">
        <w:rPr>
          <w:rFonts w:cstheme="majorHAnsi"/>
        </w:rPr>
        <w:t>Marking asylum seekers as hard-working, deserving immigrants fuels narratives of settler multiculturalism</w:t>
      </w:r>
    </w:p>
    <w:p w:rsidR="00BF6777" w:rsidRPr="00087A72" w:rsidRDefault="00BF6777" w:rsidP="00BF6777">
      <w:pPr>
        <w:rPr>
          <w:rFonts w:cstheme="majorHAnsi"/>
        </w:rPr>
      </w:pPr>
      <w:r w:rsidRPr="00087A72">
        <w:rPr>
          <w:rStyle w:val="Style13ptBold"/>
          <w:rFonts w:cstheme="majorHAnsi"/>
        </w:rPr>
        <w:t>Dauvergne 16</w:t>
      </w:r>
      <w:r w:rsidRPr="00087A72">
        <w:rPr>
          <w:rFonts w:cstheme="majorHAnsi"/>
        </w:rPr>
        <w:t xml:space="preserve"> (Catherine, She is the eighth dean of the Peter A. Allard School of Law. Professor Dauvergne has been working in the area of refugee, immigration, and citizenship law over the past quarter of a century, “Immigration and the End of Settler Societies”,</w:t>
      </w:r>
      <w:r w:rsidRPr="00087A72">
        <w:rPr>
          <w:rFonts w:cstheme="majorHAnsi"/>
          <w:i/>
        </w:rPr>
        <w:t xml:space="preserve"> Cambridge University Press</w:t>
      </w:r>
      <w:r w:rsidRPr="00087A72">
        <w:rPr>
          <w:rFonts w:cstheme="majorHAnsi"/>
        </w:rPr>
        <w:t>, pp. 13-16)//vikas</w:t>
      </w:r>
    </w:p>
    <w:p w:rsidR="00BF6777" w:rsidRPr="00087A72" w:rsidRDefault="00BF6777" w:rsidP="00BF6777">
      <w:pPr>
        <w:rPr>
          <w:rFonts w:cstheme="majorHAnsi"/>
          <w:sz w:val="16"/>
        </w:rPr>
      </w:pPr>
      <w:r w:rsidRPr="00087A72">
        <w:rPr>
          <w:rFonts w:cstheme="majorHAnsi"/>
          <w:sz w:val="16"/>
        </w:rPr>
        <w:t xml:space="preserve">The settler society commitment to immigrant identity is most succinctly expressed in the hyphenation of citizens: </w:t>
      </w:r>
      <w:r w:rsidRPr="00087A72">
        <w:rPr>
          <w:rFonts w:cstheme="majorHAnsi"/>
          <w:b/>
          <w:u w:val="single"/>
        </w:rPr>
        <w:t>Italian-Americans, Chinese- Canadians, Greek-Australians, and so on</w:t>
      </w:r>
      <w:r w:rsidRPr="00087A72">
        <w:rPr>
          <w:rFonts w:cstheme="majorHAnsi"/>
          <w:sz w:val="16"/>
        </w:rPr>
        <w:t xml:space="preserve">. These monikers pair the Old World with the New; an identity </w:t>
      </w:r>
      <w:r w:rsidRPr="00087A72">
        <w:rPr>
          <w:rFonts w:cstheme="majorHAnsi"/>
          <w:b/>
          <w:u w:val="single"/>
        </w:rPr>
        <w:t>embedded in national history and an idea of ethnicity</w:t>
      </w:r>
      <w:r w:rsidRPr="00087A72">
        <w:rPr>
          <w:rFonts w:cstheme="majorHAnsi"/>
          <w:sz w:val="16"/>
        </w:rPr>
        <w:t xml:space="preserve"> (or an aspiration to national history, such as Kurdish-Australian or Palestinian-Canadian), </w:t>
      </w:r>
      <w:r w:rsidRPr="00087A72">
        <w:rPr>
          <w:rFonts w:cstheme="majorHAnsi"/>
          <w:b/>
          <w:u w:val="single"/>
        </w:rPr>
        <w:t>with a New World citizenship that defies ethnic understanding.</w:t>
      </w:r>
      <w:r w:rsidRPr="00087A72">
        <w:rPr>
          <w:rFonts w:cstheme="majorHAnsi"/>
          <w:sz w:val="16"/>
        </w:rPr>
        <w:t xml:space="preserve"> When I tell people that I identify myself on the Australian census as ethnically Canadian, they think I am joking, as they do when I refer to Canada as the Old Country. </w:t>
      </w:r>
      <w:r w:rsidRPr="00087A72">
        <w:rPr>
          <w:rStyle w:val="Emphasis"/>
          <w:rFonts w:cstheme="majorHAnsi"/>
        </w:rPr>
        <w:t>Settler society membership is expressed</w:t>
      </w:r>
      <w:r w:rsidRPr="00087A72">
        <w:rPr>
          <w:rFonts w:cstheme="majorHAnsi"/>
          <w:sz w:val="16"/>
        </w:rPr>
        <w:t xml:space="preserve"> this way, </w:t>
      </w:r>
      <w:r w:rsidRPr="00087A72">
        <w:rPr>
          <w:rStyle w:val="Emphasis"/>
          <w:rFonts w:cstheme="majorHAnsi"/>
        </w:rPr>
        <w:t>as being often partial and never “ethnic.”</w:t>
      </w:r>
      <w:r w:rsidRPr="00087A72">
        <w:rPr>
          <w:rFonts w:cstheme="majorHAnsi"/>
          <w:sz w:val="16"/>
        </w:rPr>
        <w:t xml:space="preserve"> Even those of us who might be non-hyphenated </w:t>
      </w:r>
      <w:r w:rsidRPr="00087A72">
        <w:rPr>
          <w:rFonts w:cstheme="majorHAnsi"/>
          <w:b/>
          <w:u w:val="single"/>
        </w:rPr>
        <w:t>citizens in everyday parlance in former settler states, are offered</w:t>
      </w:r>
      <w:r w:rsidRPr="00087A72">
        <w:rPr>
          <w:rFonts w:cstheme="majorHAnsi"/>
          <w:sz w:val="16"/>
        </w:rPr>
        <w:t xml:space="preserve"> at census time </w:t>
      </w:r>
      <w:r w:rsidRPr="00087A72">
        <w:rPr>
          <w:rFonts w:cstheme="majorHAnsi"/>
          <w:b/>
          <w:u w:val="single"/>
        </w:rPr>
        <w:t xml:space="preserve">the opportunity </w:t>
      </w:r>
      <w:r w:rsidRPr="00087A72">
        <w:rPr>
          <w:rStyle w:val="Emphasis"/>
          <w:rFonts w:cstheme="majorHAnsi"/>
        </w:rPr>
        <w:t>to identify ourselves as “coming from” somewhere else, having an ethnicity different from our citizenship.</w:t>
      </w:r>
      <w:r w:rsidRPr="00087A72">
        <w:rPr>
          <w:rFonts w:cstheme="majorHAnsi"/>
          <w:b/>
          <w:u w:val="single"/>
        </w:rPr>
        <w:t xml:space="preserve">7 This </w:t>
      </w:r>
      <w:r w:rsidRPr="00087A72">
        <w:rPr>
          <w:rStyle w:val="Emphasis"/>
          <w:rFonts w:cstheme="majorHAnsi"/>
        </w:rPr>
        <w:t>is the commitment</w:t>
      </w:r>
      <w:r w:rsidRPr="00087A72">
        <w:rPr>
          <w:rFonts w:cstheme="majorHAnsi"/>
          <w:sz w:val="16"/>
        </w:rPr>
        <w:t xml:space="preserve"> of the settler society: </w:t>
      </w:r>
      <w:r w:rsidRPr="00087A72">
        <w:rPr>
          <w:rStyle w:val="Emphasis"/>
          <w:rFonts w:cstheme="majorHAnsi"/>
        </w:rPr>
        <w:t>we are all immigrants.</w:t>
      </w:r>
      <w:r w:rsidRPr="00087A72">
        <w:rPr>
          <w:rFonts w:cstheme="majorHAnsi"/>
          <w:sz w:val="16"/>
        </w:rPr>
        <w:t xml:space="preserve"> This is reinforced by </w:t>
      </w:r>
      <w:r w:rsidRPr="00087A72">
        <w:rPr>
          <w:rFonts w:cstheme="majorHAnsi"/>
          <w:b/>
          <w:u w:val="single"/>
        </w:rPr>
        <w:t>the perpetual “hyphenation” of indigenous members</w:t>
      </w:r>
      <w:r w:rsidRPr="00087A72">
        <w:rPr>
          <w:rFonts w:cstheme="majorHAnsi"/>
          <w:sz w:val="16"/>
        </w:rPr>
        <w:t xml:space="preserve">. Indigenous peoples in settler societies are </w:t>
      </w:r>
      <w:r w:rsidRPr="00087A72">
        <w:rPr>
          <w:rFonts w:cstheme="majorHAnsi"/>
          <w:b/>
          <w:u w:val="single"/>
        </w:rPr>
        <w:t>never signified by the mere omission of an adjectival modifier. The simple words</w:t>
      </w:r>
      <w:r w:rsidRPr="00087A72">
        <w:rPr>
          <w:rFonts w:cstheme="majorHAnsi"/>
          <w:sz w:val="16"/>
        </w:rPr>
        <w:t xml:space="preserve"> Canadian or </w:t>
      </w:r>
      <w:r w:rsidRPr="00087A72">
        <w:rPr>
          <w:rFonts w:cstheme="majorHAnsi"/>
          <w:b/>
          <w:u w:val="single"/>
        </w:rPr>
        <w:t>American</w:t>
      </w:r>
      <w:r w:rsidRPr="00087A72">
        <w:rPr>
          <w:rFonts w:cstheme="majorHAnsi"/>
          <w:sz w:val="16"/>
        </w:rPr>
        <w:t xml:space="preserve"> postdate and </w:t>
      </w:r>
      <w:r w:rsidRPr="00087A72">
        <w:rPr>
          <w:rFonts w:cstheme="majorHAnsi"/>
          <w:b/>
          <w:u w:val="single"/>
        </w:rPr>
        <w:t>erase indigeneity so completely that it must be re-signified in some other fashion with labels that vary over time and place</w:t>
      </w:r>
      <w:r w:rsidRPr="00087A72">
        <w:rPr>
          <w:rFonts w:cstheme="majorHAnsi"/>
          <w:sz w:val="16"/>
        </w:rPr>
        <w:t xml:space="preserve"> – </w:t>
      </w:r>
      <w:r w:rsidRPr="00087A72">
        <w:rPr>
          <w:rFonts w:cstheme="majorHAnsi"/>
          <w:b/>
          <w:u w:val="single"/>
        </w:rPr>
        <w:t xml:space="preserve">Indian, First Nations, Aborigine, Maori. </w:t>
      </w:r>
      <w:r w:rsidRPr="00087A72">
        <w:rPr>
          <w:rFonts w:cstheme="majorHAnsi"/>
          <w:sz w:val="16"/>
        </w:rPr>
        <w:t xml:space="preserve">For several years, when he was the Australian Minister of Immigration at the close of the twentieth century, Phillip Ruddock had a go at extending the “we are all immigrants” mantra to include the Australian Aborigines who had “migrated” to contemporary Australia some 50,000 years earlier during the last ice age when the sea crossing to Asia was con- siderably smaller. This conceit aimed to confront the emerging cracks in the settler society ethos brought about by the strengthening land rights claims of indigenous peoples in all settler societies at that time. But it was transparent political posturing. </w:t>
      </w:r>
      <w:r w:rsidRPr="00087A72">
        <w:rPr>
          <w:rFonts w:cstheme="majorHAnsi"/>
          <w:b/>
          <w:u w:val="single"/>
        </w:rPr>
        <w:t>The effects of the first wave of British colonists on the Aboriginal population</w:t>
      </w:r>
      <w:r w:rsidRPr="00087A72">
        <w:rPr>
          <w:rFonts w:cstheme="majorHAnsi"/>
          <w:sz w:val="16"/>
        </w:rPr>
        <w:t xml:space="preserve"> of the Australian continent </w:t>
      </w:r>
      <w:r w:rsidRPr="00087A72">
        <w:rPr>
          <w:rFonts w:cstheme="majorHAnsi"/>
          <w:b/>
          <w:u w:val="single"/>
        </w:rPr>
        <w:t>are simply not comparable to the effect of subsequent waves of Europeans on the society established by those first settlers. To draw the comparison is beyond insult. We are not all immigrants, but</w:t>
      </w:r>
      <w:r w:rsidRPr="00087A72">
        <w:rPr>
          <w:rFonts w:cstheme="majorHAnsi"/>
          <w:sz w:val="16"/>
        </w:rPr>
        <w:t xml:space="preserve"> the </w:t>
      </w:r>
      <w:r w:rsidRPr="00087A72">
        <w:rPr>
          <w:rFonts w:cstheme="majorHAnsi"/>
          <w:b/>
          <w:u w:val="single"/>
        </w:rPr>
        <w:t>mythology of settler society eases our ignorance of this.</w:t>
      </w:r>
      <w:r w:rsidRPr="00087A72">
        <w:rPr>
          <w:rFonts w:cstheme="majorHAnsi"/>
          <w:sz w:val="16"/>
        </w:rPr>
        <w:t xml:space="preserve"> For many years, settler societies were contrasted with ethnic nations. In this analysis, settler societies were not true nations because they did not share a core of ethnic and historical identity. This analysis traveled particularly well in Canada where the “two nations” thesis was articulated to explain the roles of French and English settlers in Canadian history and politics, and where political heft was accorded to indigenous peoples by re-naming them as “First Nations.”8 </w:t>
      </w:r>
      <w:r w:rsidRPr="00087A72">
        <w:rPr>
          <w:rFonts w:cstheme="majorHAnsi"/>
          <w:b/>
          <w:u w:val="single"/>
        </w:rPr>
        <w:t>Under this analysis</w:t>
      </w:r>
      <w:r w:rsidRPr="00087A72">
        <w:rPr>
          <w:rFonts w:cstheme="majorHAnsi"/>
          <w:sz w:val="16"/>
        </w:rPr>
        <w:t xml:space="preserve">, of course, </w:t>
      </w:r>
      <w:r w:rsidRPr="00087A72">
        <w:rPr>
          <w:rFonts w:cstheme="majorHAnsi"/>
          <w:b/>
          <w:u w:val="single"/>
        </w:rPr>
        <w:t>a settler society cannot</w:t>
      </w:r>
      <w:r w:rsidRPr="00087A72">
        <w:rPr>
          <w:rFonts w:cstheme="majorHAnsi"/>
          <w:sz w:val="16"/>
        </w:rPr>
        <w:t xml:space="preserve">, by definition, </w:t>
      </w:r>
      <w:r w:rsidRPr="00087A72">
        <w:rPr>
          <w:rFonts w:cstheme="majorHAnsi"/>
          <w:b/>
          <w:u w:val="single"/>
        </w:rPr>
        <w:t>be a nation</w:t>
      </w:r>
      <w:r w:rsidRPr="00087A72">
        <w:rPr>
          <w:rFonts w:cstheme="majorHAnsi"/>
          <w:sz w:val="16"/>
        </w:rPr>
        <w:t xml:space="preserve">. And </w:t>
      </w:r>
      <w:r w:rsidRPr="00087A72">
        <w:rPr>
          <w:rFonts w:cstheme="majorHAnsi"/>
          <w:b/>
          <w:u w:val="single"/>
        </w:rPr>
        <w:t>much has been made of the search for national identity in settler societies</w:t>
      </w:r>
      <w:r w:rsidRPr="00087A72">
        <w:rPr>
          <w:rFonts w:cstheme="majorHAnsi"/>
          <w:sz w:val="16"/>
        </w:rPr>
        <w:t xml:space="preserve">. But </w:t>
      </w:r>
      <w:r w:rsidRPr="00087A72">
        <w:rPr>
          <w:rFonts w:cstheme="majorHAnsi"/>
          <w:b/>
          <w:u w:val="single"/>
        </w:rPr>
        <w:t>this trend</w:t>
      </w:r>
      <w:r w:rsidRPr="00087A72">
        <w:rPr>
          <w:rFonts w:cstheme="majorHAnsi"/>
          <w:sz w:val="16"/>
        </w:rPr>
        <w:t xml:space="preserve"> in scholarship </w:t>
      </w:r>
      <w:r w:rsidRPr="00087A72">
        <w:rPr>
          <w:rFonts w:cstheme="majorHAnsi"/>
          <w:b/>
          <w:u w:val="single"/>
        </w:rPr>
        <w:t>and everyday political discourse has dissipated.</w:t>
      </w:r>
      <w:r w:rsidRPr="00087A72">
        <w:rPr>
          <w:rFonts w:cstheme="majorHAnsi"/>
          <w:sz w:val="16"/>
        </w:rPr>
        <w:t xml:space="preserve"> Benedict Anderson’s 1983 seminal work Imagined Communities, arguing that all nations are both constructed and imagined and thus not ethnic and organic, is an important marker in this regard for scholars. It is certainly not a coincidence that Anderson drew the primary evidence for his argument from the “settler societies” of South America, demonstrating that the emergence of nationalism (and thus “nations”) was tied to institutional structures and practices, rather than heredity. Anderson focused on Spanish America without using the term settler society, and this choice shows again that the settler society rubric is important to the extent that it is useful, but that no scholarly category can or ought ever to be more than that. However influential Anderson’s work has been, it cannot be the sole explanation for a shift in popular and political discourse over the past quarter century toward thinking more easily of Canada, Australia, and New Zealand as “nations.” Furthermore, </w:t>
      </w:r>
      <w:r w:rsidRPr="00087A72">
        <w:rPr>
          <w:rFonts w:cstheme="majorHAnsi"/>
          <w:b/>
          <w:u w:val="single"/>
        </w:rPr>
        <w:t>it would be unimaginable to suggest that the United States ever lacked a strong claim to the full cluster of related attributes: nationhood, national identity, and nationalism.</w:t>
      </w:r>
      <w:r w:rsidRPr="00087A72">
        <w:rPr>
          <w:rFonts w:cstheme="majorHAnsi"/>
          <w:sz w:val="16"/>
        </w:rPr>
        <w:t xml:space="preserve"> This is one reason that the United States is sometimes set outside the conversation about settler states: it has lacked this sense of national angst. But in many vital ways, </w:t>
      </w:r>
      <w:r w:rsidRPr="00087A72">
        <w:rPr>
          <w:rFonts w:cstheme="majorHAnsi"/>
          <w:b/>
          <w:u w:val="single"/>
        </w:rPr>
        <w:t>the United States is a more complete settler state than any of the others.</w:t>
      </w:r>
      <w:r w:rsidRPr="00087A72">
        <w:rPr>
          <w:rFonts w:cstheme="majorHAnsi"/>
          <w:sz w:val="16"/>
        </w:rPr>
        <w:t xml:space="preserve"> The path marked by the United States in emerging as “nation” is now being followed by Canada, Australia, and New Zealand. </w:t>
      </w:r>
      <w:r w:rsidRPr="00087A72">
        <w:rPr>
          <w:rStyle w:val="Emphasis"/>
          <w:rFonts w:cstheme="majorHAnsi"/>
        </w:rPr>
        <w:t>Immigrant identity and hyphenated memberships</w:t>
      </w:r>
      <w:r w:rsidRPr="00087A72">
        <w:rPr>
          <w:rFonts w:cstheme="majorHAnsi"/>
          <w:sz w:val="16"/>
        </w:rPr>
        <w:t xml:space="preserve"> no longer have traction in suggesting that these settler societies are not properly considered nations. This </w:t>
      </w:r>
      <w:r w:rsidRPr="00087A72">
        <w:rPr>
          <w:rStyle w:val="Emphasis"/>
          <w:rFonts w:cstheme="majorHAnsi"/>
        </w:rPr>
        <w:t>can be seen</w:t>
      </w:r>
      <w:r w:rsidRPr="00087A72">
        <w:rPr>
          <w:rFonts w:cstheme="majorHAnsi"/>
          <w:sz w:val="16"/>
        </w:rPr>
        <w:t xml:space="preserve">, partially, </w:t>
      </w:r>
      <w:r w:rsidRPr="00087A72">
        <w:rPr>
          <w:rStyle w:val="Emphasis"/>
          <w:rFonts w:cstheme="majorHAnsi"/>
        </w:rPr>
        <w:t>as</w:t>
      </w:r>
      <w:r w:rsidRPr="00087A72">
        <w:rPr>
          <w:rFonts w:cstheme="majorHAnsi"/>
          <w:sz w:val="16"/>
        </w:rPr>
        <w:t xml:space="preserve"> an ascendency of formalism, but it is also more than that. A </w:t>
      </w:r>
      <w:r w:rsidRPr="00087A72">
        <w:rPr>
          <w:rStyle w:val="Emphasis"/>
          <w:rFonts w:cstheme="majorHAnsi"/>
        </w:rPr>
        <w:t>shift</w:t>
      </w:r>
      <w:r w:rsidRPr="00087A72">
        <w:rPr>
          <w:rFonts w:cstheme="majorHAnsi"/>
          <w:b/>
          <w:u w:val="single"/>
        </w:rPr>
        <w:t xml:space="preserve"> away </w:t>
      </w:r>
      <w:r w:rsidRPr="00087A72">
        <w:rPr>
          <w:rStyle w:val="Emphasis"/>
          <w:rFonts w:cstheme="majorHAnsi"/>
        </w:rPr>
        <w:t>from uncertainty</w:t>
      </w:r>
      <w:r w:rsidRPr="00087A72">
        <w:rPr>
          <w:rFonts w:cstheme="majorHAnsi"/>
          <w:sz w:val="16"/>
        </w:rPr>
        <w:t xml:space="preserve"> is </w:t>
      </w:r>
      <w:r w:rsidRPr="00087A72">
        <w:rPr>
          <w:rFonts w:cstheme="majorHAnsi"/>
          <w:b/>
          <w:u w:val="single"/>
        </w:rPr>
        <w:t>linked with</w:t>
      </w:r>
      <w:r w:rsidRPr="00087A72">
        <w:rPr>
          <w:rFonts w:cstheme="majorHAnsi"/>
          <w:sz w:val="16"/>
        </w:rPr>
        <w:t xml:space="preserve"> the </w:t>
      </w:r>
      <w:r w:rsidRPr="00087A72">
        <w:rPr>
          <w:rFonts w:cstheme="majorHAnsi"/>
          <w:b/>
          <w:u w:val="single"/>
        </w:rPr>
        <w:t xml:space="preserve">move away from settler society status as </w:t>
      </w:r>
      <w:r w:rsidRPr="00087A72">
        <w:rPr>
          <w:rStyle w:val="Emphasis"/>
          <w:rFonts w:cstheme="majorHAnsi"/>
        </w:rPr>
        <w:t>an organizing category for immigration policy and politics.</w:t>
      </w:r>
      <w:r w:rsidRPr="00087A72">
        <w:rPr>
          <w:rFonts w:cstheme="majorHAnsi"/>
          <w:b/>
          <w:u w:val="single"/>
        </w:rPr>
        <w:t xml:space="preserve"> Immigrant identity</w:t>
      </w:r>
      <w:r w:rsidRPr="00087A72">
        <w:rPr>
          <w:rFonts w:cstheme="majorHAnsi"/>
          <w:sz w:val="16"/>
        </w:rPr>
        <w:t xml:space="preserve"> is key to understanding settler societies, but it </w:t>
      </w:r>
      <w:r w:rsidRPr="00087A72">
        <w:rPr>
          <w:rFonts w:cstheme="majorHAnsi"/>
          <w:b/>
          <w:u w:val="single"/>
        </w:rPr>
        <w:t>is only the first ingredient.</w:t>
      </w:r>
      <w:r w:rsidRPr="00087A72">
        <w:rPr>
          <w:rFonts w:cstheme="majorHAnsi"/>
          <w:sz w:val="16"/>
        </w:rPr>
        <w:t xml:space="preserve"> The contours of this identity are comparable at a finer level of detail as well. The first Europeans to come to these New World lands with an intent to remain (rather than discover and return) can be seen as successive waves of people for whom Europe was or had become an uncomfortable home. Major waves of migration, whether English, French, German, Italian, or other-speaking, included religious minorities and those who could not get enough to eat, or certainly not enough to get ahead. The sense of being a vast empty space in which Europe’s “others” could find a new home was nowhere more evident than in Australia. There, convicts transported beyond the edge of the earth did the backbreaking labour of carving European-style settlement into sandstone cliffs, and were rewarded through this ritual purification with a place amongst the landed gentry of the New World. The surveyors’ markers for these paradigmatic settler societies were in place before migration regulation brought a sense of closure to the New World.9 The early migrants arrived at a time when these societies were a place of promise for “huddled masses yearning to breathe free.”10 In this sense, settler societies were a place of refuge. But the story of openness and refuge introduces the darker notes of the narrative as well. Settler societies have been predominantly white. The early European arrivals were from Northern Europe, and with the exception of what is now the Canadian province of Quebec, the early colonies of the paradigmatic settler states were British. Whiteness and the settler society paradigm go hand-in-hand, and many of those nations that fit less directly into the framework, Brazil, South Africa, or Mexico, for example, are decidedly less white. While Spanish America fits the definition of a settler society in most ways, its states rarely jump to mind as the first exemplars. The story of how immigration hierarchy quickly became racialized hierarchy is well known. The Irish, who were the once the poor outsiders in the United States’ immigration hierarchy, paled with the arrival of Greeks and Italians from Southern Europe. The first immigration restrictions in many settler societies were directed against East and South Asians. Each of the four paradigmatic nations has experienced significant social, political, and economic racialized divides. Each has been home to an ongoing conversation about the significance of race to immigration policy, a troubling undercurrent that persists well past the historic turn toward formal racial neutrality in the 1960s and 1970s. The narratives of settler societies have been shot through with racialization and exclusion for as long as there have been meaningful borders. Indeed these narratives are key to making borders meaningful. The question of refuge is similarly fraught. </w:t>
      </w:r>
      <w:r w:rsidRPr="00087A72">
        <w:rPr>
          <w:rFonts w:cstheme="majorHAnsi"/>
          <w:b/>
          <w:u w:val="single"/>
        </w:rPr>
        <w:t>The story of immigration as a nation-building project is intertwined with the idea of providing a safe haven for people in flight.</w:t>
      </w:r>
      <w:r w:rsidRPr="00087A72">
        <w:rPr>
          <w:rFonts w:cstheme="majorHAnsi"/>
          <w:sz w:val="16"/>
        </w:rPr>
        <w:t xml:space="preserve"> In the first great wave of global migration beginning late in the nineteenth century, it was impossible and unnecessary to distinguish newcomers on the basis of their motive for flight. Migration to the New World was open to those who wanted to move, whether starving, persecuted, or adventuresome, or even all three. </w:t>
      </w:r>
      <w:r w:rsidRPr="00087A72">
        <w:rPr>
          <w:rFonts w:cstheme="majorHAnsi"/>
          <w:b/>
          <w:u w:val="single"/>
        </w:rPr>
        <w:t>Since that time</w:t>
      </w:r>
      <w:r w:rsidRPr="00087A72">
        <w:rPr>
          <w:rFonts w:cstheme="majorHAnsi"/>
          <w:sz w:val="16"/>
        </w:rPr>
        <w:t xml:space="preserve">, however, </w:t>
      </w:r>
      <w:r w:rsidRPr="00087A72">
        <w:rPr>
          <w:rFonts w:cstheme="majorHAnsi"/>
          <w:b/>
          <w:u w:val="single"/>
        </w:rPr>
        <w:t>the relationship between settler states and those seeking the shelter of a new home has been marked by</w:t>
      </w:r>
      <w:r w:rsidRPr="00087A72">
        <w:rPr>
          <w:rFonts w:cstheme="majorHAnsi"/>
          <w:sz w:val="16"/>
        </w:rPr>
        <w:t xml:space="preserve"> the same </w:t>
      </w:r>
      <w:r w:rsidRPr="00087A72">
        <w:rPr>
          <w:rFonts w:cstheme="majorHAnsi"/>
          <w:b/>
          <w:u w:val="single"/>
        </w:rPr>
        <w:t>exclusionary tensions seen in regard to all types of immigration.</w:t>
      </w:r>
      <w:r w:rsidRPr="00087A72">
        <w:rPr>
          <w:rFonts w:cstheme="majorHAnsi"/>
          <w:sz w:val="16"/>
        </w:rPr>
        <w:t xml:space="preserve"> That is, </w:t>
      </w:r>
      <w:r w:rsidRPr="00087A72">
        <w:rPr>
          <w:rFonts w:cstheme="majorHAnsi"/>
          <w:b/>
          <w:u w:val="single"/>
        </w:rPr>
        <w:t>while the United States</w:t>
      </w:r>
      <w:r w:rsidRPr="00087A72">
        <w:rPr>
          <w:rFonts w:cstheme="majorHAnsi"/>
          <w:sz w:val="16"/>
        </w:rPr>
        <w:t xml:space="preserve">, Canada, Australia, and, again to a lesser extent, New Zealand, have </w:t>
      </w:r>
      <w:r w:rsidRPr="00087A72">
        <w:rPr>
          <w:rFonts w:cstheme="majorHAnsi"/>
          <w:b/>
          <w:u w:val="single"/>
        </w:rPr>
        <w:t>welcomed high numbers of refugees in (some) globally comparative terms, they have excluded even more.</w:t>
      </w:r>
      <w:r w:rsidRPr="00087A72">
        <w:rPr>
          <w:rFonts w:cstheme="majorHAnsi"/>
          <w:sz w:val="16"/>
        </w:rPr>
        <w:t xml:space="preserve"> Canada and the United States, to their enduring shame, both turned away Jews fleeing the Nazi regime in the late 1930s. While these settler societies have been leaders in resettling refugees ever since World War II, it remains the case that only a tiny fraction, less than 1 percent, of refugees worldwide are resettled each year at the outset of the twenty-first century.11 For most of the past century, </w:t>
      </w:r>
      <w:r w:rsidRPr="00087A72">
        <w:rPr>
          <w:rFonts w:cstheme="majorHAnsi"/>
          <w:b/>
          <w:u w:val="single"/>
        </w:rPr>
        <w:t>refugee admissions have been viewed by these states as an immigration question, despite a carefully constructed international legal framework emphasizing</w:t>
      </w:r>
      <w:r w:rsidRPr="00087A72">
        <w:rPr>
          <w:rFonts w:cstheme="majorHAnsi"/>
          <w:sz w:val="16"/>
        </w:rPr>
        <w:t xml:space="preserve"> that </w:t>
      </w:r>
      <w:r w:rsidRPr="00087A72">
        <w:rPr>
          <w:rFonts w:cstheme="majorHAnsi"/>
          <w:b/>
          <w:u w:val="single"/>
        </w:rPr>
        <w:t>refugees are not immigrants.</w:t>
      </w:r>
      <w:r w:rsidRPr="00087A72">
        <w:rPr>
          <w:rFonts w:cstheme="majorHAnsi"/>
          <w:sz w:val="16"/>
        </w:rPr>
        <w:t xml:space="preserve"> Here </w:t>
      </w:r>
      <w:r w:rsidRPr="00087A72">
        <w:rPr>
          <w:rStyle w:val="Emphasis"/>
          <w:rFonts w:cstheme="majorHAnsi"/>
        </w:rPr>
        <w:t>the mythology of immigration is stronger than the law: refugees are immigrants because they come and they stay.</w:t>
      </w:r>
      <w:r w:rsidRPr="00087A72">
        <w:rPr>
          <w:rFonts w:cstheme="majorHAnsi"/>
        </w:rPr>
        <w:t xml:space="preserve"> </w:t>
      </w:r>
      <w:r w:rsidRPr="00087A72">
        <w:rPr>
          <w:rFonts w:cstheme="majorHAnsi"/>
          <w:sz w:val="16"/>
        </w:rPr>
        <w:t xml:space="preserve">Our expectations of them are, in the end, no different than those of other newcomers. </w:t>
      </w:r>
      <w:r w:rsidRPr="00087A72">
        <w:rPr>
          <w:rFonts w:cstheme="majorHAnsi"/>
          <w:b/>
          <w:u w:val="single"/>
        </w:rPr>
        <w:t xml:space="preserve">We align them to the nation-building enterprise, expecting them to settle, to make new lives, to become us, all the while providing a testimony by </w:t>
      </w:r>
      <w:r w:rsidRPr="00087A72">
        <w:rPr>
          <w:rFonts w:cstheme="majorHAnsi"/>
          <w:sz w:val="16"/>
        </w:rPr>
        <w:t xml:space="preserve">their </w:t>
      </w:r>
      <w:r w:rsidRPr="00087A72">
        <w:rPr>
          <w:rFonts w:cstheme="majorHAnsi"/>
          <w:b/>
          <w:u w:val="single"/>
        </w:rPr>
        <w:t>mere presence to our enduring generosity and goodness. The quiet backdrop of exclusion</w:t>
      </w:r>
      <w:r w:rsidRPr="00087A72">
        <w:rPr>
          <w:rFonts w:cstheme="majorHAnsi"/>
          <w:sz w:val="16"/>
        </w:rPr>
        <w:t xml:space="preserve"> subtly </w:t>
      </w:r>
      <w:r w:rsidRPr="00087A72">
        <w:rPr>
          <w:rFonts w:cstheme="majorHAnsi"/>
          <w:b/>
          <w:u w:val="single"/>
        </w:rPr>
        <w:t>serves to strengthen the mythology of immigrant identity in the settler society. Exclusion is one more barrier to overcome.</w:t>
      </w:r>
      <w:r w:rsidRPr="00087A72">
        <w:rPr>
          <w:rFonts w:cstheme="majorHAnsi"/>
          <w:sz w:val="16"/>
        </w:rPr>
        <w:t xml:space="preserve"> The </w:t>
      </w:r>
      <w:r w:rsidRPr="00087A72">
        <w:rPr>
          <w:rFonts w:cstheme="majorHAnsi"/>
          <w:b/>
          <w:u w:val="single"/>
        </w:rPr>
        <w:t>paradigmatic immigrant</w:t>
      </w:r>
      <w:r w:rsidRPr="00087A72">
        <w:rPr>
          <w:rFonts w:cstheme="majorHAnsi"/>
          <w:sz w:val="16"/>
        </w:rPr>
        <w:t xml:space="preserve">, whether starving, persecuted, or adventuresome, </w:t>
      </w:r>
      <w:r w:rsidRPr="00087A72">
        <w:rPr>
          <w:rFonts w:cstheme="majorHAnsi"/>
          <w:b/>
          <w:u w:val="single"/>
        </w:rPr>
        <w:t>fits the society’s story. Immigrants strive for a better life</w:t>
      </w:r>
      <w:r w:rsidRPr="00087A72">
        <w:rPr>
          <w:rFonts w:cstheme="majorHAnsi"/>
          <w:sz w:val="16"/>
        </w:rPr>
        <w:t xml:space="preserve">, successive waves of migrants sacrifice to put their children on an equal footing in a new homeland. </w:t>
      </w:r>
      <w:r w:rsidRPr="00087A72">
        <w:rPr>
          <w:rFonts w:cstheme="majorHAnsi"/>
          <w:b/>
          <w:u w:val="single"/>
        </w:rPr>
        <w:t>Life is tough, and social exclusion is part of that toughness, but it is at any price</w:t>
      </w:r>
      <w:r w:rsidRPr="00087A72">
        <w:rPr>
          <w:rFonts w:cstheme="majorHAnsi"/>
          <w:sz w:val="16"/>
        </w:rPr>
        <w:t xml:space="preserve"> better than the Old Country, and a secure and prosperous future for one’s children brings the perseverance required to carry one through the punishing work in the field, sweatshop, or perpetually marginal corner store. This </w:t>
      </w:r>
      <w:r w:rsidRPr="00087A72">
        <w:rPr>
          <w:rStyle w:val="Emphasis"/>
          <w:rFonts w:cstheme="majorHAnsi"/>
        </w:rPr>
        <w:t xml:space="preserve">openness and meritocracy is also part of the story. </w:t>
      </w:r>
      <w:r w:rsidRPr="00087A72">
        <w:rPr>
          <w:rFonts w:cstheme="majorHAnsi"/>
          <w:sz w:val="16"/>
        </w:rPr>
        <w:t xml:space="preserve">In my long-ago childhood we were taught that Canada was a cultural mosaic, in contrast to the American melting pot. But even as school children we could see that one metaphor was not necessarily better than the other; melting had a beautiful fluid freedom to it. Between the mosaic and the melting pot runs the gamut of immigrant identity. On the one hand is the pastiche of hyphenated citizens, each proudly transplanting their own cultures and customs from elsewhere and forming a new national home that is identifiable through its embrace of this cacophony of difference. On the other hand is the assimilationist vision of looking to the future based on shared values. Of course neither image tells us anything about lived experience. Rather, each expresses a vision of how individual immigrant experiences aggregate to national identity. What they share is the idea that such individual experiences do in fact aggregate to national identity. And this is a fulcrum point. </w:t>
      </w:r>
      <w:r w:rsidRPr="00087A72">
        <w:rPr>
          <w:rFonts w:cstheme="majorHAnsi"/>
          <w:b/>
          <w:u w:val="single"/>
        </w:rPr>
        <w:t xml:space="preserve">For settler societies </w:t>
      </w:r>
      <w:r w:rsidRPr="00087A72">
        <w:rPr>
          <w:rStyle w:val="Emphasis"/>
          <w:rFonts w:cstheme="majorHAnsi"/>
        </w:rPr>
        <w:t>the belief that individual immigrant experiences accrete to national identity is foundational.</w:t>
      </w:r>
      <w:r w:rsidRPr="00087A72">
        <w:rPr>
          <w:rFonts w:cstheme="majorHAnsi"/>
          <w:sz w:val="16"/>
        </w:rPr>
        <w:t xml:space="preserve"> National identity is what </w:t>
      </w:r>
      <w:r w:rsidRPr="00087A72">
        <w:rPr>
          <w:rStyle w:val="Emphasis"/>
          <w:rFonts w:cstheme="majorHAnsi"/>
        </w:rPr>
        <w:t>some “we” group shares</w:t>
      </w:r>
      <w:r w:rsidRPr="00087A72">
        <w:rPr>
          <w:rFonts w:cstheme="majorHAnsi"/>
          <w:b/>
          <w:u w:val="single"/>
        </w:rPr>
        <w:t xml:space="preserve"> when </w:t>
      </w:r>
      <w:r w:rsidRPr="00087A72">
        <w:rPr>
          <w:rStyle w:val="Emphasis"/>
          <w:rFonts w:cstheme="majorHAnsi"/>
        </w:rPr>
        <w:t>it</w:t>
      </w:r>
      <w:r w:rsidRPr="00087A72">
        <w:rPr>
          <w:rFonts w:cstheme="majorHAnsi"/>
          <w:b/>
          <w:u w:val="single"/>
        </w:rPr>
        <w:t xml:space="preserve"> cannot share race or religion or ethnicity or history.</w:t>
      </w:r>
      <w:r w:rsidRPr="00087A72">
        <w:rPr>
          <w:rFonts w:cstheme="majorHAnsi"/>
          <w:sz w:val="16"/>
        </w:rPr>
        <w:t xml:space="preserve"> It is no wonder that fitting the traditional definition of “nation” onto these places has been such a squeeze. Conversely, </w:t>
      </w:r>
      <w:r w:rsidRPr="00087A72">
        <w:rPr>
          <w:rFonts w:cstheme="majorHAnsi"/>
          <w:b/>
          <w:u w:val="single"/>
        </w:rPr>
        <w:t>it cannot surprise us that settler societies have been the birth- place of multiculturalism.</w:t>
      </w:r>
      <w:r w:rsidRPr="00087A72">
        <w:rPr>
          <w:rFonts w:cstheme="majorHAnsi"/>
          <w:sz w:val="16"/>
        </w:rPr>
        <w:t xml:space="preserve"> All of </w:t>
      </w:r>
      <w:r w:rsidRPr="00087A72">
        <w:rPr>
          <w:rFonts w:cstheme="majorHAnsi"/>
          <w:b/>
          <w:u w:val="single"/>
        </w:rPr>
        <w:t>this</w:t>
      </w:r>
      <w:r w:rsidRPr="00087A72">
        <w:rPr>
          <w:rFonts w:cstheme="majorHAnsi"/>
          <w:sz w:val="16"/>
        </w:rPr>
        <w:t xml:space="preserve">, then, </w:t>
      </w:r>
      <w:r w:rsidRPr="00087A72">
        <w:rPr>
          <w:rFonts w:cstheme="majorHAnsi"/>
          <w:b/>
          <w:u w:val="single"/>
        </w:rPr>
        <w:t>is the stock story of the settler society.</w:t>
      </w:r>
      <w:r w:rsidRPr="00087A72">
        <w:rPr>
          <w:rFonts w:cstheme="majorHAnsi"/>
          <w:sz w:val="16"/>
        </w:rPr>
        <w:t xml:space="preserve"> Fractured </w:t>
      </w:r>
      <w:r w:rsidRPr="00087A72">
        <w:rPr>
          <w:rFonts w:cstheme="majorHAnsi"/>
          <w:b/>
          <w:u w:val="single"/>
        </w:rPr>
        <w:t>identities, families spanning borders, progressive exclusions, racialized transformations, fledgling national identities.</w:t>
      </w:r>
      <w:r w:rsidRPr="00087A72">
        <w:rPr>
          <w:rFonts w:cstheme="majorHAnsi"/>
          <w:sz w:val="16"/>
        </w:rPr>
        <w:t xml:space="preserve"> This collage is as familiar as </w:t>
      </w:r>
      <w:r w:rsidRPr="00087A72">
        <w:rPr>
          <w:rFonts w:cstheme="majorHAnsi"/>
          <w:b/>
          <w:u w:val="single"/>
        </w:rPr>
        <w:t>a recurring dream to those of us who study migration.</w:t>
      </w:r>
      <w:r w:rsidRPr="00087A72">
        <w:rPr>
          <w:rFonts w:cstheme="majorHAnsi"/>
          <w:sz w:val="16"/>
        </w:rPr>
        <w:t xml:space="preserve"> The four nations that became the paradigmatic settler societies embraced this story most fully. It is no coincidence that it is in the United States, Canada, Australia, and New Zealand, that the indigenous populations were almost completely destroyed. It is also no coincidence either that all four inherited British traditions and British law. The British imperial approach to immigration and the incredible adaptability of the common law are part of the story of settler societies. They also play a role in accounting for how these societies come to an end. But that story is not quite yet. This chapter turns now to the legal architecture of settler states.</w:t>
      </w:r>
    </w:p>
    <w:p w:rsidR="007F2DDD" w:rsidRPr="00087A72" w:rsidRDefault="007F2DDD" w:rsidP="00496C79">
      <w:pPr>
        <w:pStyle w:val="Heading3"/>
      </w:pPr>
      <w:r w:rsidRPr="00087A72">
        <w:t>Link – Biopolitics</w:t>
      </w:r>
    </w:p>
    <w:p w:rsidR="007F2DDD" w:rsidRPr="00087A72" w:rsidRDefault="007F2DDD" w:rsidP="007F2DDD">
      <w:pPr>
        <w:pStyle w:val="Heading4"/>
      </w:pPr>
      <w:r w:rsidRPr="00087A72">
        <w:t>Biopolitics fails to grasp the category of the Indian which perverts the difference between life and death. The Indian—brought into being by the very call to die—is not a subject of the law, but rather genocided object which grants the law—and life itself—coherence.</w:t>
      </w:r>
    </w:p>
    <w:p w:rsidR="007F2DDD" w:rsidRPr="00087A72" w:rsidRDefault="007F2DDD" w:rsidP="007F2DDD">
      <w:r w:rsidRPr="00087A72">
        <w:rPr>
          <w:rStyle w:val="Style13ptBold"/>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20-26) NIJ</w:t>
      </w:r>
    </w:p>
    <w:p w:rsidR="007F2DDD" w:rsidRPr="00087A72" w:rsidRDefault="007F2DDD" w:rsidP="007F2DDD">
      <w:pPr>
        <w:rPr>
          <w:u w:val="single"/>
        </w:rPr>
      </w:pPr>
      <w:r w:rsidRPr="00087A72">
        <w:rPr>
          <w:sz w:val="12"/>
        </w:rPr>
        <w:t xml:space="preserve">Biopolitics What initially drew me to the site of the IRS was the provocative coupling of politics with life/death instantiated in the IRS quo animo. First and foremost, </w:t>
      </w:r>
      <w:r w:rsidRPr="00087A72">
        <w:rPr>
          <w:rStyle w:val="StyleUnderline"/>
        </w:rPr>
        <w:t>I wanted to understand the commonsense that made the injunction to kill in the name of preserving life make sense.</w:t>
      </w:r>
      <w:r w:rsidRPr="00087A72">
        <w:rPr>
          <w:sz w:val="12"/>
        </w:rPr>
        <w:t xml:space="preserve"> In so doing, my analysis of the IRS and its peculiar mandate needed to consider the political commonsense that bore it out. My dissertation makes a unique contribution to scholarship surrounding the IRS by arguing that </w:t>
      </w:r>
      <w:r w:rsidRPr="00087A72">
        <w:rPr>
          <w:rStyle w:val="StyleUnderline"/>
        </w:rPr>
        <w:t>the logic of killing in the name of life</w:t>
      </w:r>
      <w:r w:rsidRPr="00087A72">
        <w:rPr>
          <w:sz w:val="12"/>
        </w:rPr>
        <w:t xml:space="preserve"> (killing in order to save), an edict made quite literal in the IRS, </w:t>
      </w:r>
      <w:r w:rsidRPr="00087A72">
        <w:rPr>
          <w:rStyle w:val="StyleUnderline"/>
        </w:rPr>
        <w:t>was both produced by, and productive of, a new form of politics.</w:t>
      </w:r>
      <w:r w:rsidRPr="00087A72">
        <w:rPr>
          <w:sz w:val="12"/>
        </w:rPr>
        <w:t xml:space="preserve"> In contrast to traditional forms of governance, </w:t>
      </w:r>
      <w:r w:rsidRPr="00087A72">
        <w:rPr>
          <w:rStyle w:val="StyleUnderline"/>
        </w:rPr>
        <w:t>this new form shifted the objective from the management of singular human beings to the regulation of their characteristics.</w:t>
      </w:r>
      <w:r w:rsidRPr="00087A72">
        <w:rPr>
          <w:sz w:val="12"/>
        </w:rPr>
        <w:t xml:space="preserve"> In other words, </w:t>
      </w:r>
      <w:r w:rsidRPr="00087A72">
        <w:rPr>
          <w:rStyle w:val="StyleUnderline"/>
        </w:rPr>
        <w:t>governmental authority transferred its focus from the governing of individual legal subjects to the management of populations.</w:t>
      </w:r>
      <w:r w:rsidRPr="00087A72">
        <w:rPr>
          <w:sz w:val="12"/>
        </w:rPr>
        <w:t xml:space="preserve"> This political paradigm, which Michel Foucault terms </w:t>
      </w:r>
      <w:r w:rsidRPr="00087A72">
        <w:rPr>
          <w:rStyle w:val="StyleUnderline"/>
        </w:rPr>
        <w:t>‘biopolitics,’ understands life to be an objective and measurable factor, a collective reality that can be conceptually and practically separated from concrete beings and the singularity of individual experience. ‘Life itself,’</w:t>
      </w:r>
      <w:r w:rsidRPr="00087A72">
        <w:rPr>
          <w:sz w:val="12"/>
        </w:rPr>
        <w:t xml:space="preserve"> in this paradigm, </w:t>
      </w:r>
      <w:r w:rsidRPr="00087A72">
        <w:rPr>
          <w:rStyle w:val="StyleUnderline"/>
        </w:rPr>
        <w:t>is unfixed from the individual and instead aggregated on the level of population.</w:t>
      </w:r>
      <w:r w:rsidRPr="00087A72">
        <w:rPr>
          <w:sz w:val="12"/>
        </w:rPr>
        <w:t xml:space="preserve"> In this way, </w:t>
      </w:r>
      <w:r w:rsidRPr="00087A72">
        <w:rPr>
          <w:rStyle w:val="StyleUnderline"/>
        </w:rPr>
        <w:t>the materiality of death becomes a more abstracted matter of demography. It is the aim of demography to establish and monitor the norm, the average, and to trace any deviations from it. The threshold logic of the norm, who falls inside and who does not, is a tightly controlled border. It is policed by the management of features and characteristics viewed as unique traits essential to particular groups of people. The recognition of these particular groups, and the hierarchies that determine the value of their lives, is not believed to be ideological, though, of course, it is. Characteristics, morphological similarities, and behavioral traits are understood and treated as if they are ‘facts’ rooted in biology.</w:t>
      </w:r>
      <w:r w:rsidRPr="00087A72">
        <w:rPr>
          <w:sz w:val="12"/>
        </w:rPr>
        <w:t xml:space="preserve"> For instance, </w:t>
      </w:r>
      <w:r w:rsidRPr="00087A72">
        <w:rPr>
          <w:rStyle w:val="StyleUnderline"/>
        </w:rPr>
        <w:t>the characteristics of “the Indian” as “shiftless, indolent, and inert” were understood as inherent traits of the “Indian race”—traits that needed to be regulated, managed, and stamped out for the good of the “greater” (i.e. white, Euro-Canadian) population. By the biopolitical calculus of relative value, the lives of First Nations were simply viewed as less valuable than the lives of the white mainstream/norm.</w:t>
      </w:r>
      <w:r w:rsidRPr="00087A72">
        <w:rPr>
          <w:sz w:val="12"/>
        </w:rPr>
        <w:t xml:space="preserve"> My argument is that </w:t>
      </w:r>
      <w:r w:rsidRPr="00087A72">
        <w:rPr>
          <w:rStyle w:val="StyleUnderline"/>
        </w:rPr>
        <w:t>the IRS is not an instantiation of Indigenous lives just simply not mattering. As institutional forms, they are complicit in the internal racism of permanent purification that</w:t>
      </w:r>
      <w:r w:rsidRPr="00087A72">
        <w:rPr>
          <w:sz w:val="12"/>
        </w:rPr>
        <w:t xml:space="preserve"> Foucault (2003) tells us </w:t>
      </w:r>
      <w:r w:rsidRPr="00087A72">
        <w:rPr>
          <w:rStyle w:val="StyleUnderline"/>
        </w:rPr>
        <w:t>“will become one of the basic dimensions of social normalization”</w:t>
      </w:r>
      <w:r w:rsidRPr="00087A72">
        <w:rPr>
          <w:sz w:val="12"/>
        </w:rPr>
        <w:t xml:space="preserve"> (62). </w:t>
      </w:r>
      <w:r w:rsidRPr="00087A72">
        <w:rPr>
          <w:rStyle w:val="StyleUnderline"/>
        </w:rPr>
        <w:t>This normalizing function of racism does not limit itself to establishing a dividing line between healthy and sick, worthy of living or not worthy of living. Rather it searches for “the establishment of a positive relation of this type: The very fact that you let more die will allow you to live more”</w:t>
      </w:r>
      <w:r w:rsidRPr="00087A72">
        <w:rPr>
          <w:sz w:val="12"/>
        </w:rPr>
        <w:t xml:space="preserve"> (255). Racism and the norm work in co-purpose, facilitating a dynamic relation between the life of one person and the death of another. As Thomas Lemke (2011) has it, </w:t>
      </w:r>
      <w:r w:rsidRPr="00087A72">
        <w:rPr>
          <w:rStyle w:val="Emphasis"/>
        </w:rPr>
        <w:t>this conjoining “not only allows for a hierarchization of ‘those who are worthy of living’ but also situates the health of one person in a direct relationship with the disappearance of another”</w:t>
      </w:r>
      <w:r w:rsidRPr="00087A72">
        <w:rPr>
          <w:sz w:val="12"/>
        </w:rPr>
        <w:t xml:space="preserve"> (emph. added 42). </w:t>
      </w:r>
      <w:r w:rsidRPr="00087A72">
        <w:rPr>
          <w:rStyle w:val="StyleUnderline"/>
        </w:rPr>
        <w:t xml:space="preserve">The imperatives to die more, to disappear more, while remaining markedly present as a racially legible body, converge upon Aboriginal children, generations of children whose libidinal energies were seized upon by disorienting, reorienting imperatives: annihilate and assimilate, eradicate and civilize, sacrifice and save. </w:t>
      </w:r>
      <w:r w:rsidRPr="00087A72">
        <w:rPr>
          <w:sz w:val="12"/>
        </w:rPr>
        <w:t xml:space="preserve">My research indicates that the biopolitical attunement to population manifest in the IRS quo animo emerged alongside the rising prominence of the normative disciplines (e.g., statistics, sociology, demography, epidemiology) for which population was the primary epistemological unit of analysis. By the height of the IRS, at the start of the 1930’s, the normative disciplines had become powerfully influential on paradigms of political thought, philosophies on governance, and corresponding aggregates of citizenship and society, alongside structures of valuation for assessing whose lives were worth protecting and whose were not. Within the ideology through which they were inaugurated, </w:t>
      </w:r>
      <w:r w:rsidRPr="00087A72">
        <w:rPr>
          <w:rStyle w:val="StyleUnderline"/>
        </w:rPr>
        <w:t xml:space="preserve">the disciplining of recalcitrant “Indian” children through physical intervention (e.g., submitting them to practices meant to re-order their bodily configurations, such as electro-shock) were natural extensions of a logic that sought to protect the norm by regulating and removing undesirable, or deviant, characteristics. </w:t>
      </w:r>
      <w:r w:rsidRPr="00087A72">
        <w:rPr>
          <w:sz w:val="12"/>
        </w:rPr>
        <w:t xml:space="preserve">Homo Sacer and Bare Life Still speaking through the register of the political, the kind(s) of death into which the IRS hailed the Indigenous child, </w:t>
      </w:r>
      <w:r w:rsidRPr="00087A72">
        <w:rPr>
          <w:rStyle w:val="StyleUnderline"/>
        </w:rPr>
        <w:t>the paradoxical call to embody both saving and sacrifice, is immediately evocative of</w:t>
      </w:r>
      <w:r w:rsidRPr="00087A72">
        <w:rPr>
          <w:sz w:val="12"/>
        </w:rPr>
        <w:t xml:space="preserve"> Giorgio Agamben’s </w:t>
      </w:r>
      <w:r w:rsidRPr="00087A72">
        <w:rPr>
          <w:rStyle w:val="StyleUnderline"/>
        </w:rPr>
        <w:t>homo sacer. This figure</w:t>
      </w:r>
      <w:r w:rsidRPr="00087A72">
        <w:rPr>
          <w:sz w:val="12"/>
        </w:rPr>
        <w:t xml:space="preserve">, for Agamben, </w:t>
      </w:r>
      <w:r w:rsidRPr="00087A72">
        <w:rPr>
          <w:rStyle w:val="StyleUnderline"/>
        </w:rPr>
        <w:t>embodies the threshold of the political: killable but impossible to sacrifice.</w:t>
      </w:r>
      <w:r w:rsidRPr="00087A72">
        <w:rPr>
          <w:sz w:val="12"/>
        </w:rPr>
        <w:t xml:space="preserve"> In his book Homo Sacer: Sovereign Power and Bare Life, Agamben (1995) asserts what he calls, “the inner solidarity between democracy and totalitarianism,” (10) and defines the concentration camp as “the biopolitical paradigm of the West (181). For Agamben, biopolitics forms the inner core of sovereign power. In contrast to Foucault who views biopower as an historical caesura signaled by the advent of biopolitical mechanisms in the 17 th and 18 th Centuries, for Agamben the modern era does not signify a radical break, but rather a generalization and radicalization of that which has always been there. According to Agamben, the constitution of sovereign power assumes the creation of a biopolitical body. Inclusion in political society, he argues, is only possible through the simultaneous exclusion of human beings who are denied legal status. For Agamben, in contrast to Carl Schmitt’s seminal formulation (in his book The Concept of the Political, published in 1932), the fundamental oppositional relationship of the political is not friend/enemy, but rather the separation of bare life (zoé) and political existence (bíos): in other words, the distinction between natural being and legal existence. For Agamben (1998), the beginning of all politics is the establishment of a borderline and the inauguration of a space that is deprived of the protection of the law: “the original juridicio-political relationship,” he writes, “is the ban” (181). </w:t>
      </w:r>
      <w:r w:rsidRPr="00087A72">
        <w:rPr>
          <w:rStyle w:val="StyleUnderline"/>
        </w:rPr>
        <w:t xml:space="preserve">This description of the inauguration of a space deprived of the protection of the law seems to speak directly into the material conditions of the IRS. Typically, these were isolated outposts, as the mandate for Indian schooling clearly intended Indigenous children to be kept as far away from the Reserve and white settlement as possible. The schools were certainly zones in which law did not extend its sheltering auspices to the children within them, whose mode of being in the world certainly dramatizes, with acute poignancy, life under the ban. </w:t>
      </w:r>
      <w:r w:rsidRPr="00087A72">
        <w:rPr>
          <w:sz w:val="12"/>
        </w:rPr>
        <w:t xml:space="preserve">Agamben outlines this hidden foundation of sovereignty through a figure from archaic Roman law: homo sacer. He writes: “This is a person whom one could kill with impunity, since he was banned from the politico-legal community and reduced to the status of physical existence” (59). For Agamben, homo sacer represents the other side of the logic of sovereignty. </w:t>
      </w:r>
      <w:r w:rsidRPr="00087A72">
        <w:rPr>
          <w:rStyle w:val="StyleUnderline"/>
        </w:rPr>
        <w:t>“Bare life,” which is considered to be furthest from the political, proves to be the basis of a political body, which makes life and death of a human being the object of sovereignty, the object of a sovereign decision.</w:t>
      </w:r>
      <w:r w:rsidRPr="00087A72">
        <w:rPr>
          <w:sz w:val="12"/>
        </w:rPr>
        <w:t xml:space="preserve"> Agamben’s argument is that in this way, </w:t>
      </w:r>
      <w:r w:rsidRPr="00087A72">
        <w:rPr>
          <w:rStyle w:val="StyleUnderline"/>
        </w:rPr>
        <w:t>the production of homines sacri presents a renounced, yet fundamental, even constitutive part of Western history.</w:t>
      </w:r>
      <w:r w:rsidRPr="00087A72">
        <w:rPr>
          <w:sz w:val="12"/>
        </w:rPr>
        <w:t xml:space="preserve"> One of Agamben’s (1998) most infamous arguments is his claim that the concentration camp is “the hidden paradigm of the political space of modernity” (123). The camp, in this context, functions for Agamben, not so much as a concrete site in time and space, but as a symbolic border that fixes the limit between “bare life” and political existence. While critics (e.g., Thomas Lemke) maintain that Agamben’s analysis remains “in thrall of the law” (Lemke: 2011 60) and owes more to Schmitt than Foucault (and more to Heidegger than to Schmitt) his focus on the two registers of life that converge in the same body, a notion that likewise implicates/activates at least two registers of death, remains profitable to the work at hand. I do agree with Lemke (2011) who points out that </w:t>
      </w:r>
      <w:r w:rsidRPr="00087A72">
        <w:rPr>
          <w:rStyle w:val="StyleUnderline"/>
        </w:rPr>
        <w:t>Agamben fails to recognize that “biopolitics is essentially a political economy of life”</w:t>
      </w:r>
      <w:r w:rsidRPr="00087A72">
        <w:rPr>
          <w:sz w:val="12"/>
        </w:rPr>
        <w:t xml:space="preserve"> (ibid) </w:t>
      </w:r>
      <w:r w:rsidRPr="00087A72">
        <w:rPr>
          <w:rStyle w:val="StyleUnderline"/>
        </w:rPr>
        <w:t>and</w:t>
      </w:r>
      <w:r w:rsidRPr="00087A72">
        <w:rPr>
          <w:sz w:val="12"/>
        </w:rPr>
        <w:t xml:space="preserve"> that </w:t>
      </w:r>
      <w:r w:rsidRPr="00087A72">
        <w:rPr>
          <w:rStyle w:val="StyleUnderline"/>
        </w:rPr>
        <w:t>Agamben’s analysis remains “under the spell of sovereign power and blind to all mechanisms that operate outside the law”</w:t>
      </w:r>
      <w:r w:rsidRPr="00087A72">
        <w:rPr>
          <w:sz w:val="12"/>
        </w:rPr>
        <w:t xml:space="preserve"> (ibid). </w:t>
      </w:r>
      <w:r w:rsidRPr="00087A72">
        <w:rPr>
          <w:rStyle w:val="StyleUnderline"/>
        </w:rPr>
        <w:t>Certainly, in the IRS, the child residents were captive to the carceral institutions that unhomed them.</w:t>
      </w:r>
      <w:r w:rsidRPr="00087A72">
        <w:rPr>
          <w:sz w:val="12"/>
        </w:rPr>
        <w:t xml:space="preserve"> This was a programmatic orphaning that severed them from their families, languages, and cultures of origin. Within the IRS, </w:t>
      </w:r>
      <w:r w:rsidRPr="00087A72">
        <w:rPr>
          <w:rStyle w:val="StyleUnderline"/>
        </w:rPr>
        <w:t xml:space="preserve">they were subject to the law but not, it would seem, protected by it. Both the juridical and broader political pouvoir and puissance have inscriptive power to make meaning for and of the child, to write her/his bodies in different ways, yet neither are zones that the child can fully enter as subject. </w:t>
      </w:r>
      <w:r w:rsidRPr="00087A72">
        <w:rPr>
          <w:rStyle w:val="Emphasis"/>
        </w:rPr>
        <w:t>Because the Aboriginal child never possessed what we might today call the civil rights that were subject to removal by sovereign power (thereby exposing her/him to bare life), the conditions of extreme precariousness in which the Aboriginal child circulated proximal to the IRS cannot, properly speaking, be considered bare life.</w:t>
      </w:r>
      <w:r w:rsidRPr="00087A72">
        <w:rPr>
          <w:sz w:val="12"/>
        </w:rPr>
        <w:t xml:space="preserve"> I would argue that </w:t>
      </w:r>
      <w:r w:rsidRPr="00087A72">
        <w:rPr>
          <w:rStyle w:val="Emphasis"/>
        </w:rPr>
        <w:t>rather than embodying bare life in a fixed sense, the Aboriginal child resident of the IRS bears the trace of bare life, contains within his/her child body, some shattered (shattering) fragments of the homo sacer.</w:t>
      </w:r>
      <w:r w:rsidRPr="00087A72">
        <w:rPr>
          <w:sz w:val="12"/>
        </w:rPr>
        <w:t xml:space="preserve"> 17 </w:t>
      </w:r>
      <w:r w:rsidRPr="00087A72">
        <w:rPr>
          <w:rStyle w:val="StyleUnderline"/>
        </w:rPr>
        <w:t>Agamben himself did not understand the child to ever embody bare life.</w:t>
      </w:r>
      <w:r w:rsidRPr="00087A72">
        <w:rPr>
          <w:sz w:val="12"/>
        </w:rPr>
        <w:t xml:space="preserve"> In an essay Infancy and History, </w:t>
      </w:r>
      <w:r w:rsidRPr="00087A72">
        <w:rPr>
          <w:rStyle w:val="StyleUnderline"/>
        </w:rPr>
        <w:t>he</w:t>
      </w:r>
      <w:r w:rsidRPr="00087A72">
        <w:rPr>
          <w:sz w:val="12"/>
        </w:rPr>
        <w:t xml:space="preserve"> (1996) w</w:t>
      </w:r>
      <w:r w:rsidRPr="00087A72">
        <w:rPr>
          <w:rStyle w:val="StyleUnderline"/>
        </w:rPr>
        <w:t>rites: “the child is a paradigm of life that is absolutely inseperable from its form, an absolute form-of-life</w:t>
      </w:r>
      <w:r w:rsidRPr="00087A72">
        <w:rPr>
          <w:sz w:val="12"/>
        </w:rPr>
        <w:t xml:space="preserve"> [forma-di-vita] </w:t>
      </w:r>
      <w:r w:rsidRPr="00087A72">
        <w:rPr>
          <w:rStyle w:val="StyleUnderline"/>
        </w:rPr>
        <w:t>without remainder. What does ‘form of life’ mean in this case? It means that the child is never bare life</w:t>
      </w:r>
      <w:r w:rsidRPr="00087A72">
        <w:rPr>
          <w:sz w:val="12"/>
        </w:rPr>
        <w:t xml:space="preserve"> [nuda vita], </w:t>
      </w:r>
      <w:r w:rsidRPr="00087A72">
        <w:rPr>
          <w:rStyle w:val="StyleUnderline"/>
        </w:rPr>
        <w:t>that it is never possible to isolate in the child something like bare life or biological life.”</w:t>
      </w:r>
      <w:r w:rsidRPr="00087A72">
        <w:rPr>
          <w:sz w:val="12"/>
        </w:rPr>
        <w:t xml:space="preserve"> (122) His logic in making this claim is as follows: The politics we are familiar with (characterized by his distinction between zoé and bíos) increasingly and ever more profoundly enters the political sphere which, in the end, turns into the incessant deciding on life as such. If the child seems to escape this structure and never allows, in its self, the differentiation of mere life, it is not, as is maintained too often, because the child has an unreal and mysterious life, one made of fantasy and games. (ibid) For Agamben, it is the very opposite that characterizes the child. He writes: It adheres so closely to its physiological life that it becomes indiscernible from it … the life of a child is ungraspable, not because it transcends towards an other world, but because it adheres to this world and to its body in a way that adults find intolerable … The life of the child, as a result, instead of seeming completely scattered into small facts and episodes lacking meaning and history (like the lives of the primitives), remains unforgettable, the cipher of a higher history.” (emph. in original 122) </w:t>
      </w:r>
      <w:r w:rsidRPr="00087A72">
        <w:rPr>
          <w:rStyle w:val="StyleUnderline"/>
        </w:rPr>
        <w:t>Agamben is saying that the child cannot be separated from its biological life far enough for political life to insert itself and take hold: the child embodies the force of life with such intensity that she/he belongs utterly to life, a belonging in which the child is not an object of life but rather manifests life as possibility, a potentiality that never exhausts itself in biographical facts and events</w:t>
      </w:r>
      <w:r w:rsidRPr="00087A72">
        <w:rPr>
          <w:sz w:val="12"/>
        </w:rPr>
        <w:t xml:space="preserve">, since, as Agamben writes, </w:t>
      </w:r>
      <w:r w:rsidRPr="00087A72">
        <w:rPr>
          <w:rStyle w:val="StyleUnderline"/>
        </w:rPr>
        <w:t>“it has no other object than itself … It is an absolute immanence that moves and lives”</w:t>
      </w:r>
      <w:r w:rsidRPr="00087A72">
        <w:rPr>
          <w:sz w:val="12"/>
        </w:rPr>
        <w:t xml:space="preserve"> (emph. in original ibid). From a promising account of the imbrication of two different valences of life contained within the same body, both tied to the political (in which the severing of one—bíos—is over-exposure to the other—zoé), </w:t>
      </w:r>
      <w:r w:rsidRPr="00087A72">
        <w:rPr>
          <w:rStyle w:val="StyleUnderline"/>
        </w:rPr>
        <w:t>the utility of Agamben’s philosophy of life in the context of the IRS seems to stall out: the child is never bare life.</w:t>
      </w:r>
      <w:r w:rsidRPr="00087A72">
        <w:rPr>
          <w:sz w:val="12"/>
        </w:rPr>
        <w:t xml:space="preserve"> The quagmire this ‘stalling out’ presents, compels me to ask: </w:t>
      </w:r>
      <w:r w:rsidRPr="00087A72">
        <w:rPr>
          <w:rStyle w:val="Emphasis"/>
        </w:rPr>
        <w:t>What in fact (or figure) is a child?</w:t>
      </w:r>
      <w:r w:rsidRPr="00087A72">
        <w:rPr>
          <w:rStyle w:val="StyleUnderline"/>
        </w:rPr>
        <w:t xml:space="preserve"> </w:t>
      </w:r>
      <w:r w:rsidRPr="00087A72">
        <w:rPr>
          <w:sz w:val="12"/>
        </w:rPr>
        <w:t xml:space="preserve">Without letting go of the useful and intriguing offerings of both Foucault and Agamben, where might a more nuanced and generative account of the child be found? As the project at hand developed, it did so in such a way as to require a theoretical site more capable of speaking to the register of violence that existed in the IRS beyond thresholds that could be explained through the account that certain bodies are not afforded the protection of the law (i.e. Agamben’s theory of the ban). </w:t>
      </w:r>
      <w:r w:rsidRPr="00087A72">
        <w:rPr>
          <w:rStyle w:val="StyleUnderline"/>
        </w:rPr>
        <w:t>Certainly Indigenous child bodies in the IRS were not protected by the law, but that very juridical-level observation does not seem up to the task of accounting for the very extreme forms of aggressivity meted out onto Indigenous child bodies in the IRS: the use of torture as in the opening example of the use of the electric chair at the St. Anne School</w:t>
      </w:r>
      <w:r w:rsidRPr="00087A72">
        <w:rPr>
          <w:sz w:val="12"/>
        </w:rPr>
        <w:t xml:space="preserve"> for example, </w:t>
      </w:r>
      <w:r w:rsidRPr="00087A72">
        <w:rPr>
          <w:rStyle w:val="StyleUnderline"/>
        </w:rPr>
        <w:t>and the absolutely rampant culture of sexual abuse that characterizes life in the IRS.</w:t>
      </w:r>
      <w:r w:rsidRPr="00087A72">
        <w:rPr>
          <w:sz w:val="12"/>
        </w:rPr>
        <w:t xml:space="preserve"> Further, </w:t>
      </w:r>
      <w:r w:rsidRPr="00087A72">
        <w:rPr>
          <w:rStyle w:val="StyleUnderline"/>
        </w:rPr>
        <w:t>as provocative and interesting as Agamben’s juridical position is, it does not help to understand the widespread ‘cycles of sexual abuse’ in the IRS whereby victims of sexual assault so often recapitulated the sexually abject position held by the Indigenous child by abusing other children.</w:t>
      </w:r>
    </w:p>
    <w:p w:rsidR="00540BEA" w:rsidRPr="00087A72" w:rsidRDefault="00540BEA" w:rsidP="00496C79">
      <w:pPr>
        <w:pStyle w:val="Heading3"/>
      </w:pPr>
      <w:r w:rsidRPr="00087A72">
        <w:t>Link – Body</w:t>
      </w:r>
    </w:p>
    <w:p w:rsidR="00540BEA" w:rsidRPr="00087A72" w:rsidRDefault="00540BEA" w:rsidP="00540BEA">
      <w:pPr>
        <w:pStyle w:val="Heading4"/>
      </w:pPr>
      <w:r w:rsidRPr="00087A72">
        <w:t>The assumption of the body as a neutral site of discussion leaves the Native corpus unthought. The Native occupies a body that does not belong to it but instead functions as a carceral prison of bioaccumulated trauma which such that the analysis of the body always elides the violence which produces Native corporality.</w:t>
      </w:r>
    </w:p>
    <w:p w:rsidR="00540BEA" w:rsidRPr="00087A72" w:rsidRDefault="00540BEA" w:rsidP="00540BEA">
      <w:r w:rsidRPr="00087A72">
        <w:rPr>
          <w:rStyle w:val="Style13ptBold"/>
        </w:rPr>
        <w:t>Belcourt 16</w:t>
      </w:r>
      <w:r w:rsidRPr="00087A72">
        <w:t xml:space="preserve"> (Billy Ray, 2016 Rhodes Scholar, Winner of the Griffin Prize for Poetry, and Doctoral Student at the University of Alberta “Masturbatory Ethics, Anarchic Objects: Notes on Decolonial Love,” pp. 2-4) NIJ</w:t>
      </w:r>
    </w:p>
    <w:p w:rsidR="00540BEA" w:rsidRPr="00087A72" w:rsidRDefault="00540BEA" w:rsidP="00540BEA">
      <w:pPr>
        <w:rPr>
          <w:u w:val="single"/>
        </w:rPr>
      </w:pPr>
      <w:r w:rsidRPr="00087A72">
        <w:rPr>
          <w:sz w:val="12"/>
        </w:rPr>
        <w:t xml:space="preserve">For Anishnaabe activist Alexa Lesperance, </w:t>
      </w:r>
      <w:r w:rsidRPr="00087A72">
        <w:rPr>
          <w:rStyle w:val="StyleUnderline"/>
        </w:rPr>
        <w:t>to be okay in a body that is Indigenous is “the fucking hardest thing you can ever do.” In her formulation, settler colonialism is absolutely murderous, a sturdy structure that makes mere existence – the state of being alive in a body – too exhaustive to handle. Some of us</w:t>
      </w:r>
      <w:r w:rsidRPr="00087A72">
        <w:rPr>
          <w:sz w:val="12"/>
        </w:rPr>
        <w:t xml:space="preserve">, she laments, </w:t>
      </w:r>
      <w:r w:rsidRPr="00087A72">
        <w:rPr>
          <w:rStyle w:val="StyleUnderline"/>
        </w:rPr>
        <w:t>“may not ever be able to return there.”</w:t>
      </w:r>
      <w:r w:rsidRPr="00087A72">
        <w:rPr>
          <w:sz w:val="12"/>
        </w:rPr>
        <w:t xml:space="preserve"> Note the temporality of her “there.” According to Lesperance, </w:t>
      </w:r>
      <w:r w:rsidRPr="00087A72">
        <w:rPr>
          <w:rStyle w:val="StyleUnderline"/>
        </w:rPr>
        <w:t>we have “bioaccumulated the trauma that was and wasn’t ours” such that the body itself is like a prison, a kind of carceral architecture that not only restricts the ontological becomings that indigeneity as such can launch, but also points to renderings of ‘the body’ – a body to be dispossessed of sovereignty, studied, experimented with, abused, raped, incarcerated, and sometimes even murdered – is not always ours to inhabit. Lesperance gets at a uniquely colonial affect, one whose expressivities almost escape language’s representational form – that is, a state of non-being where the fact-ness of the body itself apportions specific forms of structural withering in the battlefields of settler states.</w:t>
      </w:r>
      <w:r w:rsidRPr="00087A72">
        <w:rPr>
          <w:sz w:val="12"/>
        </w:rPr>
        <w:t xml:space="preserve"> But, Lesperance also brings into focus a kind of optimism constitutive of the turn to decolonial love: our bodies, though sometimes inhabitable, are still workable. In fact, she hopes that “they can become sites of love”; our bodies, like the land, can be repatriated too. Lesperance invests love not with a kind of utopian power, one that could remedy the social and its citizens, but, instead, with a deeply affective charge – that is, love, a decolonial sort, can energize the work of survival: the fight for life when the colonial odds are stacked against you. 2 Like Lesperance, </w:t>
      </w:r>
      <w:r w:rsidRPr="00087A72">
        <w:rPr>
          <w:rStyle w:val="StyleUnderline"/>
        </w:rPr>
        <w:t>Leanne Simpson (Anishnaabe) theorizes the emotional rift in settler states whereby Indigenous peoples rarely know what love</w:t>
      </w:r>
      <w:r w:rsidRPr="00087A72">
        <w:rPr>
          <w:sz w:val="12"/>
        </w:rPr>
        <w:t xml:space="preserve">, or what José Muñoz called an intimacy </w:t>
      </w:r>
      <w:r w:rsidRPr="00087A72">
        <w:rPr>
          <w:rStyle w:val="StyleUnderline"/>
        </w:rPr>
        <w:t>“beyond the synchronous presence of” the flesh, looks or feels likes.</w:t>
      </w:r>
      <w:r w:rsidRPr="00087A72">
        <w:rPr>
          <w:sz w:val="12"/>
        </w:rPr>
        <w:t xml:space="preserve"> 3 In her beautiful and painful collection of stories and songs, Islands of Decolonial Love, </w:t>
      </w:r>
      <w:r w:rsidRPr="00087A72">
        <w:rPr>
          <w:rStyle w:val="StyleUnderline"/>
        </w:rPr>
        <w:t>Simpson writes: we're all hunting around for acceptance, intimacy, connection and love, but we don’t know what those particular med’cines even look like so we’re just hunting anyway with vague ideas from dreams and hopes and intention, at the same time dragging around blockades full of reminders that being vulnerable has never ended well for any of us, not even one single time.</w:t>
      </w:r>
      <w:r w:rsidRPr="00087A72">
        <w:rPr>
          <w:sz w:val="12"/>
        </w:rPr>
        <w:t xml:space="preserve">4 </w:t>
      </w:r>
      <w:r w:rsidRPr="00087A72">
        <w:rPr>
          <w:rStyle w:val="StyleUnderline"/>
        </w:rPr>
        <w:t>The evocation of “med’cines” is telling: that love contains a reparative force of sorts is symptomatic of a social world that produces Indigenous bodies as bodies that bear the likeness of colonial contagions and infections, ones that do their dirtiest work in the domain of the affective itself.</w:t>
      </w:r>
      <w:r w:rsidRPr="00087A72">
        <w:rPr>
          <w:sz w:val="12"/>
        </w:rPr>
        <w:t xml:space="preserve"> In other words, </w:t>
      </w:r>
      <w:r w:rsidRPr="00087A72">
        <w:rPr>
          <w:rStyle w:val="StyleUnderline"/>
        </w:rPr>
        <w:t>Indigenous peoples, having been wrenched into histories and presents of colonial harm, bear relations to love that are stunted in their future-bearing power and fantastical in their spectral form. Perhaps we are not talking about love when we talk about love.</w:t>
      </w:r>
      <w:r w:rsidRPr="00087A72">
        <w:rPr>
          <w:sz w:val="12"/>
        </w:rPr>
        <w:t xml:space="preserve"> Indeed, </w:t>
      </w:r>
      <w:r w:rsidRPr="00087A72">
        <w:rPr>
          <w:rStyle w:val="StyleUnderline"/>
        </w:rPr>
        <w:t>Simpson suggests that to have to experiment with what love might be is to have to enter a lethal and deeply racialized geography of vulnerability, one that we feel in the now vis-à-vis the traces of the pain our ancestor’s once felt. For Simpson, ours are bodies that are tethered to blockades, blockades constitutive of the materiality of settler colonialism’s monopolization of love, a monopolization that traps some more than others in the thick of things, so to speak. It is precisely through the passage of time – the very moment at which colonialism paradoxically announces itself as over and as the way things are – that indigeneity morphs into something incompatible with love’s world-building force. Hopes and dreams are not enough to keep us in this world anymore.</w:t>
      </w:r>
    </w:p>
    <w:p w:rsidR="006D3B3B" w:rsidRPr="00087A72" w:rsidRDefault="006D3B3B" w:rsidP="00496C79">
      <w:pPr>
        <w:pStyle w:val="Heading3"/>
      </w:pPr>
      <w:r w:rsidRPr="00087A72">
        <w:t>Link – Anti-Capitalism</w:t>
      </w:r>
    </w:p>
    <w:p w:rsidR="006D3B3B" w:rsidRPr="00087A72" w:rsidRDefault="00035D36" w:rsidP="00035D36">
      <w:pPr>
        <w:pStyle w:val="Heading4"/>
      </w:pPr>
      <w:r w:rsidRPr="00087A72">
        <w:t>Anti-capitalist movements fail to center the land/spirit nexus and spiritual degradation of the Settler which not only ensures a failure to confront capitalism onto-spiritual causes, but guarantees ongoing genocidal violence.</w:t>
      </w:r>
    </w:p>
    <w:p w:rsidR="006D3B3B" w:rsidRPr="00087A72" w:rsidRDefault="006D3B3B" w:rsidP="006D3B3B">
      <w:r w:rsidRPr="00087A72">
        <w:rPr>
          <w:rStyle w:val="Style13ptBold"/>
        </w:rPr>
        <w:t>Wilderson 10</w:t>
      </w:r>
      <w:r w:rsidRPr="00087A72">
        <w:t xml:space="preserve"> (Frank, Full Professor of Drama and African American studies at the University of California, Irvine </w:t>
      </w:r>
      <w:r w:rsidRPr="00087A72">
        <w:rPr>
          <w:i/>
        </w:rPr>
        <w:t>Red, White, and Black: Cinema and the Structure of U.S. Antagonisms</w:t>
      </w:r>
      <w:r w:rsidRPr="00087A72">
        <w:t xml:space="preserve"> pp. 177-179) NIJ</w:t>
      </w:r>
    </w:p>
    <w:p w:rsidR="006D3B3B" w:rsidRPr="00087A72" w:rsidRDefault="006D3B3B" w:rsidP="006D3B3B">
      <w:pPr>
        <w:rPr>
          <w:sz w:val="12"/>
        </w:rPr>
      </w:pPr>
      <w:r w:rsidRPr="00087A72">
        <w:rPr>
          <w:sz w:val="12"/>
        </w:rPr>
        <w:t>Ward Churchill illustrates the split between Indians and Marxists regarding “conclusions to be drawn from analyses of what is wrong with the capitalist process; with a vision of an alternative society…</w:t>
      </w:r>
      <w:r w:rsidRPr="00087A72">
        <w:rPr>
          <w:rStyle w:val="StyleUnderline"/>
        </w:rPr>
        <w:t>the redistribution of proceeds accruing from a systematic rape of the earth is, at best, an irrelevancy for…Indians”</w:t>
      </w:r>
      <w:r w:rsidRPr="00087A72">
        <w:rPr>
          <w:sz w:val="12"/>
        </w:rPr>
        <w:t xml:space="preserve"> (Marxism and Native Americans 185). Throughout the meta-commentaries of “Savage” ontology the point is made that Native people share and watch over the land in concert with other creatures that inhabit it. </w:t>
      </w:r>
      <w:r w:rsidRPr="00087A72">
        <w:rPr>
          <w:rStyle w:val="StyleUnderline"/>
        </w:rPr>
        <w:t>Settlerism’s structural imposition on the indigenous system of relationality</w:t>
      </w:r>
      <w:r w:rsidRPr="00087A72">
        <w:rPr>
          <w:sz w:val="12"/>
        </w:rPr>
        <w:t xml:space="preserve"> (one in which all inhabitants of the land are the Indian’s “relations”) </w:t>
      </w:r>
      <w:r w:rsidRPr="00087A72">
        <w:rPr>
          <w:rStyle w:val="StyleUnderline"/>
        </w:rPr>
        <w:t xml:space="preserve">is tantamount to the dismantling of indigenous subjectivity. </w:t>
      </w:r>
      <w:r w:rsidRPr="00087A72">
        <w:rPr>
          <w:rStyle w:val="Emphasis"/>
        </w:rPr>
        <w:t>This dismantling of subjectivity</w:t>
      </w:r>
      <w:r w:rsidRPr="00087A72">
        <w:rPr>
          <w:sz w:val="12"/>
        </w:rPr>
        <w:t xml:space="preserve">, Church and others point out, </w:t>
      </w:r>
      <w:r w:rsidRPr="00087A72">
        <w:rPr>
          <w:rStyle w:val="Emphasis"/>
        </w:rPr>
        <w:t>cannot be repaired by a Marxist revolution</w:t>
      </w:r>
      <w:r w:rsidRPr="00087A72">
        <w:rPr>
          <w:sz w:val="12"/>
        </w:rPr>
        <w:t xml:space="preserve"> (found, for example, in Negri and Hardt’s idea of “time redeemed” or the commons restored); </w:t>
      </w:r>
      <w:r w:rsidRPr="00087A72">
        <w:rPr>
          <w:rStyle w:val="StyleUnderline"/>
        </w:rPr>
        <w:t>for such a revolution reinstates neither “stewardship” nor animate/inanimate kinship relations back to the paradigm of dominion and use.</w:t>
      </w:r>
      <w:r w:rsidRPr="00087A72">
        <w:rPr>
          <w:sz w:val="12"/>
        </w:rPr>
        <w:t xml:space="preserve"> lxii </w:t>
      </w:r>
      <w:r w:rsidRPr="00087A72">
        <w:rPr>
          <w:rStyle w:val="StyleUnderline"/>
        </w:rPr>
        <w:t>The Settler’s ontological degradation in the form of capitalism, and his/her emancipation in the form of communism, portends the beginning and the continuation</w:t>
      </w:r>
      <w:r w:rsidRPr="00087A72">
        <w:rPr>
          <w:sz w:val="12"/>
        </w:rPr>
        <w:t xml:space="preserve">, respectively, </w:t>
      </w:r>
      <w:r w:rsidRPr="00087A72">
        <w:rPr>
          <w:rStyle w:val="StyleUnderline"/>
        </w:rPr>
        <w:t>of Indian land dispossession—a dispossession far more profound than material larceny</w:t>
      </w:r>
      <w:r w:rsidRPr="00087A72">
        <w:rPr>
          <w:sz w:val="12"/>
        </w:rPr>
        <w:t>: “Abandonment of their land base is not an option for Native Americans, either in fact or in theory. The result would simply be ‘auto-genocide’” (Churchill, Marxism and Native Americans 193). “Savage” sovereignty’s notions of stewardship and source are presented as ethical alternatives to Settler sovereignty’s notions of dominance and resource. Deloria, Trask, Alfred, and Churchill’s counterpoint to Marxists and Settler progressives is twofold. First,</w:t>
      </w:r>
      <w:r w:rsidRPr="00087A72">
        <w:rPr>
          <w:rStyle w:val="Emphasis"/>
        </w:rPr>
        <w:t xml:space="preserve"> civil society cannot become ethical simply by adjusting its paradigm of resource accumulation and distribution</w:t>
      </w:r>
      <w:r w:rsidRPr="00087A72">
        <w:rPr>
          <w:sz w:val="12"/>
        </w:rPr>
        <w:t xml:space="preserve">; instead, </w:t>
      </w:r>
      <w:r w:rsidRPr="00087A72">
        <w:rPr>
          <w:rStyle w:val="StyleUnderline"/>
        </w:rPr>
        <w:t>the entire ensemble of questions which orient the Human in relation to the natural world have to be “indigenized.”</w:t>
      </w:r>
      <w:r w:rsidRPr="00087A72">
        <w:rPr>
          <w:sz w:val="12"/>
        </w:rPr>
        <w:t xml:space="preserve"> This also means—as Churchill, Trask, and Silko, but not Deloria and Alfred, are quick to point out—</w:t>
      </w:r>
      <w:r w:rsidRPr="00087A72">
        <w:rPr>
          <w:rStyle w:val="StyleUnderline"/>
        </w:rPr>
        <w:t>the indigenous subject, and not the Settler, is the quintessential revolutionary subject- position.</w:t>
      </w:r>
      <w:r w:rsidRPr="00087A72">
        <w:rPr>
          <w:sz w:val="12"/>
        </w:rPr>
        <w:t xml:space="preserve"> </w:t>
      </w:r>
      <w:r w:rsidRPr="00087A72">
        <w:rPr>
          <w:rStyle w:val="Emphasis"/>
        </w:rPr>
        <w:t xml:space="preserve">The indigenous subject, and not the proletariat, is the sine qua non of revolutionary subjectivity because the semiotics of loss which positions the indigenous </w:t>
      </w:r>
      <w:r w:rsidRPr="00087A72">
        <w:rPr>
          <w:sz w:val="12"/>
        </w:rPr>
        <w:t xml:space="preserve">(dispossession of a culturally and spiritually specific land base wherein all creatures were their relations and of which they were stewards) </w:t>
      </w:r>
      <w:r w:rsidRPr="00087A72">
        <w:rPr>
          <w:rStyle w:val="Emphasis"/>
        </w:rPr>
        <w:t xml:space="preserve">is an essential modality of dispossession. </w:t>
      </w:r>
      <w:r w:rsidRPr="00087A72">
        <w:rPr>
          <w:rStyle w:val="StyleUnderline"/>
        </w:rPr>
        <w:t>Dispossession of labor power, at the site of the wage relation, is an important but ultimately inessential form of dispossession. Not only is it inessential but it takes place within an a priori unethical ontological formation: Settlers and civil society.</w:t>
      </w:r>
      <w:r w:rsidRPr="00087A72">
        <w:rPr>
          <w:sz w:val="12"/>
        </w:rPr>
        <w:t xml:space="preserve"> This is a schematization of the difference between a vital aspect of “Savage” sovereignty and Settler sovereignty. Churchill puts a finer point on it by suggesting that </w:t>
      </w:r>
      <w:r w:rsidRPr="00087A72">
        <w:rPr>
          <w:rStyle w:val="StyleUnderline"/>
        </w:rPr>
        <w:t>not only is the proletariat not the essential placeholder for the revolutionary subject, but the proletariat’s struggle to obliterate the wage relation and democratize ownership of the means of production</w:t>
      </w:r>
      <w:r w:rsidRPr="00087A72">
        <w:rPr>
          <w:sz w:val="12"/>
        </w:rPr>
        <w:t xml:space="preserve"> (of which land is a primary component) </w:t>
      </w:r>
      <w:r w:rsidRPr="00087A72">
        <w:rPr>
          <w:rStyle w:val="StyleUnderline"/>
        </w:rPr>
        <w:t>are</w:t>
      </w:r>
      <w:r w:rsidRPr="00087A72">
        <w:rPr>
          <w:sz w:val="12"/>
        </w:rPr>
        <w:t xml:space="preserve"> at best inadequate, and at worst </w:t>
      </w:r>
      <w:r w:rsidRPr="00087A72">
        <w:rPr>
          <w:rStyle w:val="StyleUnderline"/>
        </w:rPr>
        <w:t xml:space="preserve">unethical, in comparison to a struggle to re-indigenizing the land. </w:t>
      </w:r>
      <w:r w:rsidRPr="00087A72">
        <w:rPr>
          <w:sz w:val="12"/>
        </w:rPr>
        <w:t xml:space="preserve">[T]he potential for oppositional action centering upon tangibles such as landbase rather than abstracts on the order of “class interest”…should be starkly evident. Concomitantly, the threat to the stability of the status quo should be readily apparent. A whole body of anti-colonial theory should spring to the mind of any well-read leftist and serve to underscore this [point] lxiii …Consider that every inch of stolen ground recovered…by Native Americans comes directly from the imperial integrity of the U.S. itself. By any definition, the mere potential for even a partial dissolution of the U.S. landbase should be a high priority consideration for anyone concerned with destabilizing the status quo. (Marxism and Native Americans 199-202) In this passage Churchill is not simply asserting a tactical distinction between Marxist politicos and organizations like AIM (the American Indian Movement). Rather, his examination of the Marxist answer to the question What is to be done? critiques the question itself at a paradigmatic level, while offering an alternative, a paradigmatic shift predicated on Indigenism. In short, Churchill claims that </w:t>
      </w:r>
      <w:r w:rsidRPr="00087A72">
        <w:rPr>
          <w:rStyle w:val="StyleUnderline"/>
        </w:rPr>
        <w:t>if Settler revolutionaries shift the spatial paradigm of Marxism from the wage/labor nexus</w:t>
      </w:r>
      <w:r w:rsidRPr="00087A72">
        <w:rPr>
          <w:sz w:val="12"/>
        </w:rPr>
        <w:t xml:space="preserve"> (where surplus value is extracted on Gramscian factory floor or from within the Negrian libidinal “commons”) </w:t>
      </w:r>
      <w:r w:rsidRPr="00087A72">
        <w:rPr>
          <w:rStyle w:val="StyleUnderline"/>
        </w:rPr>
        <w:t>to the land/spirit nexus</w:t>
      </w:r>
      <w:r w:rsidRPr="00087A72">
        <w:rPr>
          <w:sz w:val="12"/>
        </w:rPr>
        <w:t xml:space="preserve"> (the domain where all objects are related to each other as subjects and where source cannot be denigrated as resource) </w:t>
      </w:r>
      <w:r w:rsidRPr="00087A72">
        <w:rPr>
          <w:rStyle w:val="StyleUnderline"/>
        </w:rPr>
        <w:t>then the Revolution would possess an essential, rather than merely an important, ensemble of questions—questions of Native power</w:t>
      </w:r>
      <w:r w:rsidRPr="00087A72">
        <w:rPr>
          <w:sz w:val="12"/>
        </w:rPr>
        <w:t xml:space="preserve"> (mana, waken, manitou, or orenda) </w:t>
      </w:r>
      <w:r w:rsidRPr="00087A72">
        <w:rPr>
          <w:rStyle w:val="StyleUnderline"/>
        </w:rPr>
        <w:t>rather than Settler hegemony</w:t>
      </w:r>
      <w:r w:rsidRPr="00087A72">
        <w:rPr>
          <w:sz w:val="12"/>
        </w:rPr>
        <w:t xml:space="preserve"> (influence, leadership, and consent). lxiv </w:t>
      </w:r>
      <w:r w:rsidRPr="00087A72">
        <w:rPr>
          <w:rStyle w:val="StyleUnderline"/>
        </w:rPr>
        <w:t>This shift from the wage/labor nexus to the land/spirit nexus</w:t>
      </w:r>
      <w:r w:rsidRPr="00087A72">
        <w:rPr>
          <w:sz w:val="12"/>
        </w:rPr>
        <w:t xml:space="preserve">, Churchill’s assertion implies, </w:t>
      </w:r>
      <w:r w:rsidRPr="00087A72">
        <w:rPr>
          <w:rStyle w:val="StyleUnderline"/>
        </w:rPr>
        <w:t>would make the Movement a better and more ethical fighting machine, and, most importantly, provide the Settler with the ontological integrity s/he could never achieve through the machinations of hegemony.</w:t>
      </w:r>
    </w:p>
    <w:p w:rsidR="00452265" w:rsidRPr="00087A72" w:rsidRDefault="00B41FC9" w:rsidP="00002D73">
      <w:pPr>
        <w:pStyle w:val="Heading3"/>
      </w:pPr>
      <w:r w:rsidRPr="00087A72">
        <w:t>Link – Chen (Toxicity)</w:t>
      </w:r>
    </w:p>
    <w:p w:rsidR="00452265" w:rsidRPr="00087A72" w:rsidRDefault="00452265" w:rsidP="00452265">
      <w:pPr>
        <w:pStyle w:val="Heading4"/>
        <w:rPr>
          <w:rStyle w:val="Style13ptBold"/>
          <w:b/>
        </w:rPr>
      </w:pPr>
      <w:r w:rsidRPr="00087A72">
        <w:rPr>
          <w:rStyle w:val="Style13ptBold"/>
          <w:b/>
        </w:rPr>
        <w:t>Toxicity is not something that occurs as a distinct event in time, rather it is imbued within the settler colonial frameworks that have permeated the West for centuries – assuming that one can choose to be toxic in a moment is based on a privileged ideal that fails to recognize the history of toxic violence done to indigenous folk</w:t>
      </w:r>
    </w:p>
    <w:p w:rsidR="00452265" w:rsidRPr="00087A72" w:rsidRDefault="00452265" w:rsidP="00452265">
      <w:pPr>
        <w:rPr>
          <w:rStyle w:val="Style13ptBold"/>
        </w:rPr>
      </w:pPr>
      <w:r w:rsidRPr="00087A72">
        <w:rPr>
          <w:rStyle w:val="Style13ptBold"/>
        </w:rPr>
        <w:t xml:space="preserve">Nunn, 2018 (neil- Human Geography PhD Student at University of Toronto, “Toxic Encounters, Settler Logics of Elimination, and the Future of a Continent”, </w:t>
      </w:r>
      <w:r w:rsidRPr="00087A72">
        <w:rPr>
          <w:rStyle w:val="Style13ptBold"/>
          <w:i/>
        </w:rPr>
        <w:t xml:space="preserve">Antipode, </w:t>
      </w:r>
      <w:r w:rsidRPr="00087A72">
        <w:rPr>
          <w:rStyle w:val="Style13ptBold"/>
        </w:rPr>
        <w:t>Vol. 0, no. 0, pp. 2-5) [SP]</w:t>
      </w:r>
    </w:p>
    <w:p w:rsidR="00452265" w:rsidRPr="00087A72" w:rsidRDefault="00452265" w:rsidP="00452265">
      <w:pPr>
        <w:rPr>
          <w:u w:val="single"/>
        </w:rPr>
      </w:pPr>
      <w:r w:rsidRPr="00087A72">
        <w:rPr>
          <w:sz w:val="16"/>
        </w:rPr>
        <w:t xml:space="preserve">Against the ongoing expressions of Indigenous peoples’ perseverance, actors of the settler state continue their predictable looped playback of regret, apologies and promises for a better tomorrow that works to assure us all that new relations are on the horizon. Minister Bennet’s intentions are sincere. I have no doubts about this. </w:t>
      </w:r>
      <w:r w:rsidRPr="00087A72">
        <w:rPr>
          <w:u w:val="single"/>
        </w:rPr>
        <w:t>They do, however, speak to how toxic geographies are produced and sustained in a way that transcend everyday orientations of space, time, and inten- tion, and are part of a process that obscures the very structures that render life kil- lable. I refer to these encounters as ”toxic geographies”</w:t>
      </w:r>
      <w:r w:rsidRPr="00087A72">
        <w:rPr>
          <w:sz w:val="16"/>
        </w:rPr>
        <w:t xml:space="preserve"> as they are central to the spatially and temporally relational configurations whereby life is systematically destroyed or compromised. </w:t>
      </w:r>
      <w:r w:rsidRPr="00087A72">
        <w:rPr>
          <w:u w:val="single"/>
        </w:rPr>
        <w:t>Bennett’s seemingly benevolent gesture, for example, is deeply entangled with patterns of disproportionate exposure to toxic precarity that have come to mark the colonial project and speaks to how even moments of empathy reinforce broader grammars of control that produce and maintain geographies through which life and living are systematically compromised.</w:t>
      </w:r>
      <w:r w:rsidRPr="00087A72">
        <w:rPr>
          <w:sz w:val="16"/>
        </w:rPr>
        <w:t xml:space="preserve"> In her apology, she includes a seemingly gratuitous nod to Canada’s history of colonial- ism; however, unsurprisingly she never mentions that this violent legacy continues to unfold at the very moment her apology is delivered. </w:t>
      </w:r>
      <w:r w:rsidRPr="00087A72">
        <w:rPr>
          <w:u w:val="single"/>
        </w:rPr>
        <w:t>Scholars have pointed out that settler colonial structures rely upon a masking of the very harms that colonial governments purport to ameliorate (Belcourt 2018; Coulthard 2014; de Leeuw et al. 2013; Gahman 2016; Nunn 2015). As Bennett’s apology demonstrates, the 3 maintenance of settler colonial hegemony relies on compartmentalising various toxic encounters and framing these incidents as distinct and unrelated</w:t>
      </w:r>
      <w:r w:rsidRPr="00087A72">
        <w:rPr>
          <w:sz w:val="16"/>
        </w:rPr>
        <w:t>. In her recent article ”</w:t>
      </w:r>
      <w:r w:rsidRPr="00087A72">
        <w:rPr>
          <w:u w:val="single"/>
        </w:rPr>
        <w:t>The fiscal body of sovereignty: To ’make live’ in Indian country”, Pasternak (2016:317) works to make sense of this settler colonial pro- duction of toxic precarity.</w:t>
      </w:r>
      <w:r w:rsidRPr="00087A72">
        <w:rPr>
          <w:sz w:val="16"/>
        </w:rPr>
        <w:t xml:space="preserve"> ”Four centuries ago”, she explains, the ”Christian Euro- pean conscience” was ”plagued with questions” about the individuals they encountered on the Atlantic coast. ”How do you kill people who have done you no harm?” And ”how do you deny sovereignty to clearly self-governing nations?” </w:t>
      </w:r>
      <w:r w:rsidRPr="00087A72">
        <w:rPr>
          <w:u w:val="single"/>
        </w:rPr>
        <w:t>Minister Bennett’s comments are evidence that similar questions—wrought by an enduring obsession with controlling territory, privileging capital, and upholding illusions of Eurowestern superiority—still haunt the Canadian colonial administra- tion today. Despite the work that her emotional response does to communicate otherwise, her apology is imbricated with long histories of settler colonial efforts ”within imperial sovereignty” to ”kill an Indian with a clear conscience</w:t>
      </w:r>
      <w:r w:rsidRPr="00087A72">
        <w:rPr>
          <w:sz w:val="16"/>
        </w:rPr>
        <w:t xml:space="preserve">” (Pasternak 2016:317–318). </w:t>
      </w:r>
      <w:r w:rsidRPr="00087A72">
        <w:rPr>
          <w:u w:val="single"/>
        </w:rPr>
        <w:t>Bennett’s apology, thus, is part of larger sociopolitical trends of framing these instances of government-led health crises and toxic precarity as iso- lated events, placing similar violent histories neatly in the past</w:t>
      </w:r>
      <w:r w:rsidRPr="00087A72">
        <w:rPr>
          <w:sz w:val="16"/>
        </w:rPr>
        <w:t xml:space="preserve"> (Coulthard 2014; A. Simpson 2014, 2016; L. Simpson 2012). </w:t>
      </w:r>
      <w:r w:rsidRPr="00087A72">
        <w:rPr>
          <w:u w:val="single"/>
        </w:rPr>
        <w:t xml:space="preserve">The relocation of the Sayisi Dene was not a single one-off ”error” or a historical anomaly. Bennett’s attempt to frame it as such, considering the current state of Indigenous affairs across Turtle Island today, is evidence of the powerful systems that work to occlude and sustain these toxic geographies. </w:t>
      </w:r>
      <w:r w:rsidRPr="00087A72">
        <w:rPr>
          <w:sz w:val="16"/>
        </w:rPr>
        <w:t xml:space="preserve">Apologies such as Minister Bennett’s speak to other important questions: how does one uphold strategies of governance that produce racially defined exposure to toxic geographies while absolving culpability? The primary focus of my PhD research engages the colonial politics of mine waste contamination in British Columbia (BC), Canada; it was through the pro- cess of examining how legacies of colonialism are deeply bound with mine-waste contamination, I was confronted by two other toxic encounters that I found impossible to ignore. The first is a decades-long industrial (methyl)mercury con- tamination in Northern Ontario, whereby the Dryden Paper Company dumped 10 tonnes of potent neurotoxins into the Wabigoon River system just upstream from Grassy Narrows reserve. This careless disposal of toxic waste has had acute and long-lasting impacts for the community of Grassy Narrows and for decades has been largely ignored by the provincial government of Ontario. The second encounter is a cluster of toxic conversations that bled through social media in the wake of the murder of Colten Boushie, a 22-year-old Cree man, by 54-year-old farmer Gerald Stanley, while seeking help for a flat tire. Unsettled by these toxic encounters, I have begun to consider how the toxic geographies of mine-waste are deeply enmeshed with incidences whereby life and living are systematically compromised. Through this paper, I consider how toxic geographies operate through an architecture of relationships and connections (see Kimmerer 2013) through the settler colonial project and how seemingly disparate toxic spaces are bound by longstanding histories, ideologies and systems of control. </w:t>
      </w:r>
      <w:r w:rsidRPr="00087A72">
        <w:rPr>
          <w:u w:val="single"/>
        </w:rPr>
        <w:t>Which is to say, the solution to addressing the production of toxic space lies not simply in confronting specific instances of toxicity. Rather, addressing the production of toxic space a  4 relies on dismantling the racial patterns and colonial structures that produce myr- iad manifestations of toxicity, while also interrogating the processes that obscure and compartmentalise these egregious instances of health constraint.</w:t>
      </w:r>
      <w:r w:rsidRPr="00087A72">
        <w:rPr>
          <w:sz w:val="16"/>
        </w:rPr>
        <w:t xml:space="preserve"> Important voices from the field of health have recently expressed similar con- cerns about existing structures of colonialism (de Leeuw et al. 2012; Greenwood et al. 2015; Hunt 2016; Reading 2015). They suggest that although historic and existing structures of colonialism are the most profound determinant of Indige- nous health, there is a concerning lack of sustained work that thinks about Indige- nous health crises in relation to existing structures of colonisation. In their article ”With reserves: Colonial geographies and First Nations health”, de Leeuw et al. (2012:904) suggest that it is essential to recognise ”anti-Indigenous racism” alongside both physical and social colonial geographies when considering signifi- cant determinants of the health. As Greenwood et al. (2015) and Reading (2015) point out, just as we cannot understand health to be solely a social phenomenon, similarly, we cannot understand health apart from enduring colonial structures like private property, land dispossession, and racism, since these aspects of life define and shape health outcomes immeasurably. Making a similar point, Kwan (2012) expresses the need to think about health concerns being connected across vast scales, arguing that geographies of health are far too complex to be limited to any single location, value system, or set of explanations</w:t>
      </w:r>
      <w:r w:rsidRPr="00087A72">
        <w:rPr>
          <w:u w:val="single"/>
        </w:rPr>
        <w:t>. Keeping these insights regarding the relationship between colonial structures and health in mind, in this paper I think about toxic geographies from a broad relational sense—as at once, invisible, corrosive, mundane, with materialities rang- ing from the vitriolic words that speak the language of sociogenic hate (Fanon 2008; see also Lorde 1993), to the spraying of DDT—to advance discussions on toxic geographies, settler colonialism, and environmental racism</w:t>
      </w:r>
      <w:r w:rsidRPr="00087A72">
        <w:rPr>
          <w:sz w:val="16"/>
        </w:rPr>
        <w:t xml:space="preserve">. Mel Y. Chen (2015, 2016) suggests they have given up thinking about toxins as literal or metaphorical entities as they are always seemingly both at once, and acknowl- edges an impossibility of separating toxicity from ideas of ”political sovereignty and globalized capital” (Chen 2007:370). This take on toxicity resonates with Murphy (2015) who highlights the problem of illegibility that exists due to chemi- cals’ sneaky and undetectable characteristics, which enables political strategies that work to occlude the toxic effects of capitalist projects. </w:t>
      </w:r>
      <w:r w:rsidRPr="00087A72">
        <w:rPr>
          <w:u w:val="single"/>
        </w:rPr>
        <w:t>Working through this challenge, Murphy (2013a, 2013b) puts forward the notion of ”chemical infra- structure” to refer to ”spatially and temporally extensive ways” that toxic flows and practices ”are sedimented into and structure the world”, and produced by and through structures such as colonialism and racialisation</w:t>
      </w:r>
      <w:r w:rsidRPr="00087A72">
        <w:rPr>
          <w:sz w:val="16"/>
        </w:rPr>
        <w:t xml:space="preserve"> (Murphy 2013b:2). Reflecting on toxicities’ latency, which she describes as a slowness, persistency, and lag between ”a potential not yet manifest, a past not yet felt”, </w:t>
      </w:r>
      <w:r w:rsidRPr="00087A72">
        <w:rPr>
          <w:u w:val="single"/>
        </w:rPr>
        <w:t>Murphy (2013b:3) questions how we are to respond in politically effective ways to toxici- ties that exist beyond our capacity to know them (see also Nixon 2011; Voyles 2015). For Chen (2012), a productive foundation for working through these potentially overwhelming considerations of the toxic is to think of toxicity as a form of affective relationality between people and other subjects, material, imma- terial and animate, inanimate.</w:t>
      </w:r>
      <w:r w:rsidRPr="00087A72">
        <w:rPr>
          <w:sz w:val="16"/>
        </w:rPr>
        <w:t xml:space="preserve"> As </w:t>
      </w:r>
      <w:r w:rsidRPr="00087A72">
        <w:rPr>
          <w:u w:val="single"/>
        </w:rPr>
        <w:t xml:space="preserve">Minister Bennett’s emotional response to the toxic realities of the Sayisi Dene demonstrate, these relational qualities of toxic 5 space demand that we take seriously how power operates through the latency of toxicity and the varied ways by which settler colonial citational norms, modes of regulation, and constellations of practice define which bodies are significantly more susceptible to toxic exposure, violence, and death. </w:t>
      </w:r>
      <w:r w:rsidRPr="00087A72">
        <w:rPr>
          <w:sz w:val="16"/>
        </w:rPr>
        <w:t xml:space="preserve">Thinking about toxic exposure relationally, at various scales, in politically practi- cal ways is also at the core of scholars working from the field of environmental racism (ER) (Holifield 2001; Pulido 2000). Dillon and Sze (2016), for example, use Eric </w:t>
      </w:r>
      <w:r w:rsidRPr="00087A72">
        <w:rPr>
          <w:u w:val="single"/>
        </w:rPr>
        <w:t>Garner’s dying words ”I can’t breathe”, as a starting point to address larger questions of state-sanctioned racism and insecurity for Black lives in the US. Reflecting on the relationship between environmental conditions and broader structures that deny ”human-ness” and ”life” for racialised subjects, Pulido (2017) expresses concerns that discussions of settler colonialism too often rely on simple white/non-white binaries</w:t>
      </w:r>
      <w:r w:rsidRPr="00087A72">
        <w:rPr>
          <w:sz w:val="16"/>
        </w:rPr>
        <w:t xml:space="preserve">. Speaking to a need to understand racial supremacy operating beyond simplistic categories, in their work that engages racialised dis- courses around lead poisoning in the US, Chen (2007:370) notes that it is edify- ing to trace toxicity’s ”imbrication in the rhetorics of political sovereignty and globalized capital, while being attentive to what is present and what is absent”. </w:t>
      </w:r>
      <w:r w:rsidRPr="00087A72">
        <w:rPr>
          <w:u w:val="single"/>
        </w:rPr>
        <w:t>If vulnerability of life, then, is too often racialised and prone to take place among racialised communities and spaces through logics that normalise sovereignty and the production of capital, then better understanding the broad patterns and structures consistent across these toxic geographies provides a productive place to join existing efforts to envision the emergence of vital new worlds.</w:t>
      </w:r>
    </w:p>
    <w:p w:rsidR="00452265" w:rsidRPr="00087A72" w:rsidRDefault="00452265" w:rsidP="00452265">
      <w:pPr>
        <w:pStyle w:val="Heading4"/>
        <w:rPr>
          <w:rStyle w:val="Style13ptBold"/>
          <w:b/>
        </w:rPr>
      </w:pPr>
      <w:r w:rsidRPr="00087A72">
        <w:rPr>
          <w:rStyle w:val="Style13ptBold"/>
          <w:b/>
        </w:rPr>
        <w:t>Empirically, toxic discourses have been used to criminalize indigenous folk who were accused of violating the rights of white settlers – the ability for the settler to adopt these criminal tropes without punishment via the aff is to engage in a play without stakes that papers over the toxic criminalization of indigenous folk by the settler nation</w:t>
      </w:r>
    </w:p>
    <w:p w:rsidR="00452265" w:rsidRPr="00087A72" w:rsidRDefault="00452265" w:rsidP="00452265">
      <w:pPr>
        <w:rPr>
          <w:rStyle w:val="Style13ptBold"/>
        </w:rPr>
      </w:pPr>
      <w:r w:rsidRPr="00087A72">
        <w:rPr>
          <w:rStyle w:val="Style13ptBold"/>
        </w:rPr>
        <w:t xml:space="preserve">Nunn, 2018 (neil- Human Geography PhD Student at University of Toronto, “Toxic Encounters, Settler Logics of Elimination, and the Future of a Continent”, </w:t>
      </w:r>
      <w:r w:rsidRPr="00087A72">
        <w:rPr>
          <w:rStyle w:val="Style13ptBold"/>
          <w:i/>
        </w:rPr>
        <w:t xml:space="preserve">Antipode, </w:t>
      </w:r>
      <w:r w:rsidRPr="00087A72">
        <w:rPr>
          <w:rStyle w:val="Style13ptBold"/>
        </w:rPr>
        <w:t>Vol. 0, no. 0, pp. 2-5) [SP]</w:t>
      </w:r>
    </w:p>
    <w:p w:rsidR="00452265" w:rsidRPr="00087A72" w:rsidRDefault="00452265" w:rsidP="00452265">
      <w:pPr>
        <w:rPr>
          <w:sz w:val="12"/>
        </w:rPr>
      </w:pPr>
      <w:r w:rsidRPr="00087A72">
        <w:rPr>
          <w:sz w:val="12"/>
        </w:rPr>
        <w:t xml:space="preserve">Through the 15th and 16th centuries, like today, </w:t>
      </w:r>
      <w:r w:rsidRPr="00087A72">
        <w:rPr>
          <w:u w:val="single"/>
        </w:rPr>
        <w:t>beliefs of European cultural and moral superiority were so deeply steeped in to the settler colonial project that they were incorporated into law. The Doctrine of Discovery is a legal doctrine that was fundamental to the age of discovery as it granted Christian colonial bodies the powers to dispossess non-Christians of their ”dominium, their governmental sovereignty and their property</w:t>
      </w:r>
      <w:r w:rsidRPr="00087A72">
        <w:rPr>
          <w:sz w:val="12"/>
        </w:rPr>
        <w:t xml:space="preserve">” (Miller et al. 2010:9) by claiming the lands to be terra nullius, or empty and free to be discovered. </w:t>
      </w:r>
      <w:r w:rsidRPr="00087A72">
        <w:rPr>
          <w:u w:val="single"/>
        </w:rPr>
        <w:t>This so-called ”divine mandate” provided a legal justification, framed through the language of ”duty” and ”re- sponsibility”</w:t>
      </w:r>
      <w:r w:rsidRPr="00087A72">
        <w:rPr>
          <w:sz w:val="12"/>
        </w:rPr>
        <w:t xml:space="preserve"> (Borrows 2015:724), to intervene with those perceived as secular infi- dels. </w:t>
      </w:r>
      <w:r w:rsidRPr="00087A72">
        <w:rPr>
          <w:u w:val="single"/>
        </w:rPr>
        <w:t>Given that lands were clearly not empty of human sovereignty, this framework is premised on the racist belief that Indigenous governance powers were too primitive to legitimately claim sovereignty. This assumption served to reinforce the self-aggrandising views that Europeans were superior to other cul- tures, religions, and races of the world</w:t>
      </w:r>
      <w:r w:rsidRPr="00087A72">
        <w:rPr>
          <w:sz w:val="12"/>
        </w:rPr>
        <w:t xml:space="preserve">, and worked to justify the control of Indigenous lands and render Indigenous Nations subjects of the European sover- eign without consent or adequate knowledge of these systems (Asch 2002; Bor- rows 2015; Miller et al. 2010). </w:t>
      </w:r>
      <w:r w:rsidRPr="00087A72">
        <w:rPr>
          <w:u w:val="single"/>
        </w:rPr>
        <w:t>This international law remains the primary legal precedent that informs native affairs and rights across Canada, the United States, New Zealand, and Australia (Miller et al. 2010), and is upheld in Canadian law through the ”de facto acceptance”</w:t>
      </w:r>
      <w:r w:rsidRPr="00087A72">
        <w:rPr>
          <w:sz w:val="12"/>
        </w:rPr>
        <w:t xml:space="preserve"> that Crown sovereignty historically displaced Indigenous sovereignty ”simply by claiming it as such” Borrows (2015:724). </w:t>
      </w:r>
      <w:r w:rsidRPr="00087A72">
        <w:rPr>
          <w:u w:val="single"/>
        </w:rPr>
        <w:t>The colonisation of Indigenous peoples in Canada, then, is inseparable from the work that these legal mythologies have done to code Indigenous peoples as anachro- nistic, non-existent, less-than-human, since these very beliefs are at the core of colonial structures that work to control, dispossess, and kill Indigenous territory and bodies</w:t>
      </w:r>
      <w:r w:rsidRPr="00087A72">
        <w:rPr>
          <w:sz w:val="12"/>
        </w:rPr>
        <w:t xml:space="preserve">. Building on the work of these still salient legal doctrines, to further understand how </w:t>
      </w:r>
      <w:r w:rsidRPr="00087A72">
        <w:rPr>
          <w:u w:val="single"/>
        </w:rPr>
        <w:t>toxicity manifests itself today it is useful to question the broader arch and ambitions that compose the ongoing settler colonial project. The colonial context in North America can be characterised as a settler model of colonialism. Whereas other forms of colonialism can be understood through the exploitation of labour and capital, settler colonialism is a territorial project that is centred on the accu- mulation and control of dispossessed land</w:t>
      </w:r>
      <w:r w:rsidRPr="00087A72">
        <w:rPr>
          <w:sz w:val="12"/>
        </w:rPr>
        <w:t xml:space="preserve">. Because the structure of settler colo- nialism is such that acquiring territory, and maintaining a sense of legitimacy over the acquired territory is the main concern, and because Indigenous peoples have legitimate claims to desired, capital-rich, territories, they must be eliminated (Wolfe 2011, 2016). Historically, the thirst for land, alongside the naturalisation of Eurowestern value systems, frames Indigenous life and living as a problem (Simp- son 2014). While it may be true, as Wolfe (2006:387) puts it, that ”the question of geno- cide is never far from discussions of settler colonialism”, it is important to return to the point that elimination has not existed simply through outright murder. </w:t>
      </w:r>
      <w:r w:rsidRPr="00087A72">
        <w:rPr>
          <w:u w:val="single"/>
        </w:rPr>
        <w:t>Forced cultural assimilation projects like residential schooling and child abduction through child ”welfare” programs, and the breaking-down of native title into indi- vidual freeholds has resulted in the dissolution of Indigenous life, thus opening space to supplant colonial infrastructures and institutions in its place</w:t>
      </w:r>
      <w:r w:rsidRPr="00087A72">
        <w:rPr>
          <w:sz w:val="12"/>
        </w:rPr>
        <w:t xml:space="preserve"> (Wolfe 2006,2016). Framing the settler colonial project in this way helps to crystallise how vari- ous levels of government levels could ignore the mass life-threatening toxic condi- tions at Grassy Narrows. Networks of colonial infrastructures—pipelines, logging roads, shopping malls, ”public parks”—all rely on a dissolution of Indigenous con- nections to territory. </w:t>
      </w:r>
      <w:r w:rsidRPr="00087A72">
        <w:rPr>
          <w:u w:val="single"/>
        </w:rPr>
        <w:t>Historically, it has been made abundantly clear the lengths that will be taken to prop up a narrow set of archetypal values. It is also important to note that the project of settler colonialism is ongoing and necessarily incomplete. The ongoing resistance to colonial constraint across Turtle Island is a testament to this. As Simpson (2014:7–8) puts it: ”colonialism survives in a settler form. In this form, it fails at what it is supposed to do: elimi- nate Indigenous people; take all their land; absorb them into a white, property- owning body politic”</w:t>
      </w:r>
      <w:r w:rsidRPr="00087A72">
        <w:rPr>
          <w:sz w:val="12"/>
        </w:rPr>
        <w:t xml:space="preserve">. Or, as Veracini (2013) suggests, a successful settler colonial project exists when the population can be reduced to a ”manageable” remnant. This attrition takes place through an assemblage of multiple overlapping elimina- tory strategies. Fundamental to the acceptance of this violence by the general population is a host of naturalised myths about Indigenous populations. </w:t>
      </w:r>
      <w:r w:rsidRPr="00087A72">
        <w:rPr>
          <w:u w:val="single"/>
        </w:rPr>
        <w:t>Views of Indigenous populations as anachronistic, morally inferior, incapable of making productive use of land, benefiting from assimilation, or posing a threat to ”hard- working” citizens are just a few of the powerful cultural myths that work to occlude the violent extent of these eliminatory strategies. In this sense, as we will see next, the notion of elimination is neither exclusively material nor symbolic.</w:t>
      </w:r>
      <w:r w:rsidRPr="00087A72">
        <w:rPr>
          <w:sz w:val="12"/>
        </w:rPr>
        <w:t xml:space="preserve"> It shapes not only physically violent strategies of acquiring land, but is central in cre- ating narratives that define Western life, and non-Western death. </w:t>
      </w:r>
      <w:r w:rsidRPr="00087A72">
        <w:rPr>
          <w:u w:val="single"/>
        </w:rPr>
        <w:t>Where Indianness Stops We take naps in the August heat, we go for long drives to the river, we swim, we fall in love. The difference is that we do all these things in a county that long ago decided Native freedom, Native love and Native life are, more than anything else, a threat. A threat to westward expansion, to Canadian civilization, to private property, to your farm tractor</w:t>
      </w:r>
      <w:r w:rsidRPr="00087A72">
        <w:rPr>
          <w:sz w:val="12"/>
        </w:rPr>
        <w:t xml:space="preserve">. Take your pick. (Lee 2016) Racism is ... the state-sanctioned and/or extralegal production and exploitation of group-differentiated vulnerability to premature death. (Gilmore 2007:28) On 13 August 2016, Colten Boushie was murdered on the way home from swim- ming in the river with his friends. </w:t>
      </w:r>
      <w:r w:rsidRPr="00087A72">
        <w:rPr>
          <w:u w:val="single"/>
        </w:rPr>
        <w:t>According to the passengers in the car, the group had gotten a flat tire and went to a nearby farm for help. While many of the exact details may never be known, and matter little to this study, what is known is that the owner of the property, 56-year-old Gerald Stanley, smashed the windshield of the vehicle, and subsequently fired inside the vehicle, killing 22-year-old Colten Boushie. On Friday 9 February 2018, at 7:30 pm, Gerald Stanley was found not guilty of second-degree murder charges by an all-white 12-person jury, claiming that the shooting of Colten Boushie in the back of the head was an accident. According to Stanley’s testimony, the gun ”just went off”.</w:t>
      </w:r>
      <w:r w:rsidRPr="00087A72">
        <w:rPr>
          <w:sz w:val="12"/>
        </w:rPr>
        <w:t xml:space="preserve"> It is clear that Gerald Stanley ended the life of Colten Boushie. What requires further unpacking, however, is how this event unfolds in relation to a bundle of historical, social and spatial value systems that define ”everyday life”, and death, in the region. Following the investigation of this murder, there has been no evi- dence that anybody in the car posed a real threat to Stanley or his family. </w:t>
      </w:r>
      <w:r w:rsidRPr="00087A72">
        <w:rPr>
          <w:u w:val="single"/>
        </w:rPr>
        <w:t>It appears the only thing Colten Boushie was ever truly guilty of was being racially identifiable in a land where Indigenous life and living was never part of the plan</w:t>
      </w:r>
      <w:r w:rsidRPr="00087A72">
        <w:rPr>
          <w:sz w:val="12"/>
        </w:rPr>
        <w:t xml:space="preserve"> (Pasternak 2015). While I find this murder grievous and intolerable, having grown up myself in a rural community in Northern BC, I do not find it entirely surprising. In thousands of rural agricultural and resource towns across Canada, </w:t>
      </w:r>
      <w:r w:rsidRPr="00087A72">
        <w:rPr>
          <w:u w:val="single"/>
        </w:rPr>
        <w:t>legacies of colonialism have become part of the cultural fabric of daily rural settler life in the form of socio-spatial apartheid whereby specific bodies are deemed in place or out of place according to race. The Federal Indian reserve system was a notable force in creating this apartheid.</w:t>
      </w:r>
      <w:r w:rsidRPr="00087A72">
        <w:rPr>
          <w:sz w:val="12"/>
        </w:rPr>
        <w:t xml:space="preserve"> The reserve system is a government-led system of dis- placement that has defined Indigenous social relations in Canada for well over a century. </w:t>
      </w:r>
      <w:r w:rsidRPr="00087A72">
        <w:rPr>
          <w:u w:val="single"/>
        </w:rPr>
        <w:t>The system freed up Indigenous land for capital extraction by setting aside ”a tiny fraction” of Indigenous territory for use by the original inhabitants, and surrounding these parcels with ”clusters of permissions and inhibitions” tar- geted at limiting Indigenous peoples’ opportunities and movements (Harris 2004:165; see also Harris 2011:xxi). This policy was enabled through the Indian Act of 1867, a legislative framework and cohesive national strategy of control that was applied to broad and heterogeneous Indigenous populations led by the ulti- mate thrust of ”civilizing” these populations through assimilation</w:t>
      </w:r>
      <w:r w:rsidRPr="00087A72">
        <w:rPr>
          <w:sz w:val="12"/>
        </w:rPr>
        <w:t xml:space="preserve"> (Bartlett 1988). The Indian Act provided the justification for countless egregious policies, including the country-wide forced removal of children from their homes through the resi- dential schooling system (Regan 2010; Sellars 2013), the broad outlawing of cul- tural practices for all Indigenous people across Canada (Bartlett 1988), and restrictions on fee-simple private property ownership (Egan and Place 2013; Pasternak 2015). And to compound the degree to which these systems impacted the populations they were directed at, until 1951 amendments to the Indian Act criminalised attempts to organise resistance to, or hire legal counsel in defence of, these policies (Manuel 2015). </w:t>
      </w:r>
      <w:r w:rsidRPr="00087A72">
        <w:rPr>
          <w:u w:val="single"/>
        </w:rPr>
        <w:t>While racially motivated violent encounters may have formed the cultural fabric of this continent for centuries (see e.g. Cameron 2015; Dean 2015; Dhillon 2017; Razack 2015), in the case of the murder of Colten Boushie, it is the toxic conver- sations that have bubbled to the surface through social media that have made this story hard to ignore</w:t>
      </w:r>
      <w:r w:rsidRPr="00087A72">
        <w:rPr>
          <w:sz w:val="12"/>
        </w:rPr>
        <w:t xml:space="preserve">. Perhaps the most widely publicised comment was made on a Saskatchewan farmers’ Facebook group, by Ben Kautz a farmer and town councillor with the rural municipality of Browning, Regina. Sympathising with the alleged murderer, Kautz commented: ”In my mind his only mistake was leaving witnesses” (The Canadian Press 2016). On the same Saskatchewan Farmers’ Face- book page another individual commented: ”He should have shot all five of them, given a medal” (Cuthand 2016). And while countless individuals on forums such as the ”Farmers with Firearms” Facebook group suggest that comments such as 11 these have nothing to do with race, the way that race and colonialism are inher- ent to the murder is undeniable (Farmers with Firearms n.d.). Comments like ”shoot em, breed like rabbits anyway” leave me winded every time I read them (Cuthand 2016). But they also attest to the role of race and white supremacy in this discussion, while speaking to a deadly normative process of dehumanisation by which the standardised category of Man gets (over)repre- sented in such a way that they come to be seen as the ”only available mode of complete humanness” (McKittrick 2006:123, see also Wynter 2003). </w:t>
      </w:r>
      <w:r w:rsidRPr="00087A72">
        <w:rPr>
          <w:b/>
          <w:u w:val="single"/>
        </w:rPr>
        <w:t>I refer to these encounters as toxic as they form a part of the normative society that consti- tutes an acceptance of the conditions through which lives and organisms can be rendered susceptible to disease, injury, and murder. Which is to say, these toxic comments do not simply exist in the realm of metaphor. They represent narra- tives that through processes of iterative normativity provide justification for a host of decisions and actions that result in exposure to acute health risk and death. Returning to Murphy’s description of the latency of toxicity (the slowness and persistency by which toxicity is sedimented through social structures), I want to draw attention to the violence produced through these comments and highlight the work they do to normalise the mythology that sustains settler colonial elimi- nation</w:t>
      </w:r>
      <w:r w:rsidRPr="00087A72">
        <w:rPr>
          <w:sz w:val="12"/>
        </w:rPr>
        <w:t xml:space="preserve">. </w:t>
      </w:r>
      <w:r w:rsidRPr="00087A72">
        <w:rPr>
          <w:sz w:val="8"/>
        </w:rPr>
        <w:t xml:space="preserve">Murphy’s (2013b:3) description of the latency of toxicity as ”a potential not yet manifest, a past not yet felt” helps connect this flurry of dehumanising comments to the potentiality of violence produced through this vitriol. Put differ- ently, these comments contribute to the creation of the social conditions for vio- lence like this to be accepted and even celebrated. By focusing on the toxicity of these comments, I do not wish to propose that shooting itself is not embedded with toxic legacies of settler colonial control. I believe it is. The task at hand is to understand the diverse ways that life is com- promised in such a way that belies any belief that the crisis of Indigenous targeted violence can be resolved simply by addressing any single violent encounter. But the conditions for less-than-human death are not simply manifest via blatant and cruel discourse. They are woven through very institutions that appear to make up the fabric of our everyday lives that create the standard by which life and living are measured. In the case of the murder of Colten Boushie, property was a salient example of this. Across the media, countless people decried high property crime rates in their communities and sympathised with Stanley, suggesting that he was simply a victim of unfortunate circumstance. The truth is, it has been hard to find a media report on the murder where property or property violations are not men- tioned. Property, thus, has not only been used to explain Colten Boushie’s mur- der, but has been used to ignite further toxic discourse about the ”right” to protect one’s property. As one individual commented in the discussion section of a National Post article discussing Boushie’s murder: I agree Dave. Doesn’t matter if someone stepped onto someone’s land likely the dogs would get em. If no bullets will. No trespassing means just that. If you are to [sic] stu- pid to read the sign or to [sic] ignorant to respect someone else’s property. Than [sic] you alone have to deal with the consequences [sic] of that decision. Drawing on this comment, the point I want to push forward about property is that the explanation for this murder runs deeper than a few half-cans of gasoline, some stolen power tools, or a tractor. Property has been central to the settler colonial project and works together with processes of elimination. As Pasternak (2014:155) has shown, Modernist ideas of agricultural enclosure employed through property relations, ”emerged as central rationales for dispossession”. In fact, fee simple, the most common form of freehold private property ownership today is directly traceable to an original grant of land from the crown through the Royal Proclamation of 1763, a set of colonial guidelines that issued land back to the crown that works in concert with the Doctrine of Discovery in as far as they both strived for legitimacy for otherwise uncertain and illegitimate claims to jurisdiction in English occupied North America (see Blomley 2015). These guide- lines-cum-legal frameworks set the standard for private property relations today, and were central in legitimating occupation and dispossession in North America (Blomley 2014; Harris 2004; Pasternak 2014, 2015; Rifkin 2013). To put it bluntly: ”Property starts where Indianness stops” (Wolfe 2011:15). While it is true that today Indigenous people are legally permitted to own land, much like voting in colonial government elections (see Smith 2013), to engage in this legal agreement is an act of legitimising the colonial sovereign and contradicts Indigenous claims to sovereignty, and efforts to decolonisation. From this logic, the right to use deadly force to protect one’s property excludes those individuals who are engaged in day-to-day politics of refusing state sovereignty. It also must be said that property is not simply a mechanism by which we use land. It is a powerful concept that has been relied upon to create a sense of order to the world. As Blomley describes, the enactment of property relies on a continuous performance whereby stories and mythologies in relation to property have intermingled with violent action. Property needs a tale to legitimise its existence. Still today, Western notions of property are deeply invested in a colonial mythology, in which the ”racialized figure of the savage plays a central role” (Blomley 2003:124; see also Blomley 2011). ”Violence is where property is not”, Blomley (2000:88) asserts; ”property serves to displace violence”. Maintaining indigeneity within this legal order works alongside the spectre of what exists beyond the limits of property, thus legitimising the figure of the diligent property owner who must defend what they have worked hard to attain. This spectre of Indigenous threat in relation to private property even existed in the press release from the Royal Canadian Mounted Police (Canada’s national policing institution) following the murder: Initial investigation has revealed five individuals entered onto private property by vehicle in the rural area and were confronted by property owners who were outside and witnessed their arrival. The occupants of the vehicle were not known to the property owners. A verbal exchange occurred in an attempt to get the vehicle to leave the yard and ultimately a firearm was discharged, striking an occupant in the vehicle ... One adult male associated to the property was arrested by police at the scene without incident. Three occupants from the vehicle, including two females (one being a youth) and one adult male were taken into custody as part of a related theft investigation. Another male youth is being sought; his identity is still being confirmed at this time ... (RCMP SK Media 2016). These words are not what you might expect following a case where four individuals had just witnessed a friend being murdered. On the one hand, Stanley is described as a protector of his property who complied with the cops, on the other, the Indigenous victims portrayed as nameless, fugitives, recalcitrant, thieves. This reaffirms that property is not simply about land and possessions. It is a socio-historical and racialised process of spatial production that relies on a series of mythologies that are firmly rooted in traditions of dehumanisation, exclusion, and privilege. Harris (1993:1714), for example, argues that from the time of slavery and the establishment of settler colonial systems on Turtle Island, whiteness has designated the allocation of a host of public and private societal benefits that have been ”legitimated in law as a type of status property”. The toxic discussion following the death of Colten Boushie that rested heavily on ideas of property violation exemplifies what Harris describes as a deeply embedded racial casting, and naturalised array of benefits, assumptions, and privileges that exist alongside the status of conforming to a particular subjectivity historically connected to periods when privilege was more distinctly aligned with the archetypal Eurowestern figure (see Nunn 2017; Sundberg 2003). These assets that those aligned with a normative Eurowestern status sought to rely upon, over time, were ”affirmed, legitimated, and protected by the law” (Harris 1993:1713). Redlining, reservation systems, and migrant worker policies are just a few other examples of the deep entanglement between social privilege and law. Towards More Care-Full, Vital, and Life-Affirming Futures In 1994 Black feminist scholar Sylvia Wynter wrote a letter to fellow faculty at Stanford University entitled ”‘No Humans Involved’: An Open Letter to My Colleagues”. In the letter, she reflects on the acronym NHI, or ”no humans involved”, a term used by public officials in cases involving the “breech of rights of young Black males who belong to the jobless category of the inner-city ghettos” (Wynter 1994:42). The category NHI granted police officers an informal authorisation to mishandle and abuse citizens considered NHI with little risk of reprimand. It was a term used by officials in the judicial system around the time of the acquittal of the police officers who were filmed beating Rodney King. Speaking back to the systems that produce these racial structures, in her essay, Wynter urges her colleagues to consider how they are involved in producing this category of NHI. The category is upheld and (re)produced through their roles in educating the brightest and best in the legal field, and the maintenance of disciplinary paradigms and systems of knowledge that are put forth to broader society. Bennett’s apology for the genocide of the Sayisi Dene, legacies of toxicity at Grassy Narrows, and the toxic comments that </w:t>
      </w:r>
      <w:r w:rsidRPr="00087A72">
        <w:rPr>
          <w:u w:val="single"/>
        </w:rPr>
        <w:t>followed the murder of Colten Boushie, each speak to the longer standing production of toxicity that defines the lives that are privileged as the standard, and those that fall outside the regulatory category of Human, and as a result, are subject to elimination</w:t>
      </w:r>
      <w:r w:rsidRPr="00087A72">
        <w:rPr>
          <w:sz w:val="12"/>
        </w:rPr>
        <w:t xml:space="preserve">. Wynter’s letter to her colleagues asserts the need to push back against any perceptions that the production of these instances of less-than-human toxic precarity are singular and disconnected from us and our daily lives. </w:t>
      </w:r>
      <w:r w:rsidRPr="00087A72">
        <w:rPr>
          <w:u w:val="single"/>
        </w:rPr>
        <w:t>Her letter rejects the all too easy pattern of viewing toxic encounters as somewhere ”out there” or ”way back when”, invit- ing those she works with to consider how they are relationally embedded to each other and to the production of the category of NHI. Taking a related approach, this paper is a call to recognise that toxic encoun- ters operate in relation to one another, and are part of larger histories and con- stellations of colonial practice that have and continue to produce landscapes of spatial control.</w:t>
      </w:r>
      <w:r w:rsidRPr="00087A72">
        <w:rPr>
          <w:sz w:val="12"/>
        </w:rPr>
        <w:t xml:space="preserve"> Property, the Doctrine of Discovery, and notions of terra nullius are just a few examples of these extant systems that uphold these patterns of elimina- tion; the status quo is made up of an assemblage of normative ideologies. </w:t>
      </w:r>
      <w:r w:rsidRPr="00087A72">
        <w:rPr>
          <w:u w:val="single"/>
        </w:rPr>
        <w:t>Euro- western ideas of finance and economics (Pasternak 2016), spirituality (Cajete 2000), law (Borrows 2002, 2010), sexuality (Hunt and Holmes 2015; Rifkin 2010, 2014), citizenship (Alfred 2005, 2009; Palmater 2015) together become natu- ralised as fact and are fundamental to how the general population comes to know what it means to be Human, or less-than-human</w:t>
      </w:r>
      <w:r w:rsidRPr="00087A72">
        <w:rPr>
          <w:sz w:val="12"/>
        </w:rPr>
        <w:t xml:space="preserve">. Bringing these incidents in conversation woven through the backdrop of settler logics of elimination and various racially formed legal structures suggests that the solutions for this history of genocide extend well beyond critical reflections on the recklessness of industry, or other specific violent incidents. </w:t>
      </w:r>
      <w:r w:rsidRPr="00087A72">
        <w:rPr>
          <w:u w:val="single"/>
        </w:rPr>
        <w:t>Considering these vio- lent incidents together demands an exploration of the broader structures of power and how they operate at once historically, transnationally, and intimately in proximity; it invites reflection on ways to deconstruct powerful ideologies that produce the disavowal and recklessness that produce these toxic encounters</w:t>
      </w:r>
      <w:r w:rsidRPr="00087A72">
        <w:rPr>
          <w:sz w:val="12"/>
        </w:rPr>
        <w:t xml:space="preserve">. How are systems such as property and legal doctrines interwoven with the struc- tures that compromise life? What might be the most effective approaches to unearthing and confronting these structures? The point of this paper, then, has been to try to open space, conceptually, to envision how we might begin to deconstruct barriers in discussions of health, pol- itics, and social policy that maintain distinctions and attempt to compartmentalise various instances whereby life is systematically compromised across North Amer- ica. It is an invitation to reflect on how we might deconstruct ideologies that pro- duce the disavowal and recklessness that shape these toxic encounters. </w:t>
      </w:r>
      <w:r w:rsidRPr="00087A72">
        <w:rPr>
          <w:u w:val="single"/>
        </w:rPr>
        <w:t>I have suggested that one way of doing this is by first acknowledging how broader pat- terns of toxicity are intimately bound together by histories of colonialism and matrices of cultural supremacy continuous through ongoing projects of empire. Dean (2015:9) suggests we think about a collective responsibility to address these problems through an inheritance of what lives on from the lives lost, which ulti- mately requires ”grappling with the wider context of settler colonialism that underpins these events”.</w:t>
      </w:r>
      <w:r w:rsidRPr="00087A72">
        <w:rPr>
          <w:sz w:val="12"/>
        </w:rPr>
        <w:t xml:space="preserve"> Considering broader colonial relationships and historical patterns in relation to less-than-human crises of toxicity, can offer the possibility to radically reconsider what we turn to as meaningful solutions for toxic relation- ships. Which is to say, the murder of Colten Boushie is not simply about high crime rates or backwards, rural farmers; disease from mercury contamination at Grassy Narrows is caused by more than weak environmental regulations or 15 inefficient governing systems that are plagued by inaction; the relocation of the Sayisi Dene goes well beyond poor decisions, or a horrible misstep. </w:t>
      </w:r>
      <w:r w:rsidRPr="00087A72">
        <w:rPr>
          <w:u w:val="single"/>
        </w:rPr>
        <w:t>Central to this project of understanding various manifestations of racial oppression relationally is the hope that such a move might create space for discussion on how we might embrace new sets of values that are more care-full, vital, and life-affirming. Addressing the complexity of toxic geographies, demands a consideration of an architecture of relationships and connections that exist everywhere as a starting point in our research, while bringing questions of care, respect, responsibility, in relation to vitality and well-being, to the fore</w:t>
      </w:r>
      <w:r w:rsidRPr="00087A72">
        <w:rPr>
          <w:sz w:val="12"/>
        </w:rPr>
        <w:t xml:space="preserve"> (see Kimmerer 2013; Nunn 2017). This approach will likely chafe on what is acceptable in most current discussions of health and toxicity. Current dialogues in mainstream health, for example, are not accustomed to thinking about mercury contamination alongside deeply racia- lised murders and genocidal historical relocations. My provocation is, then, that if we wish to envision ways to address current crises of toxicity and well-being in meaningful and sustained ways, we must.</w:t>
      </w:r>
    </w:p>
    <w:p w:rsidR="00B41FC9" w:rsidRPr="00087A72" w:rsidRDefault="00B41FC9" w:rsidP="00B41FC9">
      <w:pPr>
        <w:pStyle w:val="Heading4"/>
      </w:pPr>
      <w:r w:rsidRPr="00087A72">
        <w:t>The affirmativ</w:t>
      </w:r>
      <w:r w:rsidR="00EC4346" w:rsidRPr="00087A72">
        <w:t>e’s theorization of toxicity and animacy relies upon an anti-Native secular foundation which must deny personhood to “inanimate” objects. This logic inevitably recreates not simply the non-humanity, but the non-animacy of Native bodies, justifying genocide.</w:t>
      </w:r>
    </w:p>
    <w:p w:rsidR="00B41FC9" w:rsidRPr="00087A72" w:rsidRDefault="00B41FC9" w:rsidP="00B41FC9">
      <w:r w:rsidRPr="00087A72">
        <w:rPr>
          <w:rStyle w:val="Style13ptBold"/>
        </w:rPr>
        <w:t>Johnson 17</w:t>
      </w:r>
      <w:r w:rsidRPr="00087A72">
        <w:t xml:space="preserve"> (Brittany, Research Assistant at the Alberta Centre for Child, Family &amp; Community Research and Graduate Student at the University of Alberta “Indigenous Relationality: Women, Sex, and The Animate,” pp. 9-13) NIJ</w:t>
      </w:r>
    </w:p>
    <w:p w:rsidR="00B41FC9" w:rsidRPr="00087A72" w:rsidRDefault="00B41FC9" w:rsidP="00B41FC9">
      <w:pPr>
        <w:rPr>
          <w:sz w:val="12"/>
        </w:rPr>
      </w:pPr>
      <w:r w:rsidRPr="00087A72">
        <w:rPr>
          <w:rStyle w:val="StyleUnderline"/>
        </w:rPr>
        <w:t>If you are unable to embrace your sexual, relational self, unable to identify as a sexual being or to celebrate relationality—as Indigenous women’s personhood was removed historically, and continues to be ignored—then the idea of Indigenous female sexuality becomes queer in and of itself; the queerness of Indigenous female sexuality includes all those who identify as women, but as I discuss, it is important to understand that my use of the term “queer” is not only based on Two Spirit or other gender-queer sexualities.</w:t>
      </w:r>
      <w:r w:rsidRPr="00087A72">
        <w:rPr>
          <w:sz w:val="12"/>
        </w:rPr>
        <w:t xml:space="preserve"> In the introduction of Queering the Non/Human, Noreen Giffney and Myra Hird discuss what exactly it means to be human, and what it means in relationship with the terms “queer” and “theory.” They say that using </w:t>
      </w:r>
      <w:r w:rsidRPr="00087A72">
        <w:rPr>
          <w:rStyle w:val="StyleUnderline"/>
        </w:rPr>
        <w:t>the term “queer” is “a concerted effort to make sense of, and make space in, a world that has given up on us”</w:t>
      </w:r>
      <w:r w:rsidRPr="00087A72">
        <w:rPr>
          <w:sz w:val="12"/>
        </w:rPr>
        <w:t xml:space="preserve"> (4). </w:t>
      </w:r>
      <w:r w:rsidRPr="00087A72">
        <w:rPr>
          <w:rStyle w:val="StyleUnderline"/>
        </w:rPr>
        <w:t>From an Indigenous perspective, the “world that has given up on us” has additionally marginalized Indigenous “queer” persons, and the very term “queer” itself may not be the best term for an Indigenous understanding of non-heteronormative sexualities, as the very act of Indigenous persons having sexualities is queer: how can a person without the political and human status of a person have sexuality without being viewed as deviant, as, in fact, queer? If this person has relations with the same sex, in a multi/more-than-sexual orgy, with an other-thanhuman being, how much more queer and unaccepted is their form of relating?</w:t>
      </w:r>
      <w:r w:rsidRPr="00087A72">
        <w:rPr>
          <w:sz w:val="12"/>
        </w:rPr>
        <w:t xml:space="preserve"> Giffney and Hird state that “how we do queer theory invoke[s] considerations of what we do with queer theory” (12). Throughout my thesis, I subvert expected modes of engaging with queer theory; this unexpected use of queer theory in turn informs what it is I do with this different approach to queer theory: it is not so much a methodology “to unpick binaries and reread gaps, silences and in-between spaces” (5), but is rather a queering of that which is considered to be queer, a challenging of those spaces and places that are not discussed in much of queer theory, a challenging of the personhood and animacy of what we do with queer theory. In my understanding, queer theory is always changing and fluctuating, and there is a necessary space for specifically Indigenous queer theory that is not predicated on Two-Spirit critique alone. </w:t>
      </w:r>
      <w:r w:rsidRPr="00087A72">
        <w:rPr>
          <w:rStyle w:val="StyleUnderline"/>
        </w:rPr>
        <w:t>To make use of queer theory in an Indigenous sense, we must make sure that we do queer theory from within an Indigenous framework. The link between queer and theory “is not so much an active/passive relation as an intra-active one; their enfolding an act of ‘becoming-otherwise’”</w:t>
      </w:r>
      <w:r w:rsidRPr="00087A72">
        <w:rPr>
          <w:sz w:val="12"/>
        </w:rPr>
        <w:t xml:space="preserve"> (12). </w:t>
      </w:r>
      <w:r w:rsidRPr="00087A72">
        <w:rPr>
          <w:rStyle w:val="StyleUnderline"/>
        </w:rPr>
        <w:t>Through an Indigenous understanding of relationality, the “becoming-otherwise” is a becoming-person, a struggle to maintain our inter-relations within a suffocating settler sexuality; to become-person when your personhood has been so far removed is an act of decolonization, and is a queering of the settler sexuality that has been imposed. To become-person is to become animate, is to come alive.</w:t>
      </w:r>
      <w:r w:rsidRPr="00087A72">
        <w:rPr>
          <w:sz w:val="12"/>
        </w:rPr>
        <w:t xml:space="preserve"> In essence, </w:t>
      </w:r>
      <w:r w:rsidRPr="00087A72">
        <w:rPr>
          <w:rStyle w:val="StyleUnderline"/>
        </w:rPr>
        <w:t>for someone who is Indigenous to not only claim the status of “human” but to also become a “person” is a queer act in and of itself; to become animate is to defy the objectivity of settler colonial views of what it means to be “Indigenous.” Animacy</w:t>
      </w:r>
      <w:r w:rsidRPr="00087A72">
        <w:rPr>
          <w:sz w:val="12"/>
        </w:rPr>
        <w:t xml:space="preserve">, in one Indigenous understanding, </w:t>
      </w:r>
      <w:r w:rsidRPr="00087A72">
        <w:rPr>
          <w:rStyle w:val="StyleUnderline"/>
        </w:rPr>
        <w:t>is deeply embedded in our cultural traditions and in our life experiences. It is not simply a theory; it is a tangible way of understanding the world around us</w:t>
      </w:r>
      <w:r w:rsidRPr="00087A72">
        <w:rPr>
          <w:sz w:val="12"/>
        </w:rPr>
        <w:t xml:space="preserve"> and is a defensible translation of key understandings within wâhkôhtowin, a term that I will discuss in greater detail throughout. Wâhkôhtowin, as described by nehiyaw writer and scholar Neal McLeod in Cree Narrative Memory, not only grounds our collective memory, but also necessarily points to the importance of our relationships with the entirety of creation (14). Wâhkôhtowin “keeps narrative memory grounded and embedded within an individual’s life stories. It also grounds the transmission of Cree narrative memory: people tell stories to other people who are part of the stories and who assume the moral responsibility to remember” (15, italicization mine). Part of being connected to each other through an understanding of wâhkôhtowin is having not only the ability to define our world and our relationships via oral accounts and stories as we have since time immemorial, but also the responsibility to remember. If we do not remember the words of our ancestors, what will we be left with? If we do not learn our ancestral languages and the teachings embedded within the very words themselves, how can we say that we are working to decolonize the colonial systems of thought and knowledge transmission in which we find ourselves trapped? How can we remember that which we do not actively seek to understand and then pass on to others so that they too can remember? </w:t>
      </w:r>
      <w:r w:rsidRPr="00087A72">
        <w:rPr>
          <w:rStyle w:val="StyleUnderline"/>
        </w:rPr>
        <w:t>According to Mel Chen, animacy is “a specific kind of affective and material construct that is not only nonneutral in relation to animals, humans, and living and dead things, but is shaped by race and sexuality, mapping various biopolitical realizations of animacy”</w:t>
      </w:r>
      <w:r w:rsidRPr="00087A72">
        <w:rPr>
          <w:sz w:val="12"/>
        </w:rPr>
        <w:t xml:space="preserve"> (5). </w:t>
      </w:r>
      <w:r w:rsidRPr="00087A72">
        <w:rPr>
          <w:rStyle w:val="StyleUnderline"/>
        </w:rPr>
        <w:t>I agree with Chen that culture and society work to shape animacy, however, language and its relation to the concept of “animacy” seems to be left out of Chen’s understanding; animacy is, in and of itself, animate. If I am to understand animacy as being merely an affective and material construct</w:t>
      </w:r>
      <w:r w:rsidRPr="00087A72">
        <w:rPr>
          <w:sz w:val="12"/>
        </w:rPr>
        <w:t>—a construct through which I discuss wâhkôhtowin—</w:t>
      </w:r>
      <w:r w:rsidRPr="00087A72">
        <w:rPr>
          <w:rStyle w:val="StyleUnderline"/>
        </w:rPr>
        <w:t>then I am not truly taking an Indigenous approach to animacy; our approaches to animacy are non-static and include more than just that which is seen and that which is unseen.</w:t>
      </w:r>
      <w:r w:rsidRPr="00087A72">
        <w:rPr>
          <w:sz w:val="12"/>
        </w:rPr>
        <w:t xml:space="preserve"> Moreover, this approach must incorporate Indigenous languages (nehiyawewin, in this case). </w:t>
      </w:r>
      <w:r w:rsidRPr="00087A72">
        <w:rPr>
          <w:rStyle w:val="StyleUnderline"/>
        </w:rPr>
        <w:t>Throughout Chen’s text I find that there is a missing discussion of the other-than-animal, non-bodied, or the unseen</w:t>
      </w:r>
      <w:r w:rsidRPr="00087A72">
        <w:rPr>
          <w:sz w:val="12"/>
        </w:rPr>
        <w:t xml:space="preserve">; all of which are a part of wâhkôhtowin, </w:t>
      </w:r>
      <w:r w:rsidRPr="00087A72">
        <w:rPr>
          <w:rStyle w:val="StyleUnderline"/>
        </w:rPr>
        <w:t>a part of the animate world, albeit in different forms and different (non)bodies and the unseen.</w:t>
      </w:r>
      <w:r w:rsidRPr="00087A72">
        <w:rPr>
          <w:sz w:val="12"/>
        </w:rPr>
        <w:t xml:space="preserve"> In one section of their text, </w:t>
      </w:r>
      <w:r w:rsidRPr="00087A72">
        <w:rPr>
          <w:rStyle w:val="Emphasis"/>
        </w:rPr>
        <w:t>Chen talks about toxicity, stating that toxicity is “a condition, one that is too complex to imagine as a property of one or another individual or group or something that could itself be so easily bounded”</w:t>
      </w:r>
      <w:r w:rsidRPr="00087A72">
        <w:rPr>
          <w:sz w:val="12"/>
        </w:rPr>
        <w:t xml:space="preserve"> (196). </w:t>
      </w:r>
      <w:r w:rsidRPr="00087A72">
        <w:rPr>
          <w:rStyle w:val="StyleUnderline"/>
        </w:rPr>
        <w:t xml:space="preserve">Essentially, toxicity is not animate or inanimate, but is rather a condition of (in)animate bodies joining together. Chen goes on to discuss how when a toxin comes into our bodily system, it can have negative affects such as changing the way we think, act, and feel; essentially, to be intoxicated is to experience change in our selves. </w:t>
      </w:r>
      <w:r w:rsidRPr="00087A72">
        <w:rPr>
          <w:rStyle w:val="Emphasis"/>
        </w:rPr>
        <w:t>While this discussion of toxicity begins to get at the unseen or the (non)bodied that I mention, what I find missing from this discussion is that which is not microscopic or tangible/measurable: that which is spirit, is part of dreams, is relational.</w:t>
      </w:r>
      <w:r w:rsidRPr="00087A72">
        <w:rPr>
          <w:sz w:val="12"/>
        </w:rPr>
        <w:t xml:space="preserve"> </w:t>
      </w:r>
      <w:r w:rsidRPr="00087A72">
        <w:rPr>
          <w:rStyle w:val="StyleUnderline"/>
        </w:rPr>
        <w:t>A large part of the colonization of these relations is done using the language of the colonizers, as in English, “the only way to be animate, to be worthy of respect and moral concern, is to be a human”</w:t>
      </w:r>
      <w:r w:rsidRPr="00087A72">
        <w:rPr>
          <w:sz w:val="12"/>
        </w:rPr>
        <w:t xml:space="preserve"> (Kimmerer 57). </w:t>
      </w:r>
      <w:r w:rsidRPr="00087A72">
        <w:rPr>
          <w:rStyle w:val="Emphasis"/>
        </w:rPr>
        <w:t xml:space="preserve">Discussing other-than-humans—which is understood as animal, vegetable, mineral, more or less—as non-persons is particularly troubling in that not discussing those Nations or persons that do not belong to a colonial understanding of what each other-than-human category means leaves out a large part of what could be understood </w:t>
      </w:r>
      <w:r w:rsidRPr="00087A72">
        <w:rPr>
          <w:sz w:val="12"/>
        </w:rPr>
        <w:t xml:space="preserve">through the lens of wâhkôhtowin </w:t>
      </w:r>
      <w:r w:rsidRPr="00087A72">
        <w:rPr>
          <w:rStyle w:val="Emphasis"/>
        </w:rPr>
        <w:t>as animate.</w:t>
      </w:r>
      <w:r w:rsidRPr="00087A72">
        <w:rPr>
          <w:sz w:val="12"/>
        </w:rPr>
        <w:t xml:space="preserve"> </w:t>
      </w:r>
      <w:r w:rsidRPr="00087A72">
        <w:rPr>
          <w:rStyle w:val="StyleUnderline"/>
        </w:rPr>
        <w:t>Without meaning to, such non-Indigenous understandings can be seen</w:t>
      </w:r>
      <w:r w:rsidRPr="00087A72">
        <w:rPr>
          <w:sz w:val="12"/>
        </w:rPr>
        <w:t xml:space="preserve"> in a nehiyaw worldview </w:t>
      </w:r>
      <w:r w:rsidRPr="00087A72">
        <w:rPr>
          <w:rStyle w:val="StyleUnderline"/>
        </w:rPr>
        <w:t>as essentially denigrating these relations; they are de-personed. I choose to use the word de-personed because other-than-human, otherthan-animal, (non)bodied, or the unseen are all persons, and so to invoke the idea of non-human can be seen as diminishing their existence.</w:t>
      </w:r>
      <w:r w:rsidRPr="00087A72">
        <w:rPr>
          <w:sz w:val="12"/>
        </w:rPr>
        <w:t xml:space="preserve"> This diminishing is directly connected to the idea of dehumanization, a term which is also problematic, but I include it here due to my discussion of Chen’s work. </w:t>
      </w:r>
      <w:r w:rsidRPr="00087A72">
        <w:rPr>
          <w:rStyle w:val="StyleUnderline"/>
        </w:rPr>
        <w:t>Chen says, “One form of what is understood as dehumanization involves the removal of qualities especially cherished as human; at other times, dehumanization involves the more active making of an object”</w:t>
      </w:r>
      <w:r w:rsidRPr="00087A72">
        <w:rPr>
          <w:sz w:val="12"/>
        </w:rPr>
        <w:t xml:space="preserve"> (43). </w:t>
      </w:r>
      <w:r w:rsidRPr="00087A72">
        <w:rPr>
          <w:rStyle w:val="StyleUnderline"/>
        </w:rPr>
        <w:t xml:space="preserve">If we take away those qualities that are supposedly only human, then what we are left with is “animal” or a being with other-than-human qualities devoid of, or with lesser, value. We do a disservice to our relations when we categorize them via colonial understandings of humanness rather than seeing them as persons; each person has unique qualities that should be honoured and respected through their place and space within relationality, within community. What do we make then of Indigenous bodies, Indigenous persons, when these bodies are not only not human, they are also not persons? Indigenous bodies and persons have been “dehumanized” under colonial structures of Indigenous subjugation but they have also been de-personed; their bodies and personhood were viewed not as human—a category held in the highest regard—but as animalistic, which is a negative label under heteronormative colonial thinking. Under this same line of thinking, Indigenous bodies and persons were viewed as objects in the making of the terms such as the “drunken Indian,” “dirty half-breed,” and “noble savage”; they were viewed as inanimate. </w:t>
      </w:r>
      <w:r w:rsidRPr="00087A72">
        <w:rPr>
          <w:sz w:val="12"/>
        </w:rPr>
        <w:t xml:space="preserve">According to Saulteaux/Métis scholar Janice Acoose, </w:t>
      </w:r>
      <w:r w:rsidRPr="00087A72">
        <w:rPr>
          <w:rStyle w:val="StyleUnderline"/>
        </w:rPr>
        <w:t xml:space="preserve">Indigenous women have long been considered that which is to be objectified, dehumanized, and made into objects to be acted upon, all which is structured into the ways in which western society views the Indigenous female body: </w:t>
      </w:r>
      <w:r w:rsidRPr="00087A72">
        <w:rPr>
          <w:sz w:val="12"/>
        </w:rPr>
        <w:t xml:space="preserve">most often, as the “squaw” (37). To build on this, </w:t>
      </w:r>
      <w:r w:rsidRPr="00087A72">
        <w:rPr>
          <w:rStyle w:val="StyleUnderline"/>
        </w:rPr>
        <w:t>Indigenous bodies were first stripped of human qualities: dehumanized, and then depersoned.</w:t>
      </w:r>
      <w:r w:rsidRPr="00087A72">
        <w:rPr>
          <w:sz w:val="12"/>
        </w:rPr>
        <w:t xml:space="preserve"> Potawatomi scholar and writer Robin Kimmerer eloquently describes the “grammar of animacy.” She writes: </w:t>
      </w:r>
      <w:r w:rsidRPr="00087A72">
        <w:rPr>
          <w:rStyle w:val="StyleUnderline"/>
        </w:rPr>
        <w:t>This is the grammar of animacy</w:t>
      </w:r>
      <w:r w:rsidRPr="00087A72">
        <w:rPr>
          <w:sz w:val="12"/>
        </w:rPr>
        <w:t xml:space="preserve">…In English, </w:t>
      </w:r>
      <w:r w:rsidRPr="00087A72">
        <w:rPr>
          <w:rStyle w:val="StyleUnderline"/>
        </w:rPr>
        <w:t>we never refer to a member of our family, or indeed to any person, as it. That would be a profound act of disrespect. It robs a person of selfhood and kinship, reducing a person to a mere thing. So it is that in Potawatomi and most other indigenous languages, we use the same words to address the living world as we would use for our family. Because they are our family.</w:t>
      </w:r>
      <w:r w:rsidRPr="00087A72">
        <w:rPr>
          <w:sz w:val="12"/>
        </w:rPr>
        <w:t xml:space="preserve"> (55) This statement is as true in nehiyawewin as it is in Potawatomi: we address all of our relations as family, as connections, as animate beings deserving of personhood. So too do we understand language itself as being animate.</w:t>
      </w:r>
    </w:p>
    <w:p w:rsidR="00452265" w:rsidRPr="00087A72" w:rsidRDefault="00452265" w:rsidP="00B41FC9">
      <w:pPr>
        <w:rPr>
          <w:sz w:val="12"/>
        </w:rPr>
      </w:pPr>
    </w:p>
    <w:p w:rsidR="00D66B35" w:rsidRPr="00087A72" w:rsidRDefault="00D66B35" w:rsidP="00496C79">
      <w:pPr>
        <w:pStyle w:val="Heading3"/>
      </w:pPr>
      <w:r w:rsidRPr="00087A72">
        <w:t>Link – Commons</w:t>
      </w:r>
    </w:p>
    <w:p w:rsidR="00D66B35" w:rsidRPr="00087A72" w:rsidRDefault="00D66B35" w:rsidP="00D66B35">
      <w:pPr>
        <w:pStyle w:val="Heading4"/>
      </w:pPr>
      <w:r w:rsidRPr="00087A72">
        <w:t>The commons fought for by the non-indigenous radicals paradoxically excludes the indigenous body. Without an understanding of the important differences between how white settlers, arrivants, and Indigenous peoples conceptualize and practice land-based relationships is to erase the inherent conflict embedded within claims to the commons</w:t>
      </w:r>
    </w:p>
    <w:p w:rsidR="00D66B35" w:rsidRPr="00087A72" w:rsidRDefault="00D66B35" w:rsidP="00D66B35">
      <w:r w:rsidRPr="00087A72">
        <w:rPr>
          <w:b/>
        </w:rPr>
        <w:t>FORTIER 15</w:t>
      </w:r>
      <w:r w:rsidRPr="00087A72">
        <w:t xml:space="preserve"> </w:t>
      </w:r>
      <w:r w:rsidRPr="00087A72">
        <w:rPr>
          <w:sz w:val="16"/>
        </w:rPr>
        <w:t>(CRAIG, “UNSETTLING MOVEMENTS: DECOLONIZING NON-INDIGENOUS RADICAL STRUGGLES IN SETTLER COLONIAL STATES.” Pp 241-244squirms)</w:t>
      </w:r>
    </w:p>
    <w:p w:rsidR="00D66B35" w:rsidRPr="00087A72" w:rsidRDefault="00D66B35" w:rsidP="00D66B35">
      <w:pPr>
        <w:rPr>
          <w:sz w:val="16"/>
        </w:rPr>
      </w:pPr>
      <w:r w:rsidRPr="00087A72">
        <w:rPr>
          <w:sz w:val="16"/>
        </w:rPr>
        <w:t>I am lost in San Francisco’s Mission District on my way to meet up with Clare Bayard, a white anti-racist educator with the Catalyst Project in San Francisco. We are supposed to meet at a local café, a small holdover from a previous era in a rapidly gentrifying part of the city. I am late because I have been wandering through back alleys where graffiti artists have painted dozens of murals that tell the stories of over five hundred years of Indigenous resistance to colonization. I duck out of the alleyways and make my way down a residential street where I come upon an inconspicuously placed plaque that is dedicated to the Rammaytush Ohlone people. The plaque shows a map of the area (which, in my state of being lost, is what drew me to it in the first place) and shares a quote written in both the Rammaytush and English languages. It reads: “Sun, moon, sky, village, friend, alive: we eat, drink, sing, and dance.” I interpret the words as an allusion to the relationships and practices that govern and sustain the Ohlone peoples within these territories. The plaque is situated on the site of the original Mission Dolores constructed in 1776. The same Mission Dolores that is notorious for its widespread practices of occupation, dispossession, conversion, and extermination of Indigenous (and particularly Ohlone) peoples. The historic struggle of the Ohlone peoples against colonization and displacement seems to be present everywhere. And yet, given the current intensity of queer liberation, migrant justice, and anti-gentrification struggles in the Mission neighbourhood, the message written on the plaque seemed indecipherable in the context of non-Indigenous anti-authoritarian politics. This indecipherability of Indigenous ways of being outside of the logics of settler colonialism lingered in the back of my mind when I finally made my way to meet up with Clare. In that interview, Clare succinctly posed a question that I believe underlies the contradictions embedded in non-Indigenous struggles for the commons within settler colonial states, stating: “</w:t>
      </w:r>
      <w:r w:rsidRPr="00087A72">
        <w:rPr>
          <w:rStyle w:val="Emphasis"/>
        </w:rPr>
        <w:t>The difficulty that a lot of non-Native people have in imagining what unsettling would look like in this country is that it’s not a political possibility. We can’t even imagine what that would look like – how do we do that?” Clare’s question speaks to the normalization of settler colonial logics even within pre-figurative visions of other worlds. In my understanding, Clare suggests that settler colonial logics are so deeply engrained in our lives, including those of us within the anti- authoritarian current, that it seems impossible to imagine what decolonization would look like. In that respect, we fail to see how our desire to reclaim the commons and resist economic, gendered, and racial oppression neglects to acknowledge the settler colonial context in which our movements take place.</w:t>
      </w:r>
      <w:r w:rsidRPr="00087A72">
        <w:rPr>
          <w:sz w:val="16"/>
        </w:rPr>
        <w:t xml:space="preserve"> Glen Coulthard (2014) explains that these logics are not only the erasure of settler colonial histories from radical anti-authoritarian projects, but are also projects that are potentially antagonistic to Indigenous attempts to re-assert and sustain decolonial relationships. Coulthard (2014) argues: [W]hat must be recognized by those inclined to advocate a blanket ‘return of the commons’ as a redistributive counterstrategy to the neoliberal state’s new round of enclosures, is that, in liberal setter states such as Canada, the ‘commons’ not only belong to somebody – the First Peoples of this land – they also deeply inform and sustain Indigenous modes of thought and behavior that harbor profound insights into the maintenance of relationships within and between human beings and the natural world built on principles of reciprocity, nonexploitation and respectful coexistence (12). Coulthard’s critique signals an important consideration for movements seeking to “reclaim the commons”, namely, that </w:t>
      </w:r>
      <w:r w:rsidRPr="00087A72">
        <w:rPr>
          <w:rStyle w:val="Emphasis"/>
        </w:rPr>
        <w:t>there are multiple ways in which the commons can be organized and articulated. A commons fought for, envisioned, and practiced by non- Indigenous radicals that ignores the historical context of settler colonialism can and often does threaten or interfere with processes of Indigenous decolonization and resurgence.</w:t>
      </w:r>
      <w:r w:rsidRPr="00087A72">
        <w:rPr>
          <w:sz w:val="16"/>
        </w:rPr>
        <w:t xml:space="preserve"> Historian Allan Greer (2012) observes, “</w:t>
      </w:r>
      <w:r w:rsidRPr="00087A72">
        <w:rPr>
          <w:rStyle w:val="Emphasis"/>
        </w:rPr>
        <w:t>The association of ‘commons’ with the poor in England and the Indians in America, not to mention its overtones of sharing and cooperation, can lead to a romantic view that emphasizes the collective aspects of commoning to the neglect of the exclusive nature of most commons known to history”</w:t>
      </w:r>
      <w:r w:rsidRPr="00087A72">
        <w:rPr>
          <w:sz w:val="16"/>
        </w:rPr>
        <w:t xml:space="preserve"> (386). Literature on the radical left is awash with overtures towards the reclamation of some form of commons or commoning as an important political project inspired by early resistance to capitalism and colonialism waged by peasants in England (see Thompson 1963, 1993), the motley crew of enslaved Africans, poor white settlers, and Indigenous peoples in the revolutionary Atlantic (see Linebaugh and Rediker 2000), and the contemporary multitude engaged in a radical reclamation of the commonwealth (see Hardt and Negri 2009) or radical democracy (see Graeber 2013). While these texts are all important contributions to an ongoing discussion on the nature of anti-authoritarian political projects of liberation ‘in the shell of the old’ system of capitalism, overwhelmingly authors and activists alike have the propensity to suggest that Eurocentric conceptions of the commons and those of Indigenous peoples in North America are complementary, equitable, or even synonymous with each other. What Greer’s research clearly shows is that while the negotiation of a commons was a central feature of both Indigenous and settler forms of organizing land relations, “these two commons were not different places, but rather contending customs and rules regulating the use of a given space and its resources” (376). </w:t>
      </w:r>
      <w:r w:rsidRPr="00087A72">
        <w:rPr>
          <w:rStyle w:val="Emphasis"/>
        </w:rPr>
        <w:t>In flattening out the important differences between how white settlers, arrivants (to borrow a term from Jodi Byrd), and Indigenous peoples conceptualize and practice land-based relationships is to erase the inherent conflict embedded within claims to the commons.</w:t>
      </w:r>
      <w:r w:rsidRPr="00087A72">
        <w:rPr>
          <w:rStyle w:val="Emphasis"/>
        </w:rPr>
        <w:footnoteReference w:id="1"/>
      </w:r>
      <w:r w:rsidRPr="00087A72">
        <w:rPr>
          <w:rStyle w:val="Emphasis"/>
        </w:rPr>
        <w:t xml:space="preserve"> It is also, as Adam J. Barker (2012) observes, an erasure of “the very memory of Indigenous ways of knowing and being” by subsuming them “into a multicultural Settler polity”</w:t>
      </w:r>
      <w:r w:rsidRPr="00087A72">
        <w:rPr>
          <w:sz w:val="16"/>
        </w:rPr>
        <w:t xml:space="preserve"> (330). This is why political movements in Canada and the United States that are geared toward reclaiming “our streets” or “our cities” or “our countries” from the capitalist elite often fail to properly consider the ways in which our own movements continue to perpetuate the structure of settler colonialism. Such </w:t>
      </w:r>
      <w:r w:rsidRPr="00087A72">
        <w:rPr>
          <w:rStyle w:val="Emphasis"/>
        </w:rPr>
        <w:t>projects to “reclaim the commons” remain ensnared within settler colonial logics in three important ways: through the evasion of complicity in producing and maintaining the structures of colonization, through the attempt to naturalize settler polities and systems of governance, and through the appropriation of Indigenous territories and ways of being within the overarching structure of the settler commons.</w:t>
      </w:r>
      <w:r w:rsidRPr="00087A72">
        <w:rPr>
          <w:sz w:val="16"/>
        </w:rPr>
        <w:t xml:space="preserve"> </w:t>
      </w:r>
    </w:p>
    <w:p w:rsidR="00CD7A9B" w:rsidRPr="00087A72" w:rsidRDefault="00CD7A9B" w:rsidP="00496C79">
      <w:pPr>
        <w:pStyle w:val="Heading3"/>
      </w:pPr>
      <w:r w:rsidRPr="00087A72">
        <w:t>Link – Deleuze and Guattari</w:t>
      </w:r>
    </w:p>
    <w:p w:rsidR="00452265" w:rsidRPr="00087A72" w:rsidRDefault="00452265" w:rsidP="00452265">
      <w:pPr>
        <w:pStyle w:val="Heading4"/>
      </w:pPr>
      <w:r w:rsidRPr="00087A72">
        <w:t>The line of flight moves through the graveyard of the Native. The deterritorialization of the human, the becoming-Trans all wander haunted by ghosts which scream in terror.</w:t>
      </w:r>
    </w:p>
    <w:p w:rsidR="00452265" w:rsidRPr="00087A72" w:rsidRDefault="00452265" w:rsidP="00452265">
      <w:pPr>
        <w:rPr>
          <w:rStyle w:val="StyleUnderline"/>
          <w:u w:val="none"/>
        </w:rPr>
      </w:pPr>
      <w:r w:rsidRPr="00087A72">
        <w:rPr>
          <w:rStyle w:val="Style13ptBold"/>
        </w:rPr>
        <w:t>King 2017</w:t>
      </w:r>
      <w:r w:rsidRPr="00087A72">
        <w:t xml:space="preserve"> ( Tiffany King is an assistant prof @ University of Maryland,  Humans Involved: Lurking in the Lines of Posthumanist Flight , Source: Critical Ethnic Studies, Vol. 3, No. 1 (Spring 2017), pp. 162-185</w:t>
      </w:r>
    </w:p>
    <w:p w:rsidR="00452265" w:rsidRPr="00087A72" w:rsidRDefault="00452265" w:rsidP="00452265">
      <w:pPr>
        <w:rPr>
          <w:sz w:val="16"/>
        </w:rPr>
      </w:pPr>
      <w:r w:rsidRPr="00087A72">
        <w:rPr>
          <w:rStyle w:val="StyleUnderline"/>
        </w:rPr>
        <w:t>Native/Indigenous studies and Black studies have both sustained a unique, rigorous, and supple interrogation of the stakes of identity, particularly as they relate to how the state</w:t>
      </w:r>
      <w:r w:rsidRPr="00087A72">
        <w:rPr>
          <w:sz w:val="16"/>
        </w:rPr>
        <w:t xml:space="preserve">— </w:t>
      </w:r>
      <w:r w:rsidRPr="00087A72">
        <w:rPr>
          <w:rStyle w:val="StyleUnderline"/>
        </w:rPr>
        <w:t>and its everyday practices of Native genocide and anti- Black</w:t>
      </w:r>
      <w:r w:rsidRPr="00087A72">
        <w:rPr>
          <w:sz w:val="16"/>
        </w:rPr>
        <w:t xml:space="preserve"> </w:t>
      </w:r>
      <w:r w:rsidRPr="00087A72">
        <w:rPr>
          <w:rStyle w:val="StyleUnderline"/>
        </w:rPr>
        <w:t>racism—</w:t>
      </w:r>
      <w:r w:rsidRPr="00087A72">
        <w:rPr>
          <w:sz w:val="16"/>
        </w:rPr>
        <w:t xml:space="preserve"> ha</w:t>
      </w:r>
      <w:r w:rsidRPr="00087A72">
        <w:rPr>
          <w:rStyle w:val="StyleUnderline"/>
        </w:rPr>
        <w:t xml:space="preserve">s the power to confer the identity of the human onto some bodies while denying access to this identity to Black and Native/Indigenous peoples. </w:t>
      </w:r>
      <w:r w:rsidRPr="00087A72">
        <w:rPr>
          <w:sz w:val="16"/>
        </w:rPr>
        <w:t>The distinguishing ethical concerns and dilemmas of both Native/Indigenous decolonization and Black abolition inevitably alter and destabilize the ground on which discussions about identity and specifically the human unfold. How these political and intellectual projects change the terms of the debate and discussion about identity and the human are invaluable to the project of critical ethnic studies</w:t>
      </w:r>
      <w:r w:rsidRPr="00087A72">
        <w:rPr>
          <w:rStyle w:val="StyleUnderline"/>
        </w:rPr>
        <w:t>. Scholars in the fields of critical ethnic, Black, and Native studies who welcome the charge of decolonization and abolition in the corporate university often labor to push back</w:t>
      </w:r>
      <w:r w:rsidRPr="00087A72">
        <w:rPr>
          <w:sz w:val="16"/>
        </w:rPr>
        <w:t xml:space="preserve"> </w:t>
      </w:r>
      <w:r w:rsidRPr="00087A72">
        <w:rPr>
          <w:rStyle w:val="StyleUnderline"/>
        </w:rPr>
        <w:t>against and expose the limitations of the “epistemic turns” or “epistemic revolutions of Europe</w:t>
      </w:r>
      <w:r w:rsidRPr="00087A72">
        <w:rPr>
          <w:sz w:val="16"/>
        </w:rPr>
        <w:t>” that Sylvia Wynter so deftly tracks in her voluminous body of work. Scholars committed to the politics of Black abolitionist work and Native decolonization must often assume postures of suspicion— “misanthropy”— and sometimes must outright refuse Western thought’s arrogant universalist assumptions, commonsense tautologies, and professed reforms to the category of the human; due to these ways, they often experience a great deal of hostility and violence</w:t>
      </w:r>
      <w:r w:rsidRPr="00087A72">
        <w:rPr>
          <w:rStyle w:val="StyleUnderline"/>
        </w:rPr>
        <w:t>. When decolonial and Black abolitionist thought has to contend with Western or European continental theory, specifically its critical theories of progressive</w:t>
      </w:r>
      <w:r w:rsidRPr="00087A72">
        <w:rPr>
          <w:sz w:val="16"/>
        </w:rPr>
        <w:t xml:space="preserve"> (liberal) </w:t>
      </w:r>
      <w:r w:rsidRPr="00087A72">
        <w:rPr>
          <w:rStyle w:val="StyleUnderline"/>
        </w:rPr>
        <w:t>social change, one often encounters an epistemic crisis or what scholar Frank Wilderson refers to as an antagonism.</w:t>
      </w:r>
      <w:r w:rsidRPr="00087A72">
        <w:rPr>
          <w:sz w:val="16"/>
        </w:rPr>
        <w:t>1 Fo</w:t>
      </w:r>
      <w:r w:rsidRPr="00087A72">
        <w:rPr>
          <w:rStyle w:val="StyleUnderline"/>
        </w:rPr>
        <w:t>rced to wrestle with antagonisms that often require Native/Indigenous and Black death, the scholar committed to decolonization and abolition in the university seminar space often has to refuse necropolitical epistemological systems, which structure white liberal humanist ways of thinking and imagining the world</w:t>
      </w:r>
      <w:r w:rsidRPr="00087A72">
        <w:rPr>
          <w:sz w:val="16"/>
        </w:rPr>
        <w:t xml:space="preserve">. </w:t>
      </w:r>
      <w:r w:rsidRPr="00087A72">
        <w:rPr>
          <w:rStyle w:val="StyleUnderline"/>
        </w:rPr>
        <w:t>This kind of labor and violent confrontation in the classroom on a repeated basis can transform one’s educational and professional experience into one rife with stress, anxiety, and unease</w:t>
      </w:r>
      <w:r w:rsidRPr="00087A72">
        <w:rPr>
          <w:sz w:val="16"/>
        </w:rPr>
        <w:t xml:space="preserve">. More specifically, I have watched graduate </w:t>
      </w:r>
      <w:r w:rsidRPr="00087A72">
        <w:rPr>
          <w:rStyle w:val="StyleUnderline"/>
        </w:rPr>
        <w:t>students of color experience this kind of stress, anxiety, and unease as they confront the pressure to “take up” more contemporary impulses within Western “critical theory” to move “beyond the human” or toward the posthuman</w:t>
      </w:r>
      <w:r w:rsidRPr="00087A72">
        <w:rPr>
          <w:sz w:val="16"/>
        </w:rPr>
        <w:t xml:space="preserve">. One task of this article is to attend to the ways that </w:t>
      </w:r>
      <w:r w:rsidRPr="00087A72">
        <w:rPr>
          <w:rStyle w:val="StyleUnderline"/>
        </w:rPr>
        <w:t>Black and Indigenous academics, as well as Black and Native studies scholars, are expected to perform a commitment to a Deleuzian brand of posthumanist and nonrepresentational theory as proof that they are critical and postmodern scholars and disciplinary formations.</w:t>
      </w:r>
      <w:r w:rsidRPr="00087A72">
        <w:rPr>
          <w:sz w:val="16"/>
        </w:rPr>
        <w:t xml:space="preserve"> Lately, I have heard questions posed to Black and Native scholars and activists who theorize the work of movements like Black Lives Matter, Idle No More, and other work addressing Black and Indigenous death to explain what relationship this (survival- based) work has to “identity,” “the subject,” or “the human.” More specifically, the questions are posed as ones that assume that these movements reify one or all of the above categories. </w:t>
      </w:r>
      <w:r w:rsidRPr="00087A72">
        <w:rPr>
          <w:rStyle w:val="StyleUnderline"/>
        </w:rPr>
        <w:t>Additionally, the inquiries are accompanied by an expectation that the person(s) and the movements will disavow all claims to identity, subjecthood, and the desire for humanity.</w:t>
      </w:r>
      <w:r w:rsidRPr="00087A72">
        <w:rPr>
          <w:sz w:val="16"/>
        </w:rPr>
        <w:t xml:space="preserve"> </w:t>
      </w:r>
      <w:r w:rsidRPr="00087A72">
        <w:rPr>
          <w:rStyle w:val="StyleUnderline"/>
        </w:rPr>
        <w:t>What kinds of hostilities, assumptions, and misrecognitions lurk in inquiries such as the following: “Is Black Lives Matter a humanist movement?”2 “Does BLM reify the notion and idea of the human?”</w:t>
      </w:r>
      <w:r w:rsidRPr="00087A72">
        <w:rPr>
          <w:sz w:val="16"/>
        </w:rPr>
        <w:t xml:space="preserve"> “</w:t>
      </w:r>
      <w:r w:rsidRPr="00087A72">
        <w:rPr>
          <w:rStyle w:val="StyleUnderline"/>
        </w:rPr>
        <w:t>When will Native studies transcend or get beyond the subject or the human?”3</w:t>
      </w:r>
      <w:r w:rsidRPr="00087A72">
        <w:rPr>
          <w:sz w:val="16"/>
        </w:rPr>
        <w:t xml:space="preserve"> Because emerging scholars in the academy often contend with these hostile inquires in the seminar space, while teaching, at conferences and in other spaces of academe, a change in comportment, tone, affect, and ways of being in the academy also needs to accompany the modes of conceptual and theoretical resistance within Black and Native studies. This article is as interested in the postures, affective states (skepticism), and stubborn practices of insubordination such as refusal that frustrate forward movement and business- asusual in the academy. Specifically, this article tracks how Native feminist refusal and Black feminist suspicion respond to Deleuzian theory. </w:t>
      </w:r>
      <w:r w:rsidRPr="00087A72">
        <w:rPr>
          <w:rStyle w:val="StyleUnderline"/>
        </w:rPr>
        <w:t>Native feminist politics of decolonial refusal and Black feminist abolitionist politics of skepticism informed by a misandry and misanthropic distrust of and animus toward the (over)representation of man/men as the human diverge from the polite, communicative acts of the public sphere, much like the politics of the “feminist killjoy</w:t>
      </w:r>
      <w:r w:rsidRPr="00087A72">
        <w:rPr>
          <w:sz w:val="16"/>
        </w:rPr>
        <w:t xml:space="preserve">.”4 Throughout this article, I </w:t>
      </w:r>
      <w:r w:rsidRPr="00087A72">
        <w:rPr>
          <w:rStyle w:val="StyleUnderline"/>
        </w:rPr>
        <w:t>deploy the term “feminist” both ambivalently and strategically to mark and distinguish the scholarly tradition created by Black and Native women, queer, trans, and other people marginalized within these respective communities and their anticolonial and abolitionist movements.</w:t>
      </w:r>
      <w:r w:rsidRPr="00087A72">
        <w:rPr>
          <w:sz w:val="16"/>
        </w:rPr>
        <w:t>5 Until a more useful and legible term emerges, I will use “feminist” to mark the practices of refusal and skepticism (misandry/misanthropy) as ones that largely exist outside more masculinist traditions within Indigenous/Native studies and Black studies. “</w:t>
      </w:r>
      <w:r w:rsidRPr="00087A72">
        <w:rPr>
          <w:rStyle w:val="StyleUnderline"/>
        </w:rPr>
        <w:t>Decolonial refusal” and “abolitionist skepticism” depart from the kinds of masculinist anticolonial traditions that attempt to reason Native/ Black man to White Man within humanist logic in at least two significant ways. First</w:t>
      </w:r>
      <w:r w:rsidRPr="00087A72">
        <w:rPr>
          <w:sz w:val="16"/>
        </w:rPr>
        <w:t xml:space="preserve">, </w:t>
      </w:r>
      <w:r w:rsidRPr="00087A72">
        <w:rPr>
          <w:rStyle w:val="StyleUnderline"/>
        </w:rPr>
        <w:t>neither participate in the communicative acts of the humanist public sphere from within the terms of the debate</w:t>
      </w:r>
      <w:r w:rsidRPr="00087A72">
        <w:rPr>
          <w:sz w:val="16"/>
        </w:rPr>
        <w:t xml:space="preserve">. </w:t>
      </w:r>
      <w:r w:rsidRPr="00087A72">
        <w:rPr>
          <w:rStyle w:val="StyleUnderline"/>
        </w:rPr>
        <w:t>Further, they do not play by the rules.</w:t>
      </w:r>
      <w:r w:rsidRPr="00087A72">
        <w:rPr>
          <w:sz w:val="16"/>
        </w:rPr>
        <w:t xml:space="preserve">6 </w:t>
      </w:r>
      <w:r w:rsidRPr="00087A72">
        <w:rPr>
          <w:rStyle w:val="StyleUnderline"/>
        </w:rPr>
        <w:t>Specifically, the Native and Black “feminist” politics discussed throughout launch a critique of both the logic of the discussion about the human and identity as well as the mode of communication.</w:t>
      </w:r>
      <w:r w:rsidRPr="00087A72">
        <w:rPr>
          <w:sz w:val="16"/>
        </w:rPr>
        <w:t xml:space="preserve"> In fact, </w:t>
      </w:r>
      <w:r w:rsidRPr="00087A72">
        <w:rPr>
          <w:rStyle w:val="StyleUnderline"/>
        </w:rPr>
        <w:t>practices of refusal and skepticism interrupt and flout codes of civil and collegial discursive protocol to focus on and illumine the violence that structures the posthumanist discourse</w:t>
      </w:r>
      <w:r w:rsidRPr="00087A72">
        <w:rPr>
          <w:sz w:val="16"/>
        </w:rPr>
        <w:t xml:space="preserve">. Attending to the comportment, tone, and intensity of an engagement is just as important as focusing on its content. The particular manner in which Black and Native feminists push back against violence is important. The </w:t>
      </w:r>
      <w:r w:rsidRPr="00087A72">
        <w:rPr>
          <w:rStyle w:val="StyleUnderline"/>
        </w:rPr>
        <w:t>force, break with decorum, and style in which Black and Native feminists confront discursive violence can change the nature of future encounters. Given that Black women who confront the logics of “nonrepresentational theory” are really confronting genocide and the white, whimsical disavowal of Black and Native negation on the way to subjectlessness</w:t>
      </w:r>
      <w:r w:rsidRPr="00087A72">
        <w:rPr>
          <w:sz w:val="16"/>
        </w:rPr>
        <w:t xml:space="preserve">, it is </w:t>
      </w:r>
      <w:r w:rsidRPr="00087A72">
        <w:rPr>
          <w:rStyle w:val="StyleUnderline"/>
        </w:rPr>
        <w:t>understandable that there is an equally discordant response.</w:t>
      </w:r>
      <w:r w:rsidRPr="00087A72">
        <w:rPr>
          <w:sz w:val="16"/>
        </w:rPr>
        <w:t xml:space="preserve"> </w:t>
      </w:r>
      <w:r w:rsidRPr="00087A72">
        <w:rPr>
          <w:rStyle w:val="StyleUnderline"/>
        </w:rPr>
        <w:t xml:space="preserve">Refusal and skepticism are modes of engagement that are uncooperative and force an impasse in a discursive exchange. </w:t>
      </w:r>
      <w:r w:rsidRPr="00087A72">
        <w:rPr>
          <w:sz w:val="16"/>
        </w:rPr>
        <w:t xml:space="preserve">This article tracks how traditions of “decolonial refusal” and “abolitionist skepticism” that emerge from Native/Indigenous and Black studies expose the limits and violence of contemporary nonidentitarian and nonrepresentational impulses within white “critical” theory. Further, this article asks whether Western forms of nonrepresentational (subjectless and nonidentitarian) theory can truly transcend the human through self- critique, selfabnegation, and masochism alone. External pressure, specifically the kind of pressure that “decolonial refusal” and “abolitionist skepticism” as forms of resistance that enact outright rejection of or view “posthumanist” attempts with a “hermeneutics of suspicion,”7 is needed in order to truly address the recurrent problem of the violence of the human in continental theory. While this article does not directly stake a claim in embracing or rejecting identity per se, it does take up the category of the human. Because the category of the human is modified by identity in ways that position certain people (white, male, able- bodied) within greater or lesser proximity to humanness, identity is already taken up in this discussion. Conversations about the human are very much tethered to conversations about identity. In the final section, </w:t>
      </w:r>
      <w:r w:rsidRPr="00087A72">
        <w:rPr>
          <w:rStyle w:val="StyleUnderline"/>
        </w:rPr>
        <w:t>the article will explore how Black and Native/Indigenous absorption into the category of the human would disfigure the category of the human beyond recognition.</w:t>
      </w:r>
      <w:r w:rsidRPr="00087A72">
        <w:rPr>
          <w:sz w:val="16"/>
        </w:rPr>
        <w:t xml:space="preserve"> </w:t>
      </w:r>
      <w:r w:rsidRPr="00087A72">
        <w:rPr>
          <w:rStyle w:val="StyleUnderline"/>
        </w:rPr>
        <w:t>Engaging how forms of Native decolonization and Black abolition scrutinize the violently exclusive means in which the human has been written and conceived is generative because it sets some workable terms of engagement for interrogating Western and mainstream claims to and disavowals of identity</w:t>
      </w:r>
      <w:r w:rsidRPr="00087A72">
        <w:rPr>
          <w:sz w:val="16"/>
        </w:rPr>
        <w:t>. Rather than answer how Native decolonization and Black abolition construe the human or identity, the article examines how Native and Black feminists use refusal and misandry to question the very systems, institutions, and order of knowledge that secure humanity as an exclusive experience and bound identity in violent ways. I consider the practices and postures of refusal assumed by Native/Indigenous scholars such as Audra Simpson, Eve Tuck, Jodi Byrd, and Linda Tuhiwai Smith to be particularly instructive for exposing the violence of ostensibly nonrepresentational Deleuzoguattarian rhizomes and lines of flight.</w:t>
      </w:r>
      <w:r w:rsidRPr="00087A72">
        <w:rPr>
          <w:rStyle w:val="StyleUnderline"/>
        </w:rPr>
        <w:t xml:space="preserve"> </w:t>
      </w:r>
      <w:r w:rsidRPr="00087A72">
        <w:rPr>
          <w:sz w:val="16"/>
        </w:rPr>
        <w:t xml:space="preserve">While reparative readings and “working with what is productive” about Gilles Deleuze and Félix Guattari’s work is certainly a part of the Native feminist scholarly tradition, this article focuses on the underexamined ways that Native feminists refuse to entertain certain logics and foundations that actually structure Deleuzoguattarian thought.8 Further, I discuss “decolonial refusal” in relation to how Black scholars like Sylvia Wynter, Zakiyyah Iman Jackson, and Amber Jamilla Musser work within a Black feminist tradition animated by a kind of skepticism or suspicion capable of ferreting out the trace of the white liberal human within (self- )professed subjectless, futureless, and nonrepresentational white theoretical traditions. In other words, in the work of Sylvia Wynter, </w:t>
      </w:r>
      <w:r w:rsidRPr="00087A72">
        <w:rPr>
          <w:rStyle w:val="StyleUnderline"/>
        </w:rPr>
        <w:t>one senses a general suspicion and deep distrust of the ability of Western theory— specifically its attempt at self- critique and self- correction in the name of justice for humanit</w:t>
      </w:r>
      <w:r w:rsidRPr="00087A72">
        <w:rPr>
          <w:sz w:val="16"/>
        </w:rPr>
        <w:t xml:space="preserve">y— </w:t>
      </w:r>
      <w:r w:rsidRPr="00087A72">
        <w:rPr>
          <w:rStyle w:val="StyleUnderline"/>
        </w:rPr>
        <w:t>to revise its cognitive orders to work itself out of its current “closed system</w:t>
      </w:r>
      <w:r w:rsidRPr="00087A72">
        <w:rPr>
          <w:sz w:val="16"/>
        </w:rPr>
        <w:t xml:space="preserve">,” </w:t>
      </w:r>
      <w:r w:rsidRPr="00087A72">
        <w:rPr>
          <w:rStyle w:val="StyleUnderline"/>
        </w:rPr>
        <w:t>which reproduces exclusion and structural oppositions based on the negation of the other.9</w:t>
      </w:r>
      <w:r w:rsidRPr="00087A72">
        <w:rPr>
          <w:sz w:val="16"/>
        </w:rPr>
        <w:t xml:space="preserve"> Wynter’s study of decolonial theory and its elaboration of autopoiesis informs her understanding of how the human and its overrepresentation as man emerges. </w:t>
      </w:r>
      <w:r w:rsidRPr="00087A72">
        <w:rPr>
          <w:rStyle w:val="StyleUnderline"/>
        </w:rPr>
        <w:t>Recognizing that humans (of various genres) write themselves through a “self- perpetuating and self- referencing closed belief system” that often prevents them from seeing or noticing “the process of recursion,”</w:t>
      </w:r>
      <w:r w:rsidRPr="00087A72">
        <w:rPr>
          <w:sz w:val="16"/>
        </w:rPr>
        <w:t xml:space="preserve"> Wynter works to expose these blind spots.10 Wynter understands that one of the limitations of Western liberal thought is that it cannot see itself in the process of writing itself. I observe a similar kind of cynicism about the way the academic left invokes “post humanism” in the work of Jackson and Musser. Musser in particular questions the capacity of queer theories to turn to sensations like masochism within the field of affect studies to overcome the subject. Further, Jackson’s and Musser’s work is skeptical that white transcendence can happen on its own terms or rely solely on its own processes of self- critique and self- correction. I read Jackson’s and Musser’s work as distrustful of the ability for “posthumanism” to be accountable to Black and Indigenous peoples or for affect theory on its own to not replicate and reinforce the subjugation of the other as it moves toward self- annihilation. Both the human and the post human are causes for suspicion within Black studies. Like Wynter, the field of Black studies has consistently made the liberal human an object of study and scrutiny, particularly the nefarious manner in which it violently produces Black existence as other than and at times nonhuman. Wynter’s empirical method of tracking the internal epistemic crises and revolutions of Europe from the outside has functioned as a model for one way that Black studies can unfurl a critique of the human as well as Western modes of thought. I use the terms “misanthropy” and “misandry” in this article to evoke how Black studies has remained attentive to, wary about, and deeply distrustful of the human condition, humankind, and the humanas- man/men in the case of Black “feminists.” Both Black studies’ distrust of the “human” and Black feminism’s distrust of humanism in its version as man/men (which at times seeks to incorporate Black men) relentlessly scrutinize how the category of the human and in this case the “posthuman” reproduce Black death. I link misandry (skepticism of humankind- as- man) to the kind of skepticism and “hermeneutics of suspicion” that Black feminist scholars like Wynter, Jackson, and Musser at times apply to their reading and engagement with revisions to or expansions of the category of the human, posthuman discourses, and nonrepresentational theory In this article, I connect discursive performance of skepticism to embodied and affective responses I have witnessed in the academy that challenge the sanctioned modes of protocol, politesse, and decorum in the university. For example, Wynter assumes a critically disinterested posture as she gazes empirically on and examines intra- European epistemic shifts over time. Paget Henry has described Wynter as an anthropologist of the Occident, as Europe becomes an object of study rather than the center of thought and humanity.11 Throughout the body of Wynter’s work, she seems to be more interested in drawing our attention to the capacity of European orders of knowledge to shift over time— or their fragility— than in celebrating the progress that European systems of knowledge have claimed to make. Wynter’s tracking is just a tracking and not a celebration of the progress narrative that Western civilization tells about itself and its capacity to define, refine, and recognize new kinds of humanity over time. This comportment of critical disinterest is often read as an affront to the codes and customs of scholarly discourse and dialogue in the academic community, particularly when it is in response to the white thinkers of the Western cannon. </w:t>
      </w:r>
      <w:r w:rsidRPr="00087A72">
        <w:rPr>
          <w:rStyle w:val="StyleUnderline"/>
        </w:rPr>
        <w:t>Decolonial refusal and abolitionist skepticism respond to how perverse and reprehensible it is to ask Indigenous and Black people who cannot seem to escape death to move beyond the human or the desire to be human</w:t>
      </w:r>
      <w:r w:rsidRPr="00087A72">
        <w:rPr>
          <w:sz w:val="16"/>
        </w:rPr>
        <w:t xml:space="preserve">. In fact, </w:t>
      </w:r>
      <w:r w:rsidRPr="00087A72">
        <w:rPr>
          <w:rStyle w:val="StyleUnderline"/>
        </w:rPr>
        <w:t>Black and Indigenous people have never been fully folded into the category of the human</w:t>
      </w:r>
      <w:r w:rsidRPr="00087A72">
        <w:rPr>
          <w:sz w:val="16"/>
        </w:rPr>
        <w:t xml:space="preserve">. As Zakiyyah Iman Jackson has argued, It has largely gone unnoticed by posthumanists that their queries into ontology often find their homologous (even anticipatory) appearance in decolonial philosophies that confront slavery and colonialism’s inextricability from the Enlightenment humanism they are trying to displace. Perhaps this foresight on the part of decolonial theory is rather unsurprising considering that exigencies of race have crucially anticipated and shaped discourses governing the non- human (animal, technology, object, and plant).12 A </w:t>
      </w:r>
      <w:r w:rsidRPr="00087A72">
        <w:rPr>
          <w:rStyle w:val="StyleUnderline"/>
        </w:rPr>
        <w:t>crucial point that Jackson emphasizes is that Black and Indigenous studies, particularly decolonial studies, has already grappled with and anticipated the late twentieth- century impulses inspired by Leo Bersani and Lee Edelman to annihilate the self and jettison the future. Indigenous and Black “sex”</w:t>
      </w:r>
      <w:r w:rsidRPr="00087A72">
        <w:rPr>
          <w:sz w:val="16"/>
        </w:rPr>
        <w:t xml:space="preserve"> (as activity, reproduction, pleasure, world- building, and not- human sexuality) </w:t>
      </w:r>
      <w:r w:rsidRPr="00087A72">
        <w:rPr>
          <w:rStyle w:val="StyleUnderline"/>
        </w:rPr>
        <w:t>are already subsumed by death</w:t>
      </w:r>
      <w:r w:rsidRPr="00087A72">
        <w:rPr>
          <w:sz w:val="16"/>
        </w:rPr>
        <w:t>. For some reason, white critical theory cannot seem to fathom that self- annihilation is something white people need to figure out by themselves. In other words, “they can have that.”13 Within Native feminist theorizing, ethnographic refusal can be traced to Audra Simpson’s 2007 article, “On Ethnographic Refusal.” In this seminal work, Simpson reflects on and gains inspiration from the tradition of refusal practiced by the people of Kahnawake.14 Simpson shares that Kahnawake refusals are at the core and spirit of her own ethnographic and ethical practices of refusal. I was interested in the larger picture, in the discursive, material and moral territory that was simultaneously historical and contemporary (this “national” space) and the ways in which Kahnawakero:non, the “people of Kahnawake,” had refused the authority of the state at almost every turn. The ways in which their formation of the initial membership code (now replaced by a lineage code and board of elders to implement the code and determine cases) was refused; the ways in which their interactions with border guards at the international boundary line were predicated upon a refusal; how refusal worked in everyday encounters to enunciate repeatedly to ourselves and to outsiders that “this is who we are, this is who you are, these are my rights.”15 Because Simpson was concerned with applying the political and everyday modes of Kahnawake refusal, she attended to the “collective limit” established by her and her Kahnawake participants.16 The collective limit was relationally and ethically determined by what was shared but more importantly by what was not shared. Simpson’s ability to discern the collective limit could only be achieved through a form of relational knowledge production that regards and cares for the other. Simpson recounts how one of her participants forced her to recognize a collective limit. Approaching and then arriving at the limit, Simpson experiences the following: And although I pushed him, hoping that there might be something explicit said from the space of his exclusion— or more explicit than he gave me— it was enough that he said what he said. “Enough” is certainly enough. “</w:t>
      </w:r>
      <w:r w:rsidRPr="00087A72">
        <w:rPr>
          <w:rStyle w:val="StyleUnderline"/>
        </w:rPr>
        <w:t>Enough,” I realised, was when I reached the limit of my own return and our collective arrival. Can I do this and still come home; what am I revealing here and why? Where will this get us? Who</w:t>
      </w:r>
      <w:r w:rsidRPr="00087A72">
        <w:rPr>
          <w:sz w:val="16"/>
        </w:rPr>
        <w:t xml:space="preserve"> </w:t>
      </w:r>
      <w:r w:rsidRPr="00087A72">
        <w:rPr>
          <w:rStyle w:val="StyleUnderline"/>
        </w:rPr>
        <w:t>benefits from this and why? And “enough” was when they shut down (or told me to turn off the recorder), or told me outright funny things like “nobody seems to know”—</w:t>
      </w:r>
      <w:r w:rsidRPr="00087A72">
        <w:rPr>
          <w:sz w:val="16"/>
        </w:rPr>
        <w:t xml:space="preserve"> </w:t>
      </w:r>
      <w:r w:rsidRPr="00087A72">
        <w:rPr>
          <w:rStyle w:val="StyleUnderline"/>
        </w:rPr>
        <w:t>when everybody does know and talks about it all the time</w:t>
      </w:r>
      <w:r w:rsidRPr="00087A72">
        <w:rPr>
          <w:sz w:val="16"/>
        </w:rPr>
        <w:t xml:space="preserve">. Dominion then has to be exercised over these representations, and that was determined when enough was said. The ethnographic limit then, was reached not just when it would cause harm (or extreme discomfort)— the limit was arrived at when the representation would bite all of us and compromise the representational territory that we have gained for ourselves in the past 100 years.17 Extending her discussion of ethnographic refusal beyond the bounds of ethnographic concerns, Simpson also ponders whether this enactment of refusal can be applied to theoretical work. Simpson outright poses a question: “What is theoretically generative about these refusals?”18 The question that Simpson asks in 2007 is clarified by Eve Tuck and K. Wayne Yang in the 2014 essay “R- Words: Refusing Research.” Arguing that modes of refusal extended into the theoretical and methodological terrains of knowledge production are productive and necessary, Tuck and Yang state: For the purposes of our discussion, the most important insight to draw from Simpson’s article is her emphasis that refusals are not subtractive, but are theoretically generative, expansive. </w:t>
      </w:r>
      <w:r w:rsidRPr="00087A72">
        <w:rPr>
          <w:rStyle w:val="StyleUnderline"/>
        </w:rPr>
        <w:t>Refusal is not just a “no,” but a redirection to ideas otherwise unacknowledged or unquestioned.</w:t>
      </w:r>
      <w:r w:rsidRPr="00087A72">
        <w:rPr>
          <w:sz w:val="16"/>
        </w:rPr>
        <w:t xml:space="preserve"> </w:t>
      </w:r>
      <w:r w:rsidRPr="00087A72">
        <w:rPr>
          <w:rStyle w:val="StyleUnderline"/>
        </w:rPr>
        <w:t>Unlike a settler colonial configuration of knowledge that is petulantly exasperated and resentful of limits, a methodology of refusal regards limits on knowledge as productive, as indeed a good thing.1</w:t>
      </w:r>
      <w:r w:rsidRPr="00087A72">
        <w:rPr>
          <w:sz w:val="16"/>
        </w:rPr>
        <w:t xml:space="preserve">9 In line with Simpson’s intervention, Tuck and Yang posit </w:t>
      </w:r>
      <w:r w:rsidRPr="00087A72">
        <w:rPr>
          <w:rStyle w:val="StyleUnderline"/>
        </w:rPr>
        <w:t>that “refusal itself could be developed into both method and theory.”20 For Tuck and Yang, a generative practice of refusal and a decolonial and abolitionist tradition is making Western thought “turn back upon itself as settler colonial knowledge</w:t>
      </w:r>
      <w:r w:rsidRPr="00087A72">
        <w:rPr>
          <w:sz w:val="16"/>
        </w:rPr>
        <w:t xml:space="preserve">, as opposed to universal, liberal, or neutral knowledge without horizon.”21 In fact, the coauthors suggest “making the settler colonial metanarrative the object of . . . research.”22 </w:t>
      </w:r>
      <w:r w:rsidRPr="00087A72">
        <w:rPr>
          <w:rStyle w:val="StyleUnderline"/>
        </w:rPr>
        <w:t>What this move effectively does is question the uninterrogated assumptions and exposes the violent particularities of the metanarrative. Scrutiny as a practice of refusal also slows down or perhaps halts the momentum of the machinery that allows,</w:t>
      </w:r>
      <w:r w:rsidRPr="00087A72">
        <w:rPr>
          <w:sz w:val="16"/>
        </w:rPr>
        <w:t xml:space="preserve"> as Tuck and Yang argue, “knowledge to facilitate interdictions on Indigenous and Black life.”23 Taking a cue from Simpson and Tuck and Yang, I turn to Tuck’s 2010 critique of Deleuze’s notion of “desire” as an example of the theoretical practice of refusal, which Simpson wonders about and which Tuck and Yang elaborated on in 2014. Eve Tuck’s 2010 article “Breaking Up with Deleuze” refuses </w:t>
      </w:r>
      <w:r w:rsidRPr="00087A72">
        <w:rPr>
          <w:rStyle w:val="StyleUnderline"/>
        </w:rPr>
        <w:t>Deleuze’s understanding and imposition of his definition of desire for Native studies and Native resurgence in particular.</w:t>
      </w:r>
      <w:r w:rsidRPr="00087A72">
        <w:rPr>
          <w:sz w:val="16"/>
        </w:rPr>
        <w:t xml:space="preserve"> </w:t>
      </w:r>
      <w:r w:rsidRPr="00087A72">
        <w:rPr>
          <w:rStyle w:val="StyleUnderline"/>
        </w:rPr>
        <w:t>Tuck refuses the Deleuzoguattarian nomadic due to its totalizing moves and specifically its evasion and refusal of Native and alternative notions of refusal that emerge from Native struggles for survival</w:t>
      </w:r>
      <w:r w:rsidRPr="00087A72">
        <w:rPr>
          <w:sz w:val="16"/>
        </w:rPr>
        <w:t xml:space="preserve">.24 For Tuck, paying attention to “the continuity of ancestors,” or genealogies, in Native and in all modes of knowledge production is imperative. For Indigenous and Native studies, it reverses the erasure enacted by continental European and settler- colonial theory, which uses a tradition of ongoing genocide to annihilate Native thinkers and subsequently their epistemologies and theories. Prior to Byrd’s indictment of Deleuzoguattarian laudatory accounts of America’s terrain of “Indians without Ancestry,” Tuck reroutes us back to ancestral and genealogical thinking as a way of asserting Indigenous presence and its epistemological systems and traditions, devoid of Cartesian boundary- making impulses and desires. Tuck’s work also prepares us in 2010 for the critique that Byrd levies in 2011, which exposes the traditions, roots, and genealogies of Western poststructuralist theory. Such theory created the conditions of possibility and emergence for Deleuzoguattarian genocidal forms of rhizomatic and nonrepresentational thought. Black Caribbean feminist Michelle V. Rowley argues we need to especially attend to a theory’s “politics and conditions of emergence.”25 In other words, </w:t>
      </w:r>
      <w:r w:rsidRPr="00087A72">
        <w:rPr>
          <w:rStyle w:val="StyleUnderline"/>
        </w:rPr>
        <w:t>we need to consider on whose backs or through whose blood a theory developed and then circulated while hiding its own violence. Jodi Byrd in particular attends to the colonialist, genocidal, and therefore humanist impulses of the rhizome in her book Transit of Empire.26</w:t>
      </w:r>
      <w:r w:rsidRPr="00087A72">
        <w:rPr>
          <w:sz w:val="16"/>
        </w:rPr>
        <w:t xml:space="preserve"> What is particularly instructive is the way that Byrd operationalizes her critique of Deleuze and Guattari’s first chapter, “Rhizome,” in their tome A Thousand Plateaus.27 Byrd’s deconstruction, or picking apart, of the poststructuralist and nonsubject- and nonobject- related Deleuzoguattarian rhizomatics are a masterful (and frankly thuggish and rude) demonstration of refusing to adapt or “repair” colonial epistemologies and geographies. Byrd’s refusal is a moment that further helps one distinguish between the works of postcolonial and decolonial studies. </w:t>
      </w:r>
      <w:r w:rsidRPr="00087A72">
        <w:rPr>
          <w:rStyle w:val="StyleUnderline"/>
        </w:rPr>
        <w:t>Byrd performs an outright refusal that short circuits the colonial and postcolonial comportments of politesse, which allow genocidal Western thought to continue uninterrupted.</w:t>
      </w:r>
      <w:r w:rsidRPr="00087A72">
        <w:rPr>
          <w:sz w:val="16"/>
        </w:rPr>
        <w:t xml:space="preserve"> </w:t>
      </w:r>
      <w:r w:rsidRPr="00087A72">
        <w:rPr>
          <w:rStyle w:val="StyleUnderline"/>
        </w:rPr>
        <w:t>Byrd’s interrogation of the “colonial nostalgia” latent in poststructural and nonrepresentational forms of thought like Deleuze and Guattari’s rhizome is an explicit example of how the violence of white nonrepresentational theory creates an immediate space of impasse for Indigenous, decolonial, Black, and abolitionist intellectual traditions</w:t>
      </w:r>
      <w:r w:rsidRPr="00087A72">
        <w:rPr>
          <w:sz w:val="16"/>
        </w:rPr>
        <w:t xml:space="preserve">. As Byrd argues, the Deleuzian and Guattarian </w:t>
      </w:r>
      <w:r w:rsidRPr="00087A72">
        <w:rPr>
          <w:rStyle w:val="StyleUnderline"/>
        </w:rPr>
        <w:t>rhizome assumes its errant, untraceable, and de/reterritorializing path through Native genocide.</w:t>
      </w:r>
      <w:r w:rsidRPr="00087A72">
        <w:rPr>
          <w:sz w:val="16"/>
        </w:rPr>
        <w:t xml:space="preserve"> The rhizome obtains its metaphorical and theoretical elasticity from the discursive genocide of Indigenous peoples. The territory of maneuver or ground that the rhizome gains its bearing on is unwittingly or perhaps indifferently anchored in the disavowal of the Indigenous ancestral claims, history, presence, and ongoing relationship with the land in North America. </w:t>
      </w:r>
      <w:r w:rsidRPr="00087A72">
        <w:rPr>
          <w:rStyle w:val="StyleUnderline"/>
        </w:rPr>
        <w:t>Deleuze and Guattari covet the free- range and bloody movements in the West, described as a land of “Indians without Ancestry” primarily because they do not have to contend with the presence of Indigenous peoples and their prior relationships (ancestors) to the land and space through which they move and clear as nomads</w:t>
      </w:r>
      <w:r w:rsidRPr="00087A72">
        <w:rPr>
          <w:sz w:val="16"/>
        </w:rPr>
        <w:t xml:space="preserve">. There are no existing people to which Deleuze and Guattari have to be accountable. Therefore, </w:t>
      </w:r>
      <w:r w:rsidRPr="00087A72">
        <w:rPr>
          <w:rStyle w:val="StyleUnderline"/>
        </w:rPr>
        <w:t>their own and others’ self- actualizing, free- form whiteness can proceed unimpeded. The</w:t>
      </w:r>
      <w:r w:rsidRPr="00087A72">
        <w:rPr>
          <w:sz w:val="16"/>
        </w:rPr>
        <w:t xml:space="preserve"> </w:t>
      </w:r>
      <w:r w:rsidRPr="00087A72">
        <w:rPr>
          <w:rStyle w:val="StyleUnderline"/>
        </w:rPr>
        <w:t>rhizomatic West— terra nullius— is without a people, history, or a cosmology to navigate.</w:t>
      </w:r>
      <w:r w:rsidRPr="00087A72">
        <w:rPr>
          <w:sz w:val="16"/>
        </w:rPr>
        <w:t xml:space="preserve"> Byrd’s reading of Deleuze and Guattari’s reproduction or transit of the “Indian” in their book </w:t>
      </w:r>
      <w:r w:rsidRPr="00087A72">
        <w:rPr>
          <w:rStyle w:val="StyleUnderline"/>
        </w:rPr>
        <w:t xml:space="preserve">A Thousand Plateaus limns some of the methods in which colonialism and modes of conquest are enacted on behalf of the selfactualization of white subjects who produce nonrepresentational theory. </w:t>
      </w:r>
      <w:r w:rsidRPr="00087A72">
        <w:rPr>
          <w:sz w:val="16"/>
        </w:rPr>
        <w:t xml:space="preserve">In fact, Byrd argues that the “Indian is the ontological prior through which poststructuralism functions.”28 Byrd traces the appearance or deployment of the Indian as a simulation or “present absent” in Jacques Derrida’s and then Deleuze and Guattari’s work, which creates space for the white subject and the unending frontier. Byrd also argues that </w:t>
      </w:r>
      <w:r w:rsidRPr="00087A72">
        <w:rPr>
          <w:rStyle w:val="StyleUnderline"/>
        </w:rPr>
        <w:t>nonrepresentational theory heralded as a liberatory path beyond the subject is colonialist</w:t>
      </w:r>
      <w:r w:rsidRPr="00087A72">
        <w:rPr>
          <w:sz w:val="16"/>
        </w:rPr>
        <w:t xml:space="preserve">. Byrd indicts Deleuze and Guattari’s use of Leslie Fiedler’s work in order to invoke the American West and the Indian as exceptional cases that inspire rhizomatic movement through the notion of an ever- receding frontier.29 It is colonialist on (at least) two accounts: </w:t>
      </w:r>
      <w:r w:rsidRPr="00087A72">
        <w:rPr>
          <w:rStyle w:val="StyleUnderline"/>
        </w:rPr>
        <w:t>in its need to render the Indian already and inevitably (ontologically) dead as “it” has no ancestors or living community to whom one needs to be accountable; and in its invocation of the vanishing “Indian,” which opens up the possibility of an “ever- receding frontier” and inspiration for the metaphor of the rhizome.</w:t>
      </w:r>
      <w:r w:rsidRPr="00087A72">
        <w:rPr>
          <w:sz w:val="16"/>
        </w:rPr>
        <w:t xml:space="preserve"> </w:t>
      </w:r>
      <w:r w:rsidRPr="00087A72">
        <w:rPr>
          <w:rStyle w:val="StyleUnderline"/>
        </w:rPr>
        <w:t>This logic and mode of conquistador thought undergirds the Deleuzian and Guattarian ethos of experimental and rhizomatic lines of flight</w:t>
      </w:r>
      <w:r w:rsidRPr="00087A72">
        <w:rPr>
          <w:sz w:val="16"/>
        </w:rPr>
        <w:t xml:space="preserve">. </w:t>
      </w:r>
      <w:r w:rsidRPr="00087A72">
        <w:rPr>
          <w:rStyle w:val="StyleUnderline"/>
        </w:rPr>
        <w:t>Their nonrepresentational theory of lines of flight are only possible as a form of white selfactualizing posthumanism due to the death of Indigenous peoples and their excision from the Earth/land</w:t>
      </w:r>
      <w:r w:rsidRPr="00087A72">
        <w:rPr>
          <w:sz w:val="16"/>
        </w:rPr>
        <w:t xml:space="preserve">. White posthumanism and its flows and lines of flight are made possible through Native death. Because of this, </w:t>
      </w:r>
      <w:r w:rsidRPr="00087A72">
        <w:rPr>
          <w:rStyle w:val="StyleUnderline"/>
        </w:rPr>
        <w:t>Byrd haltingly stops the reader’s momentum as she critiques Deleuzoguattarian and poststructuralist tendencies that often emerge in postcolonial work. Rather than allow the preemptive rejoinder that white and some postcolonial scholars use, such as “I know that theorist X did not consider race or was racist, but he enables us to do XYZ with his work</w:t>
      </w:r>
      <w:r w:rsidRPr="00087A72">
        <w:rPr>
          <w:sz w:val="16"/>
        </w:rPr>
        <w:t xml:space="preserve">,”30 </w:t>
      </w:r>
      <w:r w:rsidRPr="00087A72">
        <w:rPr>
          <w:rStyle w:val="StyleUnderline"/>
        </w:rPr>
        <w:t>Byrd instead cuts off Deleuze and Guattari’s rhizomatics at the path.</w:t>
      </w:r>
      <w:r w:rsidRPr="00087A72">
        <w:rPr>
          <w:sz w:val="16"/>
        </w:rPr>
        <w:t xml:space="preserve"> As </w:t>
      </w:r>
      <w:r w:rsidRPr="00087A72">
        <w:rPr>
          <w:rStyle w:val="StyleUnderline"/>
        </w:rPr>
        <w:t>Byrd anticipates that following Deleuze and Guattari will end in genocide, she allows the reader the time and space to let this reality sink in and consider a different route than the normative impulse and course of action that is to repair Deleuze and Guattari’s work</w:t>
      </w:r>
      <w:r w:rsidRPr="00087A72">
        <w:rPr>
          <w:sz w:val="16"/>
        </w:rPr>
        <w:t>. Byrd’s work slows us down and brings us to a point of impasse and a resting place where one can slow down, stop, and make a choice to stay put or move forward with the dismissive, whimsical, white conceit that tolerates Native death. Byrd’s refusal allows the reader to feel the violent puncture of the nonrepresentational gash that it tries to disavow. Byrd gives her reader the space and time to say, “</w:t>
      </w:r>
      <w:r w:rsidRPr="00087A72">
        <w:rPr>
          <w:rStyle w:val="StyleUnderline"/>
        </w:rPr>
        <w:t>Yes, I understand your attempt to evade signification and thus representation but it is not compelling enough for me to overlook the reality that it requires Native genocide.</w:t>
      </w:r>
      <w:r w:rsidRPr="00087A72">
        <w:rPr>
          <w:sz w:val="16"/>
        </w:rPr>
        <w:t xml:space="preserve">” The way that Byrd’s and others’ decolonial work brings these kinds of tensions and violence to a head enables us to make other kinds of analytic and conceptual choices. </w:t>
      </w:r>
      <w:r w:rsidRPr="00087A72">
        <w:rPr>
          <w:rStyle w:val="StyleUnderline"/>
        </w:rPr>
        <w:t>The reader is allowed to think and then say, “If this line of thought requires Indigenous death, why even venture down it? What could one possibly repair or salvage of it?”</w:t>
      </w:r>
    </w:p>
    <w:p w:rsidR="00CD7A9B" w:rsidRPr="00087A72" w:rsidRDefault="00CD7A9B" w:rsidP="00CD7A9B">
      <w:pPr>
        <w:pStyle w:val="Heading4"/>
        <w:rPr>
          <w:rStyle w:val="Style13ptBold"/>
          <w:b/>
        </w:rPr>
      </w:pPr>
      <w:r w:rsidRPr="00087A72">
        <w:rPr>
          <w:rStyle w:val="Style13ptBold"/>
          <w:b/>
        </w:rPr>
        <w:t>The Deleuzian logic of incoherence and lines of flight is the one employed by the US empire to celebrate pioneerism and justify the entrapment of indigenous folk in the sovereign power of the settler state through rhizomatic lines of flight that discohere things like settler-native treaties and judicial processes. Deleuze’s notion of smoothing spaces contributes to the erasing and replacement of indigenous presence in cultural studies.</w:t>
      </w:r>
    </w:p>
    <w:p w:rsidR="00CD7A9B" w:rsidRPr="00087A72" w:rsidRDefault="00CD7A9B" w:rsidP="00CD7A9B">
      <w:r w:rsidRPr="00087A72">
        <w:rPr>
          <w:rStyle w:val="Style13ptBold"/>
        </w:rPr>
        <w:t xml:space="preserve">Young, 2013 </w:t>
      </w:r>
      <w:r w:rsidRPr="00087A72">
        <w:t>(Alex Trimble, Honors Faculty Fellow in Barrett, the Honors College at Arizona State University, Ph.D. in English at the University of Southern California and a B.A. in English from Columbia, “Settler Sovereignty and the Rhizomatic West, or, The Significance of the Frontier in Postwestern Studies”, Western American Literature, Volume 48, Numbers 1 &amp; 2, Spring/Summer 2013, pp. 122-126) [SP]</w:t>
      </w:r>
    </w:p>
    <w:p w:rsidR="00CD7A9B" w:rsidRPr="00087A72" w:rsidRDefault="00CD7A9B" w:rsidP="00CD7A9B">
      <w:pPr>
        <w:rPr>
          <w:sz w:val="16"/>
        </w:rPr>
      </w:pPr>
      <w:r w:rsidRPr="00087A72">
        <w:rPr>
          <w:sz w:val="16"/>
        </w:rPr>
        <w:t>While Campbell makes a strong case against pursuing modes of scholar- ship that would inadvertently re-inscribe exceptionalist narratives, in A Thousand Plateaus, it is hard to shake the sense that Deleuze and Guattari themselves represent the West as “America only more so.” In their formu- lation above</w:t>
      </w:r>
      <w:r w:rsidRPr="00087A72">
        <w:rPr>
          <w:u w:val="single"/>
        </w:rPr>
        <w:t>, the “special case” of America is not “immune from domina- tion by trees and the search for roots,” but this malady of arborescence is generally limited to the East, due to its proximity to “the old world.” The “American rhizome,” on the other hand, is found in “the rhizomatic West,” an environment of expansive possibility where “even the trees are rhi- zomes</w:t>
      </w:r>
      <w:r w:rsidRPr="00087A72">
        <w:rPr>
          <w:sz w:val="16"/>
        </w:rPr>
        <w:t xml:space="preserve">.” </w:t>
      </w:r>
      <w:r w:rsidRPr="00087A72">
        <w:rPr>
          <w:u w:val="single"/>
        </w:rPr>
        <w:t>Deleuze and Guattari imagine the West as “America only more so” precisely and paradoxically because it is a space where the “ever-receding limit” of the frontier seems never to have closed, where the introspective search for national “roots” is rejected in favor of expansion beyond a nor- mative conception of national identity</w:t>
      </w:r>
      <w:r w:rsidRPr="00087A72">
        <w:rPr>
          <w:sz w:val="16"/>
        </w:rPr>
        <w:t xml:space="preserve">—or, perhaps more to the point, contained national territory. In his effort to put Deleuze and Guattari’s theoretical tool kit in the service of a transnational reading of the cultures of the US West, Campbell argues that their fascination with the West was not rooted in an a nity with the national frontier narratives of figures like Fiedler but rather arose “in part because of [the West’s] counter-cultural associa- tions, but also because of the tensions between the apparent openness of its space and the constant e orts to control and order it” (Rhizomatic West 32). </w:t>
      </w:r>
      <w:r w:rsidRPr="00087A72">
        <w:rPr>
          <w:u w:val="single"/>
        </w:rPr>
        <w:t>The parallels to Handley and Lewis’s reading of the West as a space dominated by competing claims of “at-homeness,” or “possession,” are striking: both of these postwestern formulations situate the West as a unique region due to the presence of “apparently” (as Campbell con- cedes) free land, marked by a proliferation of competing claims over sov- ereignty and representation. The task of criticism, in this formulation, becomes a reading of western culture that would not privilege any one of those claims over another but rather would “unsettle” narratives that do.</w:t>
      </w:r>
      <w:r w:rsidRPr="00087A72">
        <w:rPr>
          <w:sz w:val="16"/>
        </w:rPr>
        <w:t xml:space="preserve"> Campbell reads Deleuze and Guattari’s celebratory frontier rheto- ric as a metaphor for this process of unsettling arborescent discourses. Following, Campbell channels Deleuze’s frontier rhetoric directly in a passage describing the many American literary figures who are cited in A Thousand Plateaus: </w:t>
      </w:r>
      <w:r w:rsidRPr="00087A72">
        <w:rPr>
          <w:u w:val="single"/>
        </w:rPr>
        <w:t>“[These authors’] experimental styles demonstrate that ‘frontiers [were] something to cross, to push back, to go beyond. ...’ These writers cry, ‘Go across, get out, break through, make a beeline, don’t get stuck on a point. Find the line of separation, follow it or create it, to the point of treachery’—and in so doing, o er an alternative to essentialized, inward-looking, and rooted con- tainment</w:t>
      </w:r>
      <w:r w:rsidRPr="00087A72">
        <w:rPr>
          <w:sz w:val="16"/>
        </w:rPr>
        <w:t xml:space="preserve">.” (Campbell, citing Deleuze and Parnet in Rhizomatic West 34) Alex Trimble Young 123 </w:t>
      </w:r>
      <w:r w:rsidRPr="00087A72">
        <w:rPr>
          <w:u w:val="single"/>
        </w:rPr>
        <w:t>The dichotomy between Deleuze’s celebratory frontier rhetoric—drawn from a chapter in Deleuze’s Dialogues titled “On the Superiority of Anglo-American Literature”—and the “essentialized, inward-looking, rooted containment” of arborescent power described by Campbell exposes important questions. Which one of these formulations describes the rhetoric of US empire? Has not the ideology of US imperialism always celebrated “pioneers” who would “go across, get out, break through” new frontiers ?</w:t>
      </w:r>
      <w:r w:rsidRPr="00087A72">
        <w:rPr>
          <w:sz w:val="16"/>
        </w:rPr>
        <w:t xml:space="preserve"> 11 If we acknowledge that </w:t>
      </w:r>
      <w:r w:rsidRPr="00087A72">
        <w:rPr>
          <w:u w:val="single"/>
        </w:rPr>
        <w:t>rhetoric of US empire often privileges expansivity and openness over “inward-looking ... rooted containment,” we must also recognize that the rhizomatic “lines of flight” opened by the deterritorializing processes of settler colonial expansion in the western United States might have opened up new freedoms for settlers but surely did not o er an “alternative to” or an “escape from” the sover- eign power of the settler state</w:t>
      </w:r>
      <w:r w:rsidRPr="00087A72">
        <w:rPr>
          <w:sz w:val="16"/>
        </w:rPr>
        <w:t xml:space="preserve"> for indigenous peoples. On the contrary, these rhizomatic deterritorializations constituted a vital means of that power’s extension (Campbell, Rhizomatic West 34; Deleuze and Parnet 38). </w:t>
      </w:r>
      <w:r w:rsidRPr="00087A72">
        <w:rPr>
          <w:u w:val="single"/>
        </w:rPr>
        <w:t>By viewing Deleuze and Guattari’s frontier rhetoric through the lens of settler colonial theory in the readings below, I hope to demon- strate how Deleuze and Guattari’s conception of the rhizomatic West risks reproducing a discourse whereby an account of liberation is imag- ined at the expense of the indigenous peoples for whom settler colonial deterritorializations constitute a coercive expression of sovereign power rather than an escape from it.</w:t>
      </w:r>
      <w:r w:rsidRPr="00087A72">
        <w:rPr>
          <w:sz w:val="16"/>
        </w:rPr>
        <w:t xml:space="preserve"> The Rhizome and “Indians without Ancestry” In her 2011 monograph The Transit of Empire: Indigenous Critiques of Colonialism, Chickasaw critical theorist </w:t>
      </w:r>
      <w:r w:rsidRPr="00087A72">
        <w:rPr>
          <w:u w:val="single"/>
        </w:rPr>
        <w:t>Jodi Byrd addresses the rela- tionship between US state power and the rhizome directly in a tren- chant critique of Deleuze and Guattari’s investment in frontier logics: Drawing on the paradigmatic Indian wilderness to encapsulate an America in which arborescence becomes rhizomatic, A Thousand Plateaus performs a global, nomadic reframing in which the fron- tier becomes, again, Frederick Jackson Turner’s site of transfor- mation, possibility, and mapping. ... The maps of settler colonial- ism were always already proliferative, the nation state’s borders were always perforated, and the US lines of ight across treaties with indigenous nations were always rhizomatic and uid rather than hierarchical, linear, and coherent</w:t>
      </w:r>
      <w:r w:rsidRPr="00087A72">
        <w:rPr>
          <w:sz w:val="16"/>
        </w:rPr>
        <w:t xml:space="preserve">, located not just in the nation-state but within the individual settlers and arrivants who saw indigenous lands as pro t, fortune, and equality. (13) </w:t>
      </w:r>
      <w:r w:rsidRPr="00087A72">
        <w:rPr>
          <w:u w:val="single"/>
        </w:rPr>
        <w:t>For Byrd, the power exerted over indigenous peoples during settler conquest is not “always arborescent” but rather expressed via the very 124 rhizomatic lines of flight that transgress the coherent juridical order of the settler state, here represented by the treaties that were supposed to guarantee the containment of settler expansion.</w:t>
      </w:r>
      <w:r w:rsidRPr="00087A72">
        <w:rPr>
          <w:sz w:val="16"/>
        </w:rPr>
        <w:t xml:space="preserve"> While these frontier “lines of ight” did o er the potential of newfound material and formal freedoms for settlers and arrivants, the </w:t>
      </w:r>
      <w:r w:rsidRPr="00087A72">
        <w:rPr>
          <w:u w:val="single"/>
        </w:rPr>
        <w:t>rhizomatic expansion of settler society also consigned indigenous lands and indigenous peoples them- selves to the role of the “apparently open space,” the “transit” across which settler empire expands</w:t>
      </w:r>
      <w:r w:rsidRPr="00087A72">
        <w:rPr>
          <w:b/>
          <w:u w:val="single"/>
        </w:rPr>
        <w:t>. For Byrd, the danger of embracing Deleuzian rhizomatics as a paradigm for cultural studies lies in Deleuze and Guattari’s tendency to imagine countercultural assemblages as modeled on the rhizomatic form of settler expansion, as well as in their penchant for citing questionable ethnographic evidence regarding American Indians in their work</w:t>
      </w:r>
      <w:r w:rsidRPr="00087A72">
        <w:rPr>
          <w:sz w:val="16"/>
        </w:rPr>
        <w:t xml:space="preserve">. Byrd argues that </w:t>
      </w:r>
      <w:r w:rsidRPr="00087A72">
        <w:rPr>
          <w:u w:val="single"/>
        </w:rPr>
        <w:t>Deleuze and Guattari perform multiple acts of cultural appro- priation, scholarly performances akin to those outlined by Philip Deloria in Playing Indian (1998), whereby the “left intellectual ... steps forward to ventriloquize the speaking Indian by transforming the becoming- into replacing-Indian</w:t>
      </w:r>
      <w:r w:rsidRPr="00087A72">
        <w:rPr>
          <w:sz w:val="16"/>
        </w:rPr>
        <w:t xml:space="preserve">” (Byrd 16). Byrd goes on to perform readings of the many such acts of ethnographic ventriloquism in A Thousand Plateaus, lingering on a consideration of their enthusiasm for the work of the fraudulent anthropologist and the new age guru Carlos Castaneda’s writings on Yaqui spirituality.12 </w:t>
      </w:r>
      <w:r w:rsidRPr="00087A72">
        <w:rPr>
          <w:u w:val="single"/>
        </w:rPr>
        <w:t>Byrd warns that multiple cultural studies works inflected by Deleuzian thought “ flow from the phrase ‘Experiment, don’t signify or interpret!’” that Deleuze and Guattari read as the central injunction of Castaneda’s work (18). This slogan “functions as a call for transformational new worlds of relation and relationship that move us toward a joyously cacaphonic multiplicity and away from the lived colonial conditions of indigeneity within the postcolonizing settler society”</w:t>
      </w:r>
      <w:r w:rsidRPr="00087A72">
        <w:rPr>
          <w:sz w:val="16"/>
        </w:rPr>
        <w:t xml:space="preserve"> (Byrd 18). Byrd goes on to argue that </w:t>
      </w:r>
      <w:r w:rsidRPr="00087A72">
        <w:rPr>
          <w:u w:val="single"/>
        </w:rPr>
        <w:t>this motif, “even if it acknowledges all the divergent discourses that come into race, gender, sexual, and class assemblages,” “smoothes” the social field “once again into uncultivated wilderness that allows any trajectory or cultivation to enter it, but not arise from it”</w:t>
      </w:r>
      <w:r w:rsidRPr="00087A72">
        <w:rPr>
          <w:sz w:val="16"/>
        </w:rPr>
        <w:t xml:space="preserve"> (18). In Byrd’s reading, for cultural studies to embrace Deleuze and Guattari’s slogan “experiment, don’t signify or interpret!” is to risk an overly sanguine critical practice whereby “transformational new worlds of [political] relation” are imagined in a manner that once again predi- cates liberatory potential on the erasure of indigenous peoples.13 The Rhizomatic West (Bank): Frontier Complexity and the Settler State To better understand Byrd’s somewhat recondite point about </w:t>
      </w:r>
      <w:r w:rsidRPr="00087A72">
        <w:rPr>
          <w:u w:val="single"/>
        </w:rPr>
        <w:t xml:space="preserve">Deleuze and Guattari’s rhetoric of rhizomatic “lines of ight” and the “smooth- ing” of social space, it is useful to consider a contemporary example of how one settler society has put these concepts to use in the eld, as it were. </w:t>
      </w:r>
      <w:r w:rsidRPr="00087A72">
        <w:rPr>
          <w:sz w:val="16"/>
        </w:rPr>
        <w:t xml:space="preserve">The work of Israeli scholar Eyal Weizman famously explores how the Israeli Defense Forces (IDF) employ the writings of Deleuze and Guattari in training their eld commanders. In an interview with General Shimon Naveh, </w:t>
      </w:r>
      <w:r w:rsidRPr="00087A72">
        <w:rPr>
          <w:u w:val="single"/>
        </w:rPr>
        <w:t>Weizman reveals how A Thousand Plateaus has proven an especially fruitful text for the IDF: 126 [Naveh said that] “several of the concepts in A Thousand Pla- teaux [sic] became instrumental for us. ... Most important was the distinction they have pointed out between the concepts of ‘smooth’ and ‘striated’ space. ... In the IDF we now often use the term ‘to smooth out space’ when we want to refer to operation in a space as if it had no borders.</w:t>
      </w:r>
      <w:r w:rsidRPr="00087A72">
        <w:rPr>
          <w:sz w:val="16"/>
        </w:rPr>
        <w:t xml:space="preserve"> ... Palestinian areas could indeed be thought of as “striated” in the sense that they are enclosed by fences, walls, ditches, road blocks and so on.” When I asked him if moving through walls was part of it, he explained that, “In Nablus the IDF understood urban ghting as a spatial problem. ... Travelling through walls is a simple mechanical solution that connects theory and practice.” (“The Art of War”) </w:t>
      </w:r>
      <w:r w:rsidRPr="00087A72">
        <w:rPr>
          <w:u w:val="single"/>
        </w:rPr>
        <w:t xml:space="preserve">In the IDF’s application of Deleuze and Guattari’s notion of the “smooth- ing” of space—which Byrd employs to describe the process whereby </w:t>
      </w:r>
      <w:r w:rsidRPr="00087A72">
        <w:rPr>
          <w:b/>
          <w:u w:val="single"/>
        </w:rPr>
        <w:t>Deleuzian cultural studies metaphorically erases and replaces indig- enous presence</w:t>
      </w:r>
      <w:r w:rsidRPr="00087A72">
        <w:rPr>
          <w:u w:val="single"/>
        </w:rPr>
        <w:t xml:space="preserve">—“smoothing” is used to describe the IDF’s urban war- fare strategy of destroying and moving through the walls of civilian homes in order to facilitate unfettered military mobility through a space “striated” by the infrastructure of the local people, </w:t>
      </w:r>
      <w:r w:rsidRPr="00087A72">
        <w:rPr>
          <w:sz w:val="16"/>
        </w:rPr>
        <w:t>allowing the IDF to imagine battle plans modeled on the Deleuzian “swarm,” freed from the grids of “classical space.”</w:t>
      </w:r>
    </w:p>
    <w:p w:rsidR="00CD7A9B" w:rsidRPr="00087A72" w:rsidRDefault="00CD7A9B" w:rsidP="00CD7A9B">
      <w:pPr>
        <w:pStyle w:val="Heading4"/>
        <w:rPr>
          <w:rStyle w:val="Style13ptBold"/>
          <w:b/>
        </w:rPr>
      </w:pPr>
      <w:r w:rsidRPr="00087A72">
        <w:rPr>
          <w:rStyle w:val="Style13ptBold"/>
          <w:b/>
        </w:rPr>
        <w:t>Rhizomatic lines of flight allow the White, masculine, American settler to reimagine subaltern social spaces as “wilderness” where his ‘deterritorialized flows of desire are able to circulate’ and mark the indigenous as “barbaric”. Deleuze’s rhetoric paints indigenous peoples as screens on which the rhizomatic possibilities of settler colonialism are realized, allowing colonization to remain an ongoing and lived experience.</w:t>
      </w:r>
    </w:p>
    <w:p w:rsidR="00CD7A9B" w:rsidRPr="00087A72" w:rsidRDefault="00CD7A9B" w:rsidP="00CD7A9B">
      <w:r w:rsidRPr="00087A72">
        <w:rPr>
          <w:rStyle w:val="Style13ptBold"/>
        </w:rPr>
        <w:t>Young, 2013</w:t>
      </w:r>
      <w:r w:rsidRPr="00087A72">
        <w:t xml:space="preserve"> (Alex Trimble, Honors Faculty Fellow in Barrett, the Honors College at Arizona State University, Ph.D. in English at the University of Southern California and a B.A. in English from Columbia, “Settler Sovereignty and the Rhizomatic West, or, The Significance of the Frontier in Postwestern Studies”, Western American Literature, Volume 48, Numbers 1 &amp; 2, Spring/Summer 2013, pp. 127-134) [SP]</w:t>
      </w:r>
    </w:p>
    <w:p w:rsidR="00CD7A9B" w:rsidRPr="00087A72" w:rsidRDefault="00CD7A9B" w:rsidP="00CD7A9B">
      <w:pPr>
        <w:rPr>
          <w:sz w:val="14"/>
        </w:rPr>
      </w:pPr>
      <w:r w:rsidRPr="00087A72">
        <w:rPr>
          <w:u w:val="single"/>
        </w:rPr>
        <w:t>Wolfe’s recent work on representations of the settler colonial frontier in the “post-frontier era” can help us bridge the gap between Weizman’s insights on the rhizomatic nature of the settler colonial frontier and our consideration of contemporary applications of Deleuze and Guattari</w:t>
      </w:r>
      <w:r w:rsidRPr="00087A72">
        <w:rPr>
          <w:sz w:val="14"/>
        </w:rPr>
        <w:t xml:space="preserve"> in American studies. In a discussion with Delaware scholar Joanne Barker last year, Wolfe succinctly sums up how </w:t>
      </w:r>
      <w:r w:rsidRPr="00087A72">
        <w:rPr>
          <w:u w:val="single"/>
        </w:rPr>
        <w:t xml:space="preserve">“post-frontier” settler states represent the frontier: The frontier’s ideological signi cance is not so much as a line in space as a line in time—speci cally, in the time of the </w:t>
      </w:r>
      <w:r w:rsidRPr="00087A72">
        <w:rPr>
          <w:sz w:val="14"/>
        </w:rPr>
        <w:t xml:space="preserve">settler nation-state. The frontier represents the pre-national time that is nonetheless the post-Native time. This contradictory representation is a way of talking about the disorder of violent dispossession (if you must, the space of the exception) without allowing that disorder to compromise the settler rule of law. </w:t>
      </w:r>
      <w:r w:rsidRPr="00087A72">
        <w:rPr>
          <w:u w:val="single"/>
        </w:rPr>
        <w:t xml:space="preserve">The settler state both traces itself back to the frontier and dis- avows the frontier, which is disowned as the work of irregular mavericks rather than as the primary means of settler expan- sion </w:t>
      </w:r>
      <w:r w:rsidRPr="00087A72">
        <w:rPr>
          <w:sz w:val="14"/>
        </w:rPr>
        <w:t xml:space="preserve">(as I’ve put it, when the dust settles on the frontier, settler o cials characteristically deplore its violence while helping themselves to the fruits of dispossession). (“A Note to T. S.”) As Wolfe’s comments imply, and other recent scholarship makes more explicit, </w:t>
      </w:r>
      <w:r w:rsidRPr="00087A72">
        <w:rPr>
          <w:u w:val="single"/>
        </w:rPr>
        <w:t>the settler colonial frontier marks a key antecedent to the “states of exception,” whereby liberal states suspend their own constitutions in order to bring extralegal violence to bear against their enemies.15 Just as places like Guantanamo Bay exist in a liminal transnational space that stands outside the jurisdiction of US law yet also serves as a pri- mal site of the US state’s expression of power, so the frontier exists at a spatiotemporal point</w:t>
      </w:r>
      <w:r w:rsidRPr="00087A72">
        <w:rPr>
          <w:sz w:val="14"/>
        </w:rPr>
        <w:t xml:space="preserve"> (“the pre-national time that is nonetheless the post-Native time”) </w:t>
      </w:r>
      <w:r w:rsidRPr="00087A72">
        <w:rPr>
          <w:u w:val="single"/>
        </w:rPr>
        <w:t>that stands outside the arborescent structure of the state’s juridical order while still serving as the spearhead of the settler polity’s exercise of violence against indigenous peoples.</w:t>
      </w:r>
      <w:r w:rsidRPr="00087A72">
        <w:rPr>
          <w:sz w:val="14"/>
        </w:rPr>
        <w:t xml:space="preserve"> On the level of representation, </w:t>
      </w:r>
      <w:r w:rsidRPr="00087A72">
        <w:rPr>
          <w:b/>
          <w:u w:val="single"/>
        </w:rPr>
        <w:t>the paradoxical nature of the frontier allows the settler state to “[trace] itself back to” the frontier (imagined as a site of struggle against the so-called wilderness), as the origin of the national character, yet also disavow the fundamental fact of frontier processes</w:t>
      </w:r>
      <w:r w:rsidRPr="00087A72">
        <w:rPr>
          <w:sz w:val="14"/>
        </w:rPr>
        <w:t xml:space="preserve">—the violent expropriation of indigenous lands—as the work of “irregular mavericks.” </w:t>
      </w:r>
      <w:r w:rsidRPr="00087A72">
        <w:rPr>
          <w:u w:val="single"/>
        </w:rPr>
        <w:t>Contrast Wolfe’s take on the representation of the frontier with that of Campbell, who considers the issue of historiographic representations of the frontier in a reading of Turner’s frontier thesis in The Rhizomatic West: In displacing the uncertainty and fluidity of migration [Turner] asserts a rhetoric of essential, rooted identity as the focus for the epic narrative giving coherence and authority to the west- ward urge of nation building</w:t>
      </w:r>
      <w:r w:rsidRPr="00087A72">
        <w:rPr>
          <w:sz w:val="14"/>
        </w:rPr>
        <w:t xml:space="preserve">, providing America with a distinct creation myth. ... Fluidity is thus converted into solid “organs” and rooted, settled identity, metaphors of glaciation halted to become stable human landscape. ... The multiplicities and mobilities of the prismatic West momentarily acknowledged ... are brought under control in the service of a coherent national narrative with a gridlike neatness. (7; emphasis added) For Campbell, Turner “momentarily acknowledged” the rhizomatic nature of frontier processes in describing the “ fluidity” and hybridity of the frontier life. Turner’s representation of the frontier process as a “migration” that promotes a social “ fluidity” is not fundamentally at odds with Campbell’s conception of the rhizomatic West. </w:t>
      </w:r>
      <w:r w:rsidRPr="00087A72">
        <w:rPr>
          <w:u w:val="single"/>
        </w:rPr>
        <w:t>In Campbell’s reading, Turner doesn’t go wrong by whitewashing his representations of the frontier process but through his use of his celebratory repre- sentation of the frontier in the service of national allegory: “Turner’s ‘ fluidity of American life’ that begins his thinking about expansion and frontier mobility falters because it follows only a ‘single line’ (the frontier), believing it leads inevitably to one destination</w:t>
      </w:r>
      <w:r w:rsidRPr="00087A72">
        <w:rPr>
          <w:sz w:val="14"/>
        </w:rPr>
        <w:t xml:space="preserve"> (nationhood, union, a xed identity)” (8–9). While this criticism certainly speaks to Turner’s tendency to read national signi cance into the “pre-national” time of the frontier, it does not address the nostalgia at the heart of Turner’s representation of that frontier. As Handley argues in his reading of the frontier thesis, in order to incorporate the frontier into a national allegory, Turner rst had to imag- ine it as a symbol (60), a symbol not of dispossession achieved through violent conquest, but of “ uidity” and “perennial rebirth” achieved through a sort of deterritorialization. Campbell appropriates Turner’s mode of frontier symbolism even as he rejects Turner’s national allegory. Conclusion: The Rhizomatic West On the Road </w:t>
      </w:r>
      <w:r w:rsidRPr="00087A72">
        <w:rPr>
          <w:u w:val="single"/>
        </w:rPr>
        <w:t>Deleuze and Guattari themselves attempt a similar decoupling of fron- tier symbolism from national allegory in their writing on Jack Kerouac, the American writer who, in their words, possessed the soberest of means, who took revolutionary “ ight,” but who later nds himself immersed in dreams of a great America</w:t>
      </w:r>
      <w:r w:rsidRPr="00087A72">
        <w:rPr>
          <w:sz w:val="14"/>
        </w:rPr>
        <w:t xml:space="preserve">, and then in search of his Breton ancestors of the superior race. Is this not the destiny of American literature, that of crossing limits and frontiers, causing deterritorialized ows of desire to circulate, but also always making these ows transport fascisiz- ing, moralizing, Puritan, and familialist territorialities? (Anti- Oedipus 277) Here </w:t>
      </w:r>
      <w:r w:rsidRPr="00087A72">
        <w:rPr>
          <w:u w:val="single"/>
        </w:rPr>
        <w:t>Kerouac’s potentially “revolutionary” literary practice is metaphori- cally described as “crossing the frontier,” a movement that causes “deter- ritorializing ows of desire to circulate.” Kerouac’s failure is attributed to the arborescent structures—“fascisizing, moralizing, Puritan, and familialist”—that “reterritorialize” the metaphorical country Kerouac has opened into familiar discursive structures of power</w:t>
      </w:r>
      <w:r w:rsidRPr="00087A72">
        <w:rPr>
          <w:sz w:val="14"/>
        </w:rPr>
        <w:t xml:space="preserve"> (the “superior race,” the nuclear family, Puritan morality, etc.) in his later work. While convenient for a reading that would seek to decouple the signi cance of Kerouac’s literary pioneering from his American nationalism, </w:t>
      </w:r>
      <w:r w:rsidRPr="00087A72">
        <w:rPr>
          <w:u w:val="single"/>
        </w:rPr>
        <w:t>this emplotment of Kerouac’s career does not withstand careful scrutiny: at what point was Kerouac not “immersed in dreams of a great America,” and at what point did he cease to “cross frontiers”?</w:t>
      </w:r>
      <w:r w:rsidRPr="00087A72">
        <w:rPr>
          <w:sz w:val="14"/>
        </w:rPr>
        <w:t xml:space="preserve"> 130 </w:t>
      </w:r>
      <w:r w:rsidRPr="00087A72">
        <w:rPr>
          <w:u w:val="single"/>
        </w:rPr>
        <w:t>A brief reading of Kerouac’s On the Road (1957) will demonstrate how thoroughly intertwined Kerouac’s investment in national allegory and Euroamerican identity were with his literary acts of pioneering</w:t>
      </w:r>
      <w:r w:rsidRPr="00087A72">
        <w:rPr>
          <w:sz w:val="14"/>
        </w:rPr>
        <w:t xml:space="preserve">; while also allowing me to o er some concluding thoughts about </w:t>
      </w:r>
      <w:r w:rsidRPr="00087A72">
        <w:rPr>
          <w:u w:val="single"/>
        </w:rPr>
        <w:t>how the issues raised in this essay about frontier historiography and Deleuzian rhizomatics might be applied to literary scholarship. As Deleuzian critic Marco Abel—whom I will cite throughout my reading as both a reference and a counterpoint—e ectively argues, the parallels between Deleuze and Guattari’s philosophy and the novels of Jack Kerouac go deeper than their sporadic references</w:t>
      </w:r>
      <w:r w:rsidRPr="00087A72">
        <w:rPr>
          <w:sz w:val="14"/>
        </w:rPr>
        <w:t xml:space="preserve"> to Kerouac would suggest (230). These parallels are even more apparent when a work like On the Road, which deals so explicitly with frontier themes, is considered in relation to their conception of the rhizomatic West. </w:t>
      </w:r>
      <w:r w:rsidRPr="00087A72">
        <w:rPr>
          <w:u w:val="single"/>
        </w:rPr>
        <w:t>On the Road opens when Sal Paradise starts planning his journey west in search of Dean Moriarty, a gure Sal constructs as a symbol of western authenticity: “My rst impression of Dean was of a young Gene Autry—trim, thin-hipped, blue-eyed, with a real Oklahoma accent</w:t>
      </w:r>
      <w:r w:rsidRPr="00087A72">
        <w:rPr>
          <w:sz w:val="14"/>
        </w:rPr>
        <w:t xml:space="preserve">—a side-burned hero of the snowy West” (4). Even in this rst reference to “Westness,” however, there is a hint of irony in the retrospective narra- tion: Dean is compared to a man (Gene Autry) who never worked a day as a cowboy but instead made a fortune imitating cowboys on lm and television. </w:t>
      </w:r>
      <w:r w:rsidRPr="00087A72">
        <w:rPr>
          <w:u w:val="single"/>
        </w:rPr>
        <w:t xml:space="preserve">As this ironic reference would suggest, Sal nds his search for western authenticity to be more di cult than he imagined. In one of the most Deleuzian moments in the novel, </w:t>
      </w:r>
      <w:r w:rsidRPr="00087A72">
        <w:rPr>
          <w:b/>
          <w:u w:val="single"/>
        </w:rPr>
        <w:t>Sal describes how his initial dream of westering was misconceived: “I’d been poring over maps of the United States in Paterson for months, even reading books about the pioneers and savoring names like Platte and Cimarron and so on, and on the road-map was one long red line called Route 6”</w:t>
      </w:r>
      <w:r w:rsidRPr="00087A72">
        <w:rPr>
          <w:sz w:val="14"/>
        </w:rPr>
        <w:t xml:space="preserve"> (11). </w:t>
      </w:r>
      <w:r w:rsidRPr="00087A72">
        <w:rPr>
          <w:u w:val="single"/>
        </w:rPr>
        <w:t>Sal soon realizes that his dream of hitchhiking Route 6 all the way across the continent is impossible and that his lines of ight cannot be overdetermined: “</w:t>
      </w:r>
      <w:r w:rsidRPr="00087A72">
        <w:rPr>
          <w:b/>
          <w:u w:val="single"/>
        </w:rPr>
        <w:t>It was my dream that screwed up, the stupid hearthside idea that it would be wonderful to follow one great red line across America instead of try- ing various roads and routes” (12). The notion of westering as a linear process, which Sal dreams up reading “books about the pioneers,” is abandoned in favor of a more rhizomatic mode of travel</w:t>
      </w:r>
      <w:r w:rsidRPr="00087A72">
        <w:rPr>
          <w:u w:val="single"/>
        </w:rPr>
        <w:t>.</w:t>
      </w:r>
      <w:r w:rsidRPr="00087A72">
        <w:rPr>
          <w:sz w:val="14"/>
        </w:rPr>
        <w:t xml:space="preserve"> As Abel says, </w:t>
      </w:r>
      <w:r w:rsidRPr="00087A72">
        <w:rPr>
          <w:b/>
          <w:u w:val="single"/>
        </w:rPr>
        <w:t>“it is precisely the physical following and aesthetic mapping of the vari- ous roads and routes—or Deleuzean lines of ight—that characterize the entire narrative</w:t>
      </w:r>
      <w:r w:rsidRPr="00087A72">
        <w:rPr>
          <w:sz w:val="14"/>
        </w:rPr>
        <w:t xml:space="preserve">. </w:t>
      </w:r>
      <w:r w:rsidRPr="00087A72">
        <w:rPr>
          <w:u w:val="single"/>
        </w:rPr>
        <w:t>From the beginning, On the Road produces the road narrative as rhizomatic” (230). While he abandons the idea of linear travel, Sal does not give up on the idea of the West</w:t>
      </w:r>
      <w:r w:rsidRPr="00087A72">
        <w:rPr>
          <w:sz w:val="14"/>
        </w:rPr>
        <w:t xml:space="preserve">: even when he witnesses its vulgar commodi ca- tion during “Wild West Week” in Cheyenne: “I was amazed, and at the same time I felt it was ridiculous: in my rst shot at the West I was seeing to what absurd devices it had fallen to keep its proud tradition” (30). </w:t>
      </w:r>
      <w:r w:rsidRPr="00087A72">
        <w:rPr>
          <w:u w:val="single"/>
        </w:rPr>
        <w:t>Sal’s failure to nd the sense of authentic “Westness” he is seeking in places like Cheyenne leads him eventually to deterritorialize his notion of Westness altogether</w:t>
      </w:r>
      <w:r w:rsidRPr="00087A72">
        <w:rPr>
          <w:sz w:val="14"/>
        </w:rPr>
        <w:t xml:space="preserve">, </w:t>
      </w:r>
      <w:r w:rsidRPr="00087A72">
        <w:rPr>
          <w:u w:val="single"/>
        </w:rPr>
        <w:t>when he is inspired by an old man (whom he christens “the Ghost of the Susquehanna”) hitchhiking in Pennsylvania, who is confused about which way is east and which way is west: I thought all the wilderness of America was in the West till the Ghost of the Susquehanna showed me</w:t>
      </w:r>
      <w:r w:rsidRPr="00087A72">
        <w:rPr>
          <w:sz w:val="14"/>
        </w:rPr>
        <w:t xml:space="preserve"> di erent. No, </w:t>
      </w:r>
      <w:r w:rsidRPr="00087A72">
        <w:rPr>
          <w:u w:val="single"/>
        </w:rPr>
        <w:t>there is a wilderness in the East; it’s the same wilderness Ben Franklin plodded in the oxcart days when he was postmaster, the same as it was when George Washington was a wildbuck Indian- ghter, when Daniel Boone told stories by Pennsylvania lamps and promised to nd the Gap, when Bradford built his road and men whooped her up in log cabins. (95) This passage clearly illuminates the stakes in Sal’s pursuit of “Westness:”</w:t>
      </w:r>
      <w:r w:rsidRPr="00087A72">
        <w:rPr>
          <w:sz w:val="14"/>
        </w:rPr>
        <w:t xml:space="preserve"> </w:t>
      </w:r>
      <w:r w:rsidRPr="00087A72">
        <w:rPr>
          <w:b/>
          <w:u w:val="single"/>
        </w:rPr>
        <w:t>Sal is not looking for a particular locale; his journey west is about seeking out the masculine forms of freedom embodied by the frontier heroes he read about in those “books about the pioneers.” 16 Sal gives up on his dreams of linear westward migration he reads about in allegori- cal frontier histories, but he never gives up on the frontier as a symbol.</w:t>
      </w:r>
      <w:r w:rsidRPr="00087A72">
        <w:rPr>
          <w:sz w:val="14"/>
        </w:rPr>
        <w:t xml:space="preserve"> Sal nds his modern-day “wilderness” not in a Turnerian encounter with nature but through acts of class and racial abdication that take him into social spaces previously hidden to him and his middle-class white friends. </w:t>
      </w:r>
      <w:r w:rsidRPr="00087A72">
        <w:rPr>
          <w:b/>
          <w:u w:val="single"/>
        </w:rPr>
        <w:t>In On the Road, the skid rows and jazz clubs of America—and nally the highways and brothels of Mexico—are reimagined as a “wil- derness” in which white men can realize a freedom made impossible by the strictures of the conventional lives they are rejecting</w:t>
      </w:r>
      <w:r w:rsidRPr="00087A72">
        <w:rPr>
          <w:sz w:val="14"/>
        </w:rPr>
        <w:t xml:space="preserve">. This mode of literary “pioneering” was, of course, not performed exclusively in Kerouac’s novels. Norman Mailer uses similar rhetoric in his infamous essay “The White Negro” (published the same year as On the Road, 1957). In exhorting his fellow white hipsters to imitate the “primitive” lifeways of African Americans, Mailer warns (in a rhetoric that feels as Deleuzian as it is Turnerian) that “one is a frontiersman in the Wild West of American night life, or else a Square cell, trapped in the totali- tarian tissues of American society, doomed willy-nilly to conform if one is to succeed” (339). </w:t>
      </w:r>
      <w:r w:rsidRPr="00087A72">
        <w:rPr>
          <w:b/>
          <w:u w:val="single"/>
        </w:rPr>
        <w:t>Kerouac’s protagonist in On the Road takes Mailer’s advice: the “line of ight” that takes Sal out of the arborescent “tissues of American society” takes him into subaltern social spaces that he rei- magines as a “wilderness” in which he can allow his “deterritorialized ows of desire to circulate</w:t>
      </w:r>
      <w:r w:rsidRPr="00087A72">
        <w:rPr>
          <w:sz w:val="14"/>
        </w:rPr>
        <w:t xml:space="preserve">.” </w:t>
      </w:r>
      <w:r w:rsidRPr="00087A72">
        <w:rPr>
          <w:u w:val="single"/>
        </w:rPr>
        <w:t>Sal’s frontier fantasy is most clearly articulated in the narration of his journey through the mountains of Mexico, where he and his American traveling companions encounter a people Sal declares “the essential strain of the basic primitive ... unmistakably Indians. ...</w:t>
      </w:r>
      <w:r w:rsidRPr="00087A72">
        <w:rPr>
          <w:sz w:val="14"/>
        </w:rPr>
        <w:t xml:space="preserve"> [T]hey had high cheekbones, and slanted eyes, and soft ways; they were not fools, they were not clowns; they were great, grave Indians and they were the source of mankind and the fathers of it” (252). Sal imagines these Indians not only as fathers of humanity but, in a sweeping Orientalizing gesture borrowed from Oswald Spengler, as the inheritors of human- ity’s apocalyptic future: “For when the destruction comes to the world of ‘history’ and the Apocalypse of the Fellahin returns once more as so many times before, people will stare with the same eyes from the caves of Mexico as well as from the caves of Bali, where Adam was suckled and taught to know” (252).17 As Sal and company progress farther into the mountains (“high on the highest peak, as great as any Rocky Mountain peak”), they encoun- ter “Indians” along the road who “began to be extremely weird. They were a nation in themselves, mountain Indians, shut o from every- thing else but the Pan-American Highway” (267). </w:t>
      </w:r>
      <w:r w:rsidRPr="00087A72">
        <w:rPr>
          <w:u w:val="single"/>
        </w:rPr>
        <w:t>These Indians, selling rock crystals along the newly constructed transcontinental trade route, inspire Sal to mystical visions, as if they held the secret to the “IT” that he has been searching for</w:t>
      </w:r>
      <w:r w:rsidRPr="00087A72">
        <w:rPr>
          <w:sz w:val="14"/>
        </w:rPr>
        <w:t xml:space="preserve">: “Their great brown, innocent eyes looked into ours with such soulful intensity. ... They were like the eyes of the Virgin Mother when she was a child. We saw in them the tender and forgiving face of Jesus” (268). </w:t>
      </w:r>
      <w:r w:rsidRPr="00087A72">
        <w:rPr>
          <w:u w:val="single"/>
        </w:rPr>
        <w:t>Sal’s projection is suspended, however, when the Indians begin to speak: “When they talked they suddenly became frantic and almost silly. In their silence they were themselves.” Sal and Dean attribute the Indians’ unfortunate locutional abilities to the penetration of the very highway they are traveling on: “They’ve only recently learned to sell these crystals, since the highway was built about ten years back</w:t>
      </w:r>
      <w:r w:rsidRPr="00087A72">
        <w:rPr>
          <w:sz w:val="14"/>
        </w:rPr>
        <w:t>—</w:t>
      </w:r>
      <w:r w:rsidRPr="00087A72">
        <w:rPr>
          <w:u w:val="single"/>
        </w:rPr>
        <w:t>up until that time this entire nation must have been silent!”</w:t>
      </w:r>
      <w:r w:rsidRPr="00087A72">
        <w:rPr>
          <w:sz w:val="14"/>
        </w:rPr>
        <w:t xml:space="preserve"> (269). </w:t>
      </w:r>
      <w:r w:rsidRPr="00087A72">
        <w:rPr>
          <w:u w:val="single"/>
        </w:rPr>
        <w:t>After this dubious anthropological assessment, Sal watches Dean trade his wristwatch to one of the Indian children. As Dean is concluding the transaction, Sal xes him in a momentary tab- leau: “He stood among them with his ragged face to the sky, looking for the next and highest and nal pass, and seemed like the Prophet</w:t>
      </w:r>
      <w:r w:rsidRPr="00087A72">
        <w:rPr>
          <w:sz w:val="14"/>
        </w:rPr>
        <w:t xml:space="preserve"> that had come among them” (269). </w:t>
      </w:r>
      <w:r w:rsidRPr="00087A72">
        <w:rPr>
          <w:u w:val="single"/>
        </w:rPr>
        <w:t>As Dean and Sal leave, the “Indians” chase after their car for as long as they can keep up.</w:t>
      </w:r>
      <w:r w:rsidRPr="00087A72">
        <w:rPr>
          <w:sz w:val="14"/>
        </w:rPr>
        <w:t xml:space="preserve"> “Stand at Cumberland Gap and watch the procession of civilization, marching single le. ... Stand at South Pass in the Rockies a century later, and see the same procession” (Turner 39). Stand at an unnamed pass in the Sierra Madre a century after that, and, according to Kerouac, you will witness the same process. </w:t>
      </w:r>
      <w:r w:rsidRPr="00087A72">
        <w:rPr>
          <w:b/>
          <w:u w:val="single"/>
        </w:rPr>
        <w:t>Just as Turner imagines Indians as “savages” whose historical signi cance was de ned by the role they played in transforming the European into the American frontiersman, so Kerouac imagines the Mexicans he encounters as a screen upon which he can project his own mystical fantasies</w:t>
      </w:r>
      <w:r w:rsidRPr="00087A72">
        <w:rPr>
          <w:sz w:val="14"/>
        </w:rPr>
        <w:t xml:space="preserve">. In Kerouac’s narra- tive, they represent an authentic past (“the source of mankind and the fathers of it”; “the tender and forgiving face of Jesus”), and an apocalyp- tic future (“the apocalypse of the Fellahin”), but as soon as they take on agency through speech, they are rendered absurd, mere children in the thrall of the frontiersman/prophet who ushers them into history with the barter of his wristwatch. </w:t>
      </w:r>
      <w:r w:rsidRPr="00087A72">
        <w:rPr>
          <w:u w:val="single"/>
        </w:rPr>
        <w:t>Mexico becomes the mythic frontier where, as the young Turner once put it, the wilderness presents the Indian to the frontiersman like “untutored children to wonder at his goods and call him master”</w:t>
      </w:r>
      <w:r w:rsidRPr="00087A72">
        <w:rPr>
          <w:sz w:val="14"/>
        </w:rPr>
        <w:t xml:space="preserve"> (Turner cited in Klein, Frontiers 135). </w:t>
      </w:r>
      <w:r w:rsidRPr="00087A72">
        <w:rPr>
          <w:u w:val="single"/>
        </w:rPr>
        <w:t>Through a process Wolfe calls “repressive authenticity,” the authentic being of the indigenous subject is represented by Kerouac as always already absent, whereas living indigenous peoples are portrayed as having been compromised and fated to assimilate into settler society on the settlers’ terms</w:t>
      </w:r>
      <w:r w:rsidRPr="00087A72">
        <w:rPr>
          <w:sz w:val="14"/>
        </w:rPr>
        <w:t xml:space="preserve">.18 For Kerouac, the authentic ethnic Other is the imagined Indian on the other side of that “endlessly retreating frontier of innocence” that he pursues beyond the boundaries of both region and nation (Fiedler, Love and Death 27). </w:t>
      </w:r>
      <w:r w:rsidRPr="00087A72">
        <w:rPr>
          <w:u w:val="single"/>
        </w:rPr>
        <w:t>Clearly, Kerouac’s and Mailer’s frontier fantasies of crosscultural interaction, well-intentioned though they might have been, do not pro- vide a promising model for postwestern studies’ attempt to represent the West as a multicultural and transnational region</w:t>
      </w:r>
      <w:r w:rsidRPr="00087A72">
        <w:rPr>
          <w:sz w:val="14"/>
        </w:rPr>
        <w:t xml:space="preserve">. </w:t>
      </w:r>
      <w:r w:rsidRPr="00087A72">
        <w:rPr>
          <w:b/>
          <w:u w:val="single"/>
        </w:rPr>
        <w:t>Yet Deleuze and Guattari, who rarely face the scrutiny to which Kerouac and Mailer have so often been subjected, are deeply invested in similar logics whereby “lines of ight” are imagined as analogous to the frontier processes through which indigenous peoples are not engaged as agents but rather imagined as a “transit” across which the rhizomatic possibilities of set- tler colonial expansion can be realized.</w:t>
      </w:r>
      <w:r w:rsidRPr="00087A72">
        <w:rPr>
          <w:sz w:val="14"/>
        </w:rPr>
        <w:t xml:space="preserve"> If we acknowledge that </w:t>
      </w:r>
      <w:r w:rsidRPr="00087A72">
        <w:rPr>
          <w:b/>
          <w:u w:val="single"/>
        </w:rPr>
        <w:t>the frontier logics of settler colonial societ- ies like the United States are in a sense “rhizomatic” and that indigenous peoples in the contemporary moment “remain colonized as an ongoing lived experience that is not commensurable with the stories the postco- lonial, pluralistic multiculture wants to tell of itself</w:t>
      </w:r>
      <w:r w:rsidRPr="00087A72">
        <w:rPr>
          <w:sz w:val="14"/>
        </w:rPr>
        <w:t xml:space="preserve">,” </w:t>
      </w:r>
      <w:r w:rsidRPr="00087A72">
        <w:rPr>
          <w:u w:val="single"/>
        </w:rPr>
        <w:t xml:space="preserve">we must reconsider the relationship between historical metanarratives and our critical politics </w:t>
      </w:r>
      <w:r w:rsidRPr="00087A72">
        <w:rPr>
          <w:sz w:val="14"/>
        </w:rPr>
        <w:t xml:space="preserve">(Byrd 6). In a chapter in which he introduces the concept of the rhizomatic West in The Cultures of the American New West (2000), Campbell opens with an epigraph from A Thousand Plateaus: “The abortionists of unity are indeed angel makers” (164). Despite its shock value, this line might serve as a slogan for any number of contemporary examples of postwestern literary scholarship that work toward the goal of imagining a transnational, multicultural, feminist, and queer West by celebrating cultural production that “wages a war on totality” through its resistance to metanarrative (Lyotard 82).19 </w:t>
      </w:r>
      <w:r w:rsidRPr="00087A72">
        <w:rPr>
          <w:u w:val="single"/>
        </w:rPr>
        <w:t>While sharing these broad political goals, settler colonial studies o ers a powerful counterpoint to this critical strategy, suggesting that while the binaries produced by “big frontier tales” can be put in the service of structures of oppression and exclusion</w:t>
      </w:r>
      <w:r w:rsidRPr="00087A72">
        <w:rPr>
          <w:sz w:val="14"/>
        </w:rPr>
        <w:t>, they can also serve as incisive critical tools that might help us understand and overcome the inadequacies of neoliberal pluralism.</w:t>
      </w:r>
    </w:p>
    <w:p w:rsidR="00CD7A9B" w:rsidRPr="00087A72" w:rsidRDefault="00CD7A9B" w:rsidP="00CD7A9B">
      <w:pPr>
        <w:pStyle w:val="Heading4"/>
      </w:pPr>
      <w:r w:rsidRPr="00087A72">
        <w:t xml:space="preserve">Deleuze disallows possibility of effective indigenous politics because it’s doesn’t account for the location of indigenous body </w:t>
      </w:r>
    </w:p>
    <w:p w:rsidR="00CD7A9B" w:rsidRPr="00087A72" w:rsidRDefault="00CD7A9B" w:rsidP="00CD7A9B">
      <w:pPr>
        <w:rPr>
          <w:rStyle w:val="Style13ptBold"/>
        </w:rPr>
      </w:pPr>
      <w:r w:rsidRPr="00087A72">
        <w:rPr>
          <w:rStyle w:val="Style13ptBold"/>
        </w:rPr>
        <w:t xml:space="preserve">Wuthnow 2002 </w:t>
      </w:r>
      <w:r w:rsidRPr="00087A72">
        <w:rPr>
          <w:rStyle w:val="Style13ptBold"/>
          <w:b w:val="0"/>
          <w:sz w:val="16"/>
          <w:szCs w:val="16"/>
        </w:rPr>
        <w:t>(Julie Wuthnow, Department of Gender Studies at the University of Canterbury in Christchurch, New Zealand “Deleuze in the Post Colonial On nomads and indigenous politics” feminist Theory, Vol. 3. No. 2 pp. 183-188) [JS]</w:t>
      </w:r>
    </w:p>
    <w:p w:rsidR="00CD7A9B" w:rsidRPr="00087A72" w:rsidRDefault="00CD7A9B" w:rsidP="00CD7A9B">
      <w:pPr>
        <w:rPr>
          <w:sz w:val="16"/>
        </w:rPr>
      </w:pPr>
      <w:r w:rsidRPr="00087A72">
        <w:rPr>
          <w:sz w:val="16"/>
        </w:rPr>
        <w:t xml:space="preserve">This article examines the implications of the Deleuzian concept of ‘nomad thought’ within the context of postcoloniality and indigenous politics. I argue that </w:t>
      </w:r>
      <w:r w:rsidRPr="00087A72">
        <w:rPr>
          <w:rStyle w:val="Emphasis"/>
        </w:rPr>
        <w:t>Deleuze’s deconstruction of coherent and self-identical subjectivity through this concept disallows the possibility of effective indigenous politics through its lack of accountability to a ‘politics of location’,</w:t>
      </w:r>
      <w:r w:rsidRPr="00087A72">
        <w:rPr>
          <w:sz w:val="16"/>
        </w:rPr>
        <w:t xml:space="preserve"> </w:t>
      </w:r>
      <w:r w:rsidRPr="00087A72">
        <w:rPr>
          <w:rStyle w:val="Emphasis"/>
        </w:rPr>
        <w:t>its implicit reproduction of a universalized western subject, and its delegitimation of ‘experience’ and ‘local knowledge’</w:t>
      </w:r>
      <w:r w:rsidRPr="00087A72">
        <w:rPr>
          <w:sz w:val="16"/>
        </w:rPr>
        <w:t xml:space="preserve">. I investigate these dynamics in Deleuze’s work, and also in deployments of the Deleuzian figure of the nomad and of ‘nomad thought’ by Rosi Braidotti and Paul Patton. As a counterpoint to Deleuze, I discuss a number of feminist and postcolonial writers who recuperate concepts such as ‘experience’ and ‘local knowledge’, yet without lapsing into essentializing discourses. Their work enables robust versions of indigenous politics, and it is by adopting such approaches that feminist and postcolonial theory can move forward in politically accountable ways. I begin with these starkly contrasting passages in order to give a sense of the wide gulf between the perspectives that I will need to negotiate in placing Deleuzian theory and some versions of indigenous politics in conversation with one another. Can they speak to one another at all? More specifically, are indigenous political struggles helped or hindered by what might be called a Deleuzian ‘anti-ontology’?1 I will argue that </w:t>
      </w:r>
      <w:r w:rsidRPr="00087A72">
        <w:rPr>
          <w:rStyle w:val="Emphasis"/>
        </w:rPr>
        <w:t>Deleuzian frameworks are potentially counterproductive to effective indigenous politics and, moreover, that central notions of Deleuzian thinking, such as ‘nomad thought’,</w:t>
      </w:r>
      <w:r w:rsidRPr="00087A72">
        <w:rPr>
          <w:sz w:val="16"/>
        </w:rPr>
        <w:t xml:space="preserve"> can operate to enact what Vandana Shiva has termed a ‘politics of disappearance’ </w:t>
      </w:r>
      <w:r w:rsidRPr="00087A72">
        <w:rPr>
          <w:rStyle w:val="StyleUnderline"/>
        </w:rPr>
        <w:t>of local or indigenous knowledge systems</w:t>
      </w:r>
      <w:r w:rsidRPr="00087A72">
        <w:rPr>
          <w:sz w:val="16"/>
        </w:rPr>
        <w:t xml:space="preserve"> (Shiva, 1993: 9) </w:t>
      </w:r>
      <w:r w:rsidRPr="00087A72">
        <w:rPr>
          <w:rStyle w:val="Emphasis"/>
        </w:rPr>
        <w:t xml:space="preserve">and experiences, thereby delegitimizing the politics that might arise out of those experiences and ways of knowing. </w:t>
      </w:r>
      <w:r w:rsidRPr="00087A72">
        <w:rPr>
          <w:sz w:val="16"/>
        </w:rPr>
        <w:t xml:space="preserve">I come to this work as a political theorist most strongly influenced by a combination of Anglo-American feminism and poststructuralist theory, and I have a sense of belonging within the broad and ambiguous terrain captured by the terms postcolonial and cultural studies. </w:t>
      </w:r>
      <w:r w:rsidRPr="00087A72">
        <w:rPr>
          <w:rStyle w:val="StyleUnderline"/>
        </w:rPr>
        <w:t>What is significant here is that all of these affiliations are linked to fields of study that at least claim to have deeply political groundings and explicit commitments to social justice for all peoples.</w:t>
      </w:r>
      <w:r w:rsidRPr="00087A72">
        <w:rPr>
          <w:sz w:val="16"/>
        </w:rPr>
        <w:t xml:space="preserve"> Thus, in my view, all those working within this broad area of study must be vigilant regarding the effects of their work within the social world in general and, more specifically for the purposes of this article, in the terrain of indigenous struggles; they must work to help rather than hinder these struggles if they are to be consistent with their founding principles. These various fields of study have also been both deeply influenced by, and important contributors to, the theoretical figurations associated with poststructuralism referred to by Linda Tuhiwai Smith in the above quotation. Thus, I will consider not only the implications of Deleuzian theory for indigenous politics, but also feminist and postcolonial deployments of Deleuzian concepts by Rosi Braidotti and Paul Patton respectively, and the relationship those deployments might have to broad goals of social justice. I have chosen Deleuze in particular because of his clear impact on contemporary social and political theory. Even when he is not directly referred to, </w:t>
      </w:r>
      <w:r w:rsidRPr="00087A72">
        <w:rPr>
          <w:rStyle w:val="Emphasis"/>
        </w:rPr>
        <w:t>Deleuze’s persuasive elaborations of concepts</w:t>
      </w:r>
      <w:r w:rsidRPr="00087A72">
        <w:rPr>
          <w:sz w:val="16"/>
        </w:rPr>
        <w:t xml:space="preserve"> such as ‘nomad thought’, ‘bodies without organs’ and ‘rhizomes’ have led to a plethora of work within poststructuralist theorizing that </w:t>
      </w:r>
      <w:r w:rsidRPr="00087A72">
        <w:rPr>
          <w:rStyle w:val="Emphasis"/>
        </w:rPr>
        <w:t>strongly privileges notions of mobility, movement and becoming over conceptions of being, essence or stable subjectivity</w:t>
      </w:r>
      <w:r w:rsidRPr="00087A72">
        <w:rPr>
          <w:sz w:val="16"/>
        </w:rPr>
        <w:t xml:space="preserve">. This article is organized around what I consider to be one of the most important of these Deleuzian concepts in relation to my central concerns: nomad thought and/or nomadic subjectivity. I take on this task with a clear sense of its inherent limitations: with its theoretical gaze most strongly focused on principles of multiplicity, displacement and mobility, Deleuze’s work is particularly inhospitable to ‘capture’ by critics. In one of the variety of ways in which Deleuze and Guattari sketch out their project(s) in A Thousand Plateaus, they exhort their readers to ‘Make maps, not photos or drawings’ (Deleuze and Guattari, 1987: 25), and, for them, maps are far from a transparent or static two-dimensional guide to a given location. On the contrary, they use the term as one of many that represents a privileged site of multiplicity and flux, and as a limit towards which their own work aspires: ‘The map is open and connectable in all of its dimensions; it is detachable, reversible, susceptible to constant modification. It can be torn, reversed, adapted to any kind of mounting, reworked by an individual, group, or social formation’ (1987: 12). Nonetheless – and decidedly in contrast to the spirit of Deleuze and Guattari’s own writing – I am required to define my terms of enquiry, and thus will begin this work by sketching out a working definition and elaboration of nomad thought/nomadic subjectivity in order to investigate how this concept operates within Deleuzian thought. I will then proceed to what I consider the most important focus of this article, namely an investigation of the ways in which other writers, namely Braidotti and Patton, have taken up Deleuze’s work, and consider how these deployments operate within the realm of indigenous politics. In other words, what interests me most is the question of what the effects of Deleuz- ian thinking might be within the realm of concrete political struggles. While I will go on to argue against a view that poses an essentialized material world against the abstract world of poststructuralist theory, nonetheless I believe questions of social justice within the ‘real’ world must be raised by feminist, postcolonial and cultural critics, and it is towards these questions that my analytical gaze is most strongly directed. Overall, throughout the article, I will make the case that </w:t>
      </w:r>
      <w:r w:rsidRPr="00087A72">
        <w:rPr>
          <w:rStyle w:val="Emphasis"/>
        </w:rPr>
        <w:t>Deleuzian thinking, both in its original renditions and subsequent deployments, strongly lends itself to the perpetuation of colonizing discourses in ways that work to under- mine the possibility of effective indigenous politics.</w:t>
      </w:r>
      <w:r w:rsidRPr="00087A72">
        <w:rPr>
          <w:sz w:val="16"/>
        </w:rPr>
        <w:t xml:space="preserve"> While such an outcome is not inevitable given the multiplicity of ways in which Deleuzian thought can be and, in fact, has been taken up, I will argue that Braidotti’s and Patton’s elaborations of Deleuzian thinking are consistent with dominant strands within that body of work, and hence serve as cautionary examples within this terrain.2 In the final section of the article, I will consider a number of feminist and postcolonial writers who retain some of the most significant insights of poststructuralist thinking, yet empower more robust versions of indigenous politics than those afforded by Deleuzian thinking through their nuanced elaborations of concepts such as ‘experience’ and the ‘local’. Writers such as Cherríe Moraga, Stuart Hall and Chandra Mohanty acknowledge the complexity of analysing and enacting effective politics within the context of a globalized postmodern realm, yet through their explorations of embodiment, narrativity and social location, they enable forms of political agency precluded by some versions of poststructuralism. It is my contention that it is through approaches such as theirs that the ostensible ends of academic work oriented towards social justice can best be served. The nomadic subject, as it appears in contemporary theory, draws on the work of Gilles Deleuze and Félix Guattari, and begins to take shape in an essay entitled ‘Nomad Thought’ (published in French in 1973), but most influentially in their work entitled A Thousand Plateaus: Capitalism and Schizophrenia (1987). Nomad thought is perhaps most easily understood at the outset in terms of what it is not: Deleuze and Guattari position them- selves as disrupters of models of thought and subjectivity that serve as supports to the unified, coherent and orderly state. To quote from A Thousand Plateaus: The State as the model for the book and for thought has a long history: logos, the philosopher-king, the transcendence of the Idea, the interiority of the concept, the republic of minds, the court of reason, the functionaries of thought, man as legislator and subject. The State’s pretension to be a world order, and to root man. (Deleuze and Guattari, 1987: 24) The key terms here are ‘order’ and ‘root’; Deleuze and Guattari associate these with hierarchy and domination and with the interiority of the deep subject who exists in dualistically structured separation from the concepts and objects it surveys. They go on to explain: ‘Binary logic is the spiritual reality of the root-tree . . . this system of thought has never reached an understanding of multiplicity’ (1987: 5). </w:t>
      </w:r>
      <w:r w:rsidRPr="00087A72">
        <w:rPr>
          <w:rStyle w:val="StyleUnderline"/>
        </w:rPr>
        <w:t>The use of language such as ‘binary logic’ and ‘multiplicity’ brings us onto familiar terrain. Addressing the thorny issue of how to theorize and implement alternatives that make space for multiplicity and overturn hierarchical systems could be considered one of the most central issues of contemporary thought, and it is to this concern that nomad thought addresses itself</w:t>
      </w:r>
      <w:r w:rsidRPr="00087A72">
        <w:rPr>
          <w:sz w:val="16"/>
        </w:rPr>
        <w:t xml:space="preserve">: ‘Nomad thought’ does not lodge itself in the edifice of an ordered interiority; it moves freely in an element of exteriority. It does not repose on identity; it rides difference. . . . The concepts it creates do not merely reflect the eternal form of a legislating subject, but are defined by a communicable force in relation to which their subject, to the extent that they can be said to have one, is only secondary. Rather than reflecting the world, they are immersed in a changing state of things. (Massumi, 1992: 5) These passages indicate the positioning of nomad thought firmly within the realm of poststructuralist thinking, and Rooted Reasonable Man is over- taken by the vague apparition of a nomad who can only loosely be referred to as a subject and who exists as force, movement, difference, change. Nor can this nomad be said to be embodied in any conventional sense. </w:t>
      </w:r>
      <w:r w:rsidRPr="00087A72">
        <w:rPr>
          <w:rStyle w:val="StyleUnderline"/>
        </w:rPr>
        <w:t xml:space="preserve">Deleuze and Guattari propose instead the notion of the ‘body without organs’, linked directly to nomadism </w:t>
      </w:r>
      <w:r w:rsidRPr="00087A72">
        <w:rPr>
          <w:sz w:val="16"/>
        </w:rPr>
        <w:t xml:space="preserve">(1987: 159), </w:t>
      </w:r>
      <w:r w:rsidRPr="00087A72">
        <w:rPr>
          <w:rStyle w:val="StyleUnderline"/>
        </w:rPr>
        <w:t>which they juxtapose with the ‘organism’ that operates as ‘the judgment of God’</w:t>
      </w:r>
      <w:r w:rsidRPr="00087A72">
        <w:rPr>
          <w:sz w:val="16"/>
        </w:rPr>
        <w:t xml:space="preserve"> (1987: 159). Much like the nomad itself, the body without organs is linked to passage (1987: 158) and experimentation (1987: 150–1) and ‘is not a scene, a place, or even a support upon which something comes to pass’ (1987: 153). </w:t>
      </w:r>
      <w:r w:rsidRPr="00087A72">
        <w:rPr>
          <w:rStyle w:val="StyleUnderline"/>
        </w:rPr>
        <w:t>The body without organs ‘is made in such a way that it can be occupied, populated only by intensities’</w:t>
      </w:r>
      <w:r w:rsidRPr="00087A72">
        <w:rPr>
          <w:sz w:val="16"/>
        </w:rPr>
        <w:t xml:space="preserve"> (1987: 153). </w:t>
      </w:r>
      <w:r w:rsidRPr="00087A72">
        <w:rPr>
          <w:rStyle w:val="StyleUnderline"/>
        </w:rPr>
        <w:t>Thus,</w:t>
      </w:r>
      <w:r w:rsidRPr="00087A72">
        <w:rPr>
          <w:sz w:val="16"/>
        </w:rPr>
        <w:t xml:space="preserve"> the nomadic subject, to the extent that it approaches </w:t>
      </w:r>
      <w:r w:rsidRPr="00087A72">
        <w:rPr>
          <w:rStyle w:val="StyleUnderline"/>
        </w:rPr>
        <w:t xml:space="preserve">the ideal of the body without organs, is unmarked, unlo- catable and disembodied by virtue of its grounding only in movement and intensities, a theme that will become highly significant later in this discussion. </w:t>
      </w:r>
      <w:r w:rsidRPr="00087A72">
        <w:rPr>
          <w:sz w:val="16"/>
        </w:rPr>
        <w:t xml:space="preserve">Yet, for Deleuze, the emphasis always rests on themes of multi- plicity, difference and the deconstruction of binaries. </w:t>
      </w:r>
      <w:r w:rsidRPr="00087A72">
        <w:rPr>
          <w:rStyle w:val="StyleUnderline"/>
        </w:rPr>
        <w:t>There is much that is attractive about this model and potentially of value in projects such as the decolonization of indigenous peoples and the dismantling of patriarchal systems.</w:t>
      </w:r>
      <w:r w:rsidRPr="00087A72">
        <w:rPr>
          <w:sz w:val="16"/>
        </w:rPr>
        <w:t xml:space="preserve"> Feminist writers as diverse as Susan Griffin (1980), Luce Irigaray (1985) and Judith Butler (1990) have identified binary thinking as central to the maintenance of hierarchical systems of domination. Likewise, a number of postcolonial writers have elaborated the linkage between modernist or Enlightenment thinking based on binaries and discourses that have justified colonization in the name of progress (Barker, 2000; Braidotti et al., 1994; Escobar, 1995; Ivison et al., 2000). One could say that it is the Rooted Reasonable Man of the West who has been responsible not only for the oppression of women, but also for the coloniz- ation of the Dark Primitive Other. But is the nomad’s ostensible deconstruction of binaries an adequate response to the task of undoing the violence based on these categorizations? A number of critics suggest otherwise. In Questions of Travel, Caren Kaplan calls for ‘versions of poststructuralism that destabilize colonial discourses as overtly as they deconstruct logocentrism’ (1996: 24). She also argues that postmodern/poststructuralist configurations may not be as far removed from their modernist forebears as one might assume, and refers to ‘[t]he interdependency of modernist and postmodernist techniques of representation’ (1996: 10). In order to disrupt these unwitting reproductions of the modern and their concomitant associations with imperialist projects, one of the strategies Kaplan advocates is a historicization of terms such as ‘nomad’ and ‘traveller’ in order to discern their operation within colonial- ist discourses. Radhika Mohanram’s discussion of racialized embodiment begins to give a sense of why this task is important and what is at stake if it is neglected. According to Mohanram, </w:t>
      </w:r>
      <w:r w:rsidRPr="00087A72">
        <w:rPr>
          <w:rStyle w:val="StyleUnderline"/>
        </w:rPr>
        <w:t>disembodiment and mobility have a long history as significant features of constructions of the subjectivity of white settlers in colonial contexts, something that becomes particularly evident when they are juxtaposed with indigenous peoples constructed as embodied</w:t>
      </w:r>
      <w:r w:rsidRPr="00087A72">
        <w:rPr>
          <w:sz w:val="16"/>
        </w:rPr>
        <w:t xml:space="preserve">, immobile and objectified: </w:t>
      </w:r>
      <w:r w:rsidRPr="00087A72">
        <w:rPr>
          <w:rStyle w:val="Emphasis"/>
        </w:rPr>
        <w:t>While the indigene’s body comes into being and is shaped by native bioregions, the settler as exotica spreads like a weed but becomes disembodied not only because he is not in his native bioregion, but also because the Europeanization of the Neo-Europes makes the European the Universal Subject.</w:t>
      </w:r>
      <w:r w:rsidRPr="00087A72">
        <w:rPr>
          <w:sz w:val="16"/>
        </w:rPr>
        <w:t xml:space="preserve"> . . . </w:t>
      </w:r>
      <w:r w:rsidRPr="00087A72">
        <w:rPr>
          <w:rStyle w:val="StyleUnderline"/>
        </w:rPr>
        <w:t xml:space="preserve">The Caucasian is disembodied, mobile, absent of the marks that physically immobilize the native. </w:t>
      </w:r>
      <w:r w:rsidRPr="00087A72">
        <w:rPr>
          <w:sz w:val="16"/>
        </w:rPr>
        <w:t>(Mohanram, 1999: 15) By failing to historicize the concept of mobility and its links to concrete practices of colonization, models of subjectivity that embrace nomad thought as a defining feature necessarily bring very problematic political baggage along for the ride. As mobile and disembodied, the nomadic subject is not locatable; as unlocatable, the nomadic subject cannot be held accountable for its social location, whether it be one of privilege or margin- alization. The notion of the ‘politics of location’ is one that has circulated for some time among feminist thinkers and is worth investigating in relation to Rosi Braidotti’s well-known feminist figuration of the nomadic subject (1994a), a figuration that draws explicitly on Deleuze and Guattari’s notion of nomad thought.3 Adrienne Rich first brought the term to attention in 1984 in an article entitled ‘Notes toward a Politics of Location’ (1986). In this work, Rich discusses questions of centrality and marginalization, oppression and privilege along various axes of identity, but she places particular emphasis on her location as a white woman within white-domi- nated feminism. Rich calls on white women to become accountable for their position of privilege in white-dominated society, while at the same time struggling against their marginalization as women. In her words, ‘we . . . marginalize others because our lived experience is thoughtlessly white’ (Rich, 1986: 219). By keeping her critical lens focused not only on the relative social positionings of women and men, but also on how women are differently positioned among themselves, Rich keeps the question of location central to her analysis and never forgets the potential for feminism to exclude or oppress in the name of a generic ‘women’s movement’.</w:t>
      </w:r>
    </w:p>
    <w:p w:rsidR="00CD7A9B" w:rsidRPr="00087A72" w:rsidRDefault="00CD7A9B" w:rsidP="00CD7A9B">
      <w:pPr>
        <w:rPr>
          <w:sz w:val="16"/>
        </w:rPr>
      </w:pPr>
    </w:p>
    <w:p w:rsidR="00CD7A9B" w:rsidRPr="00087A72" w:rsidRDefault="00CD7A9B" w:rsidP="00CD7A9B">
      <w:pPr>
        <w:pStyle w:val="Heading4"/>
      </w:pPr>
      <w:r w:rsidRPr="00087A72">
        <w:t xml:space="preserve">Deleuze’s idea of the nomadic relies on subjectivity and zones of marginality and depends on certain subject positions that undermine the steps that have been taken through indigenous studies </w:t>
      </w:r>
    </w:p>
    <w:p w:rsidR="00CD7A9B" w:rsidRPr="00087A72" w:rsidRDefault="00CD7A9B" w:rsidP="00CD7A9B">
      <w:pPr>
        <w:rPr>
          <w:b/>
          <w:sz w:val="26"/>
        </w:rPr>
      </w:pPr>
      <w:r w:rsidRPr="00087A72">
        <w:rPr>
          <w:rStyle w:val="Style13ptBold"/>
        </w:rPr>
        <w:t xml:space="preserve">Wuthnow 2002 </w:t>
      </w:r>
      <w:r w:rsidRPr="00087A72">
        <w:rPr>
          <w:rStyle w:val="Style13ptBold"/>
          <w:b w:val="0"/>
          <w:sz w:val="16"/>
          <w:szCs w:val="16"/>
        </w:rPr>
        <w:t>(Julie Wuthnow, Department of Gender Studies at the University of Canterbury in Christchurch, New Zealand “Deleuze in the Post Colonial On nomads and indigenous politics” feminist Theory, Vol. 3. No. 2 pp. 189-193) [JS]</w:t>
      </w:r>
    </w:p>
    <w:p w:rsidR="00CD7A9B" w:rsidRPr="00087A72" w:rsidRDefault="00CD7A9B" w:rsidP="00CD7A9B">
      <w:pPr>
        <w:rPr>
          <w:rStyle w:val="Emphasis"/>
        </w:rPr>
      </w:pPr>
      <w:r w:rsidRPr="00087A72">
        <w:rPr>
          <w:sz w:val="16"/>
        </w:rPr>
        <w:t xml:space="preserve">In response to a similar critique by Dick Pels, Braidotti reiterates her position, yet with decidedly equivocal results: ‘a location is an embedded and embodied memory. It is a set of counter-memories which are activated by the resisting thinker against the grain of the dominant representations of subjectivity’ (Braidotti, 1999: 89). That a location would be an embedded and embodied memory does not seem problematic, yet it is worth asking why Braidotti positions these memories as necessarily counter-memories that ‘go against the grain’ of dominant representations. </w:t>
      </w:r>
      <w:r w:rsidRPr="00087A72">
        <w:rPr>
          <w:rStyle w:val="StyleUnderline"/>
        </w:rPr>
        <w:t>This formulation seems to preclude the possibility that the nomadic subject might be positioned as a privileged subject who may be completely comfortable with hegemonic representations. Such a presumption of innocence is worrying and falls far short of locating this nomadic subject according to the terms laid out by Rich. Braidotti makes a similar move a few pages later in relation to a discussion of accountability</w:t>
      </w:r>
      <w:r w:rsidRPr="00087A72">
        <w:rPr>
          <w:sz w:val="16"/>
        </w:rPr>
        <w:t xml:space="preserve">, where she refers to ‘a yearning or desire for change’ (1999: 92) embedded in the practice of accountability, which again seems to take for granted that the nomadic subject wishes for progressive political change. That </w:t>
      </w:r>
      <w:r w:rsidRPr="00087A72">
        <w:rPr>
          <w:rStyle w:val="StyleUnderline"/>
        </w:rPr>
        <w:t>any subject would necessarily be desirous of change with respect to aspects of identity that grant them privilege – for instance, whiteness – seems extremely dubious. While privileged subjects may indeed attempt to change or subvert aspects of identity that grant them privilege</w:t>
      </w:r>
      <w:r w:rsidRPr="00087A72">
        <w:rPr>
          <w:sz w:val="16"/>
        </w:rPr>
        <w:t xml:space="preserve"> (for instance, Adrienne Rich’s attempts as a white woman to subvert white privilege), </w:t>
      </w:r>
      <w:r w:rsidRPr="00087A72">
        <w:rPr>
          <w:rStyle w:val="StyleUnderline"/>
        </w:rPr>
        <w:t>the path to such change is far from transparent or simple, and to presume that all such (feminist?) subjects will necessarily attempt and succeed in disavowing privilege is both theoreti- cally and practically untenable</w:t>
      </w:r>
      <w:r w:rsidRPr="00087A72">
        <w:rPr>
          <w:sz w:val="16"/>
        </w:rPr>
        <w:t>. Accountability to location requires vigilance rather than presumption, and Braidotti is again highly selective in the ways in which she holds the nomadic subject accountable to ‘location’.4 Thus, the claim by Gedalof and others that her version of the nomadic subject is universalized and occupies the ‘unmarked norm’ in important respects holds considerable merit. Given Braidotti’s somewhat ‘orthodox’ application of Deleuzian thinking, this outcome is not surprising: accord- ing to Kaplan, a universalized and unmarked nomadic subject is logically consistent with the ways in which the model has been constructed. In her words: [</w:t>
      </w:r>
      <w:r w:rsidRPr="00087A72">
        <w:rPr>
          <w:rStyle w:val="Emphasis"/>
        </w:rPr>
        <w:t>Deleuze and Guattari’s] privileging of ‘nomadic’ modes relies upon an opposition between a central site of subjectivity and zones of marginality. Thus their advocacy of a process of ‘becoming minor’ depends upon the erasure of the site of their own subject positions.</w:t>
      </w:r>
      <w:r w:rsidRPr="00087A72">
        <w:rPr>
          <w:sz w:val="16"/>
        </w:rPr>
        <w:t xml:space="preserve"> (Kaplan, 1996: 86) </w:t>
      </w:r>
      <w:r w:rsidRPr="00087A72">
        <w:rPr>
          <w:rStyle w:val="StyleUnderline"/>
        </w:rPr>
        <w:t>This erasure also has important implications for locating the production of knowledge</w:t>
      </w:r>
      <w:r w:rsidRPr="00087A72">
        <w:rPr>
          <w:sz w:val="16"/>
        </w:rPr>
        <w:t xml:space="preserve">. More specifically, </w:t>
      </w:r>
      <w:r w:rsidRPr="00087A72">
        <w:rPr>
          <w:rStyle w:val="Emphasis"/>
        </w:rPr>
        <w:t>it marginalizes ‘local knowledges’, that is, knowledges that are relegated to the periphery of hegemonic epistemolo- gies by virtue of their ‘otherness’ to a universalized West.</w:t>
      </w:r>
      <w:r w:rsidRPr="00087A72">
        <w:rPr>
          <w:sz w:val="16"/>
        </w:rPr>
        <w:t xml:space="preserve"> </w:t>
      </w:r>
      <w:r w:rsidRPr="00087A72">
        <w:rPr>
          <w:rStyle w:val="Emphasis"/>
        </w:rPr>
        <w:t>Epistemologies might be rendered peripheral or ‘local’ by virtue of being generated by the ‘wrong’ race, class or gender; more significantly for this article, they are also marginalized by virtue of emanating from the colonized other of the West.</w:t>
      </w:r>
      <w:r w:rsidRPr="00087A72">
        <w:rPr>
          <w:sz w:val="16"/>
        </w:rPr>
        <w:t xml:space="preserve"> This is a theme that has been explored in some depth in Gayatri Spivak’s well-known essay ‘Can the Subaltern Speak?’ (1988), and Elspeth Probyn (1990) draws heavily on this work in her discussion of ‘the local’. Probyn formulates a definition of ‘location’ that begins to draw out the significance of the politics of knowledge and its linkage to colonized discursive spaces. It is . . . through a process of location, of fixing statements in relation to other established statements, that knowledge comes to be ordered. It is through this process that the knowledges produced in locale are denigrated as local, subaltern, and other. (1990: 185) </w:t>
      </w:r>
      <w:r w:rsidRPr="00087A72">
        <w:rPr>
          <w:rStyle w:val="StyleUnderline"/>
        </w:rPr>
        <w:t>The nomad cannot simply define herself as outside of this political ordering of knowledge and, through inattention to the implications of her own positioning as another rendition of the universalized western subject, the nomad perpetuates the hegemony of western ways of knowing and being:</w:t>
      </w:r>
      <w:r w:rsidRPr="00087A72">
        <w:rPr>
          <w:sz w:val="16"/>
        </w:rPr>
        <w:t xml:space="preserve"> ‘[the] nomad . . . is posed as unthreatening, merely passing through; however, his person has questionable effects . . . the nomad camouflage[s] the theoretical problematic of the ontological implications of Western subjecthood’ (1990: 184</w:t>
      </w:r>
      <w:r w:rsidRPr="00087A72">
        <w:rPr>
          <w:rStyle w:val="StyleUnderline"/>
        </w:rPr>
        <w:t xml:space="preserve">). Thus, knowledges that could be characterized as ‘local’ are marginalized, adding further weight to the argument that Braidotti’s notion of the </w:t>
      </w:r>
      <w:r w:rsidRPr="00087A72">
        <w:rPr>
          <w:rStyle w:val="Emphasis"/>
        </w:rPr>
        <w:t>nomadic subject disempowers effective indigenous politics</w:t>
      </w:r>
      <w:r w:rsidRPr="00087A72">
        <w:rPr>
          <w:rStyle w:val="StyleUnderline"/>
        </w:rPr>
        <w:t xml:space="preserve">. </w:t>
      </w:r>
      <w:r w:rsidRPr="00087A72">
        <w:rPr>
          <w:sz w:val="16"/>
        </w:rPr>
        <w:t xml:space="preserve">While Braidotti could thus be said to erase ‘the site of [her] own subject position’ and its epistemological implications, thereby ignoring her poten- tial complicity in colonialist discourses,5 Paul Patton raises an entirely different set of issues in his deployment of Deleuzian thinking and the notion of nomadic subjectivity. </w:t>
      </w:r>
      <w:r w:rsidRPr="00087A72">
        <w:rPr>
          <w:rStyle w:val="StyleUnderline"/>
        </w:rPr>
        <w:t>Patton has written extensively on Deleuze</w:t>
      </w:r>
      <w:r w:rsidRPr="00087A72">
        <w:rPr>
          <w:sz w:val="16"/>
        </w:rPr>
        <w:t xml:space="preserve"> (1984, 1994, 1996a, 1996b, 1996d, 2000) </w:t>
      </w:r>
      <w:r w:rsidRPr="00087A72">
        <w:rPr>
          <w:rStyle w:val="StyleUnderline"/>
        </w:rPr>
        <w:t>and has explicitly aligned himself with politics that support the efforts of indigenous peoples to secure political rights, self-determination and cultural survival</w:t>
      </w:r>
      <w:r w:rsidRPr="00087A72">
        <w:rPr>
          <w:sz w:val="16"/>
        </w:rPr>
        <w:t xml:space="preserve"> (1995a, 1995b, 1996c, 2000; see also Ivison et al., 2000). Thus, </w:t>
      </w:r>
      <w:r w:rsidRPr="00087A72">
        <w:rPr>
          <w:rStyle w:val="StyleUnderline"/>
        </w:rPr>
        <w:t>he has made indigenous issues and colonization central concerns of his work, and there is no indication from his writings that his concern for justice in relation to indigen- ous peoples is anything less than genuine. Yet, I return to the central question of this article: does a Deleuzian approach help or hinder the advancement of these aims</w:t>
      </w:r>
      <w:r w:rsidRPr="00087A72">
        <w:rPr>
          <w:sz w:val="16"/>
        </w:rPr>
        <w:t xml:space="preserve">? In the case of Braidotti, Deleuzian frameworks have a deleterious effect on the possibility of effective indigenous politics. Does Patton draw on Deleuze in a more constructive way? Patton’s deployment of Deleuze returns us once again to the figure of the nomad. A lengthy elaboration of the link between nomadic subjectivity and the concrete issue of native land title appears in a chapter in Deleuze and the Political (2000) entitled ‘Nomads, Capture and Colonisation’, in which </w:t>
      </w:r>
      <w:r w:rsidRPr="00087A72">
        <w:rPr>
          <w:rStyle w:val="StyleUnderline"/>
        </w:rPr>
        <w:t>Patton</w:t>
      </w:r>
      <w:r w:rsidRPr="00087A72">
        <w:rPr>
          <w:sz w:val="16"/>
        </w:rPr>
        <w:t xml:space="preserve"> </w:t>
      </w:r>
      <w:r w:rsidRPr="00087A72">
        <w:rPr>
          <w:rStyle w:val="StyleUnderline"/>
        </w:rPr>
        <w:t>test[s] the degree to which [the] Deleuzian family of concepts (war-machine, capture, deterritorialisation) enables an effective counter-actualisation of the legal forms of internal colonisation to which indigenous peoples are subject in common-law countries</w:t>
      </w:r>
      <w:r w:rsidRPr="00087A72">
        <w:rPr>
          <w:sz w:val="16"/>
        </w:rPr>
        <w:t xml:space="preserve"> such as Australia, Canada and Aotearoa/New Zealand. (2000: 109) To unravel the reason why Patton makes this particular connection requires a return to Deleuze and Guattari themselves, and in particular to their juxtaposition of ‘striated’ versus ‘smooth’ spaces, and the affiliation of striated space with the state and the subject, and smooth space with ‘the desert’ and the nomad. I spoke earlier of the link between the state, binary thinking and Rooted Reasonable Man; it is now important to note that this Man is rooted in a space conceived of as hierarchically ordered, quantifiable and ‘captured’ or territorialized through the apparatus of the state. One of the fundamental tasks of the State is to striate the space over which it reigns. . . . If it can help it, the State does not dissociate itself from a process of capture of flows of all kinds, populations, commodities or commerce, money or capital, etc. (Deleuze and Guattari, 1987: 385–6) In contrast to this notion of ownership and hierarchical ordering: ‘[w]ith the nomad . . . it is deterritorialization that constitutes the relation to the earth. . . . The land ceases to be land, tending to become simply ground (sol) or support’ (1987: 381; emphasis in original). </w:t>
      </w:r>
      <w:r w:rsidRPr="00087A72">
        <w:rPr>
          <w:rStyle w:val="StyleUnderline"/>
        </w:rPr>
        <w:t xml:space="preserve">The juxtaposition between smooth and striated space, and their links with the state and the nomad respectively, take on tremendous significance for Patton; they </w:t>
      </w:r>
      <w:r w:rsidRPr="00087A72">
        <w:rPr>
          <w:rStyle w:val="Emphasis"/>
        </w:rPr>
        <w:t>are his primary means of conceptualizing European colonization of indigenous peoples.</w:t>
      </w:r>
      <w:r w:rsidRPr="00087A72">
        <w:rPr>
          <w:sz w:val="16"/>
        </w:rPr>
        <w:t xml:space="preserve"> In Patton’s view, Europeans are associated with the state while indigenous peoples, by virtue of their social struc- tures and relationship to territory, can be considered nomadic or ‘war-machines’6 in the Deleuzian sense. The historical process by which the European world added states to its margins involved the incorporation of indigenous peoples and their territories into the sovereign territory of existing states. . . . [Deleuze and Guattari’s] theory of the state as apparatus of capture is particularly suited to describe this process. (Patton, 2000: 121) Patton goes on to argue that legal judgements, such as the 1992 Australian High Court decision in Mabo v. Queensland which recognized aboriginal land title grounded in native law and custom rather than granted by the British Crown (2000: 126), represent a rupture in this process of capture by colonizing powers, thereby creating ‘a jurisprudential smooth space which may develop in unexpected directions’ (2000: 131). </w:t>
      </w:r>
      <w:r w:rsidRPr="00087A72">
        <w:rPr>
          <w:rStyle w:val="StyleUnderline"/>
        </w:rPr>
        <w:t>He is not grandiose in his claims of what the creation of this smooth space might achieve; while it may represent a form of deterritorialization and thereby possibilities for the flowering of multiplicity, nomad thought and so on, it may also ‘repre- sent little more than a minor readjustment of the legal terms in which colonial capture was carried out’</w:t>
      </w:r>
      <w:r w:rsidRPr="00087A72">
        <w:rPr>
          <w:sz w:val="16"/>
        </w:rPr>
        <w:t xml:space="preserve"> (2000: 126). Nonetheless, </w:t>
      </w:r>
      <w:r w:rsidRPr="00087A72">
        <w:rPr>
          <w:rStyle w:val="Emphasis"/>
        </w:rPr>
        <w:t xml:space="preserve">his explicit linkage of indigenous peoples to Deleuzian nomads or war-machines, and of the process of decolonization to the creation of ‘smooth spaces’, carries significant weight in a number of works he has written and therefore deserves close examination in order to discern both its explicit and implicit political commitments. </w:t>
      </w:r>
      <w:r w:rsidRPr="00087A72">
        <w:rPr>
          <w:sz w:val="16"/>
        </w:rPr>
        <w:t xml:space="preserve">As mentioned earlier, in terms of explicit commitments Patton writes consistently as an advocate of the release of indigenous territories from the ‘capture’ of colonial powers, and thus in an important way can be said to be dedicated to a progressive indigenous politics. </w:t>
      </w:r>
      <w:r w:rsidRPr="00087A72">
        <w:rPr>
          <w:rStyle w:val="Emphasis"/>
        </w:rPr>
        <w:t>Yet, appropriating concrete indigenous struggles, for instance legal battles such as the Mabo case, in order to provide an exemplar of Deleuzian theory in action could be counterproductive to furthering the aims he claims to support.</w:t>
      </w:r>
      <w:r w:rsidRPr="00087A72">
        <w:rPr>
          <w:sz w:val="16"/>
        </w:rPr>
        <w:t xml:space="preserve"> At the outset, it would appear that </w:t>
      </w:r>
      <w:r w:rsidRPr="00087A72">
        <w:rPr>
          <w:rStyle w:val="Emphasis"/>
        </w:rPr>
        <w:t>the appropriation of indigenous political activism may do more to support the validity of Deleuzian theory</w:t>
      </w:r>
      <w:r w:rsidRPr="00087A72">
        <w:rPr>
          <w:sz w:val="16"/>
        </w:rPr>
        <w:t xml:space="preserve">, rather than the theory acting as a support or aid to the activism. Theoretical models are always bolstered if theorists can find ‘examples’ of theory in action in the material world which appear to substantiate the explanatory power of those models,7 and Patton’s repeated invocations of indigenous politics as nomadic war-machines seems to do just that. </w:t>
      </w:r>
      <w:r w:rsidRPr="00087A72">
        <w:rPr>
          <w:rStyle w:val="StyleUnderline"/>
        </w:rPr>
        <w:t xml:space="preserve">Yet, how can such theoretical applications of a concept such as nomad thought serve to bolster or support those politics in turn? I would argue that </w:t>
      </w:r>
      <w:r w:rsidRPr="00087A72">
        <w:rPr>
          <w:rStyle w:val="Emphasis"/>
        </w:rPr>
        <w:t>they do not,</w:t>
      </w:r>
      <w:r w:rsidRPr="00087A72">
        <w:rPr>
          <w:rStyle w:val="StyleUnderline"/>
        </w:rPr>
        <w:t xml:space="preserve"> and that, on the contrary, </w:t>
      </w:r>
      <w:r w:rsidRPr="00087A72">
        <w:rPr>
          <w:rStyle w:val="Emphasis"/>
        </w:rPr>
        <w:t>they serve to undermine the power of indigenous move- ments in significant ways</w:t>
      </w:r>
      <w:r w:rsidRPr="00087A72">
        <w:rPr>
          <w:rStyle w:val="StyleUnderline"/>
        </w:rPr>
        <w:t>.</w:t>
      </w:r>
      <w:r w:rsidRPr="00087A72">
        <w:rPr>
          <w:sz w:val="16"/>
        </w:rPr>
        <w:t xml:space="preserve"> For instance, it is unlikely that such applications have any significant impact on the legal battles that form such an important part of indigenous claims in the contemporary setting, nor can they be said to empower indigenous subjects or voices in a broader sense. In particular, what are the implications of using a non-indigenous theoretical model to explain what indigenous worlds or political events might signify? </w:t>
      </w:r>
      <w:r w:rsidRPr="00087A72">
        <w:rPr>
          <w:rStyle w:val="Emphasis"/>
        </w:rPr>
        <w:t>There are important issues about the politics of representation at stake here, in which the act of unreflexively ‘representing the other’ has significant resonances with longstanding practices of representation within the context of colonization.</w:t>
      </w:r>
      <w:r w:rsidRPr="00087A72">
        <w:rPr>
          <w:sz w:val="16"/>
        </w:rPr>
        <w:t xml:space="preserve"> Patton’s move is one of theoretical imposition from ‘outside’, rather than one of theory generated from the needs of indigenous peoples as articulated by those groups themselves, and, while it is not helpful to simply forbid ‘outsiders’ from creating analyses or depictions of any group constituted as ‘other’,8 </w:t>
      </w:r>
      <w:r w:rsidRPr="00087A72">
        <w:rPr>
          <w:rStyle w:val="StyleUnderline"/>
        </w:rPr>
        <w:t>Patton’s lack of engagement with this issue enables a dehistoricization of his own practice. As such, to reiterate Kaplan’s point about the linkages between modernism and postmodernism, his work is not as far removed from modernist social scientific discourses of colonization as he might assume.</w:t>
      </w:r>
      <w:r w:rsidRPr="00087A72">
        <w:rPr>
          <w:sz w:val="16"/>
        </w:rPr>
        <w:t xml:space="preserve"> At the height of the era of western imperialism, disciplines such as anthropology sought </w:t>
      </w:r>
      <w:r w:rsidRPr="00087A72">
        <w:rPr>
          <w:rStyle w:val="Emphasis"/>
        </w:rPr>
        <w:t xml:space="preserve">to explain ‘the natives’ both to the West and to indigenous peoples themselves; while apparently grounded in quite different motivations, Patton’s model repro- duces much the same gesture.  </w:t>
      </w:r>
    </w:p>
    <w:p w:rsidR="00CD7A9B" w:rsidRPr="00087A72" w:rsidRDefault="00CD7A9B" w:rsidP="00CD7A9B">
      <w:pPr>
        <w:rPr>
          <w:rStyle w:val="Emphasis"/>
        </w:rPr>
      </w:pPr>
    </w:p>
    <w:p w:rsidR="00CD7A9B" w:rsidRPr="00087A72" w:rsidRDefault="00CD7A9B" w:rsidP="00CD7A9B">
      <w:pPr>
        <w:pStyle w:val="Heading4"/>
      </w:pPr>
      <w:r w:rsidRPr="00087A72">
        <w:t xml:space="preserve">Post colonial discourse always leave out indigenous bodies creating robust and violent versions of indigenous politics </w:t>
      </w:r>
    </w:p>
    <w:p w:rsidR="00CD7A9B" w:rsidRPr="00087A72" w:rsidRDefault="00CD7A9B" w:rsidP="00CD7A9B">
      <w:pPr>
        <w:rPr>
          <w:b/>
          <w:sz w:val="26"/>
        </w:rPr>
      </w:pPr>
      <w:r w:rsidRPr="00087A72">
        <w:rPr>
          <w:rStyle w:val="Style13ptBold"/>
        </w:rPr>
        <w:t xml:space="preserve">Wuthnow 2002 </w:t>
      </w:r>
      <w:r w:rsidRPr="00087A72">
        <w:rPr>
          <w:rStyle w:val="Style13ptBold"/>
          <w:b w:val="0"/>
          <w:sz w:val="16"/>
          <w:szCs w:val="16"/>
        </w:rPr>
        <w:t>(Julie Wuthnow, Department of Gender Studies at the University of Canterbury in Christchurch, New Zealand “Deleuze in the Post Colonial On nomads and indigenous politics” feminist Theory, Vol. 3. No. 2 pp. 189-193) [JS]</w:t>
      </w:r>
    </w:p>
    <w:p w:rsidR="00CD7A9B" w:rsidRPr="00087A72" w:rsidRDefault="00CD7A9B" w:rsidP="00CD7A9B">
      <w:pPr>
        <w:rPr>
          <w:sz w:val="16"/>
        </w:rPr>
      </w:pPr>
      <w:r w:rsidRPr="00087A72">
        <w:rPr>
          <w:sz w:val="16"/>
        </w:rPr>
        <w:t xml:space="preserve">Questions of ‘voice’ and ‘experience’ are important in this context as well. Patton does not include indigenous voices within his writings, and it is difficult to imagine how those voices might function for him. I am not suggesting here that Patton should simply add ‘authentic’ indigenous voices or an indigenous ‘presence’ to his own voice in order to remedy a perceived imbalance in representation; I will go on to explore at some length why this approach is neither justifiable nor desirable. Nonetheless, </w:t>
      </w:r>
      <w:r w:rsidRPr="00087A72">
        <w:rPr>
          <w:rStyle w:val="StyleUnderline"/>
        </w:rPr>
        <w:t>his inattention to the absence of any form of indigenous self-representation</w:t>
      </w:r>
      <w:r w:rsidRPr="00087A72">
        <w:rPr>
          <w:sz w:val="16"/>
        </w:rPr>
        <w:t xml:space="preserve"> is what concerns me here. </w:t>
      </w:r>
      <w:r w:rsidRPr="00087A72">
        <w:rPr>
          <w:rStyle w:val="StyleUnderline"/>
        </w:rPr>
        <w:t>There is no invitation within Patton’s work to investigate what might constitute important issues for indigenous peoples or to debate which approaches to those concerns might best suit their needs</w:t>
      </w:r>
      <w:r w:rsidRPr="00087A72">
        <w:rPr>
          <w:sz w:val="16"/>
        </w:rPr>
        <w:t xml:space="preserve">. While indigenous peoples might engage with Patton as theoretical interlocutors in the same manner as any other theorists,9 there is no discur- sive space within Patton’s work for the experiences of indigenous peoples to inform or ground his project. Indeed, within a Deleuzian framework, it would be difficult to see how he could include such voices or experiences. </w:t>
      </w:r>
      <w:r w:rsidRPr="00087A72">
        <w:rPr>
          <w:rStyle w:val="StyleUnderline"/>
        </w:rPr>
        <w:t>If nomad thought ‘does not ally itself with a universal thinking subject but, on the contrary, with a singular race. . . . A tribe in the desert instead of a universal subject within the horizon of all-encompassing Being’</w:t>
      </w:r>
      <w:r w:rsidRPr="00087A72">
        <w:rPr>
          <w:sz w:val="16"/>
        </w:rPr>
        <w:t xml:space="preserve"> (Deleuze and Guattari, 1987: 379), and if ‘the self is only a threshold, a door, a becoming between two multiplicities’ (1987: 249), </w:t>
      </w:r>
      <w:r w:rsidRPr="00087A72">
        <w:rPr>
          <w:rStyle w:val="StyleUnderline"/>
        </w:rPr>
        <w:t xml:space="preserve">where could one locate a coherent subject empowered to speak at all? </w:t>
      </w:r>
      <w:r w:rsidRPr="00087A72">
        <w:rPr>
          <w:rStyle w:val="Emphasis"/>
        </w:rPr>
        <w:t>Within Deleuzian under- standings, such a self could only be part of a binary apparatus of the state, a defender of logos and identity, and thereby a destroyer of difference and multiplicity.</w:t>
      </w:r>
      <w:r w:rsidRPr="00087A72">
        <w:rPr>
          <w:sz w:val="16"/>
        </w:rPr>
        <w:t xml:space="preserve"> Thus, </w:t>
      </w:r>
      <w:r w:rsidRPr="00087A72">
        <w:rPr>
          <w:rStyle w:val="Emphasis"/>
        </w:rPr>
        <w:t xml:space="preserve">within this framework, claims to authentic experience on the part of the self-identical subject, either on her own behalf or as a representative of a larger group, become politically suspect rather than useful testimony to an individual’s or group’s legitimate concerns. </w:t>
      </w:r>
      <w:r w:rsidRPr="00087A72">
        <w:rPr>
          <w:sz w:val="16"/>
        </w:rPr>
        <w:t xml:space="preserve">There is much to be said for this form of analysis. </w:t>
      </w:r>
      <w:r w:rsidRPr="00087A72">
        <w:rPr>
          <w:rStyle w:val="Emphasis"/>
        </w:rPr>
        <w:t>Critiques of essential- ized identities and authenticity in relation to western models of subjectiv- ity raise a number of important and highly political questions</w:t>
      </w:r>
      <w:r w:rsidRPr="00087A72">
        <w:rPr>
          <w:sz w:val="16"/>
        </w:rPr>
        <w:t xml:space="preserve">, for instance, </w:t>
      </w:r>
      <w:r w:rsidRPr="00087A72">
        <w:rPr>
          <w:rStyle w:val="StyleUnderline"/>
        </w:rPr>
        <w:t xml:space="preserve">who is the arbiter of what counts as authentic? What kind of violence must be done to difference in order to construct a stable identity for the authen- tic subject, whether within the context of a collectivity or within the indi- vidual subject herself? </w:t>
      </w:r>
      <w:r w:rsidRPr="00087A72">
        <w:rPr>
          <w:sz w:val="16"/>
        </w:rPr>
        <w:t xml:space="preserve">Yet, must statements of experience authorized by such models of subjectivity be banished from our political vocabulary entirely? </w:t>
      </w:r>
      <w:r w:rsidRPr="00087A72">
        <w:rPr>
          <w:rStyle w:val="StyleUnderline"/>
        </w:rPr>
        <w:t>What is lost by adhering to such a comprehensive deconstruction of the coherent subject?</w:t>
      </w:r>
      <w:r w:rsidRPr="00087A72">
        <w:rPr>
          <w:sz w:val="16"/>
        </w:rPr>
        <w:t xml:space="preserve"> Alexander and Mohanty raise an important point by explaining how deconstructing the categories that define the subject does not automatically dispel their significance within the context of lived experience. </w:t>
      </w:r>
      <w:r w:rsidRPr="00087A72">
        <w:rPr>
          <w:rStyle w:val="StyleUnderline"/>
        </w:rPr>
        <w:t xml:space="preserve">Postmodernist discourse attempts to move beyond essentialism by pluralizing and dissolving the stability and analytic utility of the categories of race, class, gender, and sexuality. </w:t>
      </w:r>
      <w:r w:rsidRPr="00087A72">
        <w:rPr>
          <w:rStyle w:val="Emphasis"/>
        </w:rPr>
        <w:t>This strategy often forecloses any valid recuperation of these categories or the social relations through which they are constituted. If we dissolve the category of race, for instance, it becomes difficult to claim the experi- ence of racism</w:t>
      </w:r>
      <w:r w:rsidRPr="00087A72">
        <w:rPr>
          <w:sz w:val="16"/>
        </w:rPr>
        <w:t xml:space="preserve">. (Alexander and Mohanty, 1997: xvii) In other words, poststructuralist deconstruction of modernist notions of identity, as proposed by models such as nomad thought, does not necess- arily release the marginalized from what they perceive as their experiences of oppression. Indeed, this imperative, when taken as a central analytical and political gesture, serves to enact the disappearing act that I alluded to at the beginning of this article: the experience of oppression within contexts that could be defined as ‘local’ simply cannot be spoken. </w:t>
      </w:r>
      <w:r w:rsidRPr="00087A72">
        <w:rPr>
          <w:rStyle w:val="Emphasis"/>
        </w:rPr>
        <w:t>Given that Deleuzian influenced theory adheres to just such an imperative,</w:t>
      </w:r>
      <w:r w:rsidRPr="00087A72">
        <w:rPr>
          <w:sz w:val="16"/>
        </w:rPr>
        <w:t xml:space="preserve"> the following comments from Smith are well taken and could easily be applied to Patton’s postcolonial deployment of Deleuze: ‘</w:t>
      </w:r>
      <w:r w:rsidRPr="00087A72">
        <w:rPr>
          <w:rStyle w:val="Emphasis"/>
        </w:rPr>
        <w:t>the field of “post-colonial” discourse has been defined in ways which can still leave out indigenous peoples, our ways of knowing and our current concerns</w:t>
      </w:r>
      <w:r w:rsidRPr="00087A72">
        <w:rPr>
          <w:sz w:val="16"/>
        </w:rPr>
        <w:t xml:space="preserve">’ (1999: 24). To follow on from Smith’s comment, how might poststructuralist, feminist or postcolonial discourses be defined differently in order to enhance rather than disappear indigenous ‘ways of knowing and . . . current concerns’? How might models of subjectivity or identity be constructed in ways that do not reproduce the colonizing gestures of nomad thought or nomadic subjectivity? In my discussion of </w:t>
      </w:r>
      <w:r w:rsidRPr="00087A72">
        <w:rPr>
          <w:rStyle w:val="Emphasis"/>
        </w:rPr>
        <w:t>Deleuze</w:t>
      </w:r>
      <w:r w:rsidRPr="00087A72">
        <w:rPr>
          <w:sz w:val="16"/>
        </w:rPr>
        <w:t xml:space="preserve">, Braidotti and Patton, I have shown that their </w:t>
      </w:r>
      <w:r w:rsidRPr="00087A72">
        <w:rPr>
          <w:rStyle w:val="Emphasis"/>
        </w:rPr>
        <w:t>articulations of this model perpetuate a universalized and unmarked western norm, marginalize ‘local knowledges’, prioritize theoretical validation over political exigencies and disallow representations of ‘experience’</w:t>
      </w:r>
      <w:r w:rsidRPr="00087A72">
        <w:rPr>
          <w:sz w:val="16"/>
        </w:rPr>
        <w:t xml:space="preserve"> – </w:t>
      </w:r>
      <w:r w:rsidRPr="00087A72">
        <w:rPr>
          <w:rStyle w:val="Emphasis"/>
        </w:rPr>
        <w:t>all with very problematic consequences for the enablement of robust versions of indigenous politics.</w:t>
      </w:r>
      <w:r w:rsidRPr="00087A72">
        <w:rPr>
          <w:sz w:val="16"/>
        </w:rPr>
        <w:t xml:space="preserve"> On the other hand, poststructuralist deconstructions of modernist notions of essentialism are genuinely persuasive, both in theoretical and political terms, making a reductive or defensive return to essentialized notions of ‘identity’, ‘experience’ or ‘local knowledge’ counterproductive. Yet, we need not be left with an either/or dichotomy between what appear to be diametrically opposed models. A number of feminist and postcolonial writers point to ways in which the highly contentious concept of ‘identity’ might be rethought to take account of poststructuralist critiques of foun- dationalism, while at the same time enabling more effective politics than those authorized by Deleuzian models of subjectivity. The task can be posed as follows: what is needed is a conceptualization of subjectivity that allows for notions of embodiment, location and history that avoid essen- tialism, thus legitimizing historicized and situated ‘experience’ as a ground for the production of knowledge and political action. I shall therefore now sketch some of the tools currently being developed that could prove useful in building such a model in the future. In deconstructing the rigid dichotomy that is often constructed between poststructuralist and essentialist accounts of subjectivity and epistemology, writers such as Moya (1997), Barker (2000), Stone-Mediatore (2000), Alexander and Mohanty (1997), Hall (1997) and Canning (1994) look to that which constitutes the ‘excess’ of language and hegemonic representations as the site for oppositional discourses and thus a grounding for effective politics. For some of these writers, this excess is related to bodily experi- ences, but not bodies in any unmediated sense in which individuals can simply speak the authentic truth of their experience.10 Within this corpus of work, it is more accurate to refer to notions of embodiment in which ‘bodily experience cannot be reduced to either the purely biological or the purely social. The body is the site of intersection of the natural with the cultural, and cannot be wholly explained by either’ (Barker, 2000: 180). Within this conception, bodies may always be mediated by discourse, yet not totally captured by it. </w:t>
      </w:r>
      <w:r w:rsidRPr="00087A72">
        <w:rPr>
          <w:rStyle w:val="StyleUnderline"/>
        </w:rPr>
        <w:t>While hegemonic representations may categorize and define, there is always resistance to these definitions, and it is the subjective agency embodied in this resistance which constitutes the possibility for oppositional discourses.</w:t>
      </w:r>
      <w:r w:rsidRPr="00087A72">
        <w:rPr>
          <w:sz w:val="16"/>
        </w:rPr>
        <w:t xml:space="preserve"> Shari Stone-Mediatore draws on the work of Mohanty in order to elaborate a notion of experience that locates itself at the intersection between the body and language: </w:t>
      </w:r>
      <w:r w:rsidRPr="00087A72">
        <w:rPr>
          <w:rStyle w:val="StyleUnderline"/>
        </w:rPr>
        <w:t>The experience that facilitates oppositional discourses consists of tensions between experience and language, tensions that are endured subjectively as contradictions within experience – contradictions between ideologically consti- tuted perceptions of the world and reactions to these images endured on multiple psychological and bodily levels</w:t>
      </w:r>
      <w:r w:rsidRPr="00087A72">
        <w:rPr>
          <w:sz w:val="16"/>
        </w:rPr>
        <w:t xml:space="preserve">. (Stone-Mediatore, 2000: 122) In a similar vein, Paula Moya draws on Cherríe Moraga’s notion of a ‘theory of the flesh’ in order to make linkages between bodily experience and discourse. ‘Moraga emphasizes the materiality of the body by conceptualizing “flesh” as the site on or within which the woman of color experiences the painful material effects of living in her particular social location’ (Moya, 1997: 145). What is of crucial significance here is Moya’s evocation of ‘social location’; once again, this is not an essentialist notion of experience or material reality. The woman of colour does not experience ‘painful effects’ because of any inherent quality; the problem exists because of meanings ascribed to her bodily traits within existing social structures which can be considered effects of discourse. For, as Mohanram argues: ‘The category of the “black body” can come into being only when the body is perceived as being out of place, either from its natural environment or its national boundaries’ (1999: xii). Kathleen Canning makes a similar argument in citing women’s embodied experiences as ‘the most compelling means of contesting dominant discourses, of appropriating discursive space’ (1994: 397). Once again, the emphasis is placed on the interactions of language and body, or discourse and that which it cannot contain, and in each of these cases embodied political agency is theorized without recourse to essentialized notions of any of the key terms. </w:t>
      </w:r>
      <w:r w:rsidRPr="00087A72">
        <w:rPr>
          <w:rStyle w:val="StyleUnderline"/>
        </w:rPr>
        <w:t>I have previously demonstrated that models of nomadic subjectivity based on Deleuzian thinking remain unaccountable to a politics of location</w:t>
      </w:r>
      <w:r w:rsidRPr="00087A72">
        <w:rPr>
          <w:sz w:val="16"/>
        </w:rPr>
        <w:t>; it is worth emphasizing here how</w:t>
      </w:r>
      <w:r w:rsidRPr="00087A72">
        <w:rPr>
          <w:rStyle w:val="Emphasis"/>
        </w:rPr>
        <w:t>, in attempting to formulate a counter- stance to these formulations, the ‘local’ need not be based on an essential- ized notion of place any more than the concept of ‘experience’ on an essentialized notion of embodiment, and, much like ‘experience’</w:t>
      </w:r>
      <w:r w:rsidRPr="00087A72">
        <w:rPr>
          <w:sz w:val="16"/>
        </w:rPr>
        <w:t>, it can usefully utilize the notion of ‘excess’. In its most constructive formulations, the term ‘local’ refers most importantly not to geographical location, but rather to a status of marginalization within broader discursive realms. Probyn alludes to this in her discussion of the local mentioned earlier. It is also a theme explored at some length by Stuart Hall in his essay entitled ‘The Local and the Global: Globalization and Ethnicity’ (1997). For Hall, the local – conceptualized variously as marginality, difference and diversity – is juxtaposed with a globalized postmodern realm, and he makes a strong case for the existence and even resurgence of the local as excess within this terrain (1997: 34).11 In marked contrast to Deleuze and Guattari, his notion of the local relies on a sense of place and of ‘roots’ (1997: 36), yet he is very careful to elaborate notions of these concepts that avoid essentialized groundings. The homeland is not waiting back there for the new ethnics to rediscover it. There is a past to be learned about, but the past is now seen, and has to be grasped as a history, as something that has to be told. It is narrated. It is grasped through memory. It is grasped through desire. It is grasped through reconstruction. It is not just a fact that has been waiting to ground our identities. (1997: 38)</w:t>
      </w:r>
    </w:p>
    <w:p w:rsidR="00CD7A9B" w:rsidRPr="00087A72" w:rsidRDefault="00CD7A9B" w:rsidP="00496C79">
      <w:pPr>
        <w:pStyle w:val="Heading3"/>
      </w:pPr>
      <w:r w:rsidRPr="00087A72">
        <w:t>Link – Derrida</w:t>
      </w:r>
    </w:p>
    <w:p w:rsidR="00CD7A9B" w:rsidRPr="00087A72" w:rsidRDefault="00CD7A9B" w:rsidP="00CD7A9B">
      <w:pPr>
        <w:pStyle w:val="Heading4"/>
        <w:rPr>
          <w:rFonts w:cstheme="minorHAnsi"/>
        </w:rPr>
      </w:pPr>
      <w:r w:rsidRPr="00087A72">
        <w:rPr>
          <w:rFonts w:cstheme="minorHAnsi"/>
        </w:rPr>
        <w:t>“Tattooed savages” sets the foundation for modern logocentrism that allows for communication</w:t>
      </w:r>
    </w:p>
    <w:p w:rsidR="00CD7A9B" w:rsidRPr="00087A72" w:rsidRDefault="00CD7A9B" w:rsidP="00CD7A9B">
      <w:pPr>
        <w:rPr>
          <w:rFonts w:cstheme="minorHAnsi"/>
        </w:rPr>
      </w:pPr>
      <w:r w:rsidRPr="00087A72">
        <w:rPr>
          <w:rStyle w:val="Style13ptBold"/>
          <w:rFonts w:cstheme="minorHAnsi"/>
        </w:rPr>
        <w:t>Byrd 11</w:t>
      </w:r>
      <w:r w:rsidRPr="00087A72">
        <w:rPr>
          <w:rFonts w:cstheme="minorHAnsi"/>
        </w:rPr>
        <w:t xml:space="preserve">  (Jodi, Citizen of the Chickasaw Nation of Oklahoma and assistant professor of American Indian studies and English at the University of Illinois “The Transit of Empire”, pp 8-9) LX</w:t>
      </w:r>
    </w:p>
    <w:p w:rsidR="00CD7A9B" w:rsidRPr="00087A72" w:rsidRDefault="00CD7A9B" w:rsidP="00CD7A9B">
      <w:pPr>
        <w:rPr>
          <w:rFonts w:cs="MinionPro-Regular"/>
          <w:sz w:val="16"/>
          <w:szCs w:val="20"/>
        </w:rPr>
      </w:pPr>
      <w:r w:rsidRPr="00087A72">
        <w:rPr>
          <w:rStyle w:val="StyleUnderline"/>
          <w:rFonts w:cstheme="minorHAnsi"/>
        </w:rPr>
        <w:t>Jacques Derrida begins Writing and Difference with a quotation from Gustave Flaubert: “‘It might be that we are all tattooed savages since Sophocles.</w:t>
      </w:r>
      <w:r w:rsidRPr="00087A72">
        <w:rPr>
          <w:rFonts w:cstheme="minorHAnsi"/>
          <w:sz w:val="16"/>
          <w:szCs w:val="20"/>
        </w:rPr>
        <w:t xml:space="preserve"> But there is more to Art than the straightness of lines and the perfection of surfaces. Plasticity of style is not as large as the entire idea. . . . We have too many things and not enough forms.’”¹⁸ Derrida’s concern with Flaubert in “Force and Signification” is a concern with “phantoms of energy, ‘ideas’ ‘larger than the plasticity of style’” where Flaubert “is sighing, ‘Alas! not enough forms’” to contain all the things for which there are not forms.¹⁹ While Derrida is interested here in setting forth the interrelation between reading and writing, form and meaning, creativity and criticism as a means to push beyond structuralism’s totality of form, which supposes meaning is found in the lines that are drawn structurally, he is also setting the stage for elaborating deconstruction as attention to enunciation and interpretation. “Meaning must await being said or written in order to inhabit itself, and in order to become, by differing from itself, what it is: meaning.”²⁰ At the same time, he begins to consider how presence and absence function as acts of interpretation when he writes that “only </w:t>
      </w:r>
      <w:r w:rsidRPr="00087A72">
        <w:rPr>
          <w:rFonts w:cstheme="minorHAnsi"/>
          <w:i/>
          <w:iCs/>
          <w:sz w:val="16"/>
          <w:szCs w:val="20"/>
        </w:rPr>
        <w:t>pure absence</w:t>
      </w:r>
      <w:r w:rsidRPr="00087A72">
        <w:rPr>
          <w:rFonts w:cstheme="minorHAnsi"/>
          <w:sz w:val="16"/>
          <w:szCs w:val="20"/>
        </w:rPr>
        <w:t xml:space="preserve">—not the absence of this or that, but the absence of everything in which all presence is announced—can </w:t>
      </w:r>
      <w:r w:rsidRPr="00087A72">
        <w:rPr>
          <w:rFonts w:cstheme="minorHAnsi"/>
          <w:i/>
          <w:iCs/>
          <w:sz w:val="16"/>
          <w:szCs w:val="20"/>
        </w:rPr>
        <w:t xml:space="preserve">inspire, </w:t>
      </w:r>
      <w:r w:rsidRPr="00087A72">
        <w:rPr>
          <w:rFonts w:cstheme="minorHAnsi"/>
          <w:sz w:val="16"/>
          <w:szCs w:val="20"/>
        </w:rPr>
        <w:t xml:space="preserve">in other words, can </w:t>
      </w:r>
      <w:r w:rsidRPr="00087A72">
        <w:rPr>
          <w:rFonts w:cstheme="minorHAnsi"/>
          <w:i/>
          <w:iCs/>
          <w:sz w:val="16"/>
          <w:szCs w:val="20"/>
        </w:rPr>
        <w:t xml:space="preserve">work, </w:t>
      </w:r>
      <w:r w:rsidRPr="00087A72">
        <w:rPr>
          <w:rFonts w:cstheme="minorHAnsi"/>
          <w:sz w:val="16"/>
          <w:szCs w:val="20"/>
        </w:rPr>
        <w:t xml:space="preserve">and then make one work.”²¹ It is this notion of work that Gayatri Spivak uses to pull deconstruction toward postcolonial critique as “the active resistance to the inexorable calculus of globalization.”²² To understand </w:t>
      </w:r>
      <w:r w:rsidRPr="00087A72">
        <w:rPr>
          <w:rFonts w:cstheme="minorHAnsi"/>
          <w:i/>
          <w:iCs/>
          <w:sz w:val="16"/>
          <w:szCs w:val="20"/>
        </w:rPr>
        <w:t xml:space="preserve">difference </w:t>
      </w:r>
      <w:r w:rsidRPr="00087A72">
        <w:rPr>
          <w:rFonts w:cstheme="minorHAnsi"/>
          <w:sz w:val="16"/>
          <w:szCs w:val="20"/>
        </w:rPr>
        <w:t xml:space="preserve">and </w:t>
      </w:r>
      <w:r w:rsidRPr="00087A72">
        <w:rPr>
          <w:rFonts w:cstheme="minorHAnsi"/>
          <w:i/>
          <w:iCs/>
          <w:sz w:val="16"/>
          <w:szCs w:val="20"/>
        </w:rPr>
        <w:t xml:space="preserve">différance, </w:t>
      </w:r>
      <w:r w:rsidRPr="00087A72">
        <w:rPr>
          <w:rFonts w:cstheme="minorHAnsi"/>
          <w:sz w:val="16"/>
          <w:szCs w:val="20"/>
        </w:rPr>
        <w:t>difference and deferral, within Derrida’s riposte to structuralism is to understand that, according to Spivak, “the elaboration of a definition as a theme or an argument was a pushing away” of “all that is was not” even as that which was pushed away remains as trace or supplement.²³ In “Freud and the Scene of Writing,” Derrida links the supplement to the symptomatic return of the repressed, defining it as what “seems to be added as a plentitude to a plentitude, is equally that which compensates for a lack (</w:t>
      </w:r>
      <w:r w:rsidRPr="00087A72">
        <w:rPr>
          <w:rFonts w:cstheme="minorHAnsi"/>
          <w:i/>
          <w:iCs/>
          <w:sz w:val="16"/>
          <w:szCs w:val="20"/>
        </w:rPr>
        <w:t>qui supplée</w:t>
      </w:r>
      <w:r w:rsidRPr="00087A72">
        <w:rPr>
          <w:rFonts w:cstheme="minorHAnsi"/>
          <w:sz w:val="16"/>
          <w:szCs w:val="20"/>
        </w:rPr>
        <w:t xml:space="preserve">).”²⁴ In order words, a surplus overcompensation. </w:t>
      </w:r>
      <w:r w:rsidRPr="00087A72">
        <w:rPr>
          <w:rFonts w:cstheme="minorHAnsi"/>
          <w:sz w:val="16"/>
        </w:rPr>
        <w:t>But what of the “tattooed savages” that both Flaubert and Derrida announce</w:t>
      </w:r>
      <w:r w:rsidRPr="00087A72">
        <w:rPr>
          <w:rFonts w:cstheme="minorHAnsi"/>
          <w:sz w:val="16"/>
          <w:szCs w:val="20"/>
        </w:rPr>
        <w:t xml:space="preserve"> but who remain unacknowledged throughout the rest of the text? How might we approach the present absence, the supplemental gap, of their signification? Derrida’s body of work questions how Western thought and philosophy have privileged logocentrism and speech as the foundational principles of meaning—it is a system that, according to Derrida, has depended upon the assumption that </w:t>
      </w:r>
      <w:r w:rsidRPr="00087A72">
        <w:rPr>
          <w:rFonts w:cstheme="minorHAnsi"/>
          <w:i/>
          <w:iCs/>
          <w:sz w:val="16"/>
          <w:szCs w:val="20"/>
        </w:rPr>
        <w:t xml:space="preserve">logos </w:t>
      </w:r>
      <w:r w:rsidRPr="00087A72">
        <w:rPr>
          <w:rFonts w:cstheme="minorHAnsi"/>
          <w:sz w:val="16"/>
          <w:szCs w:val="20"/>
        </w:rPr>
        <w:t xml:space="preserve">is linear, stable, and reliant upon a master-signifier to order meaning. </w:t>
      </w:r>
      <w:r w:rsidRPr="00087A72">
        <w:rPr>
          <w:rStyle w:val="StyleUnderline"/>
        </w:rPr>
        <w:t>Derrida’s critique of logocentrism at the heart of deconstruction opens for literary scholars instability, movement, doubling, and tension as it looks to how writing depends upon repression of “that which threatens presence and the mastering of absence.”²⁵</w:t>
      </w:r>
      <w:r w:rsidRPr="00087A72">
        <w:rPr>
          <w:rFonts w:cstheme="minorHAnsi"/>
          <w:sz w:val="16"/>
          <w:szCs w:val="20"/>
        </w:rPr>
        <w:t xml:space="preserve"> The verb “to be” as the presence of the present within Western philosophy gestures, Derrida suggests, toward something else, something prior to the act of enunciation. That prior calls into tension the non-presence of that present and the absent Other, past and future, against whom the “present” aligns itself to come into Being. And it raises concerns about the stakes of all presence that depends always already upon that which is absent. </w:t>
      </w:r>
      <w:r w:rsidRPr="00087A72">
        <w:rPr>
          <w:rStyle w:val="StyleUnderline"/>
        </w:rPr>
        <w:t xml:space="preserve">The “tattooed savages” function as a prior to Writing and Difference, as an ancillary presence that is necessary to make Western philosophy a possible category of consideration. While tattooed savages may evoke and remain as the trace of Claude Lévi-Strauss’s work that Derrida discusses later in the essay “Structure, Sign, and Play,” as Gerald Vizenor observes, “the Indian,” here in the guise of the tattooed savages, “is a mundane romance, the advertisement of the other in narratives.”²⁶ As presence and absence, “tattooed savages” play on the edges of Derrida’s text as signs of raw, primal irrationality, primitivism, and myths of dominance. </w:t>
      </w:r>
      <w:r w:rsidRPr="00087A72">
        <w:rPr>
          <w:rFonts w:cs="MinionPro-Regular"/>
          <w:sz w:val="16"/>
          <w:szCs w:val="20"/>
        </w:rPr>
        <w:t xml:space="preserve">They might also be said, as savages, to signify the necessary supplement that continually haunts the edges of any evocation of civilization or Western thought, whose destiny, Derrida says in “Force and Signification,” “is to extend its domains while the boundaries of the West are drawn back.”²⁷ Alternatively, they might be said to serve, in Žižekian terms, as an element that is “in excess of the global meaning of the work . . . which do[es] not fit this meaning, although it is not clear what additional meaning they bring.”²⁸ They stand at the site of lack. In other words, </w:t>
      </w:r>
      <w:r w:rsidRPr="00087A72">
        <w:rPr>
          <w:rStyle w:val="StyleUnderline"/>
        </w:rPr>
        <w:t>Derrida’s “tattooed savages” (by way of Flaubert) remain as an “impossible utterance” that, much like saying “I am dead,” is “foreclosed.”²⁹ As David Kazanjian observes, within Western philosophy, and Kant in particular, indigenous peoples reside in the supplement, in the radical alterity of the deferred, continually evoked as counterpoint and difference to an Enlightenment that depends upon “natural man” and rights, speech and history to make meaning and to underwrite dominance and discovery.</w:t>
      </w:r>
      <w:r w:rsidRPr="00087A72">
        <w:rPr>
          <w:rFonts w:cs="MinionPro-Regular"/>
          <w:sz w:val="16"/>
          <w:szCs w:val="20"/>
        </w:rPr>
        <w:t xml:space="preserve"> Characterizing the rhetorical consequence of Kant’s evocation of the “Iroquois” in </w:t>
      </w:r>
      <w:r w:rsidRPr="00087A72">
        <w:rPr>
          <w:rFonts w:cs="MinionPro-It"/>
          <w:i/>
          <w:iCs/>
          <w:sz w:val="16"/>
          <w:szCs w:val="20"/>
        </w:rPr>
        <w:t xml:space="preserve">The Critique of Judgment, </w:t>
      </w:r>
      <w:r w:rsidRPr="00087A72">
        <w:rPr>
          <w:rFonts w:cs="MinionPro-Regular"/>
          <w:sz w:val="16"/>
          <w:szCs w:val="20"/>
        </w:rPr>
        <w:t>Kazanjian argues that the “verbal oscillation” of the text “forges a certain, provisional equality between the authorial voice and the examples of the cynic, the critic, and the utopian, with whom Kant deigns to identify if only fleetingly, and a certain, matter-of-fact hierarchy between that voice and the Iroquois sachem, in whose role the text’s ‘I’ prefers not to imagine itself.”³⁰</w:t>
      </w:r>
    </w:p>
    <w:p w:rsidR="009F0BAC" w:rsidRPr="00087A72" w:rsidRDefault="009F0BAC" w:rsidP="00496C79">
      <w:pPr>
        <w:pStyle w:val="Heading3"/>
      </w:pPr>
      <w:r w:rsidRPr="00087A72">
        <w:t>Link – Disability</w:t>
      </w:r>
    </w:p>
    <w:p w:rsidR="00792F86" w:rsidRPr="00087A72" w:rsidRDefault="0004585D" w:rsidP="00792F86">
      <w:pPr>
        <w:pStyle w:val="Heading4"/>
      </w:pPr>
      <w:r w:rsidRPr="00087A72">
        <w:t xml:space="preserve">The aff fails to evaluate </w:t>
      </w:r>
      <w:r w:rsidR="00792F86" w:rsidRPr="00087A72">
        <w:t xml:space="preserve">the cause of disability of the indigenous  and uses mainstream western thinking to capture these individuals as a ploy into the settler colorism viscous cycle </w:t>
      </w:r>
    </w:p>
    <w:p w:rsidR="00792F86" w:rsidRPr="00087A72" w:rsidRDefault="00792F86" w:rsidP="00792F86">
      <w:pPr>
        <w:rPr>
          <w:szCs w:val="16"/>
        </w:rPr>
      </w:pPr>
      <w:r w:rsidRPr="00087A72">
        <w:rPr>
          <w:b/>
          <w:sz w:val="26"/>
          <w:szCs w:val="26"/>
        </w:rPr>
        <w:t xml:space="preserve">Meekosha 13 </w:t>
      </w:r>
      <w:r w:rsidRPr="00087A72">
        <w:rPr>
          <w:szCs w:val="16"/>
        </w:rPr>
        <w:t>( Helena meekosha School of Social Sciences and International Relations, University of New South Wales, Sydney, Australia Published online: 09 Sep 2011., Decolonising disability: thinking and acting globally, Disability &amp; Society, 26:6, 667-682, Vol. 26, No. 6, October pp-667 - 670</w:t>
      </w:r>
    </w:p>
    <w:p w:rsidR="00792F86" w:rsidRPr="00087A72" w:rsidRDefault="00792F86" w:rsidP="00792F86">
      <w:pPr>
        <w:rPr>
          <w:sz w:val="12"/>
        </w:rPr>
      </w:pPr>
      <w:r w:rsidRPr="00087A72">
        <w:rPr>
          <w:sz w:val="12"/>
        </w:rPr>
        <w:t xml:space="preserve">This paper attempts to situate </w:t>
      </w:r>
      <w:r w:rsidRPr="00087A72">
        <w:rPr>
          <w:rStyle w:val="StyleUnderline"/>
        </w:rPr>
        <w:t>disability in a global context</w:t>
      </w:r>
      <w:r w:rsidRPr="00087A72">
        <w:rPr>
          <w:sz w:val="12"/>
        </w:rPr>
        <w:t xml:space="preserve">. To do this </w:t>
      </w:r>
      <w:r w:rsidRPr="00087A72">
        <w:rPr>
          <w:rStyle w:val="StyleUnderline"/>
        </w:rPr>
        <w:t>requires an analysis of the power relations between the global North and the global South that produce, sustain and proﬁt out of disability</w:t>
      </w:r>
      <w:r w:rsidRPr="00087A72">
        <w:rPr>
          <w:sz w:val="12"/>
        </w:rPr>
        <w:t xml:space="preserve">. This involves a fundamental change in thinking in </w:t>
      </w:r>
      <w:r w:rsidRPr="00087A72">
        <w:rPr>
          <w:rStyle w:val="StyleUnderline"/>
        </w:rPr>
        <w:t>disability studies that amounts to a paradigm shift</w:t>
      </w:r>
      <w:r w:rsidRPr="00087A72">
        <w:rPr>
          <w:sz w:val="12"/>
        </w:rPr>
        <w:t xml:space="preserve">. While I have used the epistemologies of the North in doing my own research and writing, their limitations have been evident for me for some time – especially in trying to understand the experience of disabled and dispossessed indigenous peoples in Australia, where I reside. </w:t>
      </w:r>
      <w:r w:rsidRPr="00087A72">
        <w:rPr>
          <w:rStyle w:val="StyleUnderline"/>
        </w:rPr>
        <w:t>Disability studies was constructed as a ﬁeld of knowledge without reference to the theorists, or the social experience, of the global</w:t>
      </w:r>
      <w:r w:rsidRPr="00087A72">
        <w:rPr>
          <w:sz w:val="12"/>
        </w:rPr>
        <w:t xml:space="preserve"> South. There has been a one-way transfer of ideas and knowledge from the North to the South in this ﬁeld. This paper argues that </w:t>
      </w:r>
      <w:r w:rsidRPr="00087A72">
        <w:rPr>
          <w:rStyle w:val="StyleUnderline"/>
        </w:rPr>
        <w:t>contemporary disability studies constitutes a form of</w:t>
      </w:r>
      <w:r w:rsidRPr="00087A72">
        <w:rPr>
          <w:sz w:val="12"/>
        </w:rPr>
        <w:t xml:space="preserve"> scholarly </w:t>
      </w:r>
      <w:r w:rsidRPr="00087A72">
        <w:rPr>
          <w:rStyle w:val="StyleUnderline"/>
        </w:rPr>
        <w:t>colonialism and</w:t>
      </w:r>
      <w:r w:rsidRPr="00087A72">
        <w:rPr>
          <w:sz w:val="12"/>
        </w:rPr>
        <w:t xml:space="preserve"> needs to be </w:t>
      </w:r>
      <w:r w:rsidRPr="00087A72">
        <w:rPr>
          <w:rStyle w:val="StyleUnderline"/>
        </w:rPr>
        <w:t>re-thought taking full account of the</w:t>
      </w:r>
      <w:r w:rsidRPr="00087A72">
        <w:rPr>
          <w:sz w:val="12"/>
        </w:rPr>
        <w:t xml:space="preserve"> 400 million </w:t>
      </w:r>
      <w:r w:rsidRPr="00087A72">
        <w:rPr>
          <w:rStyle w:val="StyleUnderline"/>
        </w:rPr>
        <w:t>disabled people living in the global</w:t>
      </w:r>
      <w:r w:rsidRPr="00087A72">
        <w:rPr>
          <w:sz w:val="12"/>
        </w:rPr>
        <w:t xml:space="preserve"> South (United Nations 2009). Further, </w:t>
      </w:r>
      <w:r w:rsidRPr="00087A72">
        <w:rPr>
          <w:rStyle w:val="StyleUnderline"/>
        </w:rPr>
        <w:t>scholars and activists need to confront as a central issue the production of impairment</w:t>
      </w:r>
      <w:r w:rsidRPr="00087A72">
        <w:rPr>
          <w:sz w:val="12"/>
        </w:rPr>
        <w:t xml:space="preserve"> in the global South. </w:t>
      </w:r>
      <w:r w:rsidRPr="00087A72">
        <w:rPr>
          <w:rStyle w:val="StyleUnderline"/>
        </w:rPr>
        <w:t xml:space="preserve">The processes of colonisation, colonialism, and neo-colonial power have resulted in vast numbers of impaired people in the global </w:t>
      </w:r>
      <w:r w:rsidRPr="00087A72">
        <w:rPr>
          <w:sz w:val="12"/>
        </w:rPr>
        <w:t xml:space="preserve">South. Much of this relates to the global economy; it concerns control of resources. </w:t>
      </w:r>
      <w:r w:rsidRPr="00087A72">
        <w:rPr>
          <w:rStyle w:val="StyleUnderline"/>
        </w:rPr>
        <w:t>Impaired people are ‘produced’ in the violence and war that is constantly provoked by the North, either directly or indirectly, in the struggle over the control of minerals, oil and other economic resources</w:t>
      </w:r>
      <w:r w:rsidRPr="00087A72">
        <w:rPr>
          <w:sz w:val="12"/>
        </w:rPr>
        <w:t xml:space="preserve"> – ultimately control of the land and sea themselves. For the most part, </w:t>
      </w:r>
      <w:r w:rsidRPr="00087A72">
        <w:rPr>
          <w:rStyle w:val="StyleUnderline"/>
        </w:rPr>
        <w:t>disability writers and researchers, fearing a return to the medical model of disability, understandably avoid the issue of the prevention of impairment</w:t>
      </w:r>
      <w:r w:rsidRPr="00087A72">
        <w:rPr>
          <w:sz w:val="12"/>
        </w:rPr>
        <w:t xml:space="preserve"> (Michalko 2002, 182). There are of course exceptions to this prevailing trend (Kaplan-Myrth 2001; Barker 2010) but, within the northern </w:t>
      </w:r>
      <w:r w:rsidRPr="00087A72">
        <w:rPr>
          <w:rStyle w:val="StyleUnderline"/>
        </w:rPr>
        <w:t>discourse, prevention has primarily been limited to discussions of bioethical concerns, such as the prevention of intellectual disability</w:t>
      </w:r>
      <w:r w:rsidRPr="00087A72">
        <w:rPr>
          <w:sz w:val="12"/>
        </w:rPr>
        <w:t xml:space="preserve"> (Parmenter 2001, 282) and prenatal diagnosis (Shakespeare 2006, 2008). Paul Abberley was one of the </w:t>
      </w:r>
      <w:r w:rsidRPr="00087A72">
        <w:rPr>
          <w:rStyle w:val="StyleUnderline"/>
        </w:rPr>
        <w:t>ﬁrst scholars to refer to impairment as ‘social product’. Here he was referring to dangerous working environments in Britain, which produced large numbers of impaired individuals as a result of industrial diseases and injuries</w:t>
      </w:r>
      <w:r w:rsidRPr="00087A72">
        <w:rPr>
          <w:sz w:val="12"/>
        </w:rPr>
        <w:t xml:space="preserve"> (Abberley 1987). </w:t>
      </w:r>
      <w:r w:rsidRPr="00087A72">
        <w:rPr>
          <w:rStyle w:val="StyleUnderline"/>
        </w:rPr>
        <w:t>The prevention of impairments as social products on a global scale as a result of, for example, war and environmental pollution, calls for a global perspective by disability scholars that speciﬁcally incorporates the role of the global North in ‘disabling’ the global South. These debates will lead to the potential role of disability studies and disability activists in the prevention of global atrocities, such as by making alliances with other progressive social movements ﬁghting for an end to global violence in all its forms</w:t>
      </w:r>
      <w:r w:rsidRPr="00087A72">
        <w:rPr>
          <w:sz w:val="12"/>
        </w:rPr>
        <w:t xml:space="preserve">. Exploring these issues, the paper seeks to lay the groundwork for the emergence of a southern theory of disability. North/South’ terminology came into use in the 1960s as shorthand for a complex of inequalities and dependencies: industrialised versus raw material producing countries, rich versus poor, those with military power versus those without, high technology versus low technology, and so on. ‘Southern’ countries are, broadly, those historically conquered or controlled by modern </w:t>
      </w:r>
      <w:r w:rsidRPr="00087A72">
        <w:rPr>
          <w:rStyle w:val="StyleUnderline"/>
        </w:rPr>
        <w:t>imperial powers, leaving a continuing legacy of poverty, economic exploitation and dependenc</w:t>
      </w:r>
      <w:r w:rsidRPr="00087A72">
        <w:rPr>
          <w:sz w:val="12"/>
        </w:rPr>
        <w:t xml:space="preserve">e. Not all populations in the South are poor: the global periphery includes countries with rich classes (e.g. Brazil and Mexico) and relatively rich countries (e.g. Australia). Even Australia, however, is regarded by global capital as a source of raw materials (timber, coal, uranium, iron ore) and holds a peripheral position in global society, culture and economics. The ‘North’, the global metropole, refers to the centres of </w:t>
      </w:r>
      <w:r w:rsidRPr="00087A72">
        <w:rPr>
          <w:rStyle w:val="StyleUnderline"/>
        </w:rPr>
        <w:t>the global economy in Western Europe and North America. Many of the countries of the North were the imperial powers that colonised other parts of the globe and have remained major centres of global capitalism since the formal end of European empires</w:t>
      </w:r>
      <w:r w:rsidRPr="00087A72">
        <w:rPr>
          <w:sz w:val="12"/>
        </w:rPr>
        <w:t xml:space="preserve">. Not all populations in the North are rich – the US ‘underclass’ and immigrant communities of Europe are familiar exceptions. Yet this group of countries is the centre of economic and political decision-making, is the home of almost all major transnational corporations, is the world centre of technology and disposes of massive military power. Clearly ‘North/South’ and ‘metropole/periphery’ are complex and dynamic concepts, as shown by the cases of Australia and China. But this basic distinction is an essential starting-point for an account of the relationship between colonisation and disability. This paper is located within the new area of critical disability studies, aligned with critical social theory (Meekosha and Shuttleworth 2009). Yet critical disability studies itself needs to be re-formulated, to theorise relationships that have arisen from colonialism and postcolonial power. This is a large task. For instance, gender issues are important; colonial violence is above all masculine violence. This, and other complexities, will have to be dealt with subsequently; this paper only attempts a beginning. I seek </w:t>
      </w:r>
      <w:r w:rsidRPr="00087A72">
        <w:rPr>
          <w:rStyle w:val="StyleUnderline"/>
        </w:rPr>
        <w:t>to understand disability in colonised and settler societies, not from a European/Northern perspective but by understanding ‘the political rationalities of colonial powe</w:t>
      </w:r>
      <w:r w:rsidRPr="00087A72">
        <w:rPr>
          <w:sz w:val="12"/>
        </w:rPr>
        <w:t xml:space="preserve">r’ (Scott 2005, 24). Anita Ghai (2002), </w:t>
      </w:r>
      <w:r w:rsidRPr="00087A72">
        <w:rPr>
          <w:rStyle w:val="StyleUnderline"/>
        </w:rPr>
        <w:t>researching disability in the Indian situation, argues that it is essential to conceptualise disability speciﬁcally in the Indian context: ‘this is not a pedantic requirement ...for at root are larger questions about the meaning and nature of disability itself’</w:t>
      </w:r>
      <w:r w:rsidRPr="00087A72">
        <w:rPr>
          <w:sz w:val="12"/>
        </w:rPr>
        <w:t xml:space="preserve"> (2002, 90). Following Connell (2007, 379) I argue that </w:t>
      </w:r>
      <w:r w:rsidRPr="00087A72">
        <w:rPr>
          <w:rStyle w:val="StyleUnderline"/>
        </w:rPr>
        <w:t>disability studies ‘almost never cites non metropolitan thinkers and almost never builds on social theory formulated outside the metropole’</w:t>
      </w:r>
      <w:r w:rsidRPr="00087A72">
        <w:rPr>
          <w:sz w:val="12"/>
        </w:rPr>
        <w:t xml:space="preserve">. The civil wars and genocide that have swept many postcolonial countries in the twentieth and twenty-ﬁrst centuries producing mutilation and impairments barely rate a mention in </w:t>
      </w:r>
      <w:r w:rsidRPr="00087A72">
        <w:rPr>
          <w:rStyle w:val="StyleUnderline"/>
        </w:rPr>
        <w:t>mainstream disability studies literature. Interestingly, this is often the terrain of medical anthropologists</w:t>
      </w:r>
      <w:r w:rsidRPr="00087A72">
        <w:rPr>
          <w:sz w:val="12"/>
        </w:rPr>
        <w:t xml:space="preserve"> (see, for example, Farmer 2001; ScheperHughes 2003; Hinton, 2002). Medical anthropologists have studied the impact of these phenomena at a local level and have therefore paved the way for disability studies scholars. A check of any disability studies text from the USA or the United Kingdom in the past decade reveals the applicability of Connell’s claim: material from the periphery is rarely cited (Barnes, Mercer, and Shakespeare 1999; Shakespeare 1998; Davis 1997; Swain et al. 2004; Smith and Hutchison 2004; Siebers 2008). We know that there is an emerging base for disability studies in the South. Disabled people in the South mobilised for the introduction of the United Nations Convention on the Rights of Persons with Disabilities (CRPD), which was initiated by Mexico. The countries of Latin America are now playing a leading role in motivating other countries to ratify and implement the CRPD. A southern </w:t>
      </w:r>
      <w:r w:rsidRPr="00087A72">
        <w:rPr>
          <w:rStyle w:val="StyleUnderline"/>
        </w:rPr>
        <w:t>disability theory can be built that will respond to this base. To clear the ground for this project, it is ﬁrst necessary to demonstrate the dominance of the metropole in disability studies. There is a tendency to talk of universals in disability studies. Disability &amp; Society in its notes for contributors states ‘Contributors should bear in mind they are addressing an international audience</w:t>
      </w:r>
      <w:r w:rsidRPr="00087A72">
        <w:rPr>
          <w:sz w:val="12"/>
        </w:rPr>
        <w:t xml:space="preserve">’. But, in practice, if research is conducted in the metropole there is no need for any geo-political reference, whereas if you are writing from the periphery it is necessary to specify your location. Anita Ghai critiques the western universalising discourse by arguing that it ‘ignores the harsh realities of disabled people’s lives in countries such as India, which are caught in social and economic marginalization’ (2002, 96). There is a distinct irony in disability studies contesting one kind of normativity while imposing another. Contemporary </w:t>
      </w:r>
      <w:r w:rsidRPr="00087A72">
        <w:rPr>
          <w:rStyle w:val="StyleUnderline"/>
        </w:rPr>
        <w:t>debates in disability studies in the Northern Hemisphere have tended to ignore the lived experience of disabled people</w:t>
      </w:r>
      <w:r w:rsidRPr="00087A72">
        <w:rPr>
          <w:sz w:val="12"/>
        </w:rPr>
        <w:t xml:space="preserve"> in much of the global South. Robert McRuer’s deconstruction of the World Bank’s disability inclusive development agenda demonstrates how disabled people targeted by World Bank programmes are ‘positioned as clients of development and objects of expert administration’ (McRuer 2007, 9) through the co-option of ‘independence and inclusion’ and stands as an exception to this tendency. The key debates around disability and impairment, independent living, care and human rights are often irrelevant to those whose major goal is survival. Many remote indigenous communities in Australian outback each house may contain over 20 people, sanitation and water is sporadic, there is no fresh food available, there is little employment, while alcoholism, rheumatic heart disease and chronic otitis media are rife. Forty per cent of Aboriginal communities are over 250 kilometres from the nearest hospital, most without regular public transport ...20% of Aboriginal children younger than 5years are underweight, and almost four out of ﬁve children have hearing disabilities. In some communities the prevalence of chronic otitis media has been recorded as 50%, more than 10 times that which the World Health Organization regards as a signiﬁcant public health problem. (Gruen and Yee 2005, 539) In this context, concepts of disability and impairment seem inadequate and the concept of social suffering may be more appropriate Social suffering does not equate with the concept of personal tragedy as critiqued by disability scholars. It can be historically and culturally located and relate to group ‘burdens, troubles and serious wounds to the body and the spirit’ (Kleinman, Das, and Lock 1997, 101). The concept of social suffering allows the experiences of indigenous peoples of Australia to be read through the dispossessing actions of the global North, without denying the agency of these peoples. Scholars do venture into the periphery to conduct research – indeed, this is the territory of anthropologists – and they have added substantially to our understanding of the intersections between disability, impairment and culture as well as dispelling myths about disabled people in non-western societies (Reynolds and Ingstad 2007; Ingstad and Whyte 1995; Devlieger 2005). But in this work we still see methodological projection where the data are framed by metropolitan concepts, debates and research strategies. Cross-cultural analyses of disability usually depend on the metropole as the frame of reference.</w:t>
      </w:r>
    </w:p>
    <w:p w:rsidR="009F0BAC" w:rsidRPr="00087A72" w:rsidRDefault="009F0BAC" w:rsidP="009F0BAC">
      <w:pPr>
        <w:pStyle w:val="Heading4"/>
      </w:pPr>
      <w:r w:rsidRPr="00087A72">
        <w:t xml:space="preserve">A distinct parallel between Indigeneity and disability stages the inquest of indigeneity as a dysfunction to the healthy white settler body. </w:t>
      </w:r>
    </w:p>
    <w:p w:rsidR="009F0BAC" w:rsidRPr="00087A72" w:rsidRDefault="009F0BAC" w:rsidP="009F0BAC">
      <w:r w:rsidRPr="00087A72">
        <w:rPr>
          <w:rStyle w:val="Style13ptBold"/>
        </w:rPr>
        <w:t>Razack 15</w:t>
      </w:r>
      <w:r w:rsidRPr="00087A72">
        <w:t xml:space="preserve"> (Sherene H. “Towards an Anatomy of Difference” </w:t>
      </w:r>
      <w:r w:rsidRPr="00087A72">
        <w:rPr>
          <w:i/>
        </w:rPr>
        <w:t>Dying from Improvement: Inquests and Inquiries into Indigenous Deaths in Custody</w:t>
      </w:r>
      <w:r w:rsidRPr="00087A72">
        <w:t xml:space="preserve"> pg. 134-135) OD</w:t>
      </w:r>
    </w:p>
    <w:p w:rsidR="009F0BAC" w:rsidRPr="00087A72" w:rsidRDefault="009F0BAC" w:rsidP="009F0BAC">
      <w:pPr>
        <w:rPr>
          <w:sz w:val="16"/>
        </w:rPr>
      </w:pPr>
      <w:r w:rsidRPr="00087A72">
        <w:rPr>
          <w:sz w:val="16"/>
        </w:rPr>
        <w:t xml:space="preserve">It is as though Native Americans have vanished into the minds of those who have dispossessed them. Confining Indians to the "spectral," European Americans become original citizens. Bergland's provoca-tive argument that ghosts are also powerful figures who haunt and her declaration that the </w:t>
      </w:r>
      <w:r w:rsidRPr="00087A72">
        <w:rPr>
          <w:rStyle w:val="StyleUnderline"/>
        </w:rPr>
        <w:t>land is haunted because it is stolen remind us that settlers cannot simply forget those whom they have confined to the spectral, particularly when we consider that the land is still being Indigeneity is often viewed as a disabling "condition";</w:t>
      </w:r>
      <w:r w:rsidRPr="00087A72">
        <w:rPr>
          <w:sz w:val="16"/>
        </w:rPr>
        <w:t xml:space="preserve"> indeed, the most progressive of inquests and inquiries, </w:t>
      </w:r>
      <w:r w:rsidRPr="00087A72">
        <w:rPr>
          <w:rStyle w:val="StyleUnderline"/>
        </w:rPr>
        <w:t>those that acknowledge injury to Indigenous people,</w:t>
      </w:r>
      <w:r w:rsidRPr="00087A72">
        <w:rPr>
          <w:sz w:val="16"/>
        </w:rPr>
        <w:t xml:space="preserve"> </w:t>
      </w:r>
      <w:r w:rsidRPr="00087A72">
        <w:rPr>
          <w:rStyle w:val="Emphasis"/>
        </w:rPr>
        <w:t>insist on a direct parallel between Indigeneity and disability</w:t>
      </w:r>
      <w:r w:rsidRPr="00087A72">
        <w:rPr>
          <w:sz w:val="16"/>
        </w:rPr>
        <w:t xml:space="preserve">.58 Not surprisingly, </w:t>
      </w:r>
      <w:r w:rsidRPr="00087A72">
        <w:rPr>
          <w:rStyle w:val="Emphasis"/>
        </w:rPr>
        <w:t>the "natural body" made possible by viewing disability as a flawed version of humanity is the same "natural body" that installs the settler as owner of himself and owner of land.</w:t>
      </w:r>
      <w:r w:rsidRPr="00087A72">
        <w:rPr>
          <w:sz w:val="16"/>
        </w:rPr>
        <w:t xml:space="preserve"> </w:t>
      </w:r>
      <w:r w:rsidRPr="00087A72">
        <w:rPr>
          <w:rStyle w:val="StyleUnderline"/>
        </w:rPr>
        <w:t>Flawed bodies</w:t>
      </w:r>
      <w:r w:rsidRPr="00087A72">
        <w:rPr>
          <w:sz w:val="16"/>
        </w:rPr>
        <w:t xml:space="preserve"> (insufficiently modern bodies frozen in a pre-modern, pre-capitalist mode)59 </w:t>
      </w:r>
      <w:r w:rsidRPr="00087A72">
        <w:rPr>
          <w:rStyle w:val="StyleUnderline"/>
        </w:rPr>
        <w:t>are not owners</w:t>
      </w:r>
      <w:r w:rsidRPr="00087A72">
        <w:rPr>
          <w:sz w:val="16"/>
        </w:rPr>
        <w:t>, as the legal principle of terra nul-lius confirms. It is immensely useful to settler society to believe that Indigenous people are on the brink of death and are always flawed bodies. Writing about the depiction of Indians as ghosts in American national literature, Renee Bergland observes that stolen and Indians remain very much alive. Settlers' feelings of dread and creeping horror remain, Bergland suggests, and considerable anxi-ety surrounds the way European Americans imagine themselves as the original citizens of this land and as a people innocent of conquest and violence</w:t>
      </w:r>
      <w:r w:rsidRPr="00087A72">
        <w:rPr>
          <w:rStyle w:val="StyleUnderline"/>
        </w:rPr>
        <w:t xml:space="preserve">. The very thought of Indians must be forcefully repressed, </w:t>
      </w:r>
      <w:r w:rsidRPr="00087A72">
        <w:rPr>
          <w:sz w:val="16"/>
        </w:rPr>
        <w:t xml:space="preserve">yet "the nation is compelled to return again and again to an encounter that makes it both sorry and happy, a defiled grave upon which it must continually rebuild the American subject."61 The inquest may be use-fully compared to the defiled grave of which Bergland speaks, the place where bodies (and bones) are made to give up their secrets, but only those secrets that confirm the settler as legitimate owner of the land. </w:t>
      </w:r>
      <w:r w:rsidRPr="00087A72">
        <w:rPr>
          <w:rStyle w:val="StyleUnderline"/>
        </w:rPr>
        <w:t>The inquest is undeniably a haunted place</w:t>
      </w:r>
      <w:r w:rsidRPr="00087A72">
        <w:rPr>
          <w:sz w:val="16"/>
        </w:rPr>
        <w:t xml:space="preserve">. </w:t>
      </w:r>
      <w:r w:rsidRPr="00087A72">
        <w:rPr>
          <w:rStyle w:val="Emphasis"/>
        </w:rPr>
        <w:t>The inquest stages Indigeneity as dysfunction, incurable illness, dis-ability, and a threat to the healthy social body</w:t>
      </w:r>
      <w:r w:rsidRPr="00087A72">
        <w:rPr>
          <w:sz w:val="16"/>
        </w:rPr>
        <w:t xml:space="preserve">. Both an event and a place, </w:t>
      </w:r>
      <w:r w:rsidRPr="00087A72">
        <w:rPr>
          <w:rStyle w:val="Emphasis"/>
        </w:rPr>
        <w:t>the inquest transforms the colonial condition into a medical one</w:t>
      </w:r>
      <w:r w:rsidRPr="00087A72">
        <w:rPr>
          <w:sz w:val="16"/>
        </w:rPr>
        <w:t xml:space="preserve">, legiti-mizing the violence that is performed at the police station, on the streets, and in the hospital, </w:t>
      </w:r>
      <w:r w:rsidRPr="00087A72">
        <w:rPr>
          <w:rStyle w:val="Emphasis"/>
        </w:rPr>
        <w:t>wherever settlers encounter Indigenous people and demarcate between the human and less than human through acts of violence described as help</w:t>
      </w:r>
      <w:r w:rsidRPr="00087A72">
        <w:rPr>
          <w:sz w:val="16"/>
        </w:rPr>
        <w:t xml:space="preserve">. Coroners often cast themselves as remind-ing others of their ethical requirement to remedy Indigeneity. A dutiful coroner may even instruct society in what Rod Michalko (in reference to disability) has termed </w:t>
      </w:r>
      <w:r w:rsidRPr="00087A72">
        <w:rPr>
          <w:rStyle w:val="StyleUnderline"/>
        </w:rPr>
        <w:t>the "banal courtesies": in the case of disabilit</w:t>
      </w:r>
      <w:r w:rsidRPr="00087A72">
        <w:rPr>
          <w:sz w:val="16"/>
        </w:rPr>
        <w:t xml:space="preserve">y, the injunction to be sensitive to the misfortune of others (don't stare), and </w:t>
      </w:r>
      <w:r w:rsidRPr="00087A72">
        <w:rPr>
          <w:rStyle w:val="StyleUnderline"/>
        </w:rPr>
        <w:t>in the case of Indigeneity, the self-conscious practice of cultural sensitivity,</w:t>
      </w:r>
      <w:r w:rsidRPr="00087A72">
        <w:rPr>
          <w:sz w:val="16"/>
        </w:rPr>
        <w:t xml:space="preserve"> usually limited to an Indigenous prayer or healing circle at the inquest, perhaps an eagle feather decorating the printed commis-sioner's report, and a plethora of recommendations </w:t>
      </w:r>
      <w:r w:rsidRPr="00087A72">
        <w:rPr>
          <w:rStyle w:val="Emphasis"/>
        </w:rPr>
        <w:t>reminding us to be sensitive to cultural practices and to the special vulnerabilities of a sick and dysfunctional population</w:t>
      </w:r>
      <w:r w:rsidRPr="00087A72">
        <w:rPr>
          <w:sz w:val="16"/>
        </w:rPr>
        <w:t xml:space="preserve"> 62 Amidst all this, the killing indifference that I have traced through many cases persists. What would it mean to dissect indifference, instead of its object? In this chapter, I suggested the focus must be on </w:t>
      </w:r>
      <w:r w:rsidRPr="00087A72">
        <w:rPr>
          <w:rStyle w:val="StyleUnderline"/>
        </w:rPr>
        <w:t>widespread assumptions made by state actors that Indigenous people are always on the brink of death, are authors of their own demise, and do not deserve full care. These assumptions and the practices of neglect to which they give rise amount to dehumanization, the failure to believe that Indigenous life matters</w:t>
      </w:r>
      <w:r w:rsidRPr="00087A72">
        <w:rPr>
          <w:sz w:val="16"/>
        </w:rPr>
        <w:t>.</w:t>
      </w:r>
    </w:p>
    <w:p w:rsidR="00792F86" w:rsidRPr="00087A72" w:rsidRDefault="00792F86" w:rsidP="00792F86">
      <w:pPr>
        <w:pStyle w:val="Heading4"/>
      </w:pPr>
      <w:r w:rsidRPr="00087A72">
        <w:t xml:space="preserve">Disabilities are the product of colonial practices. Even by definition disabling is a result of colonial practices. Indigenous people themselves are the disabled, </w:t>
      </w:r>
    </w:p>
    <w:p w:rsidR="00792F86" w:rsidRPr="00087A72" w:rsidRDefault="00792F86" w:rsidP="00792F86">
      <w:pPr>
        <w:rPr>
          <w:rStyle w:val="Style13ptBold"/>
        </w:rPr>
      </w:pPr>
      <w:r w:rsidRPr="00087A72">
        <w:rPr>
          <w:rStyle w:val="Style13ptBold"/>
        </w:rPr>
        <w:t>Meekosha 2011</w:t>
      </w:r>
      <w:r w:rsidRPr="00087A72">
        <w:t>(Helen, School of Social Sciences and International Relations, University of New South Wales “Decolonising disability: thinking and acting globally” 26:6, pp.671-673)</w:t>
      </w:r>
    </w:p>
    <w:p w:rsidR="00792F86" w:rsidRPr="00087A72" w:rsidRDefault="00792F86" w:rsidP="00792F86">
      <w:pPr>
        <w:rPr>
          <w:sz w:val="8"/>
        </w:rPr>
      </w:pPr>
      <w:r w:rsidRPr="00087A72">
        <w:rPr>
          <w:sz w:val="8"/>
        </w:rPr>
        <w:t xml:space="preserve">The centrality of colonialism The fundamental </w:t>
      </w:r>
      <w:r w:rsidRPr="00087A72">
        <w:rPr>
          <w:rStyle w:val="StyleUnderline"/>
        </w:rPr>
        <w:t xml:space="preserve">business of colonisation involved structural, cultural, economic and political domination, </w:t>
      </w:r>
      <w:r w:rsidRPr="00087A72">
        <w:rPr>
          <w:sz w:val="8"/>
        </w:rPr>
        <w:t xml:space="preserve">usually by peoples from the Northern European metropole – over peoples from the south. The USA and Russia were also involved in colonisation of indigenous peoples overland. Writing in 1989, Ashcroft, Griffins, and Tiffin estimated that 75% of the global populations have had their lives shaped by colonialism (1989, 1). </w:t>
      </w:r>
      <w:r w:rsidRPr="00087A72">
        <w:rPr>
          <w:rStyle w:val="StyleUnderline"/>
        </w:rPr>
        <w:t>Colonisation has come to denote many relationships. Within disability studies the concept of ‘colonisation’ has been used to represent the medical and professional power exerted over disabled people</w:t>
      </w:r>
      <w:r w:rsidRPr="00087A72">
        <w:rPr>
          <w:sz w:val="8"/>
        </w:rPr>
        <w:t xml:space="preserve"> (Hirsch 2000). On the </w:t>
      </w:r>
      <w:r w:rsidRPr="00087A72">
        <w:rPr>
          <w:rStyle w:val="Emphasis"/>
        </w:rPr>
        <w:t xml:space="preserve">672 </w:t>
      </w:r>
      <w:r w:rsidRPr="00087A72">
        <w:rPr>
          <w:sz w:val="8"/>
        </w:rPr>
        <w:t>other hand</w:t>
      </w:r>
      <w:r w:rsidRPr="00087A72">
        <w:rPr>
          <w:rStyle w:val="StyleUnderline"/>
        </w:rPr>
        <w:t>, ‘disabling’ is used as a metaphor for negative change that occurred as a result of colonisation in colonial/postcolonial studies</w:t>
      </w:r>
      <w:r w:rsidRPr="00087A72">
        <w:rPr>
          <w:sz w:val="8"/>
        </w:rPr>
        <w:t xml:space="preserve">. Scott, for example, argues </w:t>
      </w:r>
      <w:r w:rsidRPr="00087A72">
        <w:rPr>
          <w:rStyle w:val="StyleUnderline"/>
        </w:rPr>
        <w:t>that colonisation is concerned with ‘disabling old forms of life by systemically breaking down their conditions’</w:t>
      </w:r>
      <w:r w:rsidRPr="00087A72">
        <w:rPr>
          <w:sz w:val="8"/>
        </w:rPr>
        <w:t xml:space="preserve"> (2005, 25). Colonial invasions were justified on the basis that the inhabitants of places such as South America, Africa and Australia were godless and primitive savages. </w:t>
      </w:r>
      <w:r w:rsidRPr="00087A72">
        <w:rPr>
          <w:rStyle w:val="StyleUnderline"/>
        </w:rPr>
        <w:t>These ‘barely human’ stereotypes have resonance for disabled peoples worldwide.</w:t>
      </w:r>
      <w:r w:rsidRPr="00087A72">
        <w:rPr>
          <w:sz w:val="8"/>
        </w:rPr>
        <w:t xml:space="preserve"> The invasion of Australia was deemed legitimate under what later came to be called in the twentieth century ‘terra nullius’ (land that belonged to nobody). Unlike other colonial invasions there was little attempt at connection with the established peoples. The sweeping power of the colonialists allowed killings, theft of land, destruction of prior culture and the disabling of indigenous peoples. Indeed, some believed that because indigenous peoples were incapable of being ‘civilised’ they were doomed to die out. </w:t>
      </w:r>
      <w:r w:rsidRPr="00087A72">
        <w:rPr>
          <w:rStyle w:val="StyleUnderline"/>
        </w:rPr>
        <w:t>As non-humans they were not considered fit to reproduce, and many were forcibility removed and incarcerated in camps</w:t>
      </w:r>
      <w:r w:rsidRPr="00087A72">
        <w:rPr>
          <w:sz w:val="8"/>
        </w:rPr>
        <w:t xml:space="preserve">. Men were made to work in the pastoral workforce in Northern Australia and women and girls in the domestic workforce across the Outback. Australian Aborigines were excluded from the census until 1967 (although heads of cattle were counted). </w:t>
      </w:r>
      <w:r w:rsidRPr="00087A72">
        <w:rPr>
          <w:rStyle w:val="StyleUnderline"/>
        </w:rPr>
        <w:t>Disabling the indigenous population was then, as now, specifically related to colonial power. In this context the process of disabling has to be seen as a total dehumanising process and must include the destruction of physical, the emotional, psychic, economic and cultural life</w:t>
      </w:r>
      <w:r w:rsidRPr="00087A72">
        <w:rPr>
          <w:sz w:val="8"/>
        </w:rPr>
        <w:t xml:space="preserve">. It is not comparable with the scale of impairment in the rest of Australia or indeed in the British metropole. </w:t>
      </w:r>
      <w:r w:rsidRPr="00087A72">
        <w:rPr>
          <w:rStyle w:val="StyleUnderline"/>
        </w:rPr>
        <w:t>Appropriation of the land of indigenous peoples was and still is a particularly important part of the disabling process</w:t>
      </w:r>
      <w:r w:rsidRPr="00087A72">
        <w:rPr>
          <w:sz w:val="8"/>
        </w:rPr>
        <w:t xml:space="preserve">. In Brazil, the impact of colonial consolidation of land into large plantations dominated by single crops destroyed the previous diverse and sustainable way of life and reduced the population to a ‘humbling set of economic and psychosocial dependencies on their essentially feudal landlords’ (Scheper-Hughes 1992, 32). </w:t>
      </w:r>
      <w:r w:rsidRPr="00087A72">
        <w:rPr>
          <w:rStyle w:val="StyleUnderline"/>
        </w:rPr>
        <w:t>These dependencies were disabling and one of the keys to understanding the complexities of the disabling process may well be to understand the nature of enforced dependency. Thus the Northern disability studies differentiation between chronic illness, impairment and disability cannot usefully explain the contemporary lived experiences of indigenous peoples</w:t>
      </w:r>
      <w:r w:rsidRPr="00087A72">
        <w:rPr>
          <w:sz w:val="8"/>
        </w:rPr>
        <w:t xml:space="preserve">. </w:t>
      </w:r>
      <w:r w:rsidRPr="00087A72">
        <w:rPr>
          <w:rStyle w:val="StyleUnderline"/>
        </w:rPr>
        <w:t>To analyse the experience of disabled people in the context of the establishment of a new social order of exiled and colonised people ruled over by an alien bourgeoisie requires a different set of methodologies and frameworks from those formulated in the Northern metropole</w:t>
      </w:r>
      <w:r w:rsidRPr="00087A72">
        <w:rPr>
          <w:sz w:val="8"/>
        </w:rPr>
        <w:t xml:space="preserve">. In examining that new social order in penal colonies we also need to address the issue of who was transported – </w:t>
      </w:r>
      <w:r w:rsidRPr="00087A72">
        <w:rPr>
          <w:rStyle w:val="StyleUnderline"/>
        </w:rPr>
        <w:t>the criminal classes, the poor, petty thieves and homeless, but also people with mental illnesses and developmental/cognitive impairments.</w:t>
      </w:r>
      <w:r w:rsidRPr="00087A72">
        <w:rPr>
          <w:sz w:val="8"/>
        </w:rPr>
        <w:t xml:space="preserve"> Moreover, the </w:t>
      </w:r>
      <w:r w:rsidRPr="00087A72">
        <w:rPr>
          <w:rStyle w:val="StyleUnderline"/>
        </w:rPr>
        <w:t>violence of colonisation inevitably produced impaired beings as a result of the hard life in the colonies.</w:t>
      </w:r>
      <w:r w:rsidRPr="00087A72">
        <w:rPr>
          <w:sz w:val="8"/>
        </w:rPr>
        <w:t xml:space="preserve"> </w:t>
      </w:r>
      <w:r w:rsidRPr="00087A72">
        <w:rPr>
          <w:rStyle w:val="StyleUnderline"/>
        </w:rPr>
        <w:t xml:space="preserve">While for indigenous peoples colonisation was catastrophic, for many of those transported or who arrived as free settlers it was not much better. </w:t>
      </w:r>
      <w:r w:rsidRPr="00087A72">
        <w:rPr>
          <w:sz w:val="8"/>
        </w:rPr>
        <w:t xml:space="preserve">Like confinement, the practice of exiling undesirable members of a population has a long and heterogeneous history (Redfield 2005, 55). Race and disability in the global South are fluid concepts. This has been the case both in colonial and contemporary times. Devlieger reports that ‘disability as a category of discourse is foreign to sub-Saharan African thought’ (2005, 693). King also reports that Indigenous Australians have different ways of discussing changes in bodily function (2006, 8). In her work with indigenous peoples, Ariotti (1999) </w:t>
      </w:r>
      <w:r w:rsidRPr="00087A72">
        <w:rPr>
          <w:rStyle w:val="Emphasis"/>
        </w:rPr>
        <w:t xml:space="preserve">673 </w:t>
      </w:r>
      <w:r w:rsidRPr="00087A72">
        <w:rPr>
          <w:sz w:val="8"/>
        </w:rPr>
        <w:t>described disability as an alien concept</w:t>
      </w:r>
      <w:r w:rsidRPr="00087A72">
        <w:rPr>
          <w:rStyle w:val="StyleUnderline"/>
        </w:rPr>
        <w:t xml:space="preserve">. The idea of racial and gender supremacy of the Northern Hemisphere is very much tied to the production of disability </w:t>
      </w:r>
      <w:r w:rsidRPr="00087A72">
        <w:rPr>
          <w:sz w:val="8"/>
        </w:rPr>
        <w:t xml:space="preserve">in the global South </w:t>
      </w:r>
      <w:r w:rsidRPr="00087A72">
        <w:rPr>
          <w:rStyle w:val="StyleUnderline"/>
        </w:rPr>
        <w:t>and racialised evolutionary hierarchies constructed the colonised as backward, infantile and animal-like</w:t>
      </w:r>
      <w:r w:rsidRPr="00087A72">
        <w:rPr>
          <w:sz w:val="8"/>
        </w:rPr>
        <w:t xml:space="preserve">. We cannot meaningfully separate the racialised subaltern from the disabled subaltern in the process of colonisation. Parekh discusses fluidity of subaltern identities in the Indian context – transgender, intersex, low-caste and disabled people all interact (2007, 154) – and argues that there are both solidarities and competitions between marginalised groups. </w:t>
      </w:r>
      <w:r w:rsidRPr="00087A72">
        <w:rPr>
          <w:rStyle w:val="StyleUnderline"/>
        </w:rPr>
        <w:t>In colonial times both disabled and racialised individuals were institutionalised to contain resistance and prevent the ‘pollution’ of the wider population</w:t>
      </w:r>
      <w:r w:rsidRPr="00087A72">
        <w:rPr>
          <w:sz w:val="8"/>
        </w:rPr>
        <w:t xml:space="preserve">. Removal of children from family and community has for centuries been justified on the basis of disability, as has removal of children on the basis of race and gender. The colonial authorities, with assistance from missionaries, established institutions to contain and control those among the colonised that were viewed as dissident and abnormal. The removal of indigenous children in Australia was an attempt to normalise them into European ways, and this paralleled the establishment of early institutions for disabled people and ‘wayward’ girls. </w:t>
      </w:r>
      <w:r w:rsidRPr="00087A72">
        <w:rPr>
          <w:rStyle w:val="StyleUnderline"/>
        </w:rPr>
        <w:t>Race, gender and disability collide in this treatment of many children – removed from families and communities to endure harsh discipline and retraining for servile low-status jobs</w:t>
      </w:r>
      <w:r w:rsidRPr="00087A72">
        <w:rPr>
          <w:sz w:val="8"/>
        </w:rPr>
        <w:t xml:space="preserve"> (Meekosha 2006). In India, institutionalisation of disabled people began with the British. The promotion of custody rather than care was an attempt to break traditional culture (Bhambhani 2005, 668). Similar initiatives were developed in colonial Africa (Devlieger 2005, 694).</w:t>
      </w:r>
    </w:p>
    <w:p w:rsidR="00792F86" w:rsidRPr="00087A72" w:rsidRDefault="00792F86" w:rsidP="00792F86">
      <w:pPr>
        <w:pStyle w:val="Heading4"/>
      </w:pPr>
      <w:r w:rsidRPr="00087A72">
        <w:t xml:space="preserve">Disability studies intentionally leave out settler colonial practives. The focus on indigenous peoples is a priori in todays debate and you should vote down the team for promoting a system that encourages structural violence </w:t>
      </w:r>
    </w:p>
    <w:p w:rsidR="00792F86" w:rsidRPr="00087A72" w:rsidRDefault="00792F86" w:rsidP="00792F86">
      <w:pPr>
        <w:rPr>
          <w:b/>
          <w:bCs/>
          <w:sz w:val="26"/>
        </w:rPr>
      </w:pPr>
      <w:r w:rsidRPr="00087A72">
        <w:rPr>
          <w:rStyle w:val="Style13ptBold"/>
        </w:rPr>
        <w:t>Meekosha 2011(Helen, School of Social Sciences and International Relations, University of New South Wales “Decolonising disability: thinking and acting globally”</w:t>
      </w:r>
      <w:r w:rsidRPr="00087A72">
        <w:t xml:space="preserve"> </w:t>
      </w:r>
      <w:r w:rsidRPr="00087A72">
        <w:rPr>
          <w:rStyle w:val="Style13ptBold"/>
        </w:rPr>
        <w:t>26:6, pp.678-679)</w:t>
      </w:r>
    </w:p>
    <w:p w:rsidR="00792F86" w:rsidRPr="00087A72" w:rsidRDefault="00792F86" w:rsidP="00792F86">
      <w:pPr>
        <w:rPr>
          <w:sz w:val="8"/>
        </w:rPr>
      </w:pPr>
      <w:r w:rsidRPr="00087A72">
        <w:rPr>
          <w:sz w:val="8"/>
        </w:rPr>
        <w:t xml:space="preserve">This paper has argued that </w:t>
      </w:r>
      <w:r w:rsidRPr="00087A72">
        <w:rPr>
          <w:rStyle w:val="StyleUnderline"/>
        </w:rPr>
        <w:t>we need to think very differently about disability studies.</w:t>
      </w:r>
      <w:r w:rsidRPr="00087A72">
        <w:rPr>
          <w:sz w:val="8"/>
        </w:rPr>
        <w:t xml:space="preserve"> A process of intellectual </w:t>
      </w:r>
      <w:r w:rsidRPr="00087A72">
        <w:rPr>
          <w:rStyle w:val="StyleUnderline"/>
        </w:rPr>
        <w:t>decolonisation must take place if the millions of disabled people</w:t>
      </w:r>
      <w:r w:rsidRPr="00087A72">
        <w:rPr>
          <w:sz w:val="8"/>
        </w:rPr>
        <w:t xml:space="preserve"> who reside in the global South </w:t>
      </w:r>
      <w:r w:rsidRPr="00087A72">
        <w:rPr>
          <w:rStyle w:val="StyleUnderline"/>
        </w:rPr>
        <w:t>are to be included in scholarly thinking</w:t>
      </w:r>
      <w:r w:rsidRPr="00087A72">
        <w:rPr>
          <w:sz w:val="8"/>
        </w:rPr>
        <w:t xml:space="preserve">, theoretical </w:t>
      </w:r>
      <w:r w:rsidRPr="00087A72">
        <w:rPr>
          <w:rStyle w:val="StyleUnderline"/>
        </w:rPr>
        <w:t>developments and our emancipatory projects</w:t>
      </w:r>
      <w:r w:rsidRPr="00087A72">
        <w:rPr>
          <w:sz w:val="8"/>
        </w:rPr>
        <w:t xml:space="preserve">. Recognition that </w:t>
      </w:r>
      <w:r w:rsidRPr="00087A72">
        <w:rPr>
          <w:rStyle w:val="StyleUnderline"/>
        </w:rPr>
        <w:t>some discourses are privileged and others are excluded in disability studies</w:t>
      </w:r>
      <w:r w:rsidRPr="00087A72">
        <w:rPr>
          <w:sz w:val="8"/>
        </w:rPr>
        <w:t xml:space="preserve"> is long overdue. </w:t>
      </w:r>
      <w:r w:rsidRPr="00087A72">
        <w:rPr>
          <w:rStyle w:val="StyleUnderline"/>
        </w:rPr>
        <w:t xml:space="preserve">We need to recognise the cultural and political dominance </w:t>
      </w:r>
      <w:r w:rsidRPr="00087A72">
        <w:rPr>
          <w:sz w:val="8"/>
        </w:rPr>
        <w:t xml:space="preserve">of the global North. One </w:t>
      </w:r>
      <w:r w:rsidRPr="00087A72">
        <w:rPr>
          <w:rStyle w:val="StyleUnderline"/>
        </w:rPr>
        <w:t>immediate task is to be conscious about the lack of geopolitical specificity in disability studies</w:t>
      </w:r>
      <w:r w:rsidRPr="00087A72">
        <w:rPr>
          <w:sz w:val="8"/>
        </w:rPr>
        <w:t xml:space="preserve"> and acknowledge the issues of access and exclusion inherent in the universalising tendencies of the discipline. Disability is not universally understood. 679 </w:t>
      </w:r>
      <w:r w:rsidRPr="00087A72">
        <w:rPr>
          <w:rStyle w:val="StyleUnderline"/>
        </w:rPr>
        <w:t>Different cultures maintain diverse interpretations and casual factors relating to impairment</w:t>
      </w:r>
      <w:r w:rsidRPr="00087A72">
        <w:rPr>
          <w:sz w:val="8"/>
        </w:rPr>
        <w:t xml:space="preserve">. </w:t>
      </w:r>
      <w:r w:rsidRPr="00087A72">
        <w:rPr>
          <w:rStyle w:val="StyleUnderline"/>
        </w:rPr>
        <w:t>Indigenous peoples still use indigenous knowledge to make sense of their world.</w:t>
      </w:r>
      <w:r w:rsidRPr="00087A72">
        <w:rPr>
          <w:sz w:val="8"/>
        </w:rPr>
        <w:t xml:space="preserve"> </w:t>
      </w:r>
      <w:r w:rsidRPr="00087A72">
        <w:rPr>
          <w:rStyle w:val="StyleUnderline"/>
        </w:rPr>
        <w:t>We undervalue the legacy of indigenous knowledge, including the diverse understandings of impairment and disability</w:t>
      </w:r>
      <w:r w:rsidRPr="00087A72">
        <w:rPr>
          <w:sz w:val="8"/>
        </w:rPr>
        <w:t xml:space="preserve">. </w:t>
      </w:r>
      <w:r w:rsidRPr="00087A72">
        <w:rPr>
          <w:rStyle w:val="StyleUnderline"/>
        </w:rPr>
        <w:t>We cannot simply dismiss these as ‘primitive’, and an empathetic reading requires a conscious decision to recognise the impaired embodiment in the south in all its various meanings</w:t>
      </w:r>
      <w:r w:rsidRPr="00087A72">
        <w:rPr>
          <w:sz w:val="8"/>
        </w:rPr>
        <w:t xml:space="preserve"> (see, for example, Fadiman 1997). Given the massive production of impaired peoples in the global South, we need to take up the fight against war and all forms of violence. </w:t>
      </w:r>
      <w:r w:rsidRPr="00087A72">
        <w:rPr>
          <w:rStyle w:val="StyleUnderline"/>
        </w:rPr>
        <w:t>Impairment is endemic, but this does not mean we cannot make a stand against suffering.</w:t>
      </w:r>
      <w:r w:rsidRPr="00087A72">
        <w:rPr>
          <w:sz w:val="8"/>
        </w:rPr>
        <w:t xml:space="preserve"> Making connections with peace movements and anti-arms-trade activists is one way forward. </w:t>
      </w:r>
      <w:r w:rsidRPr="00087A72">
        <w:rPr>
          <w:rStyle w:val="StyleUnderline"/>
        </w:rPr>
        <w:t>This will mean a major shift in our thinking about disability.</w:t>
      </w:r>
      <w:r w:rsidRPr="00087A72">
        <w:rPr>
          <w:sz w:val="8"/>
        </w:rPr>
        <w:t xml:space="preserve"> Prevention of disability is a major lacuna in our scholarship, except in the troubling philosophical and moral areas of prenatal testing, neonatal care and genetic testing. These latter areas are complex, emotive and have potential to undo rights that have long been fought for. However, as Shakespeare argues, </w:t>
      </w:r>
      <w:r w:rsidRPr="00087A72">
        <w:rPr>
          <w:rStyle w:val="StyleUnderline"/>
        </w:rPr>
        <w:t>impairment prevention and disability rights are not incompatible</w:t>
      </w:r>
      <w:r w:rsidRPr="00087A72">
        <w:rPr>
          <w:sz w:val="8"/>
        </w:rPr>
        <w:t xml:space="preserve"> (2006, 91) and impairment prevention has a major role in the social relations of disability. The CRPD constitutes a major achievement for disability communities around the world. In the period leading up to the Convention, it became clear that communities could organise on a global scale using virtual communications and new technologies. This demonstrates that a base exists for Southern disability studies. There remain distinct challenges for activists and scholars in the global North and in the wealthier countries of the South to support the fight for rights in the global South. An underlying principle of the CRPD concerned international cooperation. </w:t>
      </w:r>
      <w:r w:rsidRPr="00087A72">
        <w:rPr>
          <w:rStyle w:val="StyleUnderline"/>
        </w:rPr>
        <w:t xml:space="preserve">While self-determination is a fundamental right of disabled peoples, we must work in the spaces of solidarity in order to prevent the increase of impairment and to bring about improved conditions for disabled people </w:t>
      </w:r>
      <w:r w:rsidRPr="00087A72">
        <w:rPr>
          <w:sz w:val="8"/>
        </w:rPr>
        <w:t>in the global South.</w:t>
      </w:r>
    </w:p>
    <w:p w:rsidR="00792F86" w:rsidRPr="00087A72" w:rsidRDefault="00792F86" w:rsidP="00792F86">
      <w:pPr>
        <w:rPr>
          <w:sz w:val="8"/>
        </w:rPr>
      </w:pPr>
    </w:p>
    <w:p w:rsidR="00792F86" w:rsidRPr="00087A72" w:rsidRDefault="00792F86" w:rsidP="00792F86">
      <w:pPr>
        <w:rPr>
          <w:sz w:val="8"/>
        </w:rPr>
      </w:pPr>
    </w:p>
    <w:p w:rsidR="00792F86" w:rsidRPr="00087A72" w:rsidRDefault="00792F86" w:rsidP="00792F86">
      <w:pPr>
        <w:pStyle w:val="Heading4"/>
      </w:pPr>
      <w:r w:rsidRPr="00087A72">
        <w:t xml:space="preserve">The sovereign state has continuously classified indigenous as disabled and done everything they could have to keep them there, but todays studies neglect that, that is the problem that needs to be solved. </w:t>
      </w:r>
    </w:p>
    <w:p w:rsidR="00792F86" w:rsidRPr="00087A72" w:rsidRDefault="00792F86" w:rsidP="00792F86">
      <w:pPr>
        <w:rPr>
          <w:rStyle w:val="Style13ptBold"/>
        </w:rPr>
      </w:pPr>
      <w:r w:rsidRPr="00087A72">
        <w:rPr>
          <w:rStyle w:val="Style13ptBold"/>
        </w:rPr>
        <w:t>Soldatic 2015(Karen, Centre for Social Impact, University of New South Wales. “Postcolonial reproductions: disability, indigeneity and the formation of the white masculine settler state of Australia”</w:t>
      </w:r>
      <w:r w:rsidRPr="00087A72">
        <w:t xml:space="preserve"> </w:t>
      </w:r>
      <w:r w:rsidRPr="00087A72">
        <w:rPr>
          <w:rStyle w:val="Style13ptBold"/>
        </w:rPr>
        <w:t>21:1, pp. 59-61)</w:t>
      </w:r>
    </w:p>
    <w:p w:rsidR="00792F86" w:rsidRPr="00087A72" w:rsidRDefault="00792F86" w:rsidP="009F0BAC">
      <w:pPr>
        <w:rPr>
          <w:u w:val="single"/>
        </w:rPr>
      </w:pPr>
      <w:r w:rsidRPr="00087A72">
        <w:rPr>
          <w:rStyle w:val="StyleUnderline"/>
        </w:rPr>
        <w:t>Disability and indigeneity in the white, able-bodied settler colonial state Establishing territorial sovereignty in white-settler colonial nations involved the governing of a plethora of social relations</w:t>
      </w:r>
      <w:r w:rsidRPr="00087A72">
        <w:rPr>
          <w:sz w:val="8"/>
        </w:rPr>
        <w:t xml:space="preserve"> – the existing indigenous society and the nascent settler seeking entry into the territory (Haebich, 2008). Administrative management to maintain population patterning was shaped by the anxieties of an emerging nation, where both internal and external positioning were adopted to guarantee whiteness of a particular kind (Bashford, 2004</w:t>
      </w:r>
      <w:r w:rsidRPr="00087A72">
        <w:rPr>
          <w:rStyle w:val="StyleUnderline"/>
        </w:rPr>
        <w:t>). Relations between the ‘settler’ and the ‘indigenous’ are vital workings of this narrative</w:t>
      </w:r>
      <w:r w:rsidRPr="00087A72">
        <w:rPr>
          <w:sz w:val="8"/>
        </w:rPr>
        <w:t xml:space="preserve"> (Povinelli, 2011). T</w:t>
      </w:r>
      <w:r w:rsidRPr="00087A72">
        <w:rPr>
          <w:rStyle w:val="StyleUnderline"/>
        </w:rPr>
        <w:t>oo often, however, the pivotal role of disability in making the white-settler colonial nation-state remains absent. From a disability standpoint, the collapsing of all non-indigenous bodies and minds into the singularization of the ‘settler’ negates the role of a scientific ableism that operated simultaneously with the scientific racism at the time</w:t>
      </w:r>
      <w:r w:rsidRPr="00087A72">
        <w:rPr>
          <w:sz w:val="8"/>
        </w:rPr>
        <w:t xml:space="preserve"> (Soldatic &amp; Fiske, 2009). The </w:t>
      </w:r>
      <w:r w:rsidRPr="00087A72">
        <w:rPr>
          <w:rStyle w:val="StyleUnderline"/>
        </w:rPr>
        <w:t xml:space="preserve">underlying logic of white-settler colonial nationalisms imagined the new nation as not </w:t>
      </w:r>
      <w:r w:rsidRPr="00087A72">
        <w:rPr>
          <w:sz w:val="8"/>
        </w:rPr>
        <w:t xml:space="preserve">60 </w:t>
      </w:r>
      <w:r w:rsidRPr="00087A72">
        <w:rPr>
          <w:rStyle w:val="StyleUnderline"/>
        </w:rPr>
        <w:t>only white, but also able-bodied</w:t>
      </w:r>
      <w:r w:rsidRPr="00087A72">
        <w:rPr>
          <w:sz w:val="8"/>
        </w:rPr>
        <w:t xml:space="preserve"> – a key site of struggle readily neglected by prominent historians in the area (see for example Broome, 2010; Haebich, 2008). Australia was intent on denying both Aboriginal Australians and disabled people, first at its initial claim for nation-statehood, then as a white able-bodied nationalist project of a future imagined nation (Soldatic &amp; Fiske, 2009). The formation of the Australian nationstate was an attempt to bring about a future where the first peoples did not exist; to make terra nullius real constitutionally, politically and culturally (Rose, 2006</w:t>
      </w:r>
      <w:r w:rsidRPr="00087A72">
        <w:rPr>
          <w:rStyle w:val="StyleUnderline"/>
        </w:rPr>
        <w:t>). It also actively harnessed population management to ensure that disability remained outside its territorial borders</w:t>
      </w:r>
      <w:r w:rsidRPr="00087A72">
        <w:rPr>
          <w:sz w:val="8"/>
        </w:rPr>
        <w:t xml:space="preserve"> (Soldatic &amp; Fiske, 2009). </w:t>
      </w:r>
      <w:r w:rsidRPr="00087A72">
        <w:rPr>
          <w:rStyle w:val="StyleUnderline"/>
        </w:rPr>
        <w:t xml:space="preserve">Both projects were managed jointly, internally governing settler–indigenous relations and disabled settlers, and, where possible, externally excluding disability from the nation’s territorial boundaries. </w:t>
      </w:r>
      <w:r w:rsidRPr="00087A72">
        <w:rPr>
          <w:sz w:val="8"/>
        </w:rPr>
        <w:t xml:space="preserve">Blue argues that </w:t>
      </w:r>
      <w:r w:rsidRPr="00087A72">
        <w:rPr>
          <w:rStyle w:val="StyleUnderline"/>
        </w:rPr>
        <w:t>white-settler colonial states ‘[B]y the turn of the twentieth century … had become more confident in their regulatory powers, if not yet in their actual enforcement capacities’</w:t>
      </w:r>
      <w:r w:rsidRPr="00087A72">
        <w:rPr>
          <w:sz w:val="8"/>
        </w:rPr>
        <w:t xml:space="preserve"> (2013, p. 5). This level of confidence in the settler colony of Australia is most marked by the mobilization of the colonies to become a (limited) selfgoverning federation, establishing ‘borders, boundaries and enclosures’ (Bashford, 2004, p. 1). The spectral presence of the 1901 Constitution with its pretense of terra nullius hung over the severe immigrant restrictions of the first act of parliament, also in 1901. </w:t>
      </w:r>
      <w:r w:rsidRPr="00087A72">
        <w:rPr>
          <w:rStyle w:val="StyleUnderline"/>
        </w:rPr>
        <w:t>The Immigration Restriction Act (1901), while well known for its racialization of border controls (Bashford, 2004), also marked out ‘any idiot or insane person’ or ‘any person suffering from an infectious or contagious disease of a loathsome or dangerous character’ (Immigration Restriction Act (1901), Section 3(e)(d)). Disability was excluded from white immigrant absorption to reproduce the imaginings of the nascent nation-state, more explicitly so than its exclusion of those potential settlers defined as ‘non-whites’.</w:t>
      </w:r>
      <w:r w:rsidRPr="00087A72">
        <w:rPr>
          <w:sz w:val="8"/>
        </w:rPr>
        <w:t xml:space="preserve"> In turn, two distinct systems of biopower emerged – one to control, contain and confine Aboriginal peoples and the other targeting disabled people. </w:t>
      </w:r>
      <w:r w:rsidRPr="00087A72">
        <w:rPr>
          <w:rStyle w:val="StyleUnderline"/>
        </w:rPr>
        <w:t>The establishment of sovereignty, territory and jurisdiction resulted in an ideological consolidation of ideas on indigeneity and disability, but the administrative practices remained largely distinct</w:t>
      </w:r>
      <w:r w:rsidRPr="00087A72">
        <w:rPr>
          <w:sz w:val="8"/>
        </w:rPr>
        <w:t xml:space="preserve">. Imperial systems of population management were shaped by the breadth and depth of local European settlement (Cooper, 2013). The ‘lack’ of depth in European settlement radically set Australia apart from its colonial sisters as the active concern of reproducing whiteness, via state administrative discourses of ‘population or perish’, engulfed the white new founding fathers of the nation. As Australian feminist historians have stressed, this was coupled with a core component of ‘masculine exclusiveness’ in nationalist discourse that harnessed administrative practices to regulate, control and contain gendered relations with the formation of the settler nation-state (Lake, 1992, pp. 156– 165). </w:t>
      </w:r>
      <w:r w:rsidRPr="00087A72">
        <w:rPr>
          <w:rStyle w:val="StyleUnderline"/>
        </w:rPr>
        <w:t>The construction of an unruly, lone and independent masculinity acted as a unifying ideology across the colonies as it powerfully symbolized the needless domestication of empire</w:t>
      </w:r>
      <w:r w:rsidRPr="00087A72">
        <w:rPr>
          <w:sz w:val="8"/>
        </w:rPr>
        <w:t>. This lone, independent and unruly masculinity radically shaped the construction of gender and the emergence of gender reproductive controls at the critical juncture of nation-state imagining. The specificity of the Australian white-settler colonial nation-state and its co-evolving systems of managing disability and indigeneity forces us to depart from recent colonial white-settler scholarship in the field of critical race studies, a dominant feature of US theorizing in the area, for its tendency to conflate race relations under the white, ablebodied settler project. Povinelli (2011, p. 20) argues that the universal of race ‘often operates discursively to figure the former as merely another version of the latter’. Povinelli’s remarks aim to highlight the differing material practices and strategies of 61 containment that the settler nation-state employs to control, divide and to set ‘the indigenous’ apart from ‘the enslaved’ and the ‘other non-white’. This is most clearly illustrated in the differential political value of the slave’s body in the formation of the nation. In the US instance, a slave’s value was determined by his or her assessed physical ability to perform work in the settler colony (Jewett &amp; Allen, 2004) and, as Patterson (1982, p. 4) once remarked, the slave’s physical body was a prized instrument of white power. In the USA, slave labour power not only provided wealth via the plantation, but their quantitative count was also deeply enmeshed in the US political system of white masculine power (Mason, 2006). Historians such as Wills (2005, p. xi) suggest that this ‘gave them [Southern slave owners] incentive to acquire more of them’ in whatever means possible, including enforced procreation, as ‘the economic value of the master’s slave holdings depended in part upon the proven capacities of his bondwoman’ (Burham, 1987, p. 198). Thus, the social death of the slave was governed by a brutality of power that situated the imperative of physicality with enforced procreation, while simultaneously positioning African slaves as being intellectually and morally inferior to their white masters (Burham, 1987). The evocation of disability tropes of intellectual and moral inferiority alongside those of black physical labour power to justify the enslavement of Africans in the USA is therefore significantly different from the positioning of white–indigenous relations in the settler colony. The imperative of physicality did not apply, as indigenous people were constructed as intellectually, morally and physically inferior, and hence of no exchange nor use value to the settler colonial state. As Hobsbawm (1987, p. 24) recognized, whitesettler societies ‘assumed the elimination of the former indigenous people. Where they could not be eliminated by expulsion onto “reservations” or by genocide, they were not part of the political community’. In Australia, George Barton was a leading proponent of these ideas. He made ‘the much quoted suggestion that whites should “smooth the dying pillow” of the Aboriginal race’ (Wyndham, 2003, p. 9). He was also the brother of Australia’s first prime minister, Edmond Barton, who presided over the passage of the Immigration Restriction Act 1901 (Soldatic &amp; Fiske, 2009). Thus, unlike ‘the slave’, erasure through either direct means or via policies of assimilation was the defining feature of indigenous (Mitchell, 1996) and disability relations (Meekosha &amp; Dowse, 1997) in the settler colony. With no state requirement for procreation, indigenous and disabled women’s fecundity was posed as a threat to the production and reproduction of the white able-bodied masculine settler nation. Radical forms of exclusion, expulsion and genocide in Australia were crucial in addressing the anxieties of nation-state imagining at the time of its formation in 1901. The exclusive masculinity had the contradictory effect of reinforcing population anxieties, as at the turn of the century men dominated the Australian landscape and many women were actively self-managing reproductive controls (Kewley, 1972; Lake, 1992). Bashford (2004, p. 180) remarks that, ‘[I]n this period of intense nationalism, one’s own intimate sexual choices and actions were understood to be always significant for the nation/race’. The reproductive sphere was central to the white-settler able-bodied masculine nationalist project and consisted of containment, sterilization, and child removal (Ellinghaus, 2003). Two regimes of reproductive containment and control were implemented – one specifically targeting disability and the other Aboriginal Australia. Controlling for disability in the reproductive sphere targeted both able-bodied nonindigenous women and disabled women.</w:t>
      </w:r>
    </w:p>
    <w:p w:rsidR="009A7C8F" w:rsidRPr="00087A72" w:rsidRDefault="009A7C8F" w:rsidP="00496C79">
      <w:pPr>
        <w:pStyle w:val="Heading3"/>
      </w:pPr>
      <w:r w:rsidRPr="00087A72">
        <w:t>Link – Documentation</w:t>
      </w:r>
    </w:p>
    <w:p w:rsidR="00FA1026" w:rsidRPr="00087A72" w:rsidRDefault="00FA1026" w:rsidP="00FA1026">
      <w:pPr>
        <w:pStyle w:val="Heading4"/>
      </w:pPr>
      <w:r w:rsidRPr="00087A72">
        <w:t>Documentation functions as a settler colonial tool to render migrant bodies visible to the state, thus able to be controlled and surveilled, and ensures their exploitation through capital.</w:t>
      </w:r>
    </w:p>
    <w:p w:rsidR="009A7C8F" w:rsidRPr="00087A72" w:rsidRDefault="009A7C8F" w:rsidP="009A7C8F">
      <w:r w:rsidRPr="00087A72">
        <w:rPr>
          <w:rStyle w:val="Style13ptBold"/>
        </w:rPr>
        <w:t xml:space="preserve">Taschereau Mamers 17 </w:t>
      </w:r>
      <w:r w:rsidRPr="00087A72">
        <w:t xml:space="preserve"> (Danielle, University of Western Ontario, Graduate in media studies "Settler Colonial Ways of Seeing: Documentary Governance of Indigenous Life in Canada and its Disruption" (2017). Electronic Thesis and Dissertation Repository. 4651. https://ir.lib.uwo.ca/etd/4651)</w:t>
      </w:r>
    </w:p>
    <w:p w:rsidR="009A7C8F" w:rsidRPr="00087A72" w:rsidRDefault="009A7C8F" w:rsidP="009A7C8F">
      <w:pPr>
        <w:rPr>
          <w:sz w:val="12"/>
        </w:rPr>
      </w:pPr>
      <w:r w:rsidRPr="00087A72">
        <w:rPr>
          <w:sz w:val="12"/>
        </w:rPr>
        <w:t xml:space="preserve">The materiality of files and </w:t>
      </w:r>
      <w:r w:rsidRPr="00087A72">
        <w:rPr>
          <w:rStyle w:val="Emphasis"/>
        </w:rPr>
        <w:t>documents make and foreclose a range of visibility and, thus, possibility.</w:t>
      </w:r>
      <w:r w:rsidRPr="00087A72">
        <w:rPr>
          <w:sz w:val="12"/>
        </w:rPr>
        <w:t xml:space="preserve"> Describing the productive heart of documentation Ben Kafka repeats a frequently cited dictum of Spain’s King Philip II: “quod non est in actis, non est in mundo; </w:t>
      </w:r>
      <w:r w:rsidRPr="00087A72">
        <w:rPr>
          <w:rStyle w:val="StyleUnderline"/>
        </w:rPr>
        <w:t>what is not in the records is not in the world” (2009, 345; Vismann 2008). Similarly, what is not “Indian” in the Indian Register is not in the world.</w:t>
      </w:r>
      <w:r w:rsidRPr="00087A72">
        <w:rPr>
          <w:sz w:val="12"/>
        </w:rPr>
        <w:t xml:space="preserve"> That is, not in the world as perceived by the settler colonial Canadian state and its administrators. By creating documentary records, the Indian Register literalizes and makes visible in its files the lives defined as “Indian” by the state’s taxonomic nominalism. Lives outside the narrow Indian Act definition are obscured: they may appear to the state in a variety of other ways, but not as “Indian”. The </w:t>
      </w:r>
      <w:r w:rsidRPr="00087A72">
        <w:rPr>
          <w:rStyle w:val="Emphasis"/>
        </w:rPr>
        <w:t>stakes of this documentary visibility are high. To not be seen as “Indian” risks an assimilative invisibility, which results in being denied access to treaty relationships and what is owed by virtue of these relationships.</w:t>
      </w:r>
      <w:r w:rsidRPr="00087A72">
        <w:rPr>
          <w:sz w:val="12"/>
        </w:rPr>
        <w:t xml:space="preserve"> But being seen on the state’s terms risks being made visible under deeply constrained conditions. The stakes of this erasure are clear in the many court cases and struggles over the definition of status, as well as the struggle of different groups such as the Métis and Inuit to be recognized as Aboriginal peoples under the Constitution.9 The circumscribed </w:t>
      </w:r>
      <w:r w:rsidRPr="00087A72">
        <w:rPr>
          <w:rStyle w:val="StyleUnderline"/>
        </w:rPr>
        <w:t>visibility of Indigenous life recorded by the Register is the evidence accepted by the Registrar and the broader settler state apparatus. Only the data recorded by its own documentary</w:t>
      </w:r>
      <w:r w:rsidRPr="00087A72">
        <w:rPr>
          <w:sz w:val="12"/>
        </w:rPr>
        <w:t xml:space="preserve"> practices is 9 Such court cases begin with the 1939 Supreme Court ruling in Reference Re: Eskimos that the “Eskimo” population—now referred to as Inuit—should be included in federal jurisdiction over “Indians”. Section 35 of the Constitution Act 1982 recognizes the Aboriginal treaty rights of First Nations (“status Indians”), Inuit/Inuk, and Métis peoples. The April 2016 Daniels v. Canada Supreme Court decision granted that Métis and non-status Indians are “Indians” under Section 91(24) of the Constitution. Indigenous women’s long struggle against Indian Act sex-discrimination also made use of the court system. Key cases include Mary Two-Axe Earley’s petition to the Royal Commission on the Status of Women in Canada in 1968, Jeanette Lavell and Yvonne Bedard’s 1973 Supreme Court cases, and Sandra Lovelace’s 1974 Supreme Court case. While the courts upheld the Act in these cases, Lovelace’s 1981 petition to the United Nations human rights committee finally led to the C-31 amendment in 1985. 86  deemed real and becomes the terrain of reality on which the state operates. To be seen at all—indeed to even be glimpsed as in the world of the settler state—</w:t>
      </w:r>
      <w:r w:rsidRPr="00087A72">
        <w:rPr>
          <w:rStyle w:val="Emphasis"/>
        </w:rPr>
        <w:t>Indigenous people and nations must make themselves visible through documents that literalize the terms of the Indian Act. As will be discussed further in Chapter Four, this constrained form of visibility also frequently entails a hyper-visibility of Indigenous peoples—and especially Indigenous women—to agents of state law and to perpetrators of sexual and other forms of violence.</w:t>
      </w:r>
      <w:r w:rsidRPr="00087A72">
        <w:rPr>
          <w:sz w:val="12"/>
        </w:rPr>
        <w:t xml:space="preserve"> As I’ve argued in the previous chapter, documents and documentary techniques— forms, maps, files—are key processes in the bureaucratic tradition. Suzanne Briet defined </w:t>
      </w:r>
      <w:r w:rsidRPr="00087A72">
        <w:rPr>
          <w:rStyle w:val="StyleUnderline"/>
        </w:rPr>
        <w:t>documents as things that have been “preserved or recorded toward the ends of representing, of reconstituting, or of proving a physical or intellectual phenomenon” (2006, 10). By rendering territories and peoples visible within the terms of the state, documentation processes create many of the forms of bureaucratic re-presentations that the state uses to do the work of governing. In other words, documentary practices are central to what Mark Reinhardt has identified as the dual “visual construction of the political field” and “political construction of the visual field”</w:t>
      </w:r>
      <w:r w:rsidRPr="00087A72">
        <w:rPr>
          <w:sz w:val="12"/>
        </w:rPr>
        <w:t xml:space="preserve"> (2012, 34). In delimiting frames of what can be seen and how, settler colonial ways of seeing make visible the bodily and territorial terrain on which the state seeks to operate. The Canadian state’s vision for a new and better settler polity includes articulating Indigenous presence as an “Indian problem”. In the previous chapter, I demonstrated how </w:t>
      </w:r>
      <w:r w:rsidRPr="00087A72">
        <w:rPr>
          <w:rStyle w:val="StyleUnderline"/>
        </w:rPr>
        <w:t>the Indian Act’s racializing taxonomy is a vision for colonization and a technique of knowledge and governance grounded in a settler colonial logic of elimination. In the form of the Indian Register, documentation is a technique for applying this taxonomy. The Indian Act taxonomy produces the category and name “Indian”; the Register is a documentary mode of identifying, sorting, and counting individuals in relation to this taxonomy.</w:t>
      </w:r>
      <w:r w:rsidRPr="00087A72">
        <w:rPr>
          <w:sz w:val="12"/>
        </w:rPr>
        <w:t xml:space="preserve"> Yet, the settler colonial state and its representatives in the metropole (Ottawa) are removed from the bodies they seek to categorize, scrutinize, govern, assimilate, and eliminate. Documentation is one of the localized forms of sovereign law and of interaction with juridical categories. While the </w:t>
      </w:r>
      <w:r w:rsidRPr="00087A72">
        <w:rPr>
          <w:rStyle w:val="StyleUnderline"/>
        </w:rPr>
        <w:t>settler state takes a very real, material form in the body of the Indian Agent visiting the reserve or the Indian Registrar in the 87 distant metropole, it also is literalized through documentation.</w:t>
      </w:r>
      <w:r w:rsidRPr="00087A72">
        <w:rPr>
          <w:sz w:val="12"/>
        </w:rPr>
        <w:t xml:space="preserve"> Indeed, the Indian Agent and the Registrar are not only enforcers or representatives of settler law, they are also documentarians charged with the role of transforming Indigenous land and life into the many genres of the bureaucratic tradition. In the late 19th and early 20th centuries,</w:t>
      </w:r>
      <w:r w:rsidRPr="00087A72">
        <w:rPr>
          <w:rStyle w:val="Emphasis"/>
        </w:rPr>
        <w:t xml:space="preserve"> documentation was key to developing a new form of authority, which was based on the collection of evidence in centralized, administrative spaces.</w:t>
      </w:r>
      <w:r w:rsidRPr="00087A72">
        <w:rPr>
          <w:sz w:val="12"/>
        </w:rPr>
        <w:t xml:space="preserve"> Craig Robertson (2014, 2009) has analyzed the emergence of state investments in the validity of paper documents as a technique for stabilizing the “official” identities of a population in service of centralizing governance. Robertson </w:t>
      </w:r>
      <w:r w:rsidRPr="00087A72">
        <w:rPr>
          <w:rStyle w:val="Emphasis"/>
        </w:rPr>
        <w:t>characterizes this system of paper evidence and governance as a “documentary regime of verification</w:t>
      </w:r>
      <w:r w:rsidRPr="00087A72">
        <w:rPr>
          <w:sz w:val="12"/>
        </w:rPr>
        <w:t xml:space="preserve">” (2014, 79). A documentary regime of verification depends on </w:t>
      </w:r>
      <w:r w:rsidRPr="00087A72">
        <w:rPr>
          <w:rStyle w:val="StyleUnderline"/>
        </w:rPr>
        <w:t>exclusion and marginalization in the process of collecting, recording, and transmitting information about individuals. Such a regime assumes that individuals cannot be reliable or objective sources of information about their own identity and that it is necessary to minimize individual discretion in relation to reading and interpreting evidence of identit</w:t>
      </w:r>
      <w:r w:rsidRPr="00087A72">
        <w:rPr>
          <w:sz w:val="12"/>
        </w:rPr>
        <w:t xml:space="preserve">y. This results in individuals being excluded from the process of their own documentary identification: birth certificates, passports, and other forms of “official” identity are produced by administrative officials at a distance from the particular person being identified. Under this </w:t>
      </w:r>
      <w:r w:rsidRPr="00087A72">
        <w:rPr>
          <w:rStyle w:val="StyleUnderline"/>
        </w:rPr>
        <w:t>documentary regime, Robertson notes, “ideally official document begat official document to articulate an official identity” (2009, 342). By requiring state- generated documents such as birth and marriage certificates to secure documentation of “Indian status”, the Indian Register exemplifies such a cyclical regime of documentary verification</w:t>
      </w:r>
      <w:r w:rsidRPr="00087A72">
        <w:rPr>
          <w:sz w:val="12"/>
        </w:rPr>
        <w:t xml:space="preserve">. Structured by procedures set out in official manuals and enacted at a distance from individual applicants, the Indian Register operates within a documentary regime of verification. As a system of files housed first in the Ministry for Citizenship and Immigration’s Indian Affairs portfolio (1951-1965) and later in the Departments of Indian Affairs and Northern Development (1966-2011) and Aboriginal Affairs and Northern Development Canada (2011-2015), the Indian Register’s claims to knowledge and </w:t>
      </w:r>
      <w:r w:rsidRPr="00087A72">
        <w:rPr>
          <w:rStyle w:val="Emphasis"/>
        </w:rPr>
        <w:t xml:space="preserve">authority are rooted in a “logic of location” common to many forms of identity 88 verification. The veracity of an administrative document is tied to its condition of production: someone with a defined position within a bureaucracy follows predetermined protocols to confirm the provided evidence of an individual’s identity and ultimately generates further documents verifying the “fact” of that identity </w:t>
      </w:r>
      <w:r w:rsidRPr="00087A72">
        <w:rPr>
          <w:sz w:val="12"/>
        </w:rPr>
        <w:t xml:space="preserve">(Robertson 2009, 335). This logic of location privileges documents emanating from a formal state organization over personal stories or associations, rendering trust a question of depersonalization. The Indian Register was structured by this logic, producing official “Indian” </w:t>
      </w:r>
      <w:r w:rsidRPr="00087A72">
        <w:rPr>
          <w:rStyle w:val="Emphasis"/>
        </w:rPr>
        <w:t>identity by the intentional collection and recording of specific facts as documents, then processing, classifying, and storing these documents in the files—first paper, now digitized—of the bureaucrats charged with governing the affairs of “Indians”.</w:t>
      </w:r>
      <w:r w:rsidRPr="00087A72">
        <w:rPr>
          <w:sz w:val="12"/>
        </w:rPr>
        <w:t xml:space="preserve"> Ultimately, these processes create a circle of evidence in which documents require more documents to verify identity. Applications for registration as a “status Indian” must reference specific forms of evidence testifying to an individual’s eligibility. The </w:t>
      </w:r>
      <w:r w:rsidRPr="00087A72">
        <w:rPr>
          <w:rStyle w:val="Emphasis"/>
        </w:rPr>
        <w:t>limited range of evidence accepted by the Registrar illustrates the circumscribed range of the world legible to sovereign grids of intelligibility</w:t>
      </w:r>
      <w:r w:rsidRPr="00087A72">
        <w:rPr>
          <w:sz w:val="12"/>
        </w:rPr>
        <w:t xml:space="preserve">. The forms of evidence required for registration with the state is evidence generated by the state. A 1993 Department of Indian Affairs and Northern Development report on registration presented a list of acceptable documents, prioritized in the following order: provincial vital statistics documents; court orders and court documents; church records; school or census records; band or other Indian Affairs records; and, lastly, sworn affidavits testifying to the applicant’s birth (DIAND 1993, 38-9). </w:t>
      </w:r>
      <w:r w:rsidRPr="00087A72">
        <w:rPr>
          <w:rStyle w:val="Emphasis"/>
        </w:rPr>
        <w:t>This hierarchical order reveals the regime of truth at the heart of Canadian Indian policy.</w:t>
      </w:r>
      <w:r w:rsidRPr="00087A72">
        <w:rPr>
          <w:sz w:val="12"/>
        </w:rPr>
        <w:t xml:space="preserve"> Settlers, Eve Tuck and K. Wayne Yang argue, “locate themselves at the top and at the center of all typologies—as simultaneously most superior and most normal” (2014, 812). Similarly, the preferred </w:t>
      </w:r>
      <w:r w:rsidRPr="00087A72">
        <w:rPr>
          <w:rStyle w:val="StyleUnderline"/>
        </w:rPr>
        <w:t>sources of evidence within colonial bureaucracies are those most removed from the individual requesting registration and closest to settler political authority. Those documents infused with the authorial force of state power conform to state grids of intelligibility and, as such, are perceptible as statements of fact</w:t>
      </w:r>
      <w:r w:rsidRPr="00087A72">
        <w:rPr>
          <w:sz w:val="12"/>
        </w:rPr>
        <w:t xml:space="preserve">. The information sources of last resort are those closest to the individual in question, furthest from political authority, and potentially attest to alternate regimes of truth. Even in cases 89 where the Registrar accepts oral testimony, that testimony is co-authored by the state via the affidavit process. </w:t>
      </w:r>
      <w:r w:rsidRPr="00087A72">
        <w:rPr>
          <w:rStyle w:val="StyleUnderline"/>
        </w:rPr>
        <w:t>An inscription of state-recognized authority on the storyteller’s own authority, the affidavit serves as “proven” or “verified” oral history. Ultimately, the state only accepts what can be included within its realm of intelligibility and authorized within a state-defined realm of facts. Working through the office of the Indian Registrar, the state thus retained its grasp on sovereign authorial power: the ability to grant status remained under the exclusive auspices of settler colonial law.</w:t>
      </w:r>
      <w:r w:rsidRPr="00087A72">
        <w:rPr>
          <w:sz w:val="12"/>
        </w:rPr>
        <w:t xml:space="preserve">10 Administrative documents and the categories and facts they make visible set the terms of interaction with the state. The reality materialized by authorized documents and the facts they contain forms a closed circuit of evidence: </w:t>
      </w:r>
      <w:r w:rsidRPr="00087A72">
        <w:rPr>
          <w:rStyle w:val="Emphasis"/>
        </w:rPr>
        <w:t>to be recognized by the state, one needs to produce documents visible to the state and yet to contest the state, one is still limited to those</w:t>
      </w:r>
      <w:r w:rsidRPr="00087A72">
        <w:rPr>
          <w:sz w:val="12"/>
        </w:rPr>
        <w:t xml:space="preserve"> </w:t>
      </w:r>
      <w:r w:rsidRPr="00087A72">
        <w:rPr>
          <w:rStyle w:val="Emphasis"/>
        </w:rPr>
        <w:t>same modes of visibility</w:t>
      </w:r>
      <w:r w:rsidRPr="00087A72">
        <w:rPr>
          <w:sz w:val="12"/>
        </w:rPr>
        <w:t>. Authorized documents are the “operative facts” in spaces of sovereign power and “</w:t>
      </w:r>
      <w:r w:rsidRPr="00087A72">
        <w:rPr>
          <w:rStyle w:val="Emphasis"/>
        </w:rPr>
        <w:t xml:space="preserve">there are virtually no other facts for the state than those that are contained in documents standardized for that purpose” </w:t>
      </w:r>
      <w:r w:rsidRPr="00087A72">
        <w:rPr>
          <w:sz w:val="12"/>
        </w:rPr>
        <w:t xml:space="preserve">(Scott 1998, 83). The avenue for speaking back to one’s position within Indian Act taxonomy—filing a protest of the Registrar’s decision—is structured by the forms of truth authorized and accepted by the state. The same forms of evidence accepted by the Registrar are also the only forms of evidence admissible in situations where the Registrar’s decision is protested or heard in court (DIAND 1993, 40). While </w:t>
      </w:r>
      <w:r w:rsidRPr="00087A72">
        <w:rPr>
          <w:rStyle w:val="Emphasis"/>
        </w:rPr>
        <w:t>an individual may protest the veracity of information included on her official documents, her claim must be corroborated by additional documents that still fall within the list of those intelligible to the Registrar and the court.</w:t>
      </w:r>
    </w:p>
    <w:p w:rsidR="00934B8A" w:rsidRPr="00087A72" w:rsidRDefault="00934B8A" w:rsidP="00496C79">
      <w:pPr>
        <w:pStyle w:val="Heading3"/>
      </w:pPr>
      <w:r w:rsidRPr="00087A72">
        <w:t>Link – Economy</w:t>
      </w:r>
    </w:p>
    <w:p w:rsidR="00934B8A" w:rsidRPr="00087A72" w:rsidRDefault="00934B8A" w:rsidP="00934B8A">
      <w:pPr>
        <w:pStyle w:val="Heading4"/>
      </w:pPr>
      <w:r w:rsidRPr="00087A72">
        <w:t xml:space="preserve">The desire for more resources and man power for little in return function into the system of neoliberalism, creating incentive for taking control of those who are otherized into inferiority based on racialized prejudices  </w:t>
      </w:r>
    </w:p>
    <w:p w:rsidR="00934B8A" w:rsidRPr="00087A72" w:rsidRDefault="00934B8A" w:rsidP="00934B8A">
      <w:pPr>
        <w:rPr>
          <w:b/>
          <w:sz w:val="26"/>
        </w:rPr>
      </w:pPr>
      <w:r w:rsidRPr="00087A72">
        <w:rPr>
          <w:rStyle w:val="Style13ptBold"/>
        </w:rPr>
        <w:t xml:space="preserve">Blackwell 2017- </w:t>
      </w:r>
      <w:r w:rsidRPr="00087A72">
        <w:t>(</w:t>
      </w:r>
      <w:r w:rsidRPr="00087A72">
        <w:rPr>
          <w:w w:val="105"/>
        </w:rPr>
        <w:t>Maylei</w:t>
      </w:r>
      <w:r w:rsidRPr="00087A72">
        <w:t xml:space="preserve"> , She is an Associate Professor in the César E. Chávez Department of Chicana/o Studies and Women's Studies Department, and affiliated faculty in the American Indian Studies Her most recent research with farm worker women and indigenous migrants seeks to better understand new forms of grassroots transnationalism. </w:t>
      </w:r>
      <w:r w:rsidRPr="00087A72">
        <w:rPr>
          <w:i/>
        </w:rPr>
        <w:t>“</w:t>
      </w:r>
      <w:r w:rsidRPr="00087A72">
        <w:rPr>
          <w:i/>
          <w:w w:val="105"/>
          <w:sz w:val="26"/>
        </w:rPr>
        <w:t>Geographies of indigeneity: Indigenous migrant women’s organizing and translocal politics of place”</w:t>
      </w:r>
      <w:r w:rsidRPr="00087A72">
        <w:rPr>
          <w:w w:val="105"/>
          <w:sz w:val="26"/>
        </w:rPr>
        <w:t xml:space="preserve"> </w:t>
      </w:r>
      <w:r w:rsidRPr="00087A72">
        <w:t>Critical Latinx Indigeneities – issue 2, pp 126-137)</w:t>
      </w:r>
    </w:p>
    <w:p w:rsidR="00934B8A" w:rsidRPr="00087A72" w:rsidRDefault="00934B8A" w:rsidP="00934B8A">
      <w:pPr>
        <w:rPr>
          <w:sz w:val="12"/>
        </w:rPr>
      </w:pPr>
      <w:r w:rsidRPr="00087A72">
        <w:rPr>
          <w:sz w:val="12"/>
        </w:rPr>
        <w:t xml:space="preserve">While Romero-Herna´ndez’s testimonio illustrated how violence and healing shaped her participation in geographies of the sacred, Monserrat Bernadino’s story illustrates how </w:t>
      </w:r>
      <w:r w:rsidRPr="00087A72">
        <w:rPr>
          <w:rStyle w:val="Emphasis"/>
        </w:rPr>
        <w:t>circuits of labor transit across the city. These forms mobility are also becoming spaces of organizing</w:t>
      </w:r>
      <w:r w:rsidRPr="00087A72">
        <w:rPr>
          <w:sz w:val="12"/>
        </w:rPr>
        <w:t>—on buses, for example—</w:t>
      </w:r>
      <w:r w:rsidRPr="00087A72">
        <w:rPr>
          <w:rStyle w:val="Emphasis"/>
        </w:rPr>
        <w:t>as what was thought of as the hidden, informal, and precarious labor creates new spaces of mobilization</w:t>
      </w:r>
      <w:r w:rsidRPr="00087A72">
        <w:rPr>
          <w:sz w:val="12"/>
        </w:rPr>
        <w:t xml:space="preserve">. I met Monserrat Bernadino after she completed the Mujeres Ind´ıgenas en Liderazgo (MIEL) training and was on her way to becoming a regional FIOB leader in Los Angeles and throughout the state of California. Born April 27, 1968, in the town of Santa Cruz Papalutla, a town of about a thousand inhabitants near Tlacolula, in the Central Valleys of Oaxaca, </w:t>
      </w:r>
      <w:r w:rsidRPr="00087A72">
        <w:rPr>
          <w:rStyle w:val="Emphasis"/>
        </w:rPr>
        <w:t>Bernadino</w:t>
      </w:r>
      <w:r w:rsidRPr="00087A72">
        <w:rPr>
          <w:sz w:val="12"/>
        </w:rPr>
        <w:t xml:space="preserve">’s family grew corn, garbanzo, squash, bean, and maguey for mescal as well as raised goats, donkeys, cows, pigs and chickens. Yet, </w:t>
      </w:r>
      <w:r w:rsidRPr="00087A72">
        <w:rPr>
          <w:rStyle w:val="Emphasis"/>
        </w:rPr>
        <w:t>her fate, like that of so many others, would be determined in the migrant stream</w:t>
      </w:r>
      <w:r w:rsidRPr="00087A72">
        <w:rPr>
          <w:sz w:val="12"/>
        </w:rPr>
        <w:t xml:space="preserve"> (Bernadino </w:t>
      </w:r>
      <w:hyperlink w:anchor="_bookmark33" w:history="1">
        <w:r w:rsidRPr="00087A72">
          <w:rPr>
            <w:rStyle w:val="Hyperlink"/>
            <w:sz w:val="12"/>
          </w:rPr>
          <w:t>2011</w:t>
        </w:r>
      </w:hyperlink>
      <w:r w:rsidRPr="00087A72">
        <w:rPr>
          <w:sz w:val="12"/>
        </w:rPr>
        <w:t>). Bernadino’s dad and three brothers migrated to Mexico City and finally sent for her when she was fourteen. She took secretary classes but, after three months, her family could no longer pay for tuition and she had to quit. Her dad left Mexico City after the 1985 earthquake, so she started to work in a house as a maid, then at a restaurant where she cooked, and then at a clothing factory where she did ironing, all within one year. At fifteen years old, Bernadino left Mexico City with her sister for Hermosillo, Sonora, where she did housekeeping and worked as a nanny. Bernadino’s migration story north continued, at age sixteen, when she decided to accompany her sister, who wanted to migrate to Los Angeles. They attempted to cross the border but kept getting caught, so they worked as domestic workers in Tijuana for six months to make enough money to try crossing again. Even then, while waiting to cross, they were running out of money, so they decided to go back to work as domestic workers in Hermosillo for another six months before finally saving enough to come to Los Angeles in 1987. Bernadino recalls that the crossing was very difficult, but she remembers she arrived in Hollywood by car. I share this circuitous story to illustrate the perilous crossings and the multiple internal migrations that could accompany one migrant or one family’s journey, that illustrate what Gaye Johnson has called ‘‘</w:t>
      </w:r>
      <w:r w:rsidRPr="00087A72">
        <w:rPr>
          <w:rStyle w:val="Emphasis"/>
        </w:rPr>
        <w:t>spatial immobilization’’—a strategy of racial containment she links to militarization and anti-immigration policies</w:t>
      </w:r>
      <w:r w:rsidRPr="00087A72">
        <w:rPr>
          <w:sz w:val="12"/>
        </w:rPr>
        <w:t xml:space="preserve"> (Johnson </w:t>
      </w:r>
      <w:hyperlink w:anchor="_bookmark65" w:history="1">
        <w:r w:rsidRPr="00087A72">
          <w:rPr>
            <w:rStyle w:val="Hyperlink"/>
            <w:sz w:val="12"/>
          </w:rPr>
          <w:t>2013</w:t>
        </w:r>
      </w:hyperlink>
      <w:r w:rsidRPr="00087A72">
        <w:rPr>
          <w:rStyle w:val="Emphasis"/>
        </w:rPr>
        <w:t>). The transborder community-making practices and transregional geographies in Los Angeles</w:t>
      </w:r>
      <w:r w:rsidRPr="00087A72">
        <w:rPr>
          <w:sz w:val="12"/>
        </w:rPr>
        <w:t xml:space="preserve"> analyzed through this essay </w:t>
      </w:r>
      <w:r w:rsidRPr="00087A72">
        <w:rPr>
          <w:rStyle w:val="Emphasis"/>
        </w:rPr>
        <w:t>are even more critical, given state- sponsored spatial immobilization that supports capital-driven labor mobility and control.</w:t>
      </w:r>
      <w:r w:rsidRPr="00087A72">
        <w:rPr>
          <w:sz w:val="12"/>
        </w:rPr>
        <w:t xml:space="preserve"> Jonas and Rodr´ıguez (</w:t>
      </w:r>
      <w:hyperlink w:anchor="_bookmark66" w:history="1">
        <w:r w:rsidRPr="00087A72">
          <w:rPr>
            <w:rStyle w:val="Hyperlink"/>
            <w:sz w:val="12"/>
          </w:rPr>
          <w:t>2015</w:t>
        </w:r>
      </w:hyperlink>
      <w:r w:rsidRPr="00087A72">
        <w:rPr>
          <w:sz w:val="12"/>
        </w:rPr>
        <w:t>) remind us that ‘‘</w:t>
      </w:r>
      <w:r w:rsidRPr="00087A72">
        <w:rPr>
          <w:rStyle w:val="Emphasis"/>
        </w:rPr>
        <w:t>regions need to be considered within the world divisions of capital</w:t>
      </w:r>
      <w:r w:rsidRPr="00087A72">
        <w:rPr>
          <w:sz w:val="12"/>
        </w:rPr>
        <w:t xml:space="preserve">’’ (p. 6). </w:t>
      </w:r>
      <w:r w:rsidRPr="00087A72">
        <w:rPr>
          <w:rStyle w:val="Emphasis"/>
        </w:rPr>
        <w:t xml:space="preserve">They call attention to the profound contradiction of labor mobility </w:t>
      </w:r>
      <w:r w:rsidRPr="00087A72">
        <w:rPr>
          <w:sz w:val="12"/>
        </w:rPr>
        <w:t xml:space="preserve">(p. 7). </w:t>
      </w:r>
      <w:r w:rsidRPr="00087A72">
        <w:rPr>
          <w:rStyle w:val="Emphasis"/>
        </w:rPr>
        <w:t>The spatial organization of production and resource extraction of</w:t>
      </w:r>
      <w:r w:rsidRPr="00087A72">
        <w:rPr>
          <w:sz w:val="12"/>
        </w:rPr>
        <w:t xml:space="preserve"> earlier-in-the-twentieth-century </w:t>
      </w:r>
      <w:r w:rsidRPr="00087A72">
        <w:rPr>
          <w:rStyle w:val="Emphasis"/>
        </w:rPr>
        <w:t>capitalism into core/periph- ery has broken down through neoliberalism, the current stage of global capital</w:t>
      </w:r>
      <w:r w:rsidRPr="00087A72">
        <w:rPr>
          <w:sz w:val="12"/>
        </w:rPr>
        <w:t xml:space="preserve">. </w:t>
      </w:r>
      <w:r w:rsidRPr="00087A72">
        <w:rPr>
          <w:rStyle w:val="Emphasis"/>
        </w:rPr>
        <w:t xml:space="preserve">Structural adjustment and neoliberal policies, </w:t>
      </w:r>
      <w:r w:rsidRPr="00087A72">
        <w:rPr>
          <w:sz w:val="12"/>
        </w:rPr>
        <w:t xml:space="preserve">as well as military interventions, </w:t>
      </w:r>
      <w:r w:rsidRPr="00087A72">
        <w:rPr>
          <w:rStyle w:val="Emphasis"/>
        </w:rPr>
        <w:t>have created a mobile supply of labor by pushing laborers to more affluent core countries that often obscure the reliance of industry and global cities on cheap labor through schizophrenic policies of illegality</w:t>
      </w:r>
      <w:r w:rsidRPr="00087A72">
        <w:rPr>
          <w:sz w:val="12"/>
        </w:rPr>
        <w:t xml:space="preserve">. </w:t>
      </w:r>
      <w:r w:rsidRPr="00087A72">
        <w:rPr>
          <w:rStyle w:val="Emphasis"/>
        </w:rPr>
        <w:t>The control of labor and mobility are long strategies of colonial management</w:t>
      </w:r>
      <w:r w:rsidRPr="00087A72">
        <w:rPr>
          <w:sz w:val="12"/>
        </w:rPr>
        <w:t xml:space="preserve">, as was evident in the building of the historic pueblo of Los Angeles. Tongva, Tatavium, and other California </w:t>
      </w:r>
      <w:r w:rsidRPr="00087A72">
        <w:rPr>
          <w:rStyle w:val="Emphasis"/>
        </w:rPr>
        <w:t>Indigenous peoples were often arrested under so-called vagrancy laws that administrators used to produce an incarcerated labor supply of Indigenous workers</w:t>
      </w:r>
      <w:r w:rsidRPr="00087A72">
        <w:rPr>
          <w:sz w:val="12"/>
        </w:rPr>
        <w:t xml:space="preserve"> who resided close to downtown Los Angeles at Yaagna</w:t>
      </w:r>
      <w:r w:rsidRPr="00087A72">
        <w:rPr>
          <w:rStyle w:val="Emphasis"/>
        </w:rPr>
        <w:t>. Now transnational corporations within global cities maintain settler colonial structures,</w:t>
      </w:r>
      <w:r w:rsidRPr="00087A72">
        <w:rPr>
          <w:sz w:val="12"/>
        </w:rPr>
        <w:t xml:space="preserve"> and yet recently migrated Indigenous laborers now reside in neighborhoods adjacent to downtown Los Angeles. After working in abusive conditions, Bernadino was able to meet with other women who worked as domestic workers at the Hollywood Job Center. In 1998, they began organizing themselves into a cooperative that had about twenty members at the time they formed. She found that the benefit of belonging to the co-op was that everyone was an owner, and together they would organize to receive benefits and health insurance. </w:t>
      </w:r>
      <w:r w:rsidRPr="00087A72">
        <w:rPr>
          <w:rStyle w:val="Emphasis"/>
        </w:rPr>
        <w:t>Bernadino’s story illustrates new circuits of mobility produced by labor routes migrant women travel on crosstown buses</w:t>
      </w:r>
      <w:r w:rsidRPr="00087A72">
        <w:rPr>
          <w:sz w:val="12"/>
        </w:rPr>
        <w:t xml:space="preserve"> from Central to West LA (or from Palms to Santa Monica within the Westside) </w:t>
      </w:r>
      <w:r w:rsidRPr="00087A72">
        <w:rPr>
          <w:rStyle w:val="Emphasis"/>
        </w:rPr>
        <w:t>to clean houses, be nannies, or work in dry cleaners or elder care. These mobilities are part of migrant women’s empowerment, as they learn to face the big city with multiple levels of linguistic and racial discrimination and to navigate complex bus systems that move the invisible populations of migrant workers of the massive service sector</w:t>
      </w:r>
      <w:r w:rsidRPr="00087A72">
        <w:rPr>
          <w:sz w:val="12"/>
        </w:rPr>
        <w:t xml:space="preserve"> in the Global City of LA (Sassen </w:t>
      </w:r>
      <w:hyperlink w:anchor="_bookmark92" w:history="1">
        <w:r w:rsidRPr="00087A72">
          <w:rPr>
            <w:rStyle w:val="Hyperlink"/>
            <w:sz w:val="12"/>
          </w:rPr>
          <w:t>1991</w:t>
        </w:r>
      </w:hyperlink>
      <w:r w:rsidRPr="00087A72">
        <w:rPr>
          <w:sz w:val="12"/>
        </w:rPr>
        <w:t xml:space="preserve">). </w:t>
      </w:r>
      <w:r w:rsidRPr="00087A72">
        <w:rPr>
          <w:rStyle w:val="Emphasis"/>
        </w:rPr>
        <w:t>These mobilities create new circuits of possibility that happen in informal conversations</w:t>
      </w:r>
      <w:r w:rsidRPr="00087A72">
        <w:rPr>
          <w:sz w:val="12"/>
        </w:rPr>
        <w:t xml:space="preserve"> on buses and waiting at bus stops. The crosstown buses on Sunset or Wilshire are full of students and workers crossing to more affluent neighborhoods to work. These new mobilities are not just circuits of labor, they are also circuits of collectivity and have been used by organizers within the Coalition for Humane Immigrant Rights of Los Angeles (CHIRLA) to create the Household Workers Collective</w:t>
      </w:r>
      <w:r w:rsidRPr="00087A72">
        <w:rPr>
          <w:rStyle w:val="Emphasis"/>
        </w:rPr>
        <w:t>. Indigenous women migrants navigate not only the feminization of the global division of labor and the feminization of migration</w:t>
      </w:r>
      <w:r w:rsidRPr="00087A72">
        <w:rPr>
          <w:sz w:val="12"/>
        </w:rPr>
        <w:t xml:space="preserve">. In addition, </w:t>
      </w:r>
      <w:r w:rsidRPr="00087A72">
        <w:rPr>
          <w:rStyle w:val="Emphasis"/>
        </w:rPr>
        <w:t>these globalizing systems of gender are lived through the complexities of at least two colonial systems of race, indigeneity, and class that hybridize in the process of migration and are compounded</w:t>
      </w:r>
      <w:r w:rsidRPr="00087A72">
        <w:rPr>
          <w:sz w:val="12"/>
        </w:rPr>
        <w:t>. A Critical Latinx Indigeneities framework recognizes</w:t>
      </w:r>
      <w:r w:rsidRPr="00087A72">
        <w:rPr>
          <w:rStyle w:val="Emphasis"/>
        </w:rPr>
        <w:t xml:space="preserve"> multiple colonial regimes of racial management that produce ‘‘Indigenous’’ subjects. To generate solidarities, rather than competing indigeneities, </w:t>
      </w:r>
      <w:r w:rsidRPr="00087A72">
        <w:rPr>
          <w:sz w:val="12"/>
        </w:rPr>
        <w:t xml:space="preserve">means </w:t>
      </w:r>
      <w:r w:rsidRPr="00087A72">
        <w:rPr>
          <w:rStyle w:val="Emphasis"/>
        </w:rPr>
        <w:t>to understand</w:t>
      </w:r>
      <w:r w:rsidRPr="00087A72">
        <w:rPr>
          <w:sz w:val="12"/>
        </w:rPr>
        <w:t xml:space="preserve"> these differing yet connected histories and </w:t>
      </w:r>
      <w:r w:rsidRPr="00087A72">
        <w:rPr>
          <w:rStyle w:val="Emphasis"/>
        </w:rPr>
        <w:t>the places where the coloniality of power</w:t>
      </w:r>
      <w:r w:rsidRPr="00087A72">
        <w:rPr>
          <w:sz w:val="12"/>
        </w:rPr>
        <w:t xml:space="preserve"> (the maintenance of colonial hierarchies in current relations of power, discourses and institutions) </w:t>
      </w:r>
      <w:r w:rsidRPr="00087A72">
        <w:rPr>
          <w:rStyle w:val="Emphasis"/>
        </w:rPr>
        <w:t>meets settler colonialism</w:t>
      </w:r>
      <w:r w:rsidRPr="00087A72">
        <w:rPr>
          <w:sz w:val="12"/>
        </w:rPr>
        <w:t xml:space="preserve"> (the structure of settlement that requires the continual elimination of the native).</w:t>
      </w:r>
      <w:hyperlink w:anchor="_bookmark23" w:history="1">
        <w:r w:rsidRPr="00087A72">
          <w:rPr>
            <w:rStyle w:val="Hyperlink"/>
            <w:sz w:val="12"/>
          </w:rPr>
          <w:t xml:space="preserve">21 </w:t>
        </w:r>
      </w:hyperlink>
      <w:r w:rsidRPr="00087A72">
        <w:rPr>
          <w:sz w:val="12"/>
        </w:rPr>
        <w:t xml:space="preserve">These multiple colonialities have produced </w:t>
      </w:r>
      <w:bookmarkStart w:id="1" w:name="_bookmark23"/>
      <w:bookmarkEnd w:id="1"/>
      <w:r w:rsidRPr="00087A72">
        <w:rPr>
          <w:sz w:val="12"/>
        </w:rPr>
        <w:t xml:space="preserve">While beyond the scope of this essay, I </w:t>
      </w:r>
      <w:r w:rsidRPr="00087A72">
        <w:rPr>
          <w:rStyle w:val="Emphasis"/>
        </w:rPr>
        <w:t xml:space="preserve">am referring to the ways </w:t>
      </w:r>
      <w:r w:rsidRPr="00087A72">
        <w:rPr>
          <w:sz w:val="12"/>
        </w:rPr>
        <w:t xml:space="preserve">coloniality of power (Quijano </w:t>
      </w:r>
      <w:hyperlink w:anchor="_bookmark78" w:history="1">
        <w:r w:rsidRPr="00087A72">
          <w:rPr>
            <w:rStyle w:val="Hyperlink"/>
            <w:sz w:val="12"/>
          </w:rPr>
          <w:t>1997</w:t>
        </w:r>
      </w:hyperlink>
      <w:r w:rsidRPr="00087A72">
        <w:rPr>
          <w:sz w:val="12"/>
        </w:rPr>
        <w:t xml:space="preserve">, </w:t>
      </w:r>
      <w:hyperlink w:anchor="_bookmark79" w:history="1">
        <w:r w:rsidRPr="00087A72">
          <w:rPr>
            <w:rStyle w:val="Hyperlink"/>
            <w:sz w:val="12"/>
          </w:rPr>
          <w:t>2000</w:t>
        </w:r>
      </w:hyperlink>
      <w:r w:rsidRPr="00087A72">
        <w:rPr>
          <w:sz w:val="12"/>
        </w:rPr>
        <w:t xml:space="preserve">) and </w:t>
      </w:r>
      <w:r w:rsidRPr="00087A72">
        <w:rPr>
          <w:rStyle w:val="Emphasis"/>
        </w:rPr>
        <w:t>settler colonialism</w:t>
      </w:r>
      <w:r w:rsidRPr="00087A72">
        <w:rPr>
          <w:sz w:val="12"/>
        </w:rPr>
        <w:t xml:space="preserve"> (Wolfe </w:t>
      </w:r>
      <w:hyperlink w:anchor="_bookmark103" w:history="1">
        <w:r w:rsidRPr="00087A72">
          <w:rPr>
            <w:rStyle w:val="Hyperlink"/>
            <w:sz w:val="12"/>
          </w:rPr>
          <w:t>2006</w:t>
        </w:r>
      </w:hyperlink>
      <w:r w:rsidRPr="00087A72">
        <w:rPr>
          <w:sz w:val="12"/>
        </w:rPr>
        <w:t xml:space="preserve">) </w:t>
      </w:r>
      <w:r w:rsidRPr="00087A72">
        <w:rPr>
          <w:rStyle w:val="Emphasis"/>
        </w:rPr>
        <w:t>may be incomplete analytical frameworks</w:t>
      </w:r>
      <w:r w:rsidRPr="00087A72">
        <w:rPr>
          <w:sz w:val="12"/>
        </w:rPr>
        <w:t xml:space="preserve"> and yet, </w:t>
      </w:r>
      <w:r w:rsidRPr="00087A72">
        <w:rPr>
          <w:rStyle w:val="Emphasis"/>
        </w:rPr>
        <w:t>even different state-managed boundaries of indigeneity, which, under conditions of neoliberal globalization, have collided and hybridized. This process is</w:t>
      </w:r>
      <w:r w:rsidRPr="00087A72">
        <w:rPr>
          <w:sz w:val="12"/>
        </w:rPr>
        <w:t xml:space="preserve"> what I call elsewhere ‘‘</w:t>
      </w:r>
      <w:r w:rsidRPr="00087A72">
        <w:rPr>
          <w:rStyle w:val="Emphasis"/>
        </w:rPr>
        <w:t>hybrid hegemonies,</w:t>
      </w:r>
      <w:r w:rsidRPr="00087A72">
        <w:rPr>
          <w:sz w:val="12"/>
        </w:rPr>
        <w:t xml:space="preserve">’’ </w:t>
      </w:r>
      <w:r w:rsidRPr="00087A72">
        <w:rPr>
          <w:rStyle w:val="Emphasis"/>
        </w:rPr>
        <w:t>to describe how</w:t>
      </w:r>
      <w:r w:rsidRPr="00087A72">
        <w:rPr>
          <w:sz w:val="12"/>
        </w:rPr>
        <w:t xml:space="preserve"> one </w:t>
      </w:r>
      <w:r w:rsidRPr="00087A72">
        <w:rPr>
          <w:rStyle w:val="Emphasis"/>
        </w:rPr>
        <w:t>racial system migrates and gets mapped onto US white supremacist and settler state projects through the process of migration</w:t>
      </w:r>
      <w:r w:rsidRPr="00087A72">
        <w:rPr>
          <w:sz w:val="12"/>
        </w:rPr>
        <w:t xml:space="preserve">. I have argued that </w:t>
      </w:r>
      <w:r w:rsidRPr="00087A72">
        <w:rPr>
          <w:rStyle w:val="Emphasis"/>
        </w:rPr>
        <w:t>Indigenous migrants are learning to navigate not only multiple racial hegemonies, but also the intersection of local, national and transnational systems of power that shift, overlap, and hybridize in the process of migration</w:t>
      </w:r>
      <w:r w:rsidRPr="00087A72">
        <w:rPr>
          <w:sz w:val="12"/>
        </w:rPr>
        <w:t xml:space="preserve"> (Blackwell </w:t>
      </w:r>
      <w:hyperlink w:anchor="_bookmark34" w:history="1">
        <w:r w:rsidRPr="00087A72">
          <w:rPr>
            <w:rStyle w:val="Hyperlink"/>
            <w:sz w:val="12"/>
          </w:rPr>
          <w:t>2010</w:t>
        </w:r>
      </w:hyperlink>
      <w:r w:rsidRPr="00087A72">
        <w:rPr>
          <w:sz w:val="12"/>
        </w:rPr>
        <w:t xml:space="preserve">). These migrating meanings </w:t>
      </w:r>
      <w:r w:rsidRPr="00087A72">
        <w:rPr>
          <w:rStyle w:val="Emphasis"/>
        </w:rPr>
        <w:t>of race in relation to indigeneity are both historic and new and signal the ways in which racial power is signified and utilized to create structures of disempowerment</w:t>
      </w:r>
      <w:r w:rsidRPr="00087A72">
        <w:rPr>
          <w:sz w:val="12"/>
        </w:rPr>
        <w:t xml:space="preserve">. For example, the anti-Indian prejudice in which Mexican racial </w:t>
      </w:r>
      <w:r w:rsidRPr="00087A72">
        <w:rPr>
          <w:rStyle w:val="Emphasis"/>
        </w:rPr>
        <w:t>hierarchies are embedded facilitates labor segmentation and the hyper-exploitation of Indigenous migrants in the increasingly global economy</w:t>
      </w:r>
      <w:r w:rsidRPr="00087A72">
        <w:rPr>
          <w:sz w:val="12"/>
        </w:rPr>
        <w:t xml:space="preserve">. </w:t>
      </w:r>
      <w:r w:rsidRPr="00087A72">
        <w:rPr>
          <w:rStyle w:val="Emphasis"/>
        </w:rPr>
        <w:t>These historical racial hegemonies</w:t>
      </w:r>
      <w:r w:rsidRPr="00087A72">
        <w:rPr>
          <w:sz w:val="12"/>
        </w:rPr>
        <w:t xml:space="preserve"> from Mexico that </w:t>
      </w:r>
      <w:r w:rsidRPr="00087A72">
        <w:rPr>
          <w:rStyle w:val="Emphasis"/>
        </w:rPr>
        <w:t>have marginalized Indigenous peoples are not just imported; they are hybridized and get mapped on American race, class, gender, and sexual relations. Further, these hybrid hegemonies create conflicting boundaries of who is considered Indigenous by the US and Mexican states and dominant societies, thereby creating the erasures, invisibilities</w:t>
      </w:r>
      <w:r w:rsidRPr="00087A72">
        <w:rPr>
          <w:sz w:val="12"/>
        </w:rPr>
        <w:t xml:space="preserve"> and, ironically, new possibilities for Indigenous identity and consciousness. </w:t>
      </w:r>
      <w:r w:rsidRPr="00087A72">
        <w:rPr>
          <w:rStyle w:val="Emphasis"/>
        </w:rPr>
        <w:t>Thinking through how the racial logics are marshaled by</w:t>
      </w:r>
      <w:r w:rsidRPr="00087A72">
        <w:rPr>
          <w:sz w:val="12"/>
        </w:rPr>
        <w:t xml:space="preserve"> the coloniality of power and </w:t>
      </w:r>
      <w:r w:rsidRPr="00087A72">
        <w:rPr>
          <w:rStyle w:val="Emphasis"/>
        </w:rPr>
        <w:t>settler colonialism</w:t>
      </w:r>
      <w:r w:rsidRPr="00087A72">
        <w:rPr>
          <w:sz w:val="12"/>
        </w:rPr>
        <w:t>, and the ways they hybridize, pushes us to consider the ways meanings of US Latinidad and indigeneity are shifting because of Latin American Indigenous diasporas.</w:t>
      </w:r>
    </w:p>
    <w:p w:rsidR="00BF6777" w:rsidRPr="00087A72" w:rsidRDefault="00BF6777" w:rsidP="00496C79">
      <w:pPr>
        <w:pStyle w:val="Heading3"/>
      </w:pPr>
      <w:r w:rsidRPr="00087A72">
        <w:t>Link – Edelman</w:t>
      </w:r>
    </w:p>
    <w:p w:rsidR="00514D76" w:rsidRPr="00087A72" w:rsidRDefault="00035D36" w:rsidP="00514D76">
      <w:pPr>
        <w:pStyle w:val="Heading4"/>
      </w:pPr>
      <w:r w:rsidRPr="00087A72">
        <w:t xml:space="preserve">Edelman’s theorization of the Child fails to account for the fact that the guarantor of the future is always the </w:t>
      </w:r>
      <w:r w:rsidRPr="00087A72">
        <w:rPr>
          <w:u w:val="single"/>
        </w:rPr>
        <w:t>white</w:t>
      </w:r>
      <w:r w:rsidRPr="00087A72">
        <w:t xml:space="preserve"> child. This plays into the logic of genocidal settler colonialism which must foreclose the future possibility of the Native.</w:t>
      </w:r>
    </w:p>
    <w:p w:rsidR="00514D76" w:rsidRPr="00087A72" w:rsidRDefault="00514D76" w:rsidP="00514D76">
      <w:r w:rsidRPr="00087A72">
        <w:rPr>
          <w:rStyle w:val="Style13ptBold"/>
        </w:rPr>
        <w:t>Smith 16</w:t>
      </w:r>
      <w:r w:rsidRPr="00087A72">
        <w:t xml:space="preserve"> Andrea, </w:t>
      </w:r>
      <w:hyperlink r:id="rId15" w:history="1">
        <w:r w:rsidRPr="00087A72">
          <w:rPr>
            <w:rStyle w:val="Hyperlink"/>
          </w:rPr>
          <w:t>University of California, Riverside | UCR</w:t>
        </w:r>
      </w:hyperlink>
      <w:r w:rsidRPr="00087A72">
        <w:t> · </w:t>
      </w:r>
      <w:hyperlink r:id="rId16" w:history="1">
        <w:r w:rsidRPr="00087A72">
          <w:rPr>
            <w:rStyle w:val="Hyperlink"/>
          </w:rPr>
          <w:t>Department of Ethnic Studies</w:t>
        </w:r>
      </w:hyperlink>
      <w:r w:rsidRPr="00087A72">
        <w:t>, Queer Theory and Native Studies The Heteronormativity of Settler Colonialism, A Journal of Gay and Lesbian Studies, Issue #1, PP 6</w:t>
      </w:r>
    </w:p>
    <w:p w:rsidR="00514D76" w:rsidRPr="00087A72" w:rsidRDefault="00514D76" w:rsidP="00514D76">
      <w:pPr>
        <w:spacing w:after="0" w:line="240" w:lineRule="auto"/>
        <w:rPr>
          <w:rFonts w:eastAsia="Times New Roman" w:cs="Arial"/>
          <w:sz w:val="14"/>
        </w:rPr>
      </w:pPr>
      <w:r w:rsidRPr="00087A72">
        <w:rPr>
          <w:rFonts w:eastAsia="Calibri" w:cs="Arial"/>
          <w:sz w:val="14"/>
          <w:szCs w:val="28"/>
        </w:rPr>
        <w:t>Lauren</w:t>
      </w:r>
      <w:r w:rsidRPr="00087A72">
        <w:rPr>
          <w:rFonts w:cs="Arial"/>
          <w:sz w:val="14"/>
          <w:szCs w:val="28"/>
        </w:rPr>
        <w:t xml:space="preserve"> </w:t>
      </w:r>
      <w:r w:rsidRPr="00087A72">
        <w:rPr>
          <w:rFonts w:eastAsia="Calibri" w:cs="Arial"/>
          <w:sz w:val="14"/>
          <w:szCs w:val="28"/>
        </w:rPr>
        <w:t>Berlant</w:t>
      </w:r>
      <w:r w:rsidRPr="00087A72">
        <w:rPr>
          <w:rFonts w:cs="Arial"/>
          <w:sz w:val="14"/>
          <w:szCs w:val="28"/>
        </w:rPr>
        <w:t xml:space="preserve"> </w:t>
      </w:r>
      <w:r w:rsidRPr="00087A72">
        <w:rPr>
          <w:rFonts w:eastAsia="Calibri" w:cs="Arial"/>
          <w:sz w:val="14"/>
          <w:szCs w:val="28"/>
        </w:rPr>
        <w:t>demonstrates</w:t>
      </w:r>
      <w:r w:rsidRPr="00087A72">
        <w:rPr>
          <w:rFonts w:cs="Arial"/>
          <w:sz w:val="14"/>
          <w:szCs w:val="28"/>
        </w:rPr>
        <w:t xml:space="preserve"> </w:t>
      </w:r>
      <w:r w:rsidRPr="00087A72">
        <w:rPr>
          <w:rFonts w:eastAsia="Calibri" w:cs="Arial"/>
          <w:sz w:val="14"/>
          <w:szCs w:val="28"/>
        </w:rPr>
        <w:t>how</w:t>
      </w:r>
      <w:r w:rsidRPr="00087A72">
        <w:rPr>
          <w:rFonts w:cs="Arial"/>
          <w:sz w:val="14"/>
          <w:szCs w:val="28"/>
        </w:rPr>
        <w:t xml:space="preserve"> </w:t>
      </w:r>
      <w:r w:rsidRPr="00087A72">
        <w:rPr>
          <w:rFonts w:eastAsia="Calibri" w:cs="Arial"/>
          <w:sz w:val="14"/>
          <w:szCs w:val="28"/>
        </w:rPr>
        <w:t>decolonization</w:t>
      </w:r>
      <w:r w:rsidRPr="00087A72">
        <w:rPr>
          <w:rFonts w:cs="Arial"/>
          <w:sz w:val="14"/>
          <w:szCs w:val="28"/>
        </w:rPr>
        <w:t xml:space="preserve"> </w:t>
      </w:r>
      <w:r w:rsidRPr="00087A72">
        <w:rPr>
          <w:rFonts w:eastAsia="Calibri" w:cs="Arial"/>
          <w:sz w:val="14"/>
          <w:szCs w:val="28"/>
        </w:rPr>
        <w:t>projects</w:t>
      </w:r>
      <w:r w:rsidRPr="00087A72">
        <w:rPr>
          <w:rFonts w:cs="Arial"/>
          <w:sz w:val="14"/>
          <w:szCs w:val="28"/>
        </w:rPr>
        <w:t xml:space="preserve"> </w:t>
      </w:r>
      <w:r w:rsidRPr="00087A72">
        <w:rPr>
          <w:rFonts w:eastAsia="Calibri" w:cs="Arial"/>
          <w:sz w:val="14"/>
          <w:szCs w:val="28"/>
        </w:rPr>
        <w:t>can</w:t>
      </w:r>
      <w:r w:rsidRPr="00087A72">
        <w:rPr>
          <w:rFonts w:cs="Arial"/>
          <w:sz w:val="14"/>
          <w:szCs w:val="28"/>
        </w:rPr>
        <w:t xml:space="preserve"> </w:t>
      </w:r>
      <w:r w:rsidRPr="00087A72">
        <w:rPr>
          <w:rFonts w:eastAsia="Calibri" w:cs="Arial"/>
          <w:sz w:val="14"/>
          <w:szCs w:val="28"/>
        </w:rPr>
        <w:t>become</w:t>
      </w:r>
      <w:r w:rsidRPr="00087A72">
        <w:rPr>
          <w:rFonts w:cs="Arial"/>
          <w:sz w:val="14"/>
          <w:szCs w:val="28"/>
        </w:rPr>
        <w:t xml:space="preserve"> </w:t>
      </w:r>
      <w:r w:rsidRPr="00087A72">
        <w:rPr>
          <w:rFonts w:eastAsia="Calibri" w:cs="Arial"/>
          <w:sz w:val="14"/>
          <w:szCs w:val="28"/>
        </w:rPr>
        <w:t>unwittingly</w:t>
      </w:r>
      <w:r w:rsidRPr="00087A72">
        <w:rPr>
          <w:rFonts w:cs="Arial"/>
          <w:sz w:val="14"/>
          <w:szCs w:val="28"/>
        </w:rPr>
        <w:t xml:space="preserve"> </w:t>
      </w:r>
      <w:r w:rsidRPr="00087A72">
        <w:rPr>
          <w:rFonts w:eastAsia="Calibri" w:cs="Arial"/>
          <w:sz w:val="14"/>
          <w:szCs w:val="28"/>
        </w:rPr>
        <w:t>implicated</w:t>
      </w:r>
      <w:r w:rsidRPr="00087A72">
        <w:rPr>
          <w:rFonts w:cs="Arial"/>
          <w:sz w:val="14"/>
          <w:szCs w:val="28"/>
        </w:rPr>
        <w:t xml:space="preserve"> </w:t>
      </w:r>
      <w:r w:rsidRPr="00087A72">
        <w:rPr>
          <w:rFonts w:eastAsia="Calibri" w:cs="Arial"/>
          <w:sz w:val="14"/>
          <w:szCs w:val="28"/>
        </w:rPr>
        <w:t>in</w:t>
      </w:r>
      <w:r w:rsidRPr="00087A72">
        <w:rPr>
          <w:rFonts w:cs="Arial"/>
          <w:sz w:val="14"/>
          <w:szCs w:val="28"/>
        </w:rPr>
        <w:t xml:space="preserve"> </w:t>
      </w:r>
      <w:r w:rsidRPr="00087A72">
        <w:rPr>
          <w:rFonts w:eastAsia="Calibri" w:cs="Arial"/>
          <w:sz w:val="14"/>
          <w:szCs w:val="28"/>
        </w:rPr>
        <w:t>perpetuating</w:t>
      </w:r>
      <w:r w:rsidRPr="00087A72">
        <w:rPr>
          <w:rFonts w:cs="Arial"/>
          <w:sz w:val="14"/>
          <w:szCs w:val="28"/>
        </w:rPr>
        <w:t xml:space="preserve"> </w:t>
      </w:r>
      <w:r w:rsidRPr="00087A72">
        <w:rPr>
          <w:rFonts w:eastAsia="Calibri" w:cs="Arial"/>
          <w:sz w:val="14"/>
          <w:szCs w:val="28"/>
        </w:rPr>
        <w:t>colonization</w:t>
      </w:r>
      <w:r w:rsidRPr="00087A72">
        <w:rPr>
          <w:rFonts w:cs="Arial"/>
          <w:sz w:val="14"/>
          <w:szCs w:val="28"/>
        </w:rPr>
        <w:t xml:space="preserve"> </w:t>
      </w:r>
      <w:r w:rsidRPr="00087A72">
        <w:rPr>
          <w:rFonts w:eastAsia="Calibri" w:cs="Arial"/>
          <w:sz w:val="14"/>
          <w:szCs w:val="28"/>
        </w:rPr>
        <w:t>in</w:t>
      </w:r>
      <w:r w:rsidRPr="00087A72">
        <w:rPr>
          <w:rFonts w:cs="Arial"/>
          <w:sz w:val="14"/>
          <w:szCs w:val="28"/>
        </w:rPr>
        <w:t xml:space="preserve"> </w:t>
      </w:r>
      <w:r w:rsidRPr="00087A72">
        <w:rPr>
          <w:rFonts w:eastAsia="Calibri" w:cs="Arial"/>
          <w:sz w:val="14"/>
          <w:szCs w:val="28"/>
        </w:rPr>
        <w:t>her</w:t>
      </w:r>
      <w:r w:rsidRPr="00087A72">
        <w:rPr>
          <w:rFonts w:cs="Arial"/>
          <w:sz w:val="14"/>
          <w:szCs w:val="28"/>
        </w:rPr>
        <w:t xml:space="preserve"> </w:t>
      </w:r>
      <w:r w:rsidRPr="00087A72">
        <w:rPr>
          <w:rFonts w:eastAsia="Calibri" w:cs="Arial"/>
          <w:sz w:val="14"/>
          <w:szCs w:val="28"/>
        </w:rPr>
        <w:t>theorization</w:t>
      </w:r>
      <w:r w:rsidRPr="00087A72">
        <w:rPr>
          <w:rFonts w:cs="Arial"/>
          <w:sz w:val="14"/>
          <w:szCs w:val="28"/>
        </w:rPr>
        <w:t xml:space="preserve"> </w:t>
      </w:r>
      <w:r w:rsidRPr="00087A72">
        <w:rPr>
          <w:rFonts w:eastAsia="Calibri" w:cs="Arial"/>
          <w:sz w:val="14"/>
          <w:szCs w:val="28"/>
        </w:rPr>
        <w:t>of</w:t>
      </w:r>
      <w:r w:rsidRPr="00087A72">
        <w:rPr>
          <w:rFonts w:cs="Arial"/>
          <w:sz w:val="14"/>
          <w:szCs w:val="28"/>
        </w:rPr>
        <w:t xml:space="preserve"> </w:t>
      </w:r>
      <w:r w:rsidRPr="00087A72">
        <w:rPr>
          <w:rFonts w:eastAsia="Calibri" w:cs="Arial"/>
          <w:sz w:val="14"/>
          <w:szCs w:val="28"/>
        </w:rPr>
        <w:t>the</w:t>
      </w:r>
      <w:r w:rsidRPr="00087A72">
        <w:rPr>
          <w:rFonts w:cs="Arial"/>
          <w:sz w:val="14"/>
          <w:szCs w:val="28"/>
        </w:rPr>
        <w:t xml:space="preserve"> “</w:t>
      </w:r>
      <w:r w:rsidRPr="00087A72">
        <w:rPr>
          <w:rFonts w:eastAsia="Calibri" w:cs="Arial"/>
          <w:sz w:val="14"/>
          <w:szCs w:val="28"/>
        </w:rPr>
        <w:t>infantile</w:t>
      </w:r>
      <w:r w:rsidRPr="00087A72">
        <w:rPr>
          <w:rFonts w:cs="Arial"/>
          <w:sz w:val="14"/>
          <w:szCs w:val="28"/>
        </w:rPr>
        <w:t xml:space="preserve"> </w:t>
      </w:r>
      <w:r w:rsidRPr="00087A72">
        <w:rPr>
          <w:rFonts w:eastAsia="Calibri" w:cs="Arial"/>
          <w:sz w:val="14"/>
          <w:szCs w:val="28"/>
        </w:rPr>
        <w:t>citizen</w:t>
      </w:r>
      <w:r w:rsidRPr="00087A72">
        <w:rPr>
          <w:rFonts w:cs="Arial"/>
          <w:sz w:val="14"/>
          <w:szCs w:val="28"/>
        </w:rPr>
        <w:t>.”</w:t>
      </w:r>
      <w:r w:rsidRPr="00087A72">
        <w:rPr>
          <w:rStyle w:val="s1"/>
          <w:rFonts w:ascii="Georgia" w:hAnsi="Georgia" w:cs="Arial"/>
          <w:sz w:val="14"/>
          <w:szCs w:val="28"/>
        </w:rPr>
        <w:t xml:space="preserve">20 </w:t>
      </w:r>
      <w:r w:rsidRPr="00087A72">
        <w:rPr>
          <w:rFonts w:eastAsia="Calibri" w:cs="Arial"/>
          <w:sz w:val="14"/>
          <w:szCs w:val="28"/>
        </w:rPr>
        <w:t>She</w:t>
      </w:r>
      <w:r w:rsidRPr="00087A72">
        <w:rPr>
          <w:rFonts w:cs="Arial"/>
          <w:sz w:val="14"/>
          <w:szCs w:val="28"/>
        </w:rPr>
        <w:t xml:space="preserve"> </w:t>
      </w:r>
      <w:r w:rsidRPr="00087A72">
        <w:rPr>
          <w:rFonts w:eastAsia="Calibri" w:cs="Arial"/>
          <w:sz w:val="14"/>
          <w:szCs w:val="28"/>
        </w:rPr>
        <w:t>argues</w:t>
      </w:r>
      <w:r w:rsidRPr="00087A72">
        <w:rPr>
          <w:rFonts w:cs="Arial"/>
          <w:sz w:val="14"/>
          <w:szCs w:val="28"/>
        </w:rPr>
        <w:t xml:space="preserve"> </w:t>
      </w:r>
      <w:r w:rsidRPr="00087A72">
        <w:rPr>
          <w:rFonts w:eastAsia="Calibri" w:cs="Arial"/>
          <w:sz w:val="14"/>
          <w:szCs w:val="28"/>
        </w:rPr>
        <w:t>that</w:t>
      </w:r>
      <w:r w:rsidRPr="00087A72">
        <w:rPr>
          <w:rFonts w:cs="Arial"/>
          <w:sz w:val="14"/>
          <w:szCs w:val="28"/>
        </w:rPr>
        <w:t xml:space="preserve"> </w:t>
      </w:r>
      <w:r w:rsidRPr="00087A72">
        <w:rPr>
          <w:rFonts w:eastAsia="Calibri" w:cs="Arial"/>
          <w:b/>
          <w:sz w:val="28"/>
          <w:szCs w:val="28"/>
          <w:u w:val="single"/>
        </w:rPr>
        <w:t>U</w:t>
      </w:r>
      <w:r w:rsidRPr="00087A72">
        <w:rPr>
          <w:rFonts w:cs="Arial"/>
          <w:b/>
          <w:sz w:val="28"/>
          <w:szCs w:val="28"/>
          <w:u w:val="single"/>
        </w:rPr>
        <w:t>.</w:t>
      </w:r>
      <w:r w:rsidRPr="00087A72">
        <w:rPr>
          <w:rFonts w:eastAsia="Calibri" w:cs="Arial"/>
          <w:b/>
          <w:sz w:val="28"/>
          <w:szCs w:val="28"/>
          <w:u w:val="single"/>
        </w:rPr>
        <w:t>S</w:t>
      </w:r>
      <w:r w:rsidRPr="00087A72">
        <w:rPr>
          <w:rFonts w:cs="Arial"/>
          <w:b/>
          <w:sz w:val="28"/>
          <w:szCs w:val="28"/>
          <w:u w:val="single"/>
        </w:rPr>
        <w:t xml:space="preserve">. </w:t>
      </w:r>
      <w:r w:rsidRPr="00087A72">
        <w:rPr>
          <w:rFonts w:eastAsia="Calibri" w:cs="Arial"/>
          <w:b/>
          <w:sz w:val="28"/>
          <w:szCs w:val="28"/>
          <w:u w:val="single"/>
        </w:rPr>
        <w:t>politics</w:t>
      </w:r>
      <w:r w:rsidRPr="00087A72">
        <w:rPr>
          <w:rFonts w:cs="Arial"/>
          <w:b/>
          <w:sz w:val="28"/>
          <w:szCs w:val="28"/>
          <w:u w:val="single"/>
        </w:rPr>
        <w:t xml:space="preserve"> </w:t>
      </w:r>
      <w:r w:rsidRPr="00087A72">
        <w:rPr>
          <w:rFonts w:eastAsia="Calibri" w:cs="Arial"/>
          <w:b/>
          <w:sz w:val="28"/>
          <w:szCs w:val="28"/>
          <w:u w:val="single"/>
        </w:rPr>
        <w:t>is</w:t>
      </w:r>
      <w:r w:rsidRPr="00087A72">
        <w:rPr>
          <w:rFonts w:cs="Arial"/>
          <w:b/>
          <w:sz w:val="28"/>
          <w:szCs w:val="28"/>
          <w:u w:val="single"/>
        </w:rPr>
        <w:t xml:space="preserve"> </w:t>
      </w:r>
      <w:r w:rsidRPr="00087A72">
        <w:rPr>
          <w:rFonts w:eastAsia="Calibri" w:cs="Arial"/>
          <w:b/>
          <w:sz w:val="28"/>
          <w:szCs w:val="28"/>
          <w:u w:val="single"/>
        </w:rPr>
        <w:t>often</w:t>
      </w:r>
      <w:r w:rsidRPr="00087A72">
        <w:rPr>
          <w:rFonts w:cs="Arial"/>
          <w:b/>
          <w:sz w:val="28"/>
          <w:szCs w:val="28"/>
          <w:u w:val="single"/>
        </w:rPr>
        <w:t xml:space="preserve"> </w:t>
      </w:r>
      <w:r w:rsidRPr="00087A72">
        <w:rPr>
          <w:rFonts w:eastAsia="Calibri" w:cs="Arial"/>
          <w:b/>
          <w:sz w:val="28"/>
          <w:szCs w:val="28"/>
          <w:u w:val="single"/>
        </w:rPr>
        <w:t>directed</w:t>
      </w:r>
      <w:r w:rsidRPr="00087A72">
        <w:rPr>
          <w:rFonts w:cs="Arial"/>
          <w:b/>
          <w:sz w:val="28"/>
          <w:szCs w:val="28"/>
          <w:u w:val="single"/>
        </w:rPr>
        <w:t xml:space="preserve"> </w:t>
      </w:r>
      <w:r w:rsidRPr="00087A72">
        <w:rPr>
          <w:rFonts w:eastAsia="Calibri" w:cs="Arial"/>
          <w:b/>
          <w:sz w:val="28"/>
          <w:szCs w:val="28"/>
          <w:u w:val="single"/>
        </w:rPr>
        <w:t>toward</w:t>
      </w:r>
      <w:r w:rsidRPr="00087A72">
        <w:rPr>
          <w:rFonts w:cs="Arial"/>
          <w:b/>
          <w:sz w:val="28"/>
          <w:szCs w:val="28"/>
          <w:u w:val="single"/>
        </w:rPr>
        <w:t xml:space="preserve"> </w:t>
      </w:r>
      <w:r w:rsidRPr="00087A72">
        <w:rPr>
          <w:rFonts w:eastAsia="Calibri" w:cs="Arial"/>
          <w:b/>
          <w:sz w:val="28"/>
          <w:szCs w:val="28"/>
          <w:u w:val="single"/>
        </w:rPr>
        <w:t>protecting</w:t>
      </w:r>
      <w:r w:rsidRPr="00087A72">
        <w:rPr>
          <w:rFonts w:cs="Arial"/>
          <w:b/>
          <w:sz w:val="14"/>
          <w:szCs w:val="28"/>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future</w:t>
      </w:r>
      <w:r w:rsidRPr="00087A72">
        <w:rPr>
          <w:rFonts w:cs="Arial"/>
          <w:b/>
          <w:sz w:val="28"/>
          <w:szCs w:val="28"/>
          <w:u w:val="single"/>
        </w:rPr>
        <w:t xml:space="preserve"> </w:t>
      </w:r>
      <w:r w:rsidRPr="00087A72">
        <w:rPr>
          <w:rFonts w:eastAsia="Calibri" w:cs="Arial"/>
          <w:b/>
          <w:sz w:val="28"/>
          <w:szCs w:val="28"/>
          <w:u w:val="single"/>
        </w:rPr>
        <w:t>incipient</w:t>
      </w:r>
      <w:r w:rsidRPr="00087A72">
        <w:rPr>
          <w:rFonts w:cs="Arial"/>
          <w:b/>
          <w:sz w:val="28"/>
          <w:szCs w:val="28"/>
          <w:u w:val="single"/>
        </w:rPr>
        <w:t xml:space="preserve"> </w:t>
      </w:r>
      <w:r w:rsidRPr="00087A72">
        <w:rPr>
          <w:rFonts w:eastAsia="Calibri" w:cs="Arial"/>
          <w:b/>
          <w:sz w:val="28"/>
          <w:szCs w:val="28"/>
          <w:u w:val="single"/>
        </w:rPr>
        <w:t>citizen</w:t>
      </w:r>
      <w:r w:rsidRPr="00087A72">
        <w:rPr>
          <w:rFonts w:cs="Arial"/>
          <w:b/>
          <w:sz w:val="28"/>
          <w:szCs w:val="28"/>
          <w:u w:val="single"/>
        </w:rPr>
        <w:t xml:space="preserve">, </w:t>
      </w:r>
      <w:r w:rsidRPr="00087A72">
        <w:rPr>
          <w:rFonts w:eastAsia="Calibri" w:cs="Arial"/>
          <w:b/>
          <w:sz w:val="28"/>
          <w:szCs w:val="28"/>
          <w:u w:val="single"/>
        </w:rPr>
        <w:t>such</w:t>
      </w:r>
      <w:r w:rsidRPr="00087A72">
        <w:rPr>
          <w:rFonts w:cs="Arial"/>
          <w:b/>
          <w:sz w:val="28"/>
          <w:szCs w:val="28"/>
          <w:u w:val="single"/>
        </w:rPr>
        <w:t xml:space="preserve"> </w:t>
      </w:r>
      <w:r w:rsidRPr="00087A72">
        <w:rPr>
          <w:rFonts w:eastAsia="Calibri" w:cs="Arial"/>
          <w:b/>
          <w:sz w:val="28"/>
          <w:szCs w:val="28"/>
          <w:u w:val="single"/>
        </w:rPr>
        <w:t>as</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child</w:t>
      </w:r>
      <w:r w:rsidRPr="00087A72">
        <w:rPr>
          <w:rFonts w:cs="Arial"/>
          <w:b/>
          <w:sz w:val="28"/>
          <w:szCs w:val="28"/>
          <w:u w:val="single"/>
        </w:rPr>
        <w:t xml:space="preserve"> </w:t>
      </w:r>
      <w:r w:rsidRPr="00087A72">
        <w:rPr>
          <w:rFonts w:eastAsia="Calibri" w:cs="Arial"/>
          <w:b/>
          <w:sz w:val="28"/>
          <w:szCs w:val="28"/>
          <w:u w:val="single"/>
        </w:rPr>
        <w:t>or</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fetus</w:t>
      </w:r>
      <w:r w:rsidRPr="00087A72">
        <w:rPr>
          <w:rFonts w:cs="Arial"/>
          <w:b/>
          <w:sz w:val="28"/>
          <w:szCs w:val="28"/>
          <w:u w:val="single"/>
        </w:rPr>
        <w:t xml:space="preserve">. </w:t>
      </w:r>
      <w:r w:rsidRPr="00087A72">
        <w:rPr>
          <w:rFonts w:eastAsia="Calibri" w:cs="Arial"/>
          <w:b/>
          <w:sz w:val="28"/>
          <w:szCs w:val="28"/>
          <w:u w:val="single"/>
        </w:rPr>
        <w:t>By</w:t>
      </w:r>
      <w:r w:rsidRPr="00087A72">
        <w:rPr>
          <w:rFonts w:cs="Arial"/>
          <w:b/>
          <w:sz w:val="28"/>
          <w:szCs w:val="28"/>
          <w:u w:val="single"/>
        </w:rPr>
        <w:t xml:space="preserve"> </w:t>
      </w:r>
      <w:r w:rsidRPr="00087A72">
        <w:rPr>
          <w:rFonts w:eastAsia="Calibri" w:cs="Arial"/>
          <w:b/>
          <w:sz w:val="28"/>
          <w:szCs w:val="28"/>
          <w:u w:val="single"/>
        </w:rPr>
        <w:t>directing</w:t>
      </w:r>
      <w:r w:rsidRPr="00087A72">
        <w:rPr>
          <w:rFonts w:cs="Arial"/>
          <w:b/>
          <w:sz w:val="28"/>
          <w:szCs w:val="28"/>
          <w:u w:val="single"/>
        </w:rPr>
        <w:t xml:space="preserve"> </w:t>
      </w:r>
      <w:r w:rsidRPr="00087A72">
        <w:rPr>
          <w:rFonts w:eastAsia="Calibri" w:cs="Arial"/>
          <w:b/>
          <w:sz w:val="28"/>
          <w:szCs w:val="28"/>
          <w:u w:val="single"/>
        </w:rPr>
        <w:t>our</w:t>
      </w:r>
      <w:r w:rsidRPr="00087A72">
        <w:rPr>
          <w:rFonts w:cs="Arial"/>
          <w:b/>
          <w:sz w:val="14"/>
          <w:szCs w:val="28"/>
        </w:rPr>
        <w:t xml:space="preserve"> </w:t>
      </w:r>
      <w:r w:rsidRPr="00087A72">
        <w:rPr>
          <w:rFonts w:eastAsia="Calibri" w:cs="Arial"/>
          <w:b/>
          <w:sz w:val="28"/>
          <w:szCs w:val="28"/>
          <w:u w:val="single"/>
        </w:rPr>
        <w:t>energies</w:t>
      </w:r>
      <w:r w:rsidRPr="00087A72">
        <w:rPr>
          <w:rFonts w:cs="Arial"/>
          <w:b/>
          <w:sz w:val="28"/>
          <w:szCs w:val="28"/>
          <w:u w:val="single"/>
        </w:rPr>
        <w:t xml:space="preserve"> </w:t>
      </w:r>
      <w:r w:rsidRPr="00087A72">
        <w:rPr>
          <w:rFonts w:eastAsia="Calibri" w:cs="Arial"/>
          <w:b/>
          <w:sz w:val="28"/>
          <w:szCs w:val="28"/>
          <w:u w:val="single"/>
        </w:rPr>
        <w:t>toward</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future</w:t>
      </w:r>
      <w:r w:rsidRPr="00087A72">
        <w:rPr>
          <w:rFonts w:cs="Arial"/>
          <w:b/>
          <w:sz w:val="28"/>
          <w:szCs w:val="28"/>
          <w:u w:val="single"/>
        </w:rPr>
        <w:t xml:space="preserve"> </w:t>
      </w:r>
      <w:r w:rsidRPr="00087A72">
        <w:rPr>
          <w:rFonts w:eastAsia="Calibri" w:cs="Arial"/>
          <w:b/>
          <w:sz w:val="28"/>
          <w:szCs w:val="28"/>
          <w:u w:val="single"/>
        </w:rPr>
        <w:t>citizen</w:t>
      </w:r>
      <w:r w:rsidRPr="00087A72">
        <w:rPr>
          <w:rFonts w:cs="Arial"/>
          <w:b/>
          <w:sz w:val="28"/>
          <w:szCs w:val="28"/>
          <w:u w:val="single"/>
        </w:rPr>
        <w:t xml:space="preserve">, </w:t>
      </w:r>
      <w:r w:rsidRPr="00087A72">
        <w:rPr>
          <w:rFonts w:eastAsia="Calibri" w:cs="Arial"/>
          <w:b/>
          <w:sz w:val="28"/>
          <w:szCs w:val="28"/>
          <w:u w:val="single"/>
        </w:rPr>
        <w:t>we</w:t>
      </w:r>
      <w:r w:rsidRPr="00087A72">
        <w:rPr>
          <w:rFonts w:cs="Arial"/>
          <w:b/>
          <w:sz w:val="28"/>
          <w:szCs w:val="28"/>
          <w:u w:val="single"/>
        </w:rPr>
        <w:t xml:space="preserve"> </w:t>
      </w:r>
      <w:r w:rsidRPr="00087A72">
        <w:rPr>
          <w:rFonts w:eastAsia="Calibri" w:cs="Arial"/>
          <w:b/>
          <w:sz w:val="28"/>
          <w:szCs w:val="28"/>
          <w:u w:val="single"/>
        </w:rPr>
        <w:t>then</w:t>
      </w:r>
      <w:r w:rsidRPr="00087A72">
        <w:rPr>
          <w:rFonts w:cs="Arial"/>
          <w:b/>
          <w:sz w:val="28"/>
          <w:szCs w:val="28"/>
          <w:u w:val="single"/>
        </w:rPr>
        <w:t xml:space="preserve"> </w:t>
      </w:r>
      <w:r w:rsidRPr="00087A72">
        <w:rPr>
          <w:rFonts w:eastAsia="Calibri" w:cs="Arial"/>
          <w:b/>
          <w:sz w:val="28"/>
          <w:szCs w:val="28"/>
          <w:u w:val="single"/>
        </w:rPr>
        <w:t>feel</w:t>
      </w:r>
      <w:r w:rsidRPr="00087A72">
        <w:rPr>
          <w:rFonts w:cs="Arial"/>
          <w:b/>
          <w:sz w:val="28"/>
          <w:szCs w:val="28"/>
          <w:u w:val="single"/>
        </w:rPr>
        <w:t xml:space="preserve"> </w:t>
      </w:r>
      <w:r w:rsidRPr="00087A72">
        <w:rPr>
          <w:rFonts w:eastAsia="Calibri" w:cs="Arial"/>
          <w:b/>
          <w:sz w:val="28"/>
          <w:szCs w:val="28"/>
          <w:u w:val="single"/>
        </w:rPr>
        <w:t>justified</w:t>
      </w:r>
      <w:r w:rsidRPr="00087A72">
        <w:rPr>
          <w:rFonts w:cs="Arial"/>
          <w:b/>
          <w:sz w:val="28"/>
          <w:szCs w:val="28"/>
          <w:u w:val="single"/>
        </w:rPr>
        <w:t xml:space="preserve"> </w:t>
      </w:r>
      <w:r w:rsidRPr="00087A72">
        <w:rPr>
          <w:rFonts w:eastAsia="Calibri" w:cs="Arial"/>
          <w:b/>
          <w:sz w:val="28"/>
          <w:szCs w:val="28"/>
          <w:u w:val="single"/>
        </w:rPr>
        <w:t>in</w:t>
      </w:r>
      <w:r w:rsidRPr="00087A72">
        <w:rPr>
          <w:rFonts w:cs="Arial"/>
          <w:b/>
          <w:sz w:val="28"/>
          <w:szCs w:val="28"/>
          <w:u w:val="single"/>
        </w:rPr>
        <w:t xml:space="preserve"> </w:t>
      </w:r>
      <w:r w:rsidRPr="00087A72">
        <w:rPr>
          <w:rFonts w:eastAsia="Calibri" w:cs="Arial"/>
          <w:b/>
          <w:sz w:val="28"/>
          <w:szCs w:val="28"/>
          <w:u w:val="single"/>
        </w:rPr>
        <w:t>instituting</w:t>
      </w:r>
      <w:r w:rsidRPr="00087A72">
        <w:rPr>
          <w:rFonts w:cs="Arial"/>
          <w:b/>
          <w:sz w:val="28"/>
          <w:szCs w:val="28"/>
          <w:u w:val="single"/>
        </w:rPr>
        <w:t xml:space="preserve"> </w:t>
      </w:r>
      <w:r w:rsidRPr="00087A72">
        <w:rPr>
          <w:rFonts w:eastAsia="Calibri" w:cs="Arial"/>
          <w:b/>
          <w:sz w:val="28"/>
          <w:szCs w:val="28"/>
          <w:u w:val="single"/>
        </w:rPr>
        <w:t>repressive</w:t>
      </w:r>
      <w:r w:rsidRPr="00087A72">
        <w:rPr>
          <w:rFonts w:cs="Arial"/>
          <w:b/>
          <w:sz w:val="14"/>
          <w:szCs w:val="28"/>
        </w:rPr>
        <w:t xml:space="preserve"> </w:t>
      </w:r>
      <w:r w:rsidRPr="00087A72">
        <w:rPr>
          <w:rFonts w:eastAsia="Calibri" w:cs="Arial"/>
          <w:b/>
          <w:sz w:val="28"/>
          <w:szCs w:val="28"/>
          <w:u w:val="single"/>
        </w:rPr>
        <w:t>policies</w:t>
      </w:r>
      <w:r w:rsidRPr="00087A72">
        <w:rPr>
          <w:rFonts w:cs="Arial"/>
          <w:b/>
          <w:sz w:val="28"/>
          <w:szCs w:val="28"/>
          <w:u w:val="single"/>
        </w:rPr>
        <w:t xml:space="preserve"> </w:t>
      </w:r>
      <w:r w:rsidRPr="00087A72">
        <w:rPr>
          <w:rFonts w:eastAsia="Calibri" w:cs="Arial"/>
          <w:b/>
          <w:sz w:val="28"/>
          <w:szCs w:val="28"/>
          <w:u w:val="single"/>
        </w:rPr>
        <w:t>that</w:t>
      </w:r>
      <w:r w:rsidRPr="00087A72">
        <w:rPr>
          <w:rFonts w:cs="Arial"/>
          <w:b/>
          <w:sz w:val="28"/>
          <w:szCs w:val="28"/>
          <w:u w:val="single"/>
        </w:rPr>
        <w:t xml:space="preserve"> </w:t>
      </w:r>
      <w:r w:rsidRPr="00087A72">
        <w:rPr>
          <w:rFonts w:eastAsia="Calibri" w:cs="Arial"/>
          <w:b/>
          <w:sz w:val="28"/>
          <w:szCs w:val="28"/>
          <w:u w:val="single"/>
        </w:rPr>
        <w:t>oppress</w:t>
      </w:r>
      <w:r w:rsidRPr="00087A72">
        <w:rPr>
          <w:rFonts w:cs="Arial"/>
          <w:b/>
          <w:sz w:val="28"/>
          <w:szCs w:val="28"/>
          <w:u w:val="single"/>
        </w:rPr>
        <w:t xml:space="preserve"> </w:t>
      </w:r>
      <w:r w:rsidRPr="00087A72">
        <w:rPr>
          <w:rFonts w:eastAsia="Calibri" w:cs="Arial"/>
          <w:b/>
          <w:sz w:val="28"/>
          <w:szCs w:val="28"/>
          <w:u w:val="single"/>
        </w:rPr>
        <w:t>today</w:t>
      </w:r>
      <w:r w:rsidRPr="00087A72">
        <w:rPr>
          <w:rFonts w:cs="Arial"/>
          <w:b/>
          <w:sz w:val="28"/>
          <w:szCs w:val="28"/>
          <w:u w:val="single"/>
        </w:rPr>
        <w:t>’</w:t>
      </w:r>
      <w:r w:rsidRPr="00087A72">
        <w:rPr>
          <w:rFonts w:eastAsia="Calibri" w:cs="Arial"/>
          <w:b/>
          <w:sz w:val="28"/>
          <w:szCs w:val="28"/>
          <w:u w:val="single"/>
        </w:rPr>
        <w:t>s</w:t>
      </w:r>
      <w:r w:rsidRPr="00087A72">
        <w:rPr>
          <w:rFonts w:cs="Arial"/>
          <w:b/>
          <w:sz w:val="28"/>
          <w:szCs w:val="28"/>
          <w:u w:val="single"/>
        </w:rPr>
        <w:t xml:space="preserve"> </w:t>
      </w:r>
      <w:r w:rsidRPr="00087A72">
        <w:rPr>
          <w:rFonts w:eastAsia="Calibri" w:cs="Arial"/>
          <w:b/>
          <w:sz w:val="28"/>
          <w:szCs w:val="28"/>
          <w:u w:val="single"/>
        </w:rPr>
        <w:t>citizens</w:t>
      </w:r>
      <w:r w:rsidRPr="00087A72">
        <w:rPr>
          <w:rFonts w:cs="Arial"/>
          <w:b/>
          <w:sz w:val="28"/>
          <w:szCs w:val="28"/>
          <w:u w:val="single"/>
        </w:rPr>
        <w:t xml:space="preserve"> </w:t>
      </w:r>
      <w:r w:rsidRPr="00087A72">
        <w:rPr>
          <w:rFonts w:eastAsia="Calibri" w:cs="Arial"/>
          <w:b/>
          <w:sz w:val="28"/>
          <w:szCs w:val="28"/>
          <w:u w:val="single"/>
        </w:rPr>
        <w:t>because</w:t>
      </w:r>
      <w:r w:rsidRPr="00087A72">
        <w:rPr>
          <w:rFonts w:cs="Arial"/>
          <w:b/>
          <w:sz w:val="28"/>
          <w:szCs w:val="28"/>
          <w:u w:val="single"/>
        </w:rPr>
        <w:t xml:space="preserve"> </w:t>
      </w:r>
      <w:r w:rsidRPr="00087A72">
        <w:rPr>
          <w:rFonts w:eastAsia="Calibri" w:cs="Arial"/>
          <w:b/>
          <w:sz w:val="28"/>
          <w:szCs w:val="28"/>
          <w:u w:val="single"/>
        </w:rPr>
        <w:t>these</w:t>
      </w:r>
      <w:r w:rsidRPr="00087A72">
        <w:rPr>
          <w:rFonts w:cs="Arial"/>
          <w:b/>
          <w:sz w:val="28"/>
          <w:szCs w:val="28"/>
          <w:u w:val="single"/>
        </w:rPr>
        <w:t xml:space="preserve"> </w:t>
      </w:r>
      <w:r w:rsidRPr="00087A72">
        <w:rPr>
          <w:rFonts w:eastAsia="Calibri" w:cs="Arial"/>
          <w:b/>
          <w:sz w:val="28"/>
          <w:szCs w:val="28"/>
          <w:u w:val="single"/>
        </w:rPr>
        <w:t>policies</w:t>
      </w:r>
      <w:r w:rsidRPr="00087A72">
        <w:rPr>
          <w:rFonts w:cs="Arial"/>
          <w:b/>
          <w:sz w:val="28"/>
          <w:szCs w:val="28"/>
          <w:u w:val="single"/>
        </w:rPr>
        <w:t xml:space="preserve"> </w:t>
      </w:r>
      <w:r w:rsidRPr="00087A72">
        <w:rPr>
          <w:rFonts w:eastAsia="Calibri" w:cs="Arial"/>
          <w:b/>
          <w:sz w:val="28"/>
          <w:szCs w:val="28"/>
          <w:u w:val="single"/>
        </w:rPr>
        <w:t>will</w:t>
      </w:r>
      <w:r w:rsidRPr="00087A72">
        <w:rPr>
          <w:rFonts w:cs="Arial"/>
          <w:b/>
          <w:sz w:val="28"/>
          <w:szCs w:val="28"/>
          <w:u w:val="single"/>
        </w:rPr>
        <w:t xml:space="preserve"> </w:t>
      </w:r>
      <w:r w:rsidRPr="00087A72">
        <w:rPr>
          <w:rFonts w:eastAsia="Calibri" w:cs="Arial"/>
          <w:b/>
          <w:sz w:val="28"/>
          <w:szCs w:val="28"/>
          <w:u w:val="single"/>
        </w:rPr>
        <w:t>supposedly</w:t>
      </w:r>
      <w:r w:rsidRPr="00087A72">
        <w:rPr>
          <w:rFonts w:cs="Arial"/>
          <w:b/>
          <w:sz w:val="28"/>
          <w:szCs w:val="28"/>
          <w:u w:val="single"/>
        </w:rPr>
        <w:t xml:space="preserve"> </w:t>
      </w:r>
      <w:r w:rsidRPr="00087A72">
        <w:rPr>
          <w:rFonts w:eastAsia="Calibri" w:cs="Arial"/>
          <w:b/>
          <w:sz w:val="28"/>
          <w:szCs w:val="28"/>
          <w:u w:val="single"/>
        </w:rPr>
        <w:t>protect</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innocent</w:t>
      </w:r>
      <w:r w:rsidRPr="00087A72">
        <w:rPr>
          <w:rFonts w:cs="Arial"/>
          <w:b/>
          <w:sz w:val="28"/>
          <w:szCs w:val="28"/>
          <w:u w:val="single"/>
        </w:rPr>
        <w:t xml:space="preserve"> </w:t>
      </w:r>
      <w:r w:rsidRPr="00087A72">
        <w:rPr>
          <w:rFonts w:eastAsia="Calibri" w:cs="Arial"/>
          <w:b/>
          <w:sz w:val="28"/>
          <w:szCs w:val="28"/>
          <w:u w:val="single"/>
        </w:rPr>
        <w:t>citizens</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future</w:t>
      </w:r>
      <w:r w:rsidRPr="00087A72">
        <w:rPr>
          <w:rFonts w:cs="Arial"/>
          <w:sz w:val="28"/>
          <w:szCs w:val="28"/>
          <w:u w:val="single"/>
        </w:rPr>
        <w:t>.</w:t>
      </w:r>
      <w:r w:rsidRPr="00087A72">
        <w:rPr>
          <w:rFonts w:cs="Arial"/>
          <w:b/>
          <w:sz w:val="28"/>
          <w:szCs w:val="28"/>
          <w:u w:val="single"/>
        </w:rPr>
        <w:t xml:space="preserve"> </w:t>
      </w:r>
      <w:r w:rsidRPr="00087A72">
        <w:rPr>
          <w:rFonts w:eastAsia="Calibri" w:cs="Arial"/>
          <w:b/>
          <w:sz w:val="28"/>
          <w:szCs w:val="28"/>
          <w:u w:val="single"/>
        </w:rPr>
        <w:t>An</w:t>
      </w:r>
      <w:r w:rsidRPr="00087A72">
        <w:rPr>
          <w:rFonts w:cs="Arial"/>
          <w:b/>
          <w:sz w:val="28"/>
          <w:szCs w:val="28"/>
          <w:u w:val="single"/>
        </w:rPr>
        <w:t xml:space="preserve"> </w:t>
      </w:r>
      <w:r w:rsidRPr="00087A72">
        <w:rPr>
          <w:rFonts w:eastAsia="Calibri" w:cs="Arial"/>
          <w:b/>
          <w:sz w:val="28"/>
          <w:szCs w:val="28"/>
          <w:u w:val="single"/>
        </w:rPr>
        <w:t>example</w:t>
      </w:r>
      <w:r w:rsidRPr="00087A72">
        <w:rPr>
          <w:rFonts w:cs="Arial"/>
          <w:b/>
          <w:sz w:val="28"/>
          <w:szCs w:val="28"/>
          <w:u w:val="single"/>
        </w:rPr>
        <w:t xml:space="preserve"> </w:t>
      </w:r>
      <w:r w:rsidRPr="00087A72">
        <w:rPr>
          <w:rFonts w:eastAsia="Calibri" w:cs="Arial"/>
          <w:b/>
          <w:sz w:val="28"/>
          <w:szCs w:val="28"/>
          <w:u w:val="single"/>
        </w:rPr>
        <w:t>Berlant</w:t>
      </w:r>
      <w:r w:rsidRPr="00087A72">
        <w:rPr>
          <w:rFonts w:cs="Arial"/>
          <w:b/>
          <w:sz w:val="28"/>
          <w:szCs w:val="28"/>
          <w:u w:val="single"/>
        </w:rPr>
        <w:t xml:space="preserve"> </w:t>
      </w:r>
      <w:r w:rsidRPr="00087A72">
        <w:rPr>
          <w:rFonts w:eastAsia="Calibri" w:cs="Arial"/>
          <w:b/>
          <w:sz w:val="28"/>
          <w:szCs w:val="28"/>
          <w:u w:val="single"/>
        </w:rPr>
        <w:t>points</w:t>
      </w:r>
      <w:r w:rsidRPr="00087A72">
        <w:rPr>
          <w:rFonts w:cs="Arial"/>
          <w:b/>
          <w:sz w:val="28"/>
          <w:szCs w:val="28"/>
          <w:u w:val="single"/>
        </w:rPr>
        <w:t xml:space="preserve"> </w:t>
      </w:r>
      <w:r w:rsidRPr="00087A72">
        <w:rPr>
          <w:rFonts w:eastAsia="Calibri" w:cs="Arial"/>
          <w:b/>
          <w:sz w:val="28"/>
          <w:szCs w:val="28"/>
          <w:u w:val="single"/>
        </w:rPr>
        <w:t>to</w:t>
      </w:r>
      <w:r w:rsidRPr="00087A72">
        <w:rPr>
          <w:rFonts w:cs="Arial"/>
          <w:b/>
          <w:sz w:val="28"/>
          <w:szCs w:val="28"/>
          <w:u w:val="single"/>
        </w:rPr>
        <w:t xml:space="preserve"> </w:t>
      </w:r>
      <w:r w:rsidRPr="00087A72">
        <w:rPr>
          <w:rFonts w:eastAsia="Calibri" w:cs="Arial"/>
          <w:b/>
          <w:sz w:val="28"/>
          <w:szCs w:val="28"/>
          <w:u w:val="single"/>
        </w:rPr>
        <w:t>is</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criminalization</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abortion</w:t>
      </w:r>
      <w:r w:rsidRPr="00087A72">
        <w:rPr>
          <w:rFonts w:cs="Arial"/>
          <w:b/>
          <w:sz w:val="28"/>
          <w:szCs w:val="28"/>
          <w:u w:val="single"/>
        </w:rPr>
        <w:t xml:space="preserve"> </w:t>
      </w:r>
      <w:r w:rsidRPr="00087A72">
        <w:rPr>
          <w:rFonts w:eastAsia="Calibri" w:cs="Arial"/>
          <w:b/>
          <w:sz w:val="28"/>
          <w:szCs w:val="28"/>
          <w:u w:val="single"/>
        </w:rPr>
        <w:t>that</w:t>
      </w:r>
      <w:r w:rsidRPr="00087A72">
        <w:rPr>
          <w:rFonts w:cs="Arial"/>
          <w:b/>
          <w:sz w:val="28"/>
          <w:szCs w:val="28"/>
          <w:u w:val="single"/>
        </w:rPr>
        <w:t xml:space="preserve"> </w:t>
      </w:r>
      <w:r w:rsidRPr="00087A72">
        <w:rPr>
          <w:rFonts w:eastAsia="Calibri" w:cs="Arial"/>
          <w:b/>
          <w:sz w:val="28"/>
          <w:szCs w:val="28"/>
          <w:u w:val="single"/>
        </w:rPr>
        <w:t>oppresses</w:t>
      </w:r>
      <w:r w:rsidRPr="00087A72">
        <w:rPr>
          <w:rFonts w:cs="Arial"/>
          <w:b/>
          <w:sz w:val="28"/>
          <w:szCs w:val="28"/>
          <w:u w:val="single"/>
        </w:rPr>
        <w:t xml:space="preserve"> </w:t>
      </w:r>
      <w:r w:rsidRPr="00087A72">
        <w:rPr>
          <w:rFonts w:eastAsia="Calibri" w:cs="Arial"/>
          <w:b/>
          <w:sz w:val="28"/>
          <w:szCs w:val="28"/>
          <w:u w:val="single"/>
        </w:rPr>
        <w:t>women</w:t>
      </w:r>
      <w:r w:rsidRPr="00087A72">
        <w:rPr>
          <w:rFonts w:cs="Arial"/>
          <w:b/>
          <w:sz w:val="28"/>
          <w:szCs w:val="28"/>
          <w:u w:val="single"/>
        </w:rPr>
        <w:t xml:space="preserve"> </w:t>
      </w:r>
      <w:r w:rsidRPr="00087A72">
        <w:rPr>
          <w:rFonts w:eastAsia="Calibri" w:cs="Arial"/>
          <w:b/>
          <w:sz w:val="28"/>
          <w:szCs w:val="28"/>
          <w:u w:val="single"/>
        </w:rPr>
        <w:t>today</w:t>
      </w:r>
      <w:r w:rsidRPr="00087A72">
        <w:rPr>
          <w:rFonts w:cs="Arial"/>
          <w:b/>
          <w:sz w:val="28"/>
          <w:szCs w:val="28"/>
          <w:u w:val="single"/>
        </w:rPr>
        <w:t xml:space="preserve"> </w:t>
      </w:r>
      <w:r w:rsidRPr="00087A72">
        <w:rPr>
          <w:rFonts w:eastAsia="Calibri" w:cs="Arial"/>
          <w:b/>
          <w:sz w:val="28"/>
          <w:szCs w:val="28"/>
          <w:u w:val="single"/>
        </w:rPr>
        <w:t>in</w:t>
      </w:r>
      <w:r w:rsidRPr="00087A72">
        <w:rPr>
          <w:rFonts w:cs="Arial"/>
          <w:b/>
          <w:sz w:val="28"/>
          <w:szCs w:val="28"/>
          <w:u w:val="single"/>
        </w:rPr>
        <w:t xml:space="preserve"> </w:t>
      </w:r>
      <w:r w:rsidRPr="00087A72">
        <w:rPr>
          <w:rFonts w:eastAsia="Calibri" w:cs="Arial"/>
          <w:b/>
          <w:sz w:val="28"/>
          <w:szCs w:val="28"/>
          <w:u w:val="single"/>
        </w:rPr>
        <w:t>order</w:t>
      </w:r>
      <w:r w:rsidRPr="00087A72">
        <w:rPr>
          <w:rFonts w:cs="Arial"/>
          <w:b/>
          <w:sz w:val="28"/>
          <w:szCs w:val="28"/>
          <w:u w:val="single"/>
        </w:rPr>
        <w:t xml:space="preserve"> </w:t>
      </w:r>
      <w:r w:rsidRPr="00087A72">
        <w:rPr>
          <w:rFonts w:eastAsia="Calibri" w:cs="Arial"/>
          <w:b/>
          <w:sz w:val="28"/>
          <w:szCs w:val="28"/>
          <w:u w:val="single"/>
        </w:rPr>
        <w:t>to</w:t>
      </w:r>
      <w:r w:rsidRPr="00087A72">
        <w:rPr>
          <w:rFonts w:cs="Arial"/>
          <w:b/>
          <w:sz w:val="28"/>
          <w:szCs w:val="28"/>
          <w:u w:val="single"/>
        </w:rPr>
        <w:t xml:space="preserve"> </w:t>
      </w:r>
      <w:r w:rsidRPr="00087A72">
        <w:rPr>
          <w:rFonts w:eastAsia="Calibri" w:cs="Arial"/>
          <w:b/>
          <w:sz w:val="28"/>
          <w:szCs w:val="28"/>
          <w:u w:val="single"/>
        </w:rPr>
        <w:t>protect</w:t>
      </w:r>
      <w:r w:rsidRPr="00087A72">
        <w:rPr>
          <w:rFonts w:cs="Arial"/>
          <w:b/>
          <w:sz w:val="28"/>
          <w:szCs w:val="28"/>
          <w:u w:val="single"/>
        </w:rPr>
        <w:t xml:space="preserve"> </w:t>
      </w:r>
      <w:r w:rsidRPr="00087A72">
        <w:rPr>
          <w:rFonts w:eastAsia="Calibri" w:cs="Arial"/>
          <w:b/>
          <w:sz w:val="28"/>
          <w:szCs w:val="28"/>
          <w:u w:val="single"/>
        </w:rPr>
        <w:t>tomorrow</w:t>
      </w:r>
      <w:r w:rsidRPr="00087A72">
        <w:rPr>
          <w:rFonts w:cs="Arial"/>
          <w:b/>
          <w:sz w:val="28"/>
          <w:szCs w:val="28"/>
          <w:u w:val="single"/>
        </w:rPr>
        <w:t>’</w:t>
      </w:r>
      <w:r w:rsidRPr="00087A72">
        <w:rPr>
          <w:rFonts w:eastAsia="Calibri" w:cs="Arial"/>
          <w:b/>
          <w:sz w:val="28"/>
          <w:szCs w:val="28"/>
          <w:u w:val="single"/>
        </w:rPr>
        <w:t>s</w:t>
      </w:r>
      <w:r w:rsidRPr="00087A72">
        <w:rPr>
          <w:rFonts w:cs="Arial"/>
          <w:b/>
          <w:sz w:val="14"/>
          <w:szCs w:val="28"/>
        </w:rPr>
        <w:t xml:space="preserve"> </w:t>
      </w:r>
      <w:r w:rsidRPr="00087A72">
        <w:rPr>
          <w:rFonts w:eastAsia="Calibri" w:cs="Arial"/>
          <w:b/>
          <w:sz w:val="28"/>
          <w:szCs w:val="28"/>
          <w:u w:val="single"/>
        </w:rPr>
        <w:t>children</w:t>
      </w:r>
      <w:r w:rsidRPr="00087A72">
        <w:rPr>
          <w:rFonts w:cs="Arial"/>
          <w:b/>
          <w:sz w:val="28"/>
          <w:szCs w:val="28"/>
          <w:u w:val="single"/>
        </w:rPr>
        <w:t>.</w:t>
      </w:r>
      <w:r w:rsidRPr="00087A72">
        <w:rPr>
          <w:rFonts w:cs="Arial"/>
          <w:b/>
          <w:sz w:val="14"/>
          <w:szCs w:val="28"/>
        </w:rPr>
        <w:t xml:space="preserve"> </w:t>
      </w:r>
      <w:r w:rsidRPr="00087A72">
        <w:rPr>
          <w:rFonts w:eastAsia="Calibri" w:cs="Arial"/>
          <w:sz w:val="14"/>
          <w:szCs w:val="28"/>
        </w:rPr>
        <w:t>This</w:t>
      </w:r>
      <w:r w:rsidRPr="00087A72">
        <w:rPr>
          <w:rFonts w:cs="Arial"/>
          <w:sz w:val="14"/>
          <w:szCs w:val="28"/>
        </w:rPr>
        <w:t xml:space="preserve"> </w:t>
      </w:r>
      <w:r w:rsidRPr="00087A72">
        <w:rPr>
          <w:rFonts w:eastAsia="Calibri" w:cs="Arial"/>
          <w:sz w:val="14"/>
          <w:szCs w:val="28"/>
        </w:rPr>
        <w:t>idea</w:t>
      </w:r>
      <w:r w:rsidRPr="00087A72">
        <w:rPr>
          <w:rFonts w:cs="Arial"/>
          <w:sz w:val="14"/>
          <w:szCs w:val="28"/>
        </w:rPr>
        <w:t xml:space="preserve"> </w:t>
      </w:r>
      <w:r w:rsidRPr="00087A72">
        <w:rPr>
          <w:rFonts w:eastAsia="Calibri" w:cs="Arial"/>
          <w:sz w:val="14"/>
          <w:szCs w:val="28"/>
        </w:rPr>
        <w:t>of</w:t>
      </w:r>
      <w:r w:rsidRPr="00087A72">
        <w:rPr>
          <w:rFonts w:cs="Arial"/>
          <w:sz w:val="14"/>
          <w:szCs w:val="28"/>
        </w:rPr>
        <w:t xml:space="preserve"> </w:t>
      </w:r>
      <w:r w:rsidRPr="00087A72">
        <w:rPr>
          <w:rFonts w:eastAsia="Calibri" w:cs="Arial"/>
          <w:sz w:val="14"/>
          <w:szCs w:val="28"/>
        </w:rPr>
        <w:t>reproductive</w:t>
      </w:r>
      <w:r w:rsidRPr="00087A72">
        <w:rPr>
          <w:rFonts w:cs="Arial"/>
          <w:sz w:val="14"/>
          <w:szCs w:val="28"/>
        </w:rPr>
        <w:t xml:space="preserve"> </w:t>
      </w:r>
      <w:r w:rsidRPr="00087A72">
        <w:rPr>
          <w:rFonts w:eastAsia="Calibri" w:cs="Arial"/>
          <w:sz w:val="14"/>
          <w:szCs w:val="28"/>
        </w:rPr>
        <w:t>continuity</w:t>
      </w:r>
      <w:r w:rsidRPr="00087A72">
        <w:rPr>
          <w:rFonts w:cs="Arial"/>
          <w:sz w:val="14"/>
          <w:szCs w:val="28"/>
        </w:rPr>
        <w:t xml:space="preserve"> </w:t>
      </w:r>
      <w:r w:rsidRPr="00087A72">
        <w:rPr>
          <w:rFonts w:eastAsia="Calibri" w:cs="Arial"/>
          <w:sz w:val="14"/>
          <w:szCs w:val="28"/>
        </w:rPr>
        <w:t>as</w:t>
      </w:r>
      <w:r w:rsidRPr="00087A72">
        <w:rPr>
          <w:rFonts w:cs="Arial"/>
          <w:sz w:val="14"/>
          <w:szCs w:val="28"/>
        </w:rPr>
        <w:t xml:space="preserve"> </w:t>
      </w:r>
      <w:r w:rsidRPr="00087A72">
        <w:rPr>
          <w:rFonts w:eastAsia="Calibri" w:cs="Arial"/>
          <w:sz w:val="14"/>
          <w:szCs w:val="28"/>
        </w:rPr>
        <w:t>homophobia</w:t>
      </w:r>
      <w:r w:rsidRPr="00087A72">
        <w:rPr>
          <w:rFonts w:cs="Arial"/>
          <w:sz w:val="14"/>
          <w:szCs w:val="28"/>
        </w:rPr>
        <w:t xml:space="preserve"> </w:t>
      </w:r>
      <w:r w:rsidRPr="00087A72">
        <w:rPr>
          <w:rFonts w:eastAsia="Calibri" w:cs="Arial"/>
          <w:sz w:val="14"/>
          <w:szCs w:val="28"/>
        </w:rPr>
        <w:t>is</w:t>
      </w:r>
      <w:r w:rsidRPr="00087A72">
        <w:rPr>
          <w:rFonts w:cs="Arial"/>
          <w:sz w:val="14"/>
          <w:szCs w:val="28"/>
        </w:rPr>
        <w:t xml:space="preserve"> </w:t>
      </w:r>
      <w:r w:rsidRPr="00087A72">
        <w:rPr>
          <w:rFonts w:eastAsia="Calibri" w:cs="Arial"/>
          <w:sz w:val="14"/>
          <w:szCs w:val="28"/>
        </w:rPr>
        <w:t>further</w:t>
      </w:r>
      <w:r w:rsidRPr="00087A72">
        <w:rPr>
          <w:rFonts w:cs="Arial"/>
          <w:sz w:val="14"/>
          <w:szCs w:val="28"/>
        </w:rPr>
        <w:t xml:space="preserve"> </w:t>
      </w:r>
      <w:r w:rsidRPr="00087A72">
        <w:rPr>
          <w:rFonts w:eastAsia="Calibri" w:cs="Arial"/>
          <w:sz w:val="14"/>
          <w:szCs w:val="28"/>
        </w:rPr>
        <w:t>taken</w:t>
      </w:r>
      <w:r w:rsidRPr="00087A72">
        <w:rPr>
          <w:rFonts w:cs="Arial"/>
          <w:sz w:val="14"/>
          <w:szCs w:val="28"/>
        </w:rPr>
        <w:t xml:space="preserve"> </w:t>
      </w:r>
      <w:r w:rsidRPr="00087A72">
        <w:rPr>
          <w:rFonts w:eastAsia="Calibri" w:cs="Arial"/>
          <w:sz w:val="14"/>
          <w:szCs w:val="28"/>
        </w:rPr>
        <w:t>up</w:t>
      </w:r>
      <w:r w:rsidRPr="00087A72">
        <w:rPr>
          <w:rFonts w:cs="Arial"/>
          <w:sz w:val="14"/>
          <w:szCs w:val="28"/>
        </w:rPr>
        <w:t xml:space="preserve"> </w:t>
      </w:r>
      <w:r w:rsidRPr="00087A72">
        <w:rPr>
          <w:rFonts w:eastAsia="Calibri" w:cs="Arial"/>
          <w:sz w:val="14"/>
          <w:szCs w:val="28"/>
        </w:rPr>
        <w:t>by</w:t>
      </w:r>
      <w:r w:rsidRPr="00087A72">
        <w:rPr>
          <w:rFonts w:cs="Arial"/>
          <w:sz w:val="14"/>
          <w:szCs w:val="28"/>
        </w:rPr>
        <w:t xml:space="preserve"> </w:t>
      </w:r>
      <w:r w:rsidRPr="00087A72">
        <w:rPr>
          <w:rFonts w:eastAsia="Calibri" w:cs="Arial"/>
          <w:sz w:val="14"/>
          <w:szCs w:val="28"/>
        </w:rPr>
        <w:t>Lee</w:t>
      </w:r>
      <w:r w:rsidRPr="00087A72">
        <w:rPr>
          <w:rFonts w:cs="Arial"/>
          <w:sz w:val="14"/>
          <w:szCs w:val="28"/>
        </w:rPr>
        <w:t xml:space="preserve"> </w:t>
      </w:r>
      <w:r w:rsidRPr="00087A72">
        <w:rPr>
          <w:rFonts w:eastAsia="Calibri" w:cs="Arial"/>
          <w:sz w:val="14"/>
          <w:szCs w:val="28"/>
        </w:rPr>
        <w:t>Edelman</w:t>
      </w:r>
      <w:r w:rsidRPr="00087A72">
        <w:rPr>
          <w:rFonts w:cs="Arial"/>
          <w:sz w:val="14"/>
          <w:szCs w:val="28"/>
        </w:rPr>
        <w:t xml:space="preserve">, </w:t>
      </w:r>
      <w:r w:rsidRPr="00087A72">
        <w:rPr>
          <w:rFonts w:eastAsia="Calibri" w:cs="Arial"/>
          <w:sz w:val="14"/>
          <w:szCs w:val="28"/>
        </w:rPr>
        <w:t>who</w:t>
      </w:r>
      <w:r w:rsidRPr="00087A72">
        <w:rPr>
          <w:rFonts w:cs="Arial"/>
          <w:sz w:val="14"/>
          <w:szCs w:val="28"/>
        </w:rPr>
        <w:t xml:space="preserve"> </w:t>
      </w:r>
      <w:r w:rsidRPr="00087A72">
        <w:rPr>
          <w:rFonts w:eastAsia="Calibri" w:cs="Arial"/>
          <w:sz w:val="14"/>
          <w:szCs w:val="28"/>
        </w:rPr>
        <w:t>articulates</w:t>
      </w:r>
      <w:r w:rsidRPr="00087A72">
        <w:rPr>
          <w:rFonts w:cs="Arial"/>
          <w:sz w:val="14"/>
          <w:szCs w:val="28"/>
        </w:rPr>
        <w:t xml:space="preserve"> </w:t>
      </w:r>
      <w:r w:rsidRPr="00087A72">
        <w:rPr>
          <w:rFonts w:eastAsia="Calibri" w:cs="Arial"/>
          <w:sz w:val="14"/>
          <w:szCs w:val="28"/>
        </w:rPr>
        <w:t>the</w:t>
      </w:r>
      <w:r w:rsidRPr="00087A72">
        <w:rPr>
          <w:rFonts w:cs="Arial"/>
          <w:sz w:val="14"/>
          <w:szCs w:val="28"/>
        </w:rPr>
        <w:t xml:space="preserve"> </w:t>
      </w:r>
      <w:r w:rsidRPr="00087A72">
        <w:rPr>
          <w:rFonts w:eastAsia="Calibri" w:cs="Arial"/>
          <w:sz w:val="14"/>
          <w:szCs w:val="28"/>
        </w:rPr>
        <w:t>Child</w:t>
      </w:r>
      <w:r w:rsidRPr="00087A72">
        <w:rPr>
          <w:rFonts w:cs="Arial"/>
          <w:sz w:val="14"/>
          <w:szCs w:val="28"/>
        </w:rPr>
        <w:t xml:space="preserve"> </w:t>
      </w:r>
      <w:r w:rsidRPr="00087A72">
        <w:rPr>
          <w:rFonts w:eastAsia="Calibri" w:cs="Arial"/>
          <w:sz w:val="14"/>
          <w:szCs w:val="28"/>
        </w:rPr>
        <w:t>as</w:t>
      </w:r>
      <w:r w:rsidRPr="00087A72">
        <w:rPr>
          <w:rFonts w:cs="Arial"/>
          <w:sz w:val="14"/>
          <w:szCs w:val="28"/>
        </w:rPr>
        <w:t xml:space="preserve"> </w:t>
      </w:r>
      <w:r w:rsidRPr="00087A72">
        <w:rPr>
          <w:rFonts w:eastAsia="Calibri" w:cs="Arial"/>
          <w:sz w:val="14"/>
          <w:szCs w:val="28"/>
        </w:rPr>
        <w:t>the</w:t>
      </w:r>
      <w:r w:rsidRPr="00087A72">
        <w:rPr>
          <w:rFonts w:cs="Arial"/>
          <w:sz w:val="14"/>
          <w:szCs w:val="28"/>
        </w:rPr>
        <w:t xml:space="preserve"> </w:t>
      </w:r>
      <w:r w:rsidRPr="00087A72">
        <w:rPr>
          <w:rFonts w:eastAsia="Calibri" w:cs="Arial"/>
          <w:sz w:val="14"/>
          <w:szCs w:val="28"/>
        </w:rPr>
        <w:t>anchor</w:t>
      </w:r>
      <w:r w:rsidRPr="00087A72">
        <w:rPr>
          <w:rFonts w:cs="Arial"/>
          <w:sz w:val="14"/>
          <w:szCs w:val="28"/>
        </w:rPr>
        <w:t xml:space="preserve"> </w:t>
      </w:r>
      <w:r w:rsidRPr="00087A72">
        <w:rPr>
          <w:rFonts w:eastAsia="Calibri" w:cs="Arial"/>
          <w:sz w:val="14"/>
          <w:szCs w:val="28"/>
        </w:rPr>
        <w:t>for</w:t>
      </w:r>
      <w:r w:rsidRPr="00087A72">
        <w:rPr>
          <w:rFonts w:cs="Arial"/>
          <w:sz w:val="14"/>
          <w:szCs w:val="28"/>
        </w:rPr>
        <w:t xml:space="preserve"> </w:t>
      </w:r>
      <w:r w:rsidRPr="00087A72">
        <w:rPr>
          <w:rFonts w:eastAsia="Calibri" w:cs="Arial"/>
          <w:sz w:val="14"/>
          <w:szCs w:val="28"/>
        </w:rPr>
        <w:t>reproductive</w:t>
      </w:r>
      <w:r w:rsidRPr="00087A72">
        <w:rPr>
          <w:rFonts w:cs="Arial"/>
          <w:sz w:val="14"/>
          <w:szCs w:val="28"/>
        </w:rPr>
        <w:t xml:space="preserve"> </w:t>
      </w:r>
      <w:r w:rsidRPr="00087A72">
        <w:rPr>
          <w:rFonts w:eastAsia="Calibri" w:cs="Arial"/>
          <w:sz w:val="14"/>
          <w:szCs w:val="28"/>
        </w:rPr>
        <w:t>futurity</w:t>
      </w:r>
      <w:r w:rsidRPr="00087A72">
        <w:rPr>
          <w:rFonts w:cs="Arial"/>
          <w:sz w:val="14"/>
          <w:szCs w:val="28"/>
        </w:rPr>
        <w:t>. “</w:t>
      </w:r>
      <w:r w:rsidRPr="00087A72">
        <w:rPr>
          <w:rFonts w:eastAsia="Calibri" w:cs="Arial"/>
          <w:sz w:val="14"/>
          <w:szCs w:val="28"/>
        </w:rPr>
        <w:t>For</w:t>
      </w:r>
      <w:r w:rsidRPr="00087A72">
        <w:rPr>
          <w:rFonts w:cs="Arial"/>
          <w:sz w:val="14"/>
          <w:szCs w:val="28"/>
        </w:rPr>
        <w:t xml:space="preserve"> </w:t>
      </w:r>
      <w:r w:rsidRPr="00087A72">
        <w:rPr>
          <w:rFonts w:eastAsia="Calibri" w:cs="Arial"/>
          <w:sz w:val="14"/>
          <w:szCs w:val="28"/>
        </w:rPr>
        <w:t>politics</w:t>
      </w:r>
      <w:r w:rsidRPr="00087A72">
        <w:rPr>
          <w:rFonts w:cs="Arial"/>
          <w:sz w:val="14"/>
          <w:szCs w:val="28"/>
        </w:rPr>
        <w:t xml:space="preserve">, </w:t>
      </w:r>
      <w:r w:rsidRPr="00087A72">
        <w:rPr>
          <w:rFonts w:eastAsia="Calibri" w:cs="Arial"/>
          <w:sz w:val="14"/>
          <w:szCs w:val="28"/>
        </w:rPr>
        <w:t>however</w:t>
      </w:r>
      <w:r w:rsidRPr="00087A72">
        <w:rPr>
          <w:rFonts w:cs="Arial"/>
          <w:sz w:val="14"/>
          <w:szCs w:val="28"/>
        </w:rPr>
        <w:t xml:space="preserve"> </w:t>
      </w:r>
      <w:r w:rsidRPr="00087A72">
        <w:rPr>
          <w:rFonts w:eastAsia="Calibri" w:cs="Arial"/>
          <w:sz w:val="14"/>
          <w:szCs w:val="28"/>
        </w:rPr>
        <w:t>radical</w:t>
      </w:r>
      <w:r w:rsidRPr="00087A72">
        <w:rPr>
          <w:rFonts w:cs="Arial"/>
          <w:sz w:val="14"/>
          <w:szCs w:val="28"/>
        </w:rPr>
        <w:t xml:space="preserve"> </w:t>
      </w:r>
      <w:r w:rsidRPr="00087A72">
        <w:rPr>
          <w:rFonts w:eastAsia="Calibri" w:cs="Arial"/>
          <w:sz w:val="14"/>
          <w:szCs w:val="28"/>
        </w:rPr>
        <w:t>the</w:t>
      </w:r>
      <w:r w:rsidRPr="00087A72">
        <w:rPr>
          <w:rFonts w:cs="Arial"/>
          <w:sz w:val="14"/>
          <w:szCs w:val="28"/>
        </w:rPr>
        <w:t xml:space="preserve"> </w:t>
      </w:r>
      <w:r w:rsidRPr="00087A72">
        <w:rPr>
          <w:rFonts w:eastAsia="Calibri" w:cs="Arial"/>
          <w:sz w:val="14"/>
          <w:szCs w:val="28"/>
        </w:rPr>
        <w:t>means</w:t>
      </w:r>
      <w:r w:rsidRPr="00087A72">
        <w:rPr>
          <w:rFonts w:cs="Arial"/>
          <w:sz w:val="14"/>
          <w:szCs w:val="28"/>
        </w:rPr>
        <w:t xml:space="preserve"> </w:t>
      </w:r>
      <w:r w:rsidRPr="00087A72">
        <w:rPr>
          <w:rFonts w:eastAsia="Calibri" w:cs="Arial"/>
          <w:sz w:val="14"/>
          <w:szCs w:val="28"/>
        </w:rPr>
        <w:t>by</w:t>
      </w:r>
      <w:r w:rsidRPr="00087A72">
        <w:rPr>
          <w:rFonts w:cs="Arial"/>
          <w:sz w:val="14"/>
          <w:szCs w:val="28"/>
        </w:rPr>
        <w:t xml:space="preserve"> </w:t>
      </w:r>
      <w:r w:rsidRPr="00087A72">
        <w:rPr>
          <w:rFonts w:eastAsia="Calibri" w:cs="Arial"/>
          <w:sz w:val="14"/>
          <w:szCs w:val="28"/>
        </w:rPr>
        <w:t>which</w:t>
      </w:r>
      <w:r w:rsidRPr="00087A72">
        <w:rPr>
          <w:rFonts w:cs="Arial"/>
          <w:sz w:val="14"/>
          <w:szCs w:val="28"/>
        </w:rPr>
        <w:t xml:space="preserve"> </w:t>
      </w:r>
      <w:r w:rsidRPr="00087A72">
        <w:rPr>
          <w:rFonts w:eastAsia="Calibri" w:cs="Arial"/>
          <w:sz w:val="14"/>
          <w:szCs w:val="28"/>
        </w:rPr>
        <w:t>specific</w:t>
      </w:r>
      <w:r w:rsidRPr="00087A72">
        <w:rPr>
          <w:rFonts w:cs="Arial"/>
          <w:sz w:val="14"/>
          <w:szCs w:val="28"/>
        </w:rPr>
        <w:t xml:space="preserve"> </w:t>
      </w:r>
      <w:r w:rsidRPr="00087A72">
        <w:rPr>
          <w:rFonts w:eastAsia="Calibri" w:cs="Arial"/>
          <w:sz w:val="14"/>
          <w:szCs w:val="28"/>
        </w:rPr>
        <w:t>constituencies</w:t>
      </w:r>
      <w:r w:rsidRPr="00087A72">
        <w:rPr>
          <w:rFonts w:cs="Arial"/>
          <w:sz w:val="14"/>
          <w:szCs w:val="28"/>
        </w:rPr>
        <w:t xml:space="preserve"> </w:t>
      </w:r>
      <w:r w:rsidRPr="00087A72">
        <w:rPr>
          <w:rFonts w:eastAsia="Calibri" w:cs="Arial"/>
          <w:sz w:val="14"/>
          <w:szCs w:val="28"/>
        </w:rPr>
        <w:t>attempt</w:t>
      </w:r>
      <w:r w:rsidRPr="00087A72">
        <w:rPr>
          <w:rFonts w:cs="Arial"/>
          <w:sz w:val="14"/>
          <w:szCs w:val="28"/>
        </w:rPr>
        <w:t xml:space="preserve"> </w:t>
      </w:r>
      <w:r w:rsidRPr="00087A72">
        <w:rPr>
          <w:rFonts w:eastAsia="Calibri" w:cs="Arial"/>
          <w:sz w:val="14"/>
          <w:szCs w:val="28"/>
        </w:rPr>
        <w:t>to</w:t>
      </w:r>
      <w:r w:rsidRPr="00087A72">
        <w:rPr>
          <w:rFonts w:cs="Arial"/>
          <w:sz w:val="14"/>
          <w:szCs w:val="28"/>
        </w:rPr>
        <w:t xml:space="preserve"> </w:t>
      </w:r>
      <w:r w:rsidRPr="00087A72">
        <w:rPr>
          <w:rFonts w:eastAsia="Calibri" w:cs="Arial"/>
          <w:sz w:val="14"/>
          <w:szCs w:val="28"/>
        </w:rPr>
        <w:t>produce</w:t>
      </w:r>
      <w:r w:rsidRPr="00087A72">
        <w:rPr>
          <w:rFonts w:cs="Arial"/>
          <w:sz w:val="14"/>
          <w:szCs w:val="28"/>
        </w:rPr>
        <w:t xml:space="preserve"> </w:t>
      </w:r>
      <w:r w:rsidRPr="00087A72">
        <w:rPr>
          <w:rFonts w:eastAsia="Calibri" w:cs="Arial"/>
          <w:sz w:val="14"/>
          <w:szCs w:val="28"/>
        </w:rPr>
        <w:t>a</w:t>
      </w:r>
      <w:r w:rsidRPr="00087A72">
        <w:rPr>
          <w:rFonts w:cs="Arial"/>
          <w:sz w:val="14"/>
          <w:szCs w:val="28"/>
        </w:rPr>
        <w:t xml:space="preserve"> </w:t>
      </w:r>
      <w:r w:rsidRPr="00087A72">
        <w:rPr>
          <w:rFonts w:eastAsia="Calibri" w:cs="Arial"/>
          <w:sz w:val="14"/>
          <w:szCs w:val="28"/>
        </w:rPr>
        <w:t>more</w:t>
      </w:r>
      <w:r w:rsidRPr="00087A72">
        <w:rPr>
          <w:rFonts w:cs="Arial"/>
          <w:sz w:val="14"/>
          <w:szCs w:val="28"/>
        </w:rPr>
        <w:t xml:space="preserve"> </w:t>
      </w:r>
      <w:r w:rsidRPr="00087A72">
        <w:rPr>
          <w:rFonts w:eastAsia="Calibri" w:cs="Arial"/>
          <w:sz w:val="14"/>
          <w:szCs w:val="28"/>
        </w:rPr>
        <w:t>desirable</w:t>
      </w:r>
      <w:r w:rsidRPr="00087A72">
        <w:rPr>
          <w:rFonts w:cs="Arial"/>
          <w:sz w:val="14"/>
          <w:szCs w:val="28"/>
        </w:rPr>
        <w:t xml:space="preserve"> </w:t>
      </w:r>
      <w:r w:rsidRPr="00087A72">
        <w:rPr>
          <w:rFonts w:eastAsia="Calibri" w:cs="Arial"/>
          <w:sz w:val="14"/>
          <w:szCs w:val="28"/>
        </w:rPr>
        <w:t>social</w:t>
      </w:r>
      <w:r w:rsidRPr="00087A72">
        <w:rPr>
          <w:rFonts w:cs="Arial"/>
          <w:sz w:val="14"/>
          <w:szCs w:val="28"/>
        </w:rPr>
        <w:t xml:space="preserve"> </w:t>
      </w:r>
      <w:r w:rsidRPr="00087A72">
        <w:rPr>
          <w:rFonts w:eastAsia="Calibri" w:cs="Arial"/>
          <w:sz w:val="14"/>
          <w:szCs w:val="28"/>
        </w:rPr>
        <w:t>order</w:t>
      </w:r>
      <w:r w:rsidRPr="00087A72">
        <w:rPr>
          <w:rFonts w:cs="Arial"/>
          <w:sz w:val="14"/>
          <w:szCs w:val="28"/>
        </w:rPr>
        <w:t xml:space="preserve">, </w:t>
      </w:r>
      <w:r w:rsidRPr="00087A72">
        <w:rPr>
          <w:rFonts w:eastAsia="Calibri" w:cs="Arial"/>
          <w:sz w:val="14"/>
          <w:szCs w:val="28"/>
        </w:rPr>
        <w:t>remains</w:t>
      </w:r>
      <w:r w:rsidRPr="00087A72">
        <w:rPr>
          <w:rFonts w:cs="Arial"/>
          <w:sz w:val="14"/>
          <w:szCs w:val="28"/>
        </w:rPr>
        <w:t xml:space="preserve">, </w:t>
      </w:r>
      <w:r w:rsidRPr="00087A72">
        <w:rPr>
          <w:rFonts w:eastAsia="Calibri" w:cs="Arial"/>
          <w:sz w:val="14"/>
          <w:szCs w:val="28"/>
        </w:rPr>
        <w:t>at</w:t>
      </w:r>
      <w:r w:rsidRPr="00087A72">
        <w:rPr>
          <w:rFonts w:cs="Arial"/>
          <w:sz w:val="14"/>
          <w:szCs w:val="28"/>
        </w:rPr>
        <w:t xml:space="preserve"> </w:t>
      </w:r>
      <w:r w:rsidRPr="00087A72">
        <w:rPr>
          <w:rFonts w:eastAsia="Calibri" w:cs="Arial"/>
          <w:sz w:val="14"/>
          <w:szCs w:val="28"/>
        </w:rPr>
        <w:t>its</w:t>
      </w:r>
      <w:r w:rsidRPr="00087A72">
        <w:rPr>
          <w:rFonts w:cs="Arial"/>
          <w:sz w:val="14"/>
          <w:szCs w:val="28"/>
        </w:rPr>
        <w:t xml:space="preserve"> </w:t>
      </w:r>
      <w:r w:rsidRPr="00087A72">
        <w:rPr>
          <w:rFonts w:eastAsia="Calibri" w:cs="Arial"/>
          <w:sz w:val="14"/>
          <w:szCs w:val="28"/>
        </w:rPr>
        <w:t>core</w:t>
      </w:r>
      <w:r w:rsidRPr="00087A72">
        <w:rPr>
          <w:rFonts w:cs="Arial"/>
          <w:sz w:val="14"/>
          <w:szCs w:val="28"/>
        </w:rPr>
        <w:t xml:space="preserve">, </w:t>
      </w:r>
      <w:r w:rsidRPr="00087A72">
        <w:rPr>
          <w:rFonts w:eastAsia="Calibri" w:cs="Arial"/>
          <w:sz w:val="14"/>
          <w:szCs w:val="28"/>
        </w:rPr>
        <w:t>conservative</w:t>
      </w:r>
      <w:r w:rsidRPr="00087A72">
        <w:rPr>
          <w:rFonts w:cs="Arial"/>
          <w:sz w:val="14"/>
          <w:szCs w:val="28"/>
        </w:rPr>
        <w:t xml:space="preserve"> </w:t>
      </w:r>
      <w:r w:rsidRPr="00087A72">
        <w:rPr>
          <w:rFonts w:eastAsia="Calibri" w:cs="Arial"/>
          <w:sz w:val="14"/>
          <w:szCs w:val="28"/>
        </w:rPr>
        <w:t>insofar</w:t>
      </w:r>
      <w:r w:rsidRPr="00087A72">
        <w:rPr>
          <w:rFonts w:cs="Arial"/>
          <w:sz w:val="14"/>
          <w:szCs w:val="28"/>
        </w:rPr>
        <w:t xml:space="preserve"> </w:t>
      </w:r>
      <w:r w:rsidRPr="00087A72">
        <w:rPr>
          <w:rFonts w:eastAsia="Calibri" w:cs="Arial"/>
          <w:sz w:val="14"/>
          <w:szCs w:val="28"/>
        </w:rPr>
        <w:t>as</w:t>
      </w:r>
      <w:r w:rsidRPr="00087A72">
        <w:rPr>
          <w:rFonts w:cs="Arial"/>
          <w:sz w:val="14"/>
          <w:szCs w:val="28"/>
        </w:rPr>
        <w:t xml:space="preserve"> </w:t>
      </w:r>
      <w:r w:rsidRPr="00087A72">
        <w:rPr>
          <w:rFonts w:eastAsia="Calibri" w:cs="Arial"/>
          <w:sz w:val="14"/>
          <w:szCs w:val="28"/>
        </w:rPr>
        <w:t>it</w:t>
      </w:r>
      <w:r w:rsidRPr="00087A72">
        <w:rPr>
          <w:rFonts w:cs="Arial"/>
          <w:sz w:val="14"/>
          <w:szCs w:val="28"/>
        </w:rPr>
        <w:t xml:space="preserve"> </w:t>
      </w:r>
      <w:r w:rsidRPr="00087A72">
        <w:rPr>
          <w:rFonts w:eastAsia="Calibri" w:cs="Arial"/>
          <w:sz w:val="14"/>
          <w:szCs w:val="28"/>
        </w:rPr>
        <w:t>works</w:t>
      </w:r>
      <w:r w:rsidRPr="00087A72">
        <w:rPr>
          <w:rFonts w:cs="Arial"/>
          <w:sz w:val="14"/>
          <w:szCs w:val="28"/>
        </w:rPr>
        <w:t xml:space="preserve"> </w:t>
      </w:r>
      <w:r w:rsidRPr="00087A72">
        <w:rPr>
          <w:rFonts w:eastAsia="Calibri" w:cs="Arial"/>
          <w:sz w:val="14"/>
          <w:szCs w:val="28"/>
        </w:rPr>
        <w:t>to</w:t>
      </w:r>
      <w:r w:rsidRPr="00087A72">
        <w:rPr>
          <w:rFonts w:cs="Arial"/>
          <w:sz w:val="14"/>
          <w:szCs w:val="28"/>
        </w:rPr>
        <w:t xml:space="preserve"> </w:t>
      </w:r>
      <w:r w:rsidRPr="00087A72">
        <w:rPr>
          <w:rFonts w:eastAsia="Calibri" w:cs="Arial"/>
          <w:sz w:val="14"/>
          <w:szCs w:val="28"/>
        </w:rPr>
        <w:t>affirm</w:t>
      </w:r>
      <w:r w:rsidRPr="00087A72">
        <w:rPr>
          <w:rFonts w:cs="Arial"/>
          <w:sz w:val="14"/>
          <w:szCs w:val="28"/>
        </w:rPr>
        <w:t xml:space="preserve"> </w:t>
      </w:r>
      <w:r w:rsidRPr="00087A72">
        <w:rPr>
          <w:rFonts w:eastAsia="Calibri" w:cs="Arial"/>
          <w:sz w:val="14"/>
          <w:szCs w:val="28"/>
        </w:rPr>
        <w:t>a</w:t>
      </w:r>
      <w:r w:rsidRPr="00087A72">
        <w:rPr>
          <w:rFonts w:cs="Arial"/>
          <w:sz w:val="14"/>
          <w:szCs w:val="28"/>
        </w:rPr>
        <w:t xml:space="preserve"> </w:t>
      </w:r>
      <w:r w:rsidRPr="00087A72">
        <w:rPr>
          <w:rFonts w:eastAsia="Calibri" w:cs="Arial"/>
          <w:sz w:val="14"/>
          <w:szCs w:val="28"/>
        </w:rPr>
        <w:t>structure</w:t>
      </w:r>
      <w:r w:rsidRPr="00087A72">
        <w:rPr>
          <w:rFonts w:cs="Arial"/>
          <w:sz w:val="14"/>
          <w:szCs w:val="28"/>
        </w:rPr>
        <w:t xml:space="preserve">, </w:t>
      </w:r>
      <w:r w:rsidRPr="00087A72">
        <w:rPr>
          <w:rFonts w:eastAsia="Calibri" w:cs="Arial"/>
          <w:sz w:val="14"/>
          <w:szCs w:val="28"/>
        </w:rPr>
        <w:t>to</w:t>
      </w:r>
      <w:r w:rsidRPr="00087A72">
        <w:rPr>
          <w:rFonts w:cs="Arial"/>
          <w:sz w:val="14"/>
          <w:szCs w:val="28"/>
        </w:rPr>
        <w:t xml:space="preserve"> </w:t>
      </w:r>
      <w:r w:rsidRPr="00087A72">
        <w:rPr>
          <w:rFonts w:eastAsia="Calibri" w:cs="Arial"/>
          <w:sz w:val="14"/>
          <w:szCs w:val="28"/>
        </w:rPr>
        <w:t>authenticate</w:t>
      </w:r>
      <w:r w:rsidRPr="00087A72">
        <w:rPr>
          <w:rFonts w:cs="Arial"/>
          <w:sz w:val="14"/>
          <w:szCs w:val="28"/>
        </w:rPr>
        <w:t xml:space="preserve"> </w:t>
      </w:r>
      <w:r w:rsidRPr="00087A72">
        <w:rPr>
          <w:rFonts w:eastAsia="Calibri" w:cs="Arial"/>
          <w:sz w:val="14"/>
          <w:szCs w:val="28"/>
        </w:rPr>
        <w:t>social</w:t>
      </w:r>
      <w:r w:rsidRPr="00087A72">
        <w:rPr>
          <w:rFonts w:cs="Arial"/>
          <w:sz w:val="14"/>
          <w:szCs w:val="28"/>
        </w:rPr>
        <w:t xml:space="preserve"> </w:t>
      </w:r>
      <w:r w:rsidRPr="00087A72">
        <w:rPr>
          <w:rFonts w:eastAsia="Calibri" w:cs="Arial"/>
          <w:sz w:val="14"/>
          <w:szCs w:val="28"/>
        </w:rPr>
        <w:t>order</w:t>
      </w:r>
      <w:r w:rsidRPr="00087A72">
        <w:rPr>
          <w:rFonts w:cs="Arial"/>
          <w:sz w:val="14"/>
          <w:szCs w:val="28"/>
        </w:rPr>
        <w:t xml:space="preserve">, </w:t>
      </w:r>
      <w:r w:rsidRPr="00087A72">
        <w:rPr>
          <w:rFonts w:eastAsia="Calibri" w:cs="Arial"/>
          <w:sz w:val="14"/>
          <w:szCs w:val="28"/>
        </w:rPr>
        <w:t>which</w:t>
      </w:r>
      <w:r w:rsidRPr="00087A72">
        <w:rPr>
          <w:rFonts w:cs="Arial"/>
          <w:sz w:val="14"/>
          <w:szCs w:val="28"/>
        </w:rPr>
        <w:t xml:space="preserve"> </w:t>
      </w:r>
      <w:r w:rsidRPr="00087A72">
        <w:rPr>
          <w:rFonts w:eastAsia="Calibri" w:cs="Arial"/>
          <w:sz w:val="14"/>
          <w:szCs w:val="28"/>
        </w:rPr>
        <w:t>it</w:t>
      </w:r>
      <w:r w:rsidRPr="00087A72">
        <w:rPr>
          <w:rFonts w:cs="Arial"/>
          <w:sz w:val="14"/>
          <w:szCs w:val="28"/>
        </w:rPr>
        <w:t xml:space="preserve"> </w:t>
      </w:r>
      <w:r w:rsidRPr="00087A72">
        <w:rPr>
          <w:rFonts w:eastAsia="Calibri" w:cs="Arial"/>
          <w:sz w:val="14"/>
          <w:szCs w:val="28"/>
        </w:rPr>
        <w:t>then</w:t>
      </w:r>
      <w:r w:rsidRPr="00087A72">
        <w:rPr>
          <w:rFonts w:cs="Arial"/>
          <w:sz w:val="14"/>
          <w:szCs w:val="28"/>
        </w:rPr>
        <w:t xml:space="preserve"> </w:t>
      </w:r>
      <w:r w:rsidRPr="00087A72">
        <w:rPr>
          <w:rFonts w:eastAsia="Calibri" w:cs="Arial"/>
          <w:sz w:val="14"/>
          <w:szCs w:val="28"/>
        </w:rPr>
        <w:t>intends</w:t>
      </w:r>
      <w:r w:rsidRPr="00087A72">
        <w:rPr>
          <w:rFonts w:cs="Arial"/>
          <w:sz w:val="14"/>
          <w:szCs w:val="28"/>
        </w:rPr>
        <w:t xml:space="preserve"> </w:t>
      </w:r>
      <w:r w:rsidRPr="00087A72">
        <w:rPr>
          <w:rFonts w:eastAsia="Calibri" w:cs="Arial"/>
          <w:sz w:val="14"/>
          <w:szCs w:val="28"/>
        </w:rPr>
        <w:t>to</w:t>
      </w:r>
      <w:r w:rsidRPr="00087A72">
        <w:rPr>
          <w:rFonts w:cs="Arial"/>
          <w:sz w:val="14"/>
          <w:szCs w:val="28"/>
        </w:rPr>
        <w:t xml:space="preserve"> </w:t>
      </w:r>
      <w:r w:rsidRPr="00087A72">
        <w:rPr>
          <w:rFonts w:eastAsia="Calibri" w:cs="Arial"/>
          <w:sz w:val="14"/>
          <w:szCs w:val="28"/>
        </w:rPr>
        <w:t>transmit</w:t>
      </w:r>
      <w:r w:rsidRPr="00087A72">
        <w:rPr>
          <w:rFonts w:cs="Arial"/>
          <w:sz w:val="14"/>
          <w:szCs w:val="28"/>
        </w:rPr>
        <w:t xml:space="preserve"> </w:t>
      </w:r>
      <w:r w:rsidRPr="00087A72">
        <w:rPr>
          <w:rFonts w:eastAsia="Calibri" w:cs="Arial"/>
          <w:sz w:val="14"/>
          <w:szCs w:val="28"/>
        </w:rPr>
        <w:t>to</w:t>
      </w:r>
      <w:r w:rsidRPr="00087A72">
        <w:rPr>
          <w:rFonts w:cs="Arial"/>
          <w:sz w:val="14"/>
          <w:szCs w:val="28"/>
        </w:rPr>
        <w:t xml:space="preserve"> </w:t>
      </w:r>
      <w:r w:rsidRPr="00087A72">
        <w:rPr>
          <w:rFonts w:eastAsia="Calibri" w:cs="Arial"/>
          <w:sz w:val="14"/>
          <w:szCs w:val="28"/>
        </w:rPr>
        <w:t>the</w:t>
      </w:r>
      <w:r w:rsidRPr="00087A72">
        <w:rPr>
          <w:rFonts w:cs="Arial"/>
          <w:sz w:val="14"/>
          <w:szCs w:val="28"/>
        </w:rPr>
        <w:t xml:space="preserve"> </w:t>
      </w:r>
      <w:r w:rsidRPr="00087A72">
        <w:rPr>
          <w:rFonts w:eastAsia="Calibri" w:cs="Arial"/>
          <w:sz w:val="14"/>
          <w:szCs w:val="28"/>
        </w:rPr>
        <w:t>future</w:t>
      </w:r>
      <w:r w:rsidRPr="00087A72">
        <w:rPr>
          <w:rFonts w:cs="Arial"/>
          <w:sz w:val="14"/>
          <w:szCs w:val="28"/>
        </w:rPr>
        <w:t xml:space="preserve"> </w:t>
      </w:r>
      <w:r w:rsidRPr="00087A72">
        <w:rPr>
          <w:rFonts w:eastAsia="Calibri" w:cs="Arial"/>
          <w:sz w:val="14"/>
          <w:szCs w:val="28"/>
        </w:rPr>
        <w:t>in</w:t>
      </w:r>
      <w:r w:rsidRPr="00087A72">
        <w:rPr>
          <w:rFonts w:cs="Arial"/>
          <w:sz w:val="14"/>
          <w:szCs w:val="28"/>
        </w:rPr>
        <w:t xml:space="preserve"> </w:t>
      </w:r>
      <w:r w:rsidRPr="00087A72">
        <w:rPr>
          <w:rFonts w:eastAsia="Calibri" w:cs="Arial"/>
          <w:sz w:val="14"/>
          <w:szCs w:val="28"/>
        </w:rPr>
        <w:t>the</w:t>
      </w:r>
      <w:r w:rsidRPr="00087A72">
        <w:rPr>
          <w:rFonts w:cs="Arial"/>
          <w:sz w:val="14"/>
          <w:szCs w:val="28"/>
        </w:rPr>
        <w:t xml:space="preserve"> </w:t>
      </w:r>
      <w:r w:rsidRPr="00087A72">
        <w:rPr>
          <w:rFonts w:eastAsia="Calibri" w:cs="Arial"/>
          <w:sz w:val="14"/>
          <w:szCs w:val="28"/>
        </w:rPr>
        <w:t>form</w:t>
      </w:r>
      <w:r w:rsidRPr="00087A72">
        <w:rPr>
          <w:rFonts w:cs="Arial"/>
          <w:sz w:val="14"/>
          <w:szCs w:val="28"/>
        </w:rPr>
        <w:t xml:space="preserve"> </w:t>
      </w:r>
      <w:r w:rsidRPr="00087A72">
        <w:rPr>
          <w:rFonts w:eastAsia="Calibri" w:cs="Arial"/>
          <w:sz w:val="14"/>
          <w:szCs w:val="28"/>
        </w:rPr>
        <w:t>of</w:t>
      </w:r>
      <w:r w:rsidRPr="00087A72">
        <w:rPr>
          <w:rFonts w:cs="Arial"/>
          <w:sz w:val="14"/>
          <w:szCs w:val="28"/>
        </w:rPr>
        <w:t xml:space="preserve"> </w:t>
      </w:r>
      <w:r w:rsidRPr="00087A72">
        <w:rPr>
          <w:rFonts w:eastAsia="Calibri" w:cs="Arial"/>
          <w:sz w:val="14"/>
          <w:szCs w:val="28"/>
        </w:rPr>
        <w:t>its</w:t>
      </w:r>
      <w:r w:rsidRPr="00087A72">
        <w:rPr>
          <w:rFonts w:cs="Arial"/>
          <w:sz w:val="14"/>
          <w:szCs w:val="28"/>
        </w:rPr>
        <w:t xml:space="preserve"> </w:t>
      </w:r>
      <w:r w:rsidRPr="00087A72">
        <w:rPr>
          <w:rFonts w:eastAsia="Calibri" w:cs="Arial"/>
          <w:sz w:val="14"/>
          <w:szCs w:val="28"/>
        </w:rPr>
        <w:t>inner</w:t>
      </w:r>
      <w:r w:rsidRPr="00087A72">
        <w:rPr>
          <w:rFonts w:cs="Arial"/>
          <w:sz w:val="14"/>
          <w:szCs w:val="28"/>
        </w:rPr>
        <w:t xml:space="preserve"> </w:t>
      </w:r>
      <w:r w:rsidRPr="00087A72">
        <w:rPr>
          <w:rFonts w:eastAsia="Calibri" w:cs="Arial"/>
          <w:sz w:val="14"/>
          <w:szCs w:val="28"/>
        </w:rPr>
        <w:t>Child</w:t>
      </w:r>
      <w:r w:rsidRPr="00087A72">
        <w:rPr>
          <w:rFonts w:cs="Arial"/>
          <w:sz w:val="14"/>
          <w:szCs w:val="28"/>
        </w:rPr>
        <w:t xml:space="preserve">. </w:t>
      </w:r>
      <w:r w:rsidRPr="00087A72">
        <w:rPr>
          <w:rFonts w:eastAsia="Calibri" w:cs="Arial"/>
          <w:b/>
          <w:sz w:val="28"/>
          <w:szCs w:val="28"/>
          <w:u w:val="single"/>
        </w:rPr>
        <w:t>That</w:t>
      </w:r>
      <w:r w:rsidRPr="00087A72">
        <w:rPr>
          <w:rFonts w:cs="Arial"/>
          <w:b/>
          <w:sz w:val="28"/>
          <w:szCs w:val="28"/>
          <w:u w:val="single"/>
        </w:rPr>
        <w:t xml:space="preserve"> </w:t>
      </w:r>
      <w:r w:rsidRPr="00087A72">
        <w:rPr>
          <w:rFonts w:eastAsia="Calibri" w:cs="Arial"/>
          <w:b/>
          <w:sz w:val="28"/>
          <w:szCs w:val="28"/>
          <w:u w:val="single"/>
        </w:rPr>
        <w:t>Child</w:t>
      </w:r>
      <w:r w:rsidRPr="00087A72">
        <w:rPr>
          <w:rFonts w:cs="Arial"/>
          <w:b/>
          <w:sz w:val="28"/>
          <w:szCs w:val="28"/>
          <w:u w:val="single"/>
        </w:rPr>
        <w:t xml:space="preserve"> </w:t>
      </w:r>
      <w:r w:rsidRPr="00087A72">
        <w:rPr>
          <w:rFonts w:eastAsia="Calibri" w:cs="Arial"/>
          <w:b/>
          <w:sz w:val="28"/>
          <w:szCs w:val="28"/>
          <w:u w:val="single"/>
        </w:rPr>
        <w:t>remains</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perpetual</w:t>
      </w:r>
      <w:r w:rsidRPr="00087A72">
        <w:rPr>
          <w:rFonts w:cs="Arial"/>
          <w:b/>
          <w:sz w:val="28"/>
          <w:szCs w:val="28"/>
          <w:u w:val="single"/>
        </w:rPr>
        <w:t xml:space="preserve"> </w:t>
      </w:r>
      <w:r w:rsidRPr="00087A72">
        <w:rPr>
          <w:rFonts w:eastAsia="Calibri" w:cs="Arial"/>
          <w:b/>
          <w:sz w:val="28"/>
          <w:szCs w:val="28"/>
          <w:u w:val="single"/>
        </w:rPr>
        <w:t>horizon</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every</w:t>
      </w:r>
      <w:r w:rsidRPr="00087A72">
        <w:rPr>
          <w:rFonts w:cs="Arial"/>
          <w:b/>
          <w:sz w:val="28"/>
          <w:szCs w:val="28"/>
          <w:u w:val="single"/>
        </w:rPr>
        <w:t xml:space="preserve"> </w:t>
      </w:r>
      <w:r w:rsidRPr="00087A72">
        <w:rPr>
          <w:rFonts w:eastAsia="Calibri" w:cs="Arial"/>
          <w:b/>
          <w:sz w:val="28"/>
          <w:szCs w:val="28"/>
          <w:u w:val="single"/>
        </w:rPr>
        <w:t>acknowledged</w:t>
      </w:r>
      <w:r w:rsidRPr="00087A72">
        <w:rPr>
          <w:rFonts w:cs="Arial"/>
          <w:b/>
          <w:sz w:val="28"/>
          <w:szCs w:val="28"/>
          <w:u w:val="single"/>
        </w:rPr>
        <w:t xml:space="preserve"> </w:t>
      </w:r>
      <w:r w:rsidRPr="00087A72">
        <w:rPr>
          <w:rFonts w:eastAsia="Calibri" w:cs="Arial"/>
          <w:b/>
          <w:sz w:val="28"/>
          <w:szCs w:val="28"/>
          <w:u w:val="single"/>
        </w:rPr>
        <w:t>politics</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fantasmatic</w:t>
      </w:r>
      <w:r w:rsidRPr="00087A72">
        <w:rPr>
          <w:rFonts w:cs="Arial"/>
          <w:b/>
          <w:sz w:val="28"/>
          <w:szCs w:val="28"/>
          <w:u w:val="single"/>
        </w:rPr>
        <w:t xml:space="preserve"> </w:t>
      </w:r>
      <w:r w:rsidRPr="00087A72">
        <w:rPr>
          <w:rFonts w:eastAsia="Calibri" w:cs="Arial"/>
          <w:b/>
          <w:sz w:val="28"/>
          <w:szCs w:val="28"/>
          <w:u w:val="single"/>
        </w:rPr>
        <w:t>beneficiary</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every</w:t>
      </w:r>
      <w:r w:rsidRPr="00087A72">
        <w:rPr>
          <w:rFonts w:cs="Arial"/>
          <w:b/>
          <w:sz w:val="28"/>
          <w:szCs w:val="28"/>
          <w:u w:val="single"/>
        </w:rPr>
        <w:t xml:space="preserve"> </w:t>
      </w:r>
      <w:r w:rsidRPr="00087A72">
        <w:rPr>
          <w:rFonts w:eastAsia="Calibri" w:cs="Arial"/>
          <w:b/>
          <w:sz w:val="28"/>
          <w:szCs w:val="28"/>
          <w:u w:val="single"/>
        </w:rPr>
        <w:t>political</w:t>
      </w:r>
      <w:r w:rsidRPr="00087A72">
        <w:rPr>
          <w:rFonts w:cs="Arial"/>
          <w:b/>
          <w:sz w:val="28"/>
          <w:szCs w:val="28"/>
          <w:u w:val="single"/>
        </w:rPr>
        <w:t xml:space="preserve"> </w:t>
      </w:r>
      <w:r w:rsidRPr="00087A72">
        <w:rPr>
          <w:rFonts w:eastAsia="Calibri" w:cs="Arial"/>
          <w:b/>
          <w:sz w:val="28"/>
          <w:szCs w:val="28"/>
          <w:u w:val="single"/>
        </w:rPr>
        <w:t>intervention</w:t>
      </w:r>
      <w:r w:rsidRPr="00087A72">
        <w:rPr>
          <w:rFonts w:cs="Arial"/>
          <w:sz w:val="14"/>
          <w:szCs w:val="28"/>
        </w:rPr>
        <w:t>.”</w:t>
      </w:r>
      <w:r w:rsidRPr="00087A72">
        <w:rPr>
          <w:rStyle w:val="s1"/>
          <w:rFonts w:ascii="Georgia" w:hAnsi="Georgia" w:cs="Arial"/>
          <w:sz w:val="14"/>
          <w:szCs w:val="28"/>
        </w:rPr>
        <w:t xml:space="preserve">21 </w:t>
      </w:r>
      <w:r w:rsidRPr="00087A72">
        <w:rPr>
          <w:rFonts w:eastAsia="Calibri" w:cs="Arial"/>
          <w:sz w:val="14"/>
          <w:szCs w:val="28"/>
        </w:rPr>
        <w:t>He</w:t>
      </w:r>
      <w:r w:rsidRPr="00087A72">
        <w:rPr>
          <w:rFonts w:cs="Arial"/>
          <w:sz w:val="14"/>
          <w:szCs w:val="28"/>
        </w:rPr>
        <w:t xml:space="preserve"> </w:t>
      </w:r>
      <w:r w:rsidRPr="00087A72">
        <w:rPr>
          <w:rFonts w:eastAsia="Calibri" w:cs="Arial"/>
          <w:sz w:val="14"/>
          <w:szCs w:val="28"/>
        </w:rPr>
        <w:t>contends</w:t>
      </w:r>
      <w:r w:rsidRPr="00087A72">
        <w:rPr>
          <w:rFonts w:cs="Arial"/>
          <w:sz w:val="14"/>
          <w:szCs w:val="28"/>
        </w:rPr>
        <w:t xml:space="preserve"> </w:t>
      </w:r>
      <w:r w:rsidRPr="00087A72">
        <w:rPr>
          <w:rFonts w:eastAsia="Calibri" w:cs="Arial"/>
          <w:sz w:val="14"/>
          <w:szCs w:val="28"/>
        </w:rPr>
        <w:t>that</w:t>
      </w:r>
      <w:r w:rsidRPr="00087A72">
        <w:rPr>
          <w:rFonts w:cs="Arial"/>
          <w:sz w:val="14"/>
          <w:szCs w:val="28"/>
        </w:rPr>
        <w:t xml:space="preserve"> </w:t>
      </w:r>
      <w:r w:rsidRPr="00087A72">
        <w:rPr>
          <w:rFonts w:cs="Arial"/>
          <w:b/>
          <w:sz w:val="28"/>
          <w:szCs w:val="28"/>
          <w:u w:val="single"/>
        </w:rPr>
        <w:t>“</w:t>
      </w:r>
      <w:r w:rsidRPr="00087A72">
        <w:rPr>
          <w:rFonts w:eastAsia="Calibri" w:cs="Arial"/>
          <w:b/>
          <w:sz w:val="28"/>
          <w:szCs w:val="28"/>
          <w:u w:val="single"/>
        </w:rPr>
        <w:t>queerness</w:t>
      </w:r>
      <w:r w:rsidRPr="00087A72">
        <w:rPr>
          <w:rFonts w:cs="Arial"/>
          <w:b/>
          <w:sz w:val="28"/>
          <w:szCs w:val="28"/>
          <w:u w:val="single"/>
        </w:rPr>
        <w:t xml:space="preserve"> </w:t>
      </w:r>
      <w:r w:rsidRPr="00087A72">
        <w:rPr>
          <w:rFonts w:eastAsia="Calibri" w:cs="Arial"/>
          <w:b/>
          <w:sz w:val="28"/>
          <w:szCs w:val="28"/>
          <w:u w:val="single"/>
        </w:rPr>
        <w:t>names</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side</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those</w:t>
      </w:r>
      <w:r w:rsidRPr="00087A72">
        <w:rPr>
          <w:rFonts w:cs="Arial"/>
          <w:b/>
          <w:sz w:val="28"/>
          <w:szCs w:val="28"/>
          <w:u w:val="single"/>
        </w:rPr>
        <w:t xml:space="preserve"> </w:t>
      </w:r>
      <w:r w:rsidRPr="00087A72">
        <w:rPr>
          <w:rFonts w:eastAsia="Calibri" w:cs="Arial"/>
          <w:b/>
          <w:sz w:val="28"/>
          <w:szCs w:val="28"/>
          <w:u w:val="single"/>
        </w:rPr>
        <w:t>not</w:t>
      </w:r>
      <w:r w:rsidRPr="00087A72">
        <w:rPr>
          <w:rFonts w:cs="Arial"/>
          <w:b/>
          <w:sz w:val="28"/>
          <w:szCs w:val="28"/>
          <w:u w:val="single"/>
        </w:rPr>
        <w:t xml:space="preserve"> </w:t>
      </w:r>
      <w:r w:rsidRPr="00087A72">
        <w:rPr>
          <w:rFonts w:eastAsia="Calibri" w:cs="Arial"/>
          <w:b/>
          <w:sz w:val="28"/>
          <w:szCs w:val="28"/>
          <w:u w:val="single"/>
        </w:rPr>
        <w:t>fighting</w:t>
      </w:r>
      <w:r w:rsidRPr="00087A72">
        <w:rPr>
          <w:rFonts w:cs="Arial"/>
          <w:b/>
          <w:sz w:val="28"/>
          <w:szCs w:val="28"/>
          <w:u w:val="single"/>
        </w:rPr>
        <w:t xml:space="preserve"> </w:t>
      </w:r>
      <w:r w:rsidRPr="00087A72">
        <w:rPr>
          <w:rFonts w:eastAsia="Calibri" w:cs="Arial"/>
          <w:b/>
          <w:sz w:val="28"/>
          <w:szCs w:val="28"/>
          <w:u w:val="single"/>
        </w:rPr>
        <w:t>for</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children</w:t>
      </w:r>
      <w:r w:rsidRPr="00087A72">
        <w:rPr>
          <w:rFonts w:cs="Arial"/>
          <w:b/>
          <w:sz w:val="14"/>
          <w:szCs w:val="28"/>
        </w:rPr>
        <w:t>,</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side</w:t>
      </w:r>
      <w:r w:rsidRPr="00087A72">
        <w:rPr>
          <w:rFonts w:cs="Arial"/>
          <w:b/>
          <w:sz w:val="28"/>
          <w:szCs w:val="28"/>
          <w:u w:val="single"/>
        </w:rPr>
        <w:t xml:space="preserve"> </w:t>
      </w:r>
      <w:r w:rsidRPr="00087A72">
        <w:rPr>
          <w:rFonts w:eastAsia="Calibri" w:cs="Arial"/>
          <w:b/>
          <w:sz w:val="28"/>
          <w:szCs w:val="28"/>
          <w:u w:val="single"/>
        </w:rPr>
        <w:t>outside</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consensus</w:t>
      </w:r>
      <w:r w:rsidRPr="00087A72">
        <w:rPr>
          <w:rFonts w:cs="Arial"/>
          <w:b/>
          <w:sz w:val="28"/>
          <w:szCs w:val="28"/>
          <w:u w:val="single"/>
        </w:rPr>
        <w:t xml:space="preserve"> </w:t>
      </w:r>
      <w:r w:rsidRPr="00087A72">
        <w:rPr>
          <w:rFonts w:eastAsia="Calibri" w:cs="Arial"/>
          <w:b/>
          <w:sz w:val="28"/>
          <w:szCs w:val="28"/>
          <w:u w:val="single"/>
        </w:rPr>
        <w:t>by</w:t>
      </w:r>
      <w:r w:rsidRPr="00087A72">
        <w:rPr>
          <w:rFonts w:cs="Arial"/>
          <w:b/>
          <w:sz w:val="28"/>
          <w:szCs w:val="28"/>
          <w:u w:val="single"/>
        </w:rPr>
        <w:t xml:space="preserve"> </w:t>
      </w:r>
      <w:r w:rsidRPr="00087A72">
        <w:rPr>
          <w:rFonts w:eastAsia="Calibri" w:cs="Arial"/>
          <w:b/>
          <w:sz w:val="28"/>
          <w:szCs w:val="28"/>
          <w:u w:val="single"/>
        </w:rPr>
        <w:t>which</w:t>
      </w:r>
      <w:r w:rsidRPr="00087A72">
        <w:rPr>
          <w:rFonts w:cs="Arial"/>
          <w:b/>
          <w:sz w:val="28"/>
          <w:szCs w:val="28"/>
          <w:u w:val="single"/>
        </w:rPr>
        <w:t xml:space="preserve"> </w:t>
      </w:r>
      <w:r w:rsidRPr="00087A72">
        <w:rPr>
          <w:rFonts w:eastAsia="Calibri" w:cs="Arial"/>
          <w:b/>
          <w:sz w:val="28"/>
          <w:szCs w:val="28"/>
          <w:u w:val="single"/>
        </w:rPr>
        <w:t>all</w:t>
      </w:r>
      <w:r w:rsidRPr="00087A72">
        <w:rPr>
          <w:rFonts w:cs="Arial"/>
          <w:b/>
          <w:sz w:val="28"/>
          <w:szCs w:val="28"/>
          <w:u w:val="single"/>
        </w:rPr>
        <w:t xml:space="preserve"> </w:t>
      </w:r>
      <w:r w:rsidRPr="00087A72">
        <w:rPr>
          <w:rFonts w:eastAsia="Calibri" w:cs="Arial"/>
          <w:b/>
          <w:sz w:val="28"/>
          <w:szCs w:val="28"/>
          <w:u w:val="single"/>
        </w:rPr>
        <w:t>politics</w:t>
      </w:r>
      <w:r w:rsidRPr="00087A72">
        <w:rPr>
          <w:rFonts w:cs="Arial"/>
          <w:b/>
          <w:sz w:val="28"/>
          <w:szCs w:val="28"/>
          <w:u w:val="single"/>
        </w:rPr>
        <w:t xml:space="preserve"> </w:t>
      </w:r>
      <w:r w:rsidRPr="00087A72">
        <w:rPr>
          <w:rFonts w:eastAsia="Calibri" w:cs="Arial"/>
          <w:b/>
          <w:sz w:val="28"/>
          <w:szCs w:val="28"/>
          <w:u w:val="single"/>
        </w:rPr>
        <w:t>confirms</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absolute</w:t>
      </w:r>
      <w:r w:rsidRPr="00087A72">
        <w:rPr>
          <w:rFonts w:cs="Arial"/>
          <w:b/>
          <w:sz w:val="28"/>
          <w:szCs w:val="28"/>
          <w:u w:val="single"/>
        </w:rPr>
        <w:t xml:space="preserve"> </w:t>
      </w:r>
      <w:r w:rsidRPr="00087A72">
        <w:rPr>
          <w:rFonts w:eastAsia="Calibri" w:cs="Arial"/>
          <w:b/>
          <w:sz w:val="28"/>
          <w:szCs w:val="28"/>
          <w:u w:val="single"/>
        </w:rPr>
        <w:t>value</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reproductive</w:t>
      </w:r>
      <w:r w:rsidRPr="00087A72">
        <w:rPr>
          <w:rFonts w:cs="Arial"/>
          <w:b/>
          <w:sz w:val="28"/>
          <w:szCs w:val="28"/>
          <w:u w:val="single"/>
        </w:rPr>
        <w:t xml:space="preserve"> </w:t>
      </w:r>
      <w:r w:rsidRPr="00087A72">
        <w:rPr>
          <w:rFonts w:eastAsia="Calibri" w:cs="Arial"/>
          <w:b/>
          <w:sz w:val="28"/>
          <w:szCs w:val="28"/>
          <w:u w:val="single"/>
        </w:rPr>
        <w:t>futurism</w:t>
      </w:r>
      <w:r w:rsidRPr="00087A72">
        <w:rPr>
          <w:rFonts w:cs="Arial"/>
          <w:sz w:val="28"/>
          <w:szCs w:val="28"/>
          <w:u w:val="single"/>
        </w:rPr>
        <w:t>.</w:t>
      </w:r>
      <w:r w:rsidRPr="00087A72">
        <w:rPr>
          <w:rFonts w:cs="Arial"/>
          <w:sz w:val="14"/>
          <w:szCs w:val="28"/>
        </w:rPr>
        <w:t>”</w:t>
      </w:r>
      <w:r w:rsidRPr="00087A72">
        <w:rPr>
          <w:rStyle w:val="s1"/>
          <w:rFonts w:ascii="Georgia" w:hAnsi="Georgia" w:cs="Arial"/>
          <w:sz w:val="14"/>
          <w:szCs w:val="28"/>
        </w:rPr>
        <w:t xml:space="preserve">22 </w:t>
      </w:r>
      <w:r w:rsidRPr="00087A72">
        <w:rPr>
          <w:rFonts w:eastAsia="Calibri" w:cs="Arial"/>
          <w:sz w:val="14"/>
          <w:szCs w:val="28"/>
        </w:rPr>
        <w:t>Edelman</w:t>
      </w:r>
      <w:r w:rsidRPr="00087A72">
        <w:rPr>
          <w:rFonts w:cs="Arial"/>
          <w:sz w:val="14"/>
          <w:szCs w:val="28"/>
        </w:rPr>
        <w:t xml:space="preserve"> </w:t>
      </w:r>
      <w:r w:rsidRPr="00087A72">
        <w:rPr>
          <w:rFonts w:eastAsia="Calibri" w:cs="Arial"/>
          <w:sz w:val="14"/>
          <w:szCs w:val="28"/>
        </w:rPr>
        <w:t>makes</w:t>
      </w:r>
      <w:r w:rsidRPr="00087A72">
        <w:rPr>
          <w:rFonts w:cs="Arial"/>
          <w:sz w:val="14"/>
          <w:szCs w:val="28"/>
        </w:rPr>
        <w:t xml:space="preserve"> </w:t>
      </w:r>
      <w:r w:rsidRPr="00087A72">
        <w:rPr>
          <w:rFonts w:eastAsia="Calibri" w:cs="Arial"/>
          <w:sz w:val="14"/>
          <w:szCs w:val="28"/>
        </w:rPr>
        <w:t>an</w:t>
      </w:r>
      <w:r w:rsidRPr="00087A72">
        <w:rPr>
          <w:rFonts w:cs="Arial"/>
          <w:sz w:val="14"/>
          <w:szCs w:val="28"/>
        </w:rPr>
        <w:t xml:space="preserve"> </w:t>
      </w:r>
      <w:r w:rsidRPr="00087A72">
        <w:rPr>
          <w:rFonts w:eastAsia="Calibri" w:cs="Arial"/>
          <w:sz w:val="14"/>
          <w:szCs w:val="28"/>
        </w:rPr>
        <w:t>important</w:t>
      </w:r>
      <w:r w:rsidRPr="00087A72">
        <w:rPr>
          <w:rFonts w:cs="Arial"/>
          <w:sz w:val="14"/>
          <w:szCs w:val="28"/>
        </w:rPr>
        <w:t xml:space="preserve"> </w:t>
      </w:r>
      <w:r w:rsidRPr="00087A72">
        <w:rPr>
          <w:rFonts w:eastAsia="Calibri" w:cs="Arial"/>
          <w:sz w:val="14"/>
          <w:szCs w:val="28"/>
        </w:rPr>
        <w:t>critique</w:t>
      </w:r>
      <w:r w:rsidRPr="00087A72">
        <w:rPr>
          <w:rFonts w:cs="Arial"/>
          <w:sz w:val="14"/>
          <w:szCs w:val="28"/>
        </w:rPr>
        <w:t xml:space="preserve"> </w:t>
      </w:r>
      <w:r w:rsidRPr="00087A72">
        <w:rPr>
          <w:rFonts w:eastAsia="Calibri" w:cs="Arial"/>
          <w:sz w:val="14"/>
          <w:szCs w:val="28"/>
        </w:rPr>
        <w:t>of</w:t>
      </w:r>
      <w:r w:rsidRPr="00087A72">
        <w:rPr>
          <w:rFonts w:cs="Arial"/>
          <w:sz w:val="14"/>
          <w:szCs w:val="28"/>
        </w:rPr>
        <w:t xml:space="preserve"> </w:t>
      </w:r>
      <w:r w:rsidRPr="00087A72">
        <w:rPr>
          <w:rFonts w:eastAsia="Calibri" w:cs="Arial"/>
          <w:sz w:val="14"/>
          <w:szCs w:val="28"/>
        </w:rPr>
        <w:t>how</w:t>
      </w:r>
      <w:r w:rsidRPr="00087A72">
        <w:rPr>
          <w:rFonts w:cs="Arial"/>
          <w:sz w:val="14"/>
          <w:szCs w:val="28"/>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investment</w:t>
      </w:r>
      <w:r w:rsidRPr="00087A72">
        <w:rPr>
          <w:rFonts w:cs="Arial"/>
          <w:b/>
          <w:sz w:val="28"/>
          <w:szCs w:val="28"/>
          <w:u w:val="single"/>
        </w:rPr>
        <w:t xml:space="preserve"> </w:t>
      </w:r>
      <w:r w:rsidRPr="00087A72">
        <w:rPr>
          <w:rFonts w:eastAsia="Calibri" w:cs="Arial"/>
          <w:b/>
          <w:sz w:val="28"/>
          <w:szCs w:val="28"/>
          <w:u w:val="single"/>
        </w:rPr>
        <w:t>in</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future</w:t>
      </w:r>
      <w:r w:rsidRPr="00087A72">
        <w:rPr>
          <w:rFonts w:cs="Arial"/>
          <w:b/>
          <w:sz w:val="28"/>
          <w:szCs w:val="28"/>
          <w:u w:val="single"/>
        </w:rPr>
        <w:t xml:space="preserve"> </w:t>
      </w:r>
      <w:r w:rsidRPr="00087A72">
        <w:rPr>
          <w:rFonts w:eastAsia="Calibri" w:cs="Arial"/>
          <w:b/>
          <w:sz w:val="28"/>
          <w:szCs w:val="28"/>
          <w:u w:val="single"/>
        </w:rPr>
        <w:t>justifies</w:t>
      </w:r>
      <w:r w:rsidRPr="00087A72">
        <w:rPr>
          <w:rFonts w:cs="Arial"/>
          <w:b/>
          <w:sz w:val="28"/>
          <w:szCs w:val="28"/>
          <w:u w:val="single"/>
        </w:rPr>
        <w:t xml:space="preserve"> </w:t>
      </w:r>
      <w:r w:rsidRPr="00087A72">
        <w:rPr>
          <w:rFonts w:eastAsia="Calibri" w:cs="Arial"/>
          <w:b/>
          <w:sz w:val="28"/>
          <w:szCs w:val="28"/>
          <w:u w:val="single"/>
        </w:rPr>
        <w:t>contemporary</w:t>
      </w:r>
      <w:r w:rsidRPr="00087A72">
        <w:rPr>
          <w:rFonts w:cs="Arial"/>
          <w:b/>
          <w:sz w:val="28"/>
          <w:szCs w:val="28"/>
          <w:u w:val="single"/>
        </w:rPr>
        <w:t xml:space="preserve"> </w:t>
      </w:r>
      <w:r w:rsidRPr="00087A72">
        <w:rPr>
          <w:rFonts w:eastAsia="Calibri" w:cs="Arial"/>
          <w:b/>
          <w:sz w:val="28"/>
          <w:szCs w:val="28"/>
          <w:u w:val="single"/>
        </w:rPr>
        <w:t>oppression</w:t>
      </w:r>
      <w:r w:rsidRPr="00087A72">
        <w:rPr>
          <w:rFonts w:cs="Arial"/>
          <w:b/>
          <w:sz w:val="14"/>
          <w:szCs w:val="28"/>
        </w:rPr>
        <w:t>.</w:t>
      </w:r>
      <w:r w:rsidRPr="00087A72">
        <w:rPr>
          <w:rFonts w:cs="Arial"/>
          <w:sz w:val="14"/>
          <w:szCs w:val="28"/>
        </w:rPr>
        <w:t xml:space="preserve"> </w:t>
      </w:r>
      <w:r w:rsidRPr="00087A72">
        <w:rPr>
          <w:rFonts w:eastAsia="Calibri" w:cs="Arial"/>
          <w:sz w:val="14"/>
          <w:szCs w:val="28"/>
        </w:rPr>
        <w:t>Fighting</w:t>
      </w:r>
      <w:r w:rsidRPr="00087A72">
        <w:rPr>
          <w:rFonts w:cs="Arial"/>
          <w:sz w:val="14"/>
          <w:szCs w:val="28"/>
        </w:rPr>
        <w:t xml:space="preserve"> </w:t>
      </w:r>
      <w:r w:rsidRPr="00087A72">
        <w:rPr>
          <w:rFonts w:eastAsia="Calibri" w:cs="Arial"/>
          <w:sz w:val="14"/>
          <w:szCs w:val="28"/>
        </w:rPr>
        <w:t>for</w:t>
      </w:r>
      <w:r w:rsidRPr="00087A72">
        <w:rPr>
          <w:rFonts w:cs="Arial"/>
          <w:sz w:val="14"/>
          <w:szCs w:val="28"/>
        </w:rPr>
        <w:t xml:space="preserve"> </w:t>
      </w:r>
      <w:r w:rsidRPr="00087A72">
        <w:rPr>
          <w:rFonts w:eastAsia="Calibri" w:cs="Arial"/>
          <w:sz w:val="14"/>
          <w:szCs w:val="28"/>
        </w:rPr>
        <w:t>the</w:t>
      </w:r>
      <w:r w:rsidRPr="00087A72">
        <w:rPr>
          <w:rFonts w:cs="Arial"/>
          <w:sz w:val="14"/>
          <w:szCs w:val="28"/>
        </w:rPr>
        <w:t xml:space="preserve"> </w:t>
      </w:r>
      <w:r w:rsidRPr="00087A72">
        <w:rPr>
          <w:rFonts w:eastAsia="Calibri" w:cs="Arial"/>
          <w:sz w:val="14"/>
          <w:szCs w:val="28"/>
        </w:rPr>
        <w:t>future</w:t>
      </w:r>
      <w:r w:rsidRPr="00087A72">
        <w:rPr>
          <w:rFonts w:cs="Arial"/>
          <w:sz w:val="14"/>
          <w:szCs w:val="28"/>
        </w:rPr>
        <w:t xml:space="preserve"> </w:t>
      </w:r>
      <w:r w:rsidRPr="00087A72">
        <w:rPr>
          <w:rFonts w:eastAsia="Calibri" w:cs="Arial"/>
          <w:sz w:val="14"/>
          <w:szCs w:val="28"/>
        </w:rPr>
        <w:t>can</w:t>
      </w:r>
      <w:r w:rsidRPr="00087A72">
        <w:rPr>
          <w:rFonts w:cs="Arial"/>
          <w:sz w:val="14"/>
          <w:szCs w:val="28"/>
        </w:rPr>
        <w:t xml:space="preserve"> </w:t>
      </w:r>
      <w:r w:rsidRPr="00087A72">
        <w:rPr>
          <w:rFonts w:eastAsia="Calibri" w:cs="Arial"/>
          <w:sz w:val="14"/>
          <w:szCs w:val="28"/>
        </w:rPr>
        <w:t>impel</w:t>
      </w:r>
      <w:r w:rsidRPr="00087A72">
        <w:rPr>
          <w:rFonts w:cs="Arial"/>
          <w:sz w:val="14"/>
          <w:szCs w:val="28"/>
        </w:rPr>
        <w:t xml:space="preserve"> </w:t>
      </w:r>
      <w:r w:rsidRPr="00087A72">
        <w:rPr>
          <w:rFonts w:eastAsia="Calibri" w:cs="Arial"/>
          <w:sz w:val="14"/>
          <w:szCs w:val="28"/>
        </w:rPr>
        <w:t>us</w:t>
      </w:r>
      <w:r w:rsidRPr="00087A72">
        <w:rPr>
          <w:rFonts w:cs="Arial"/>
          <w:sz w:val="14"/>
          <w:szCs w:val="28"/>
        </w:rPr>
        <w:t xml:space="preserve"> </w:t>
      </w:r>
      <w:r w:rsidRPr="00087A72">
        <w:rPr>
          <w:rFonts w:eastAsia="Calibri" w:cs="Arial"/>
          <w:sz w:val="14"/>
          <w:szCs w:val="28"/>
        </w:rPr>
        <w:t>to</w:t>
      </w:r>
      <w:r w:rsidRPr="00087A72">
        <w:rPr>
          <w:rFonts w:cs="Arial"/>
          <w:sz w:val="14"/>
          <w:szCs w:val="28"/>
        </w:rPr>
        <w:t xml:space="preserve"> </w:t>
      </w:r>
      <w:r w:rsidRPr="00087A72">
        <w:rPr>
          <w:rFonts w:eastAsia="Calibri" w:cs="Arial"/>
          <w:sz w:val="14"/>
          <w:szCs w:val="28"/>
        </w:rPr>
        <w:t>reproduce</w:t>
      </w:r>
      <w:r w:rsidRPr="00087A72">
        <w:rPr>
          <w:rFonts w:cs="Arial"/>
          <w:sz w:val="14"/>
          <w:szCs w:val="28"/>
        </w:rPr>
        <w:t xml:space="preserve"> </w:t>
      </w:r>
      <w:r w:rsidRPr="00087A72">
        <w:rPr>
          <w:rFonts w:eastAsia="Calibri" w:cs="Arial"/>
          <w:sz w:val="14"/>
          <w:szCs w:val="28"/>
        </w:rPr>
        <w:t>the</w:t>
      </w:r>
      <w:r w:rsidRPr="00087A72">
        <w:rPr>
          <w:rFonts w:cs="Arial"/>
          <w:sz w:val="14"/>
          <w:szCs w:val="28"/>
        </w:rPr>
        <w:t xml:space="preserve"> </w:t>
      </w:r>
      <w:r w:rsidRPr="00087A72">
        <w:rPr>
          <w:rFonts w:eastAsia="Calibri" w:cs="Arial"/>
          <w:sz w:val="14"/>
          <w:szCs w:val="28"/>
        </w:rPr>
        <w:t>current</w:t>
      </w:r>
      <w:r w:rsidRPr="00087A72">
        <w:rPr>
          <w:rFonts w:cs="Arial"/>
          <w:sz w:val="14"/>
          <w:szCs w:val="28"/>
        </w:rPr>
        <w:t xml:space="preserve"> </w:t>
      </w:r>
      <w:r w:rsidRPr="00087A72">
        <w:rPr>
          <w:rFonts w:eastAsia="Calibri" w:cs="Arial"/>
          <w:sz w:val="14"/>
          <w:szCs w:val="28"/>
        </w:rPr>
        <w:t>social</w:t>
      </w:r>
      <w:r w:rsidRPr="00087A72">
        <w:rPr>
          <w:rFonts w:cs="Arial"/>
          <w:sz w:val="14"/>
          <w:szCs w:val="28"/>
        </w:rPr>
        <w:t xml:space="preserve"> </w:t>
      </w:r>
      <w:r w:rsidRPr="00087A72">
        <w:rPr>
          <w:rFonts w:eastAsia="Calibri" w:cs="Arial"/>
          <w:sz w:val="14"/>
          <w:szCs w:val="28"/>
        </w:rPr>
        <w:t>order</w:t>
      </w:r>
      <w:r w:rsidRPr="00087A72">
        <w:rPr>
          <w:rFonts w:cs="Arial"/>
          <w:sz w:val="14"/>
          <w:szCs w:val="28"/>
        </w:rPr>
        <w:t xml:space="preserve"> </w:t>
      </w:r>
      <w:r w:rsidRPr="00087A72">
        <w:rPr>
          <w:rFonts w:eastAsia="Calibri" w:cs="Arial"/>
          <w:sz w:val="14"/>
          <w:szCs w:val="28"/>
        </w:rPr>
        <w:t>as</w:t>
      </w:r>
      <w:r w:rsidRPr="00087A72">
        <w:rPr>
          <w:rFonts w:cs="Arial"/>
          <w:sz w:val="14"/>
          <w:szCs w:val="28"/>
        </w:rPr>
        <w:t xml:space="preserve"> </w:t>
      </w:r>
      <w:r w:rsidRPr="00087A72">
        <w:rPr>
          <w:rFonts w:eastAsia="Calibri" w:cs="Arial"/>
          <w:sz w:val="14"/>
          <w:szCs w:val="28"/>
        </w:rPr>
        <w:t>it</w:t>
      </w:r>
      <w:r w:rsidRPr="00087A72">
        <w:rPr>
          <w:rFonts w:cs="Arial"/>
          <w:sz w:val="14"/>
          <w:szCs w:val="28"/>
        </w:rPr>
        <w:t xml:space="preserve"> </w:t>
      </w:r>
      <w:r w:rsidRPr="00087A72">
        <w:rPr>
          <w:rFonts w:eastAsia="Calibri" w:cs="Arial"/>
          <w:sz w:val="14"/>
          <w:szCs w:val="28"/>
        </w:rPr>
        <w:t>is</w:t>
      </w:r>
      <w:r w:rsidRPr="00087A72">
        <w:rPr>
          <w:rFonts w:cs="Arial"/>
          <w:sz w:val="14"/>
          <w:szCs w:val="28"/>
        </w:rPr>
        <w:t>.</w:t>
      </w:r>
      <w:r w:rsidRPr="00087A72">
        <w:rPr>
          <w:rFonts w:eastAsia="Calibri" w:cs="Arial"/>
          <w:sz w:val="14"/>
          <w:szCs w:val="28"/>
        </w:rPr>
        <w:t>Thus</w:t>
      </w:r>
      <w:r w:rsidRPr="00087A72">
        <w:rPr>
          <w:rFonts w:cs="Arial"/>
          <w:sz w:val="14"/>
          <w:szCs w:val="28"/>
        </w:rPr>
        <w:t xml:space="preserve"> </w:t>
      </w:r>
      <w:r w:rsidRPr="00087A72">
        <w:rPr>
          <w:rFonts w:eastAsia="Calibri" w:cs="Arial"/>
          <w:sz w:val="14"/>
          <w:szCs w:val="28"/>
        </w:rPr>
        <w:t>Edelman</w:t>
      </w:r>
      <w:r w:rsidRPr="00087A72">
        <w:rPr>
          <w:rFonts w:cs="Arial"/>
          <w:sz w:val="14"/>
          <w:szCs w:val="28"/>
        </w:rPr>
        <w:t xml:space="preserve"> </w:t>
      </w:r>
      <w:r w:rsidRPr="00087A72">
        <w:rPr>
          <w:rFonts w:eastAsia="Calibri" w:cs="Arial"/>
          <w:sz w:val="14"/>
          <w:szCs w:val="28"/>
        </w:rPr>
        <w:t>is</w:t>
      </w:r>
      <w:r w:rsidRPr="00087A72">
        <w:rPr>
          <w:rFonts w:cs="Arial"/>
          <w:sz w:val="14"/>
          <w:szCs w:val="28"/>
        </w:rPr>
        <w:t xml:space="preserve"> </w:t>
      </w:r>
      <w:r w:rsidRPr="00087A72">
        <w:rPr>
          <w:rFonts w:eastAsia="Calibri" w:cs="Arial"/>
          <w:sz w:val="14"/>
          <w:szCs w:val="28"/>
        </w:rPr>
        <w:t>offering</w:t>
      </w:r>
      <w:r w:rsidRPr="00087A72">
        <w:rPr>
          <w:rFonts w:cs="Arial"/>
          <w:sz w:val="14"/>
          <w:szCs w:val="28"/>
        </w:rPr>
        <w:t xml:space="preserve"> </w:t>
      </w:r>
      <w:r w:rsidRPr="00087A72">
        <w:rPr>
          <w:rFonts w:eastAsia="Calibri" w:cs="Arial"/>
          <w:sz w:val="14"/>
          <w:szCs w:val="28"/>
        </w:rPr>
        <w:t>a</w:t>
      </w:r>
      <w:r w:rsidRPr="00087A72">
        <w:rPr>
          <w:rFonts w:cs="Arial"/>
          <w:sz w:val="14"/>
          <w:szCs w:val="28"/>
        </w:rPr>
        <w:t xml:space="preserve"> </w:t>
      </w:r>
      <w:r w:rsidRPr="00087A72">
        <w:rPr>
          <w:rFonts w:eastAsia="Calibri" w:cs="Arial"/>
          <w:sz w:val="14"/>
          <w:szCs w:val="28"/>
        </w:rPr>
        <w:t>potentially</w:t>
      </w:r>
      <w:r w:rsidRPr="00087A72">
        <w:rPr>
          <w:rFonts w:cs="Arial"/>
          <w:sz w:val="14"/>
          <w:szCs w:val="28"/>
        </w:rPr>
        <w:t xml:space="preserve"> </w:t>
      </w:r>
      <w:r w:rsidRPr="00087A72">
        <w:rPr>
          <w:rFonts w:eastAsia="Calibri" w:cs="Arial"/>
          <w:sz w:val="14"/>
          <w:szCs w:val="28"/>
        </w:rPr>
        <w:t>radical</w:t>
      </w:r>
      <w:r w:rsidRPr="00087A72">
        <w:rPr>
          <w:rFonts w:cs="Arial"/>
          <w:sz w:val="14"/>
          <w:szCs w:val="28"/>
        </w:rPr>
        <w:t xml:space="preserve"> </w:t>
      </w:r>
      <w:r w:rsidRPr="00087A72">
        <w:rPr>
          <w:rFonts w:eastAsia="Calibri" w:cs="Arial"/>
          <w:sz w:val="14"/>
          <w:szCs w:val="28"/>
        </w:rPr>
        <w:t>critique</w:t>
      </w:r>
      <w:r w:rsidRPr="00087A72">
        <w:rPr>
          <w:rFonts w:cs="Arial"/>
          <w:sz w:val="14"/>
          <w:szCs w:val="28"/>
        </w:rPr>
        <w:t xml:space="preserve"> </w:t>
      </w:r>
      <w:r w:rsidRPr="00087A72">
        <w:rPr>
          <w:rFonts w:eastAsia="Calibri" w:cs="Arial"/>
          <w:sz w:val="14"/>
          <w:szCs w:val="28"/>
        </w:rPr>
        <w:t>of</w:t>
      </w:r>
      <w:r w:rsidRPr="00087A72">
        <w:rPr>
          <w:rFonts w:cs="Arial"/>
          <w:sz w:val="14"/>
          <w:szCs w:val="28"/>
        </w:rPr>
        <w:t xml:space="preserve"> </w:t>
      </w:r>
      <w:r w:rsidRPr="00087A72">
        <w:rPr>
          <w:rFonts w:eastAsia="Calibri" w:cs="Arial"/>
          <w:sz w:val="14"/>
          <w:szCs w:val="28"/>
        </w:rPr>
        <w:t>organizing</w:t>
      </w:r>
      <w:r w:rsidRPr="00087A72">
        <w:rPr>
          <w:rFonts w:cs="Arial"/>
          <w:sz w:val="14"/>
          <w:szCs w:val="28"/>
        </w:rPr>
        <w:t xml:space="preserve"> </w:t>
      </w:r>
      <w:r w:rsidRPr="00087A72">
        <w:rPr>
          <w:rFonts w:eastAsia="Calibri" w:cs="Arial"/>
          <w:sz w:val="14"/>
          <w:szCs w:val="28"/>
        </w:rPr>
        <w:t>that</w:t>
      </w:r>
      <w:r w:rsidRPr="00087A72">
        <w:rPr>
          <w:rFonts w:cs="Arial"/>
          <w:sz w:val="14"/>
          <w:szCs w:val="28"/>
        </w:rPr>
        <w:t xml:space="preserve"> </w:t>
      </w:r>
      <w:r w:rsidRPr="00087A72">
        <w:rPr>
          <w:rFonts w:eastAsia="Calibri" w:cs="Arial"/>
          <w:sz w:val="14"/>
          <w:szCs w:val="28"/>
        </w:rPr>
        <w:t>can</w:t>
      </w:r>
      <w:r w:rsidRPr="00087A72">
        <w:rPr>
          <w:rFonts w:cs="Arial"/>
          <w:sz w:val="14"/>
          <w:szCs w:val="28"/>
        </w:rPr>
        <w:t xml:space="preserve"> </w:t>
      </w:r>
      <w:r w:rsidRPr="00087A72">
        <w:rPr>
          <w:rFonts w:eastAsia="Calibri" w:cs="Arial"/>
          <w:sz w:val="14"/>
          <w:szCs w:val="28"/>
        </w:rPr>
        <w:t>be</w:t>
      </w:r>
      <w:r w:rsidRPr="00087A72">
        <w:rPr>
          <w:rFonts w:cs="Arial"/>
          <w:sz w:val="14"/>
          <w:szCs w:val="28"/>
        </w:rPr>
        <w:t xml:space="preserve"> </w:t>
      </w:r>
      <w:r w:rsidRPr="00087A72">
        <w:rPr>
          <w:rFonts w:eastAsia="Calibri" w:cs="Arial"/>
          <w:sz w:val="14"/>
          <w:szCs w:val="28"/>
        </w:rPr>
        <w:t>akin</w:t>
      </w:r>
      <w:r w:rsidRPr="00087A72">
        <w:rPr>
          <w:rFonts w:cs="Arial"/>
          <w:sz w:val="14"/>
          <w:szCs w:val="28"/>
        </w:rPr>
        <w:t xml:space="preserve"> </w:t>
      </w:r>
      <w:r w:rsidRPr="00087A72">
        <w:rPr>
          <w:rFonts w:eastAsia="Calibri" w:cs="Arial"/>
          <w:sz w:val="14"/>
          <w:szCs w:val="28"/>
        </w:rPr>
        <w:t>to</w:t>
      </w:r>
      <w:r w:rsidRPr="00087A72">
        <w:rPr>
          <w:rFonts w:cs="Arial"/>
          <w:sz w:val="14"/>
          <w:szCs w:val="28"/>
        </w:rPr>
        <w:t xml:space="preserve"> </w:t>
      </w:r>
      <w:r w:rsidRPr="00087A72">
        <w:rPr>
          <w:rFonts w:eastAsia="Calibri" w:cs="Arial"/>
          <w:sz w:val="14"/>
          <w:szCs w:val="28"/>
        </w:rPr>
        <w:t>a</w:t>
      </w:r>
      <w:r w:rsidRPr="00087A72">
        <w:rPr>
          <w:rFonts w:cs="Arial"/>
          <w:sz w:val="14"/>
          <w:szCs w:val="28"/>
        </w:rPr>
        <w:t xml:space="preserve"> </w:t>
      </w:r>
      <w:r w:rsidRPr="00087A72">
        <w:rPr>
          <w:rFonts w:eastAsia="Calibri" w:cs="Arial"/>
          <w:sz w:val="14"/>
          <w:szCs w:val="28"/>
        </w:rPr>
        <w:t>revolution</w:t>
      </w:r>
      <w:r w:rsidRPr="00087A72">
        <w:rPr>
          <w:rFonts w:cs="Arial"/>
          <w:sz w:val="14"/>
          <w:szCs w:val="28"/>
        </w:rPr>
        <w:t xml:space="preserve"> </w:t>
      </w:r>
      <w:r w:rsidRPr="00087A72">
        <w:rPr>
          <w:rFonts w:eastAsia="Calibri" w:cs="Arial"/>
          <w:sz w:val="14"/>
          <w:szCs w:val="28"/>
        </w:rPr>
        <w:t>without</w:t>
      </w:r>
      <w:r w:rsidRPr="00087A72">
        <w:rPr>
          <w:rFonts w:cs="Arial"/>
          <w:sz w:val="14"/>
          <w:szCs w:val="28"/>
        </w:rPr>
        <w:t xml:space="preserve"> </w:t>
      </w:r>
      <w:r w:rsidRPr="00087A72">
        <w:rPr>
          <w:rFonts w:eastAsia="Calibri" w:cs="Arial"/>
          <w:sz w:val="14"/>
          <w:szCs w:val="28"/>
        </w:rPr>
        <w:t>guarantees</w:t>
      </w:r>
      <w:r w:rsidRPr="00087A72">
        <w:rPr>
          <w:rFonts w:cs="Arial"/>
          <w:sz w:val="14"/>
          <w:szCs w:val="28"/>
        </w:rPr>
        <w:t xml:space="preserve">: </w:t>
      </w:r>
      <w:r w:rsidRPr="00087A72">
        <w:rPr>
          <w:rFonts w:eastAsia="Calibri" w:cs="Arial"/>
          <w:sz w:val="14"/>
          <w:szCs w:val="28"/>
        </w:rPr>
        <w:t>an</w:t>
      </w:r>
      <w:r w:rsidRPr="00087A72">
        <w:rPr>
          <w:rFonts w:cs="Arial"/>
          <w:sz w:val="14"/>
          <w:szCs w:val="28"/>
        </w:rPr>
        <w:t xml:space="preserve"> </w:t>
      </w:r>
      <w:r w:rsidRPr="00087A72">
        <w:rPr>
          <w:rFonts w:eastAsia="Calibri" w:cs="Arial"/>
          <w:sz w:val="14"/>
          <w:szCs w:val="28"/>
        </w:rPr>
        <w:t>antinormativizing</w:t>
      </w:r>
      <w:r w:rsidRPr="00087A72">
        <w:rPr>
          <w:rFonts w:cs="Arial"/>
          <w:sz w:val="14"/>
          <w:szCs w:val="28"/>
        </w:rPr>
        <w:t xml:space="preserve"> </w:t>
      </w:r>
      <w:r w:rsidRPr="00087A72">
        <w:rPr>
          <w:rFonts w:eastAsia="Calibri" w:cs="Arial"/>
          <w:sz w:val="14"/>
          <w:szCs w:val="28"/>
        </w:rPr>
        <w:t>of</w:t>
      </w:r>
      <w:r w:rsidRPr="00087A72">
        <w:rPr>
          <w:rFonts w:cs="Arial"/>
          <w:sz w:val="14"/>
          <w:szCs w:val="28"/>
        </w:rPr>
        <w:t xml:space="preserve"> </w:t>
      </w:r>
      <w:r w:rsidRPr="00087A72">
        <w:rPr>
          <w:rFonts w:eastAsia="Calibri" w:cs="Arial"/>
          <w:sz w:val="14"/>
          <w:szCs w:val="28"/>
        </w:rPr>
        <w:t>political</w:t>
      </w:r>
      <w:r w:rsidRPr="00087A72">
        <w:rPr>
          <w:rFonts w:cs="Arial"/>
          <w:sz w:val="14"/>
          <w:szCs w:val="28"/>
        </w:rPr>
        <w:t xml:space="preserve"> </w:t>
      </w:r>
      <w:r w:rsidRPr="00087A72">
        <w:rPr>
          <w:rFonts w:eastAsia="Calibri" w:cs="Arial"/>
          <w:sz w:val="14"/>
          <w:szCs w:val="28"/>
        </w:rPr>
        <w:t>struggle</w:t>
      </w:r>
      <w:r w:rsidRPr="00087A72">
        <w:rPr>
          <w:rFonts w:cs="Arial"/>
          <w:sz w:val="14"/>
          <w:szCs w:val="28"/>
        </w:rPr>
        <w:t xml:space="preserve"> </w:t>
      </w:r>
      <w:r w:rsidRPr="00087A72">
        <w:rPr>
          <w:rFonts w:eastAsia="Calibri" w:cs="Arial"/>
          <w:sz w:val="14"/>
          <w:szCs w:val="28"/>
        </w:rPr>
        <w:t>that</w:t>
      </w:r>
      <w:r w:rsidRPr="00087A72">
        <w:rPr>
          <w:rFonts w:cs="Arial"/>
          <w:sz w:val="14"/>
          <w:szCs w:val="28"/>
        </w:rPr>
        <w:t xml:space="preserve"> </w:t>
      </w:r>
      <w:r w:rsidRPr="00087A72">
        <w:rPr>
          <w:rFonts w:eastAsia="Calibri" w:cs="Arial"/>
          <w:sz w:val="14"/>
          <w:szCs w:val="28"/>
        </w:rPr>
        <w:t>challenges</w:t>
      </w:r>
      <w:r w:rsidRPr="00087A72">
        <w:rPr>
          <w:rFonts w:cs="Arial"/>
          <w:sz w:val="14"/>
          <w:szCs w:val="28"/>
        </w:rPr>
        <w:t xml:space="preserve"> </w:t>
      </w:r>
      <w:r w:rsidRPr="00087A72">
        <w:rPr>
          <w:rFonts w:eastAsia="Calibri" w:cs="Arial"/>
          <w:sz w:val="14"/>
          <w:szCs w:val="28"/>
        </w:rPr>
        <w:t>how</w:t>
      </w:r>
      <w:r w:rsidRPr="00087A72">
        <w:rPr>
          <w:rFonts w:cs="Arial"/>
          <w:sz w:val="14"/>
          <w:szCs w:val="28"/>
        </w:rPr>
        <w:t xml:space="preserve"> </w:t>
      </w:r>
      <w:r w:rsidRPr="00087A72">
        <w:rPr>
          <w:rFonts w:eastAsia="Calibri" w:cs="Arial"/>
          <w:sz w:val="14"/>
          <w:szCs w:val="28"/>
        </w:rPr>
        <w:t>social</w:t>
      </w:r>
      <w:r w:rsidRPr="00087A72">
        <w:rPr>
          <w:rFonts w:cs="Arial"/>
          <w:sz w:val="14"/>
          <w:szCs w:val="28"/>
        </w:rPr>
        <w:t xml:space="preserve"> </w:t>
      </w:r>
      <w:r w:rsidRPr="00087A72">
        <w:rPr>
          <w:rFonts w:eastAsia="Calibri" w:cs="Arial"/>
          <w:sz w:val="14"/>
          <w:szCs w:val="28"/>
        </w:rPr>
        <w:t>norms</w:t>
      </w:r>
      <w:r w:rsidRPr="00087A72">
        <w:rPr>
          <w:rFonts w:cs="Arial"/>
          <w:sz w:val="14"/>
          <w:szCs w:val="28"/>
        </w:rPr>
        <w:t xml:space="preserve"> </w:t>
      </w:r>
      <w:r w:rsidRPr="00087A72">
        <w:rPr>
          <w:rFonts w:eastAsia="Calibri" w:cs="Arial"/>
          <w:sz w:val="14"/>
          <w:szCs w:val="28"/>
        </w:rPr>
        <w:t>are</w:t>
      </w:r>
      <w:r w:rsidRPr="00087A72">
        <w:rPr>
          <w:rFonts w:cs="Arial"/>
          <w:sz w:val="14"/>
          <w:szCs w:val="28"/>
        </w:rPr>
        <w:t xml:space="preserve"> </w:t>
      </w:r>
      <w:r w:rsidRPr="00087A72">
        <w:rPr>
          <w:rFonts w:eastAsia="Calibri" w:cs="Arial"/>
          <w:sz w:val="14"/>
          <w:szCs w:val="28"/>
        </w:rPr>
        <w:t>being</w:t>
      </w:r>
      <w:r w:rsidRPr="00087A72">
        <w:rPr>
          <w:rFonts w:cs="Arial"/>
          <w:sz w:val="14"/>
          <w:szCs w:val="28"/>
        </w:rPr>
        <w:t xml:space="preserve"> </w:t>
      </w:r>
      <w:r w:rsidRPr="00087A72">
        <w:rPr>
          <w:rFonts w:eastAsia="Calibri" w:cs="Arial"/>
          <w:sz w:val="14"/>
          <w:szCs w:val="28"/>
        </w:rPr>
        <w:t>reproduced</w:t>
      </w:r>
      <w:r w:rsidRPr="00087A72">
        <w:rPr>
          <w:rFonts w:cs="Arial"/>
          <w:sz w:val="14"/>
          <w:szCs w:val="28"/>
        </w:rPr>
        <w:t xml:space="preserve"> </w:t>
      </w:r>
      <w:r w:rsidRPr="00087A72">
        <w:rPr>
          <w:rFonts w:eastAsia="Calibri" w:cs="Arial"/>
          <w:sz w:val="14"/>
          <w:szCs w:val="28"/>
        </w:rPr>
        <w:t>at</w:t>
      </w:r>
      <w:r w:rsidRPr="00087A72">
        <w:rPr>
          <w:rFonts w:cs="Arial"/>
          <w:sz w:val="14"/>
          <w:szCs w:val="28"/>
        </w:rPr>
        <w:t xml:space="preserve"> </w:t>
      </w:r>
      <w:r w:rsidRPr="00087A72">
        <w:rPr>
          <w:rFonts w:eastAsia="Calibri" w:cs="Arial"/>
          <w:sz w:val="14"/>
          <w:szCs w:val="28"/>
        </w:rPr>
        <w:t>every</w:t>
      </w:r>
      <w:r w:rsidRPr="00087A72">
        <w:rPr>
          <w:rFonts w:cs="Arial"/>
          <w:sz w:val="14"/>
          <w:szCs w:val="28"/>
        </w:rPr>
        <w:t xml:space="preserve"> </w:t>
      </w:r>
      <w:r w:rsidRPr="00087A72">
        <w:rPr>
          <w:rFonts w:eastAsia="Calibri" w:cs="Arial"/>
          <w:sz w:val="14"/>
          <w:szCs w:val="28"/>
        </w:rPr>
        <w:t>turn</w:t>
      </w:r>
      <w:r w:rsidRPr="00087A72">
        <w:rPr>
          <w:rFonts w:cs="Arial"/>
          <w:sz w:val="14"/>
          <w:szCs w:val="28"/>
        </w:rPr>
        <w:t xml:space="preserve">. </w:t>
      </w:r>
      <w:r w:rsidRPr="00087A72">
        <w:rPr>
          <w:rFonts w:eastAsia="Times New Roman" w:cs="Arial"/>
          <w:sz w:val="14"/>
        </w:rPr>
        <w:t xml:space="preserve">This analysis could cohere with Judith Butler’s critique of origin stories. Butler demonstrates how </w:t>
      </w:r>
      <w:r w:rsidRPr="00087A72">
        <w:rPr>
          <w:rFonts w:eastAsia="Times New Roman" w:cs="Arial"/>
          <w:b/>
          <w:sz w:val="28"/>
          <w:szCs w:val="28"/>
          <w:u w:val="single"/>
        </w:rPr>
        <w:t>the past is mobilized to support contemporary oppressive political regimes</w:t>
      </w:r>
      <w:r w:rsidRPr="00087A72">
        <w:rPr>
          <w:rFonts w:eastAsia="Times New Roman" w:cs="Arial"/>
          <w:b/>
          <w:sz w:val="14"/>
          <w:szCs w:val="28"/>
        </w:rPr>
        <w:t xml:space="preserve"> </w:t>
      </w:r>
      <w:r w:rsidRPr="00087A72">
        <w:rPr>
          <w:rFonts w:eastAsia="Times New Roman" w:cs="Arial"/>
          <w:sz w:val="14"/>
        </w:rPr>
        <w:t xml:space="preserve">in the way the future is similarly mobilized under Edelman’s framework. Butler critiques theorists who posit a naturalized prediscursive sexed body as the foundation by which to critique contemporary heteropatriarchal practices. She argues that </w:t>
      </w:r>
      <w:r w:rsidRPr="00087A72">
        <w:rPr>
          <w:rFonts w:eastAsia="Times New Roman" w:cs="Arial"/>
          <w:b/>
          <w:sz w:val="28"/>
          <w:szCs w:val="28"/>
          <w:u w:val="single"/>
        </w:rPr>
        <w:t>theorizing a prediscursive body necessarily means that the body cannot be prediscursive, since its account takes place within a discursive economy, and hence its account cannot be made outside prevailing power relations within its discursive economy.</w:t>
      </w:r>
      <w:r w:rsidRPr="00087A72">
        <w:rPr>
          <w:rFonts w:eastAsia="Times New Roman" w:cs="Arial"/>
          <w:sz w:val="14"/>
        </w:rPr>
        <w:t xml:space="preserve"> </w:t>
      </w:r>
      <w:r w:rsidRPr="00087A72">
        <w:rPr>
          <w:rFonts w:eastAsia="Times New Roman" w:cs="Arial"/>
          <w:b/>
          <w:sz w:val="28"/>
          <w:szCs w:val="28"/>
          <w:u w:val="single"/>
        </w:rPr>
        <w:t>But positing the body as prediscursive allows the theorist to disavow her or his political investments because the theorist is supposedly rendering an account of the body prior to power relations.</w:t>
      </w:r>
      <w:r w:rsidRPr="00087A72">
        <w:rPr>
          <w:rFonts w:eastAsia="Times New Roman" w:cs="Arial"/>
          <w:sz w:val="14"/>
        </w:rPr>
        <w:t xml:space="preserve"> Butler’s critique could then be more broadly applied to a critique of “origin stories.” That is, when </w:t>
      </w:r>
      <w:r w:rsidRPr="00087A72">
        <w:rPr>
          <w:rFonts w:eastAsia="Times New Roman" w:cs="Arial"/>
          <w:b/>
          <w:sz w:val="28"/>
          <w:szCs w:val="28"/>
          <w:u w:val="single"/>
        </w:rPr>
        <w:t>we critique a contemporary context through an appeal to a prior state before “the fall,” we are necessarily masking power relations through evoking lost origins</w:t>
      </w:r>
      <w:r w:rsidRPr="00087A72">
        <w:rPr>
          <w:rFonts w:eastAsia="Times New Roman" w:cs="Arial"/>
          <w:sz w:val="14"/>
        </w:rPr>
        <w:t xml:space="preserve">. “The self-justification of a repressive . . . law almost always grounds itself in a story about what it was like before the advent of the law. . . . The fabrication of those origins . . . thereby justifies, the Constitution of the law . . . making the constitution of the law appear as a historical inevitability.”23 Butler’s analysis of “origin stories,” in conversation with Jennifer Denetdale’s critique of Native tradition, demonstrates how the appeal to “tradition” often serves as the origin story that buttresses heteropatriarchy and other forms of oppression with munities while disavowing its political investments.24 In her critique of anti-Black racism, homophobia, and U.S. patriotism within Native communities, Denetdale argues that Native communities often support Christian Right ideologies in the name of tradition. Edelman’s critique of futurity could add to Denetdale’s critique of tradition by assessing how organizing for the “seventh generation” coalesces with uncritical uses of tradition to ensure that Native communities reproduce the colonial status quo with its attendant heteropatriarchy. Thus normative futurity depends on an “origin story.” The future is legitimated as a continuation of the past. Here I am reminded of how I have often heard Native activists say, “Let us not work on domestic or other forms of gender violence now, we must work on survival issues first.”25 Of course, since Native women are the women most likely to be killed by acts of gender violence in the United States, they are clearly not surviving. The many works on Native women and feminism that say that we are “American Indian women in that order,” that position gender justice as something to be addressed after decolonization, all speak to how this politics of futurity sacrifices the lives of women and those who are not gender normative for the indefinitely postponed postcolonial future. As Denetdale notes, the Native nationhood that becomes articulated under this strategy of futurity is one that supports heteropatriarchy, U.S. imperialism, anti-Black 48 an anti-oppositional politic can quickly lapse into a leftist cynicism, in which all politics are dismissed as “reproductive” with no disruptive potential. This cynicism then becomes an apology for maintaining the status quo. As Muñoz argues: “The here and now is simply not enough. Queerness should and could be about a desire for another way of being in both the world and time, a desire that resists mandates to accept that which is not enough.”29 A politics of “opting out” clearly privileges those who are relatively more comfortable under the current situation. For indigenous peoples, however, who face genocide, as well as all peoples subjected to conditions of starvation, violence, and war, opting out is simply not an option. The question then arises, who will be left when we opt out of a struggle against white supremacy, settler colonialism, and capitalism? Those most immediately sacrificed in this “anti-oppositional” politic are indigenous peoples, poor peoples, and all those whose lives are under immediate attack. Thus, while Edelman contends that </w:t>
      </w:r>
      <w:r w:rsidRPr="00087A72">
        <w:rPr>
          <w:rFonts w:eastAsia="Times New Roman" w:cs="Arial"/>
          <w:b/>
          <w:sz w:val="28"/>
          <w:szCs w:val="28"/>
          <w:u w:val="single"/>
        </w:rPr>
        <w:t>the Child</w:t>
      </w:r>
      <w:r w:rsidRPr="00087A72">
        <w:rPr>
          <w:rFonts w:eastAsia="Times New Roman" w:cs="Arial"/>
          <w:sz w:val="14"/>
        </w:rPr>
        <w:t xml:space="preserve"> can be analytically separated from actual children, Muñoz demonstrates that Edelman’s Child </w:t>
      </w:r>
      <w:r w:rsidRPr="00087A72">
        <w:rPr>
          <w:rFonts w:eastAsia="Times New Roman" w:cs="Arial"/>
          <w:b/>
          <w:sz w:val="28"/>
          <w:szCs w:val="28"/>
          <w:u w:val="single"/>
        </w:rPr>
        <w:t>is nonetheless a disavowed white Child</w:t>
      </w:r>
      <w:r w:rsidRPr="00087A72">
        <w:rPr>
          <w:rFonts w:eastAsia="Times New Roman" w:cs="Arial"/>
          <w:sz w:val="14"/>
        </w:rPr>
        <w:t>. “The future is the stuff of some kids</w:t>
      </w:r>
      <w:r w:rsidRPr="00087A72">
        <w:rPr>
          <w:rFonts w:eastAsia="Times New Roman" w:cs="Arial"/>
          <w:b/>
          <w:sz w:val="28"/>
          <w:szCs w:val="28"/>
          <w:u w:val="single"/>
        </w:rPr>
        <w:t>. Racialized kids, queer kids, are not the sovereign princes of futurity</w:t>
      </w:r>
      <w:r w:rsidRPr="00087A72">
        <w:rPr>
          <w:rFonts w:eastAsia="Times New Roman" w:cs="Arial"/>
          <w:sz w:val="14"/>
        </w:rPr>
        <w:t xml:space="preserve">. [Edelman’s] framing nonetheless accepts and reproduces this monolithic future of the child that is indeed always already white.”30 An indigenous critique must question the value of “no future” in the context of genocide, where Native peoples have already been determined by settler colonialism to have no future. If the goal of queerness is to challenge the reproduction of the social order, then the Native child may already be queered. For instance, Colonel John Chivington, the leader of the famous massacre at Sand Creek, charged his followers to not only kill Native adults but to mutilate their reproductive organs and to kill their children because “nits make lice.”31 In this context, </w:t>
      </w:r>
      <w:r w:rsidRPr="00087A72">
        <w:rPr>
          <w:rFonts w:eastAsia="Times New Roman" w:cs="Arial"/>
          <w:b/>
          <w:sz w:val="28"/>
          <w:szCs w:val="28"/>
          <w:u w:val="single"/>
        </w:rPr>
        <w:t>the Native Child is not the guarantor of the reproductive future of white supremacy; it is the nit that undoes it</w:t>
      </w:r>
      <w:r w:rsidRPr="00087A72">
        <w:rPr>
          <w:rFonts w:eastAsia="Times New Roman" w:cs="Arial"/>
          <w:sz w:val="14"/>
        </w:rPr>
        <w:t xml:space="preserve">. In addition, while both “tradition” and “the future” must be critically engaged, it does not follow that they can be dismissed. As with identity, the notion of a tradition-free subject simply reinstantiates the notion of a liberal subject who is free from past encumbrances. As Elizabeth Povinelli’s work suggests, the liberal subject articulates itself as an autological subject that is completely selfdetermining over and against the “genealogical” subject (i.e., the indigenous subject) trapped within tradition, determined by the past and the future.32 Essentially then, this call for “no future” relies on a primitivizing discourse that positions the [white] queer subject in relation to a premodern subject who is locked in history. The “Native” serves as the origin story that generates the autonomous present for the white queer subject. As Jasbir Puar notes, this articulation of queerness as “freedom from norms” actually relies on a genocidal logic of biopower that separates those who should live from those who must die.33 That is, for the queer subject to live under Edelman’s analysis, it must be freed from genealogical, primitivist subjects who are hopelessly tied to reproductive futures. This impulse is similar to Warner’s juxtaposition of a transgressive queer subject with the racialized subject trapped within identity and ethnic organization. Puar terms this tendency a “sexual exceptionalism” that mirrors U.S. exceptionalism, in which a white queer subject reinscribes a U.S. homonormativity by positioning himself/herself in an imperialist relationship to those ethnic subjects deemed unable to transgress. “Queerness has its own exceptionalist desires: exceptionalism is a founding impulse. . .. ‘Freedom from norms’ resonates with liberal humanism’s authorization of the fully selfpossessed speaking subject, untethered by hegemony or false consciousness, enabled by the life/stylization offerings of capitalism, rationally choosing modern individualism over the ensnaring bonds of family.”34 If we build on Silva’s previously described analysis, we can see that the Native queer or the queer of color then becomes situated at the “horizon of death” within a “no futures” queer theory: such individuals must free themselves from their Native identity and community to become fully self-determined subjects. They must forgo national self-determination for individual self-determination; they cannot have both. Racialized subjects trapped within primitive and pathological communities must give way to modern queer subjects. Puar’s analysis of biopower suggests that modern white queer subjects can live only if racialized subjects trapped in primitive and unenlightened cultures pass away. For instance, some LGBT organizations (as well as feminist organizations) supported the U.S. bombing of Afghanistan because the bombing would supposedly free queer people from the Taliban. Apparently, throwing bombs on people frees them. But of course, it was not actually queer people in Afghanistan who were the real subject of liberation—rather, modern queer subjects in the United States could live only if a sexually savage Afghanistan were eliminated. To quote Puar: “Queerness as automatically and inherently transgressive enacts specific forms of disciplining and control, erecting celebratory queer liberal subjects folded into life (queerness as subject) against the sexually pathological and defiant populations targeted for death (queerness as population).”35 Meanwhile, as Puar, Silva, and Povinelli imply, </w:t>
      </w:r>
      <w:r w:rsidRPr="00087A72">
        <w:rPr>
          <w:rFonts w:eastAsia="Times New Roman" w:cs="Arial"/>
          <w:b/>
          <w:sz w:val="28"/>
          <w:szCs w:val="28"/>
          <w:u w:val="single"/>
        </w:rPr>
        <w:t>the white</w:t>
      </w:r>
      <w:r w:rsidRPr="00087A72">
        <w:rPr>
          <w:rFonts w:eastAsia="Times New Roman" w:cs="Arial"/>
          <w:sz w:val="14"/>
        </w:rPr>
        <w:t xml:space="preserve"> queer </w:t>
      </w:r>
      <w:r w:rsidRPr="00087A72">
        <w:rPr>
          <w:rFonts w:eastAsia="Times New Roman" w:cs="Arial"/>
          <w:b/>
          <w:sz w:val="28"/>
          <w:szCs w:val="28"/>
          <w:u w:val="single"/>
        </w:rPr>
        <w:t>subject</w:t>
      </w:r>
      <w:r w:rsidRPr="00087A72">
        <w:rPr>
          <w:rFonts w:eastAsia="Times New Roman" w:cs="Arial"/>
          <w:sz w:val="14"/>
        </w:rPr>
        <w:t xml:space="preserve">, despite its disavowals, </w:t>
      </w:r>
      <w:r w:rsidRPr="00087A72">
        <w:rPr>
          <w:rFonts w:eastAsia="Times New Roman" w:cs="Arial"/>
          <w:b/>
          <w:sz w:val="28"/>
          <w:szCs w:val="28"/>
          <w:u w:val="single"/>
        </w:rPr>
        <w:t>is firmly rooted in a past, present, and future structured by the logics of white supremacy—it is as much complicit in, as it is transgressive of, the status quo</w:t>
      </w:r>
      <w:r w:rsidRPr="00087A72">
        <w:rPr>
          <w:rFonts w:eastAsia="Times New Roman" w:cs="Arial"/>
          <w:sz w:val="14"/>
        </w:rPr>
        <w:t xml:space="preserve">. Rather than disavow traditions and futures, it may be more politically efficacious to engage them critically. </w:t>
      </w:r>
      <w:r w:rsidRPr="00087A72">
        <w:rPr>
          <w:rFonts w:eastAsia="Times New Roman" w:cs="Arial"/>
          <w:b/>
          <w:sz w:val="28"/>
          <w:szCs w:val="28"/>
          <w:u w:val="single"/>
        </w:rPr>
        <w:t>The “no future” framework</w:t>
      </w:r>
      <w:r w:rsidRPr="00087A72">
        <w:rPr>
          <w:rFonts w:eastAsia="Times New Roman" w:cs="Arial"/>
          <w:sz w:val="14"/>
        </w:rPr>
        <w:t xml:space="preserve"> also </w:t>
      </w:r>
      <w:r w:rsidRPr="00087A72">
        <w:rPr>
          <w:rFonts w:eastAsia="Times New Roman" w:cs="Arial"/>
          <w:b/>
          <w:sz w:val="28"/>
          <w:szCs w:val="28"/>
          <w:u w:val="single"/>
        </w:rPr>
        <w:t>tends to presume a linear time frame, the normativity of which has been challenged by many Native scholars</w:t>
      </w:r>
      <w:r w:rsidRPr="00087A72">
        <w:rPr>
          <w:rFonts w:eastAsia="Times New Roman" w:cs="Arial"/>
          <w:sz w:val="14"/>
        </w:rPr>
        <w:t xml:space="preserve">, particularly Vine Deloria.36 He and others argue that indigenous epistemologies do not necessarily presume a temporal distance between the past, present, and future. For example, at the 2005 World Forum on Theology and Liberation held in Porto Alegre, Brazil, indigenous peoples from Bolivia stated they know another world is possible because they see that world whenever they do their ceremonies. </w:t>
      </w:r>
      <w:r w:rsidRPr="00087A72">
        <w:rPr>
          <w:rFonts w:eastAsia="Times New Roman" w:cs="Arial"/>
          <w:b/>
          <w:sz w:val="28"/>
          <w:szCs w:val="28"/>
          <w:u w:val="single"/>
        </w:rPr>
        <w:t>Native ceremonies can be a place where the present, past, and future become co-present, thereby allowing us to engage in what the Native Hawaiian scholar Manu Meyer calls a radical remembering of the future.37 Native traditions can allow Native communities to remember their nations as not necessarily structured through hierarchy, oppression, or patriarchy</w:t>
      </w:r>
      <w:r w:rsidRPr="00087A72">
        <w:rPr>
          <w:rFonts w:eastAsia="Times New Roman" w:cs="Arial"/>
          <w:sz w:val="14"/>
        </w:rPr>
        <w:t xml:space="preserve">. These remembrances should be critically interrogated and not romanticized. Also, Native communities today cannot replicate their precolonial formations because Native nations are and always have been nations that change and adapt to the surrounding circumstances. However, our understanding that it was possible to order society without structures of oppression in the past tells us that our current political and economic system is anything but natural. While these visions may be critiqued for being utopian or romanticizing, their importance today is not so much that they were true of all Native communities or that Native communities were perfect. Rather, the fact that any memories of alternative social organization exist at all helps denormalize our current social structure. If we lived differently before, we can live differently in the future. Or to quote Muñoz, “A look toward the past . . . critiques the present and helps us envision the future.”38 Edelman’s intervention is important because any struggle must look at how a “fight for the future” can reinstantiate inequality in the present. In fact, as I have noted elsewhere, many indigenous struggles have directly taken on this critique, arguing that a deferred future was creating an intolerable present for those engaged in the struggle.39 But at the same time, not all futures are created equal, and futures themselves can be queered. The Child can be the phantasm that ensures the status quo, or the Child can be the nit that undoes it, or the Child can be both. </w:t>
      </w:r>
    </w:p>
    <w:p w:rsidR="00BF6777" w:rsidRPr="00087A72" w:rsidRDefault="00BF6777" w:rsidP="00BF6777">
      <w:pPr>
        <w:pStyle w:val="Heading4"/>
      </w:pPr>
      <w:r w:rsidRPr="00087A72">
        <w:t>Queer negation is white ass shit – the native is ALWAYS ALREADY denied from producing children … denied a future</w:t>
      </w:r>
    </w:p>
    <w:p w:rsidR="00BF6777" w:rsidRPr="00087A72" w:rsidRDefault="00BF6777" w:rsidP="00BF6777">
      <w:r w:rsidRPr="00087A72">
        <w:rPr>
          <w:rStyle w:val="Style13ptBold"/>
        </w:rPr>
        <w:t>Tuck et al 13</w:t>
      </w:r>
      <w:r w:rsidRPr="00087A72">
        <w:t xml:space="preserve"> (Tuck is an assistant professor of educational foundations at SUNY New Paltz; Arvin is a PhD candidate in ethnic studies at the University of California; Rill is a PhD candidate in ethnic studies at the University of California, “Decolonizing Feminism: Challenging Connections between Settler Colonialism and Heteropatriarchy,” </w:t>
      </w:r>
      <w:r w:rsidRPr="00087A72">
        <w:rPr>
          <w:i/>
        </w:rPr>
        <w:t>Feminist Formations</w:t>
      </w:r>
      <w:r w:rsidRPr="00087A72">
        <w:t>, Issue Number, No. 1, pp. 24-25)//vikas</w:t>
      </w:r>
    </w:p>
    <w:p w:rsidR="00BF6777" w:rsidRPr="00087A72" w:rsidRDefault="00BF6777" w:rsidP="00BF6777">
      <w:pPr>
        <w:rPr>
          <w:sz w:val="16"/>
        </w:rPr>
      </w:pPr>
      <w:r w:rsidRPr="00087A72">
        <w:rPr>
          <w:sz w:val="16"/>
        </w:rPr>
        <w:t xml:space="preserve">As our discussions of Indigenous epistemologies about land and sovereignty have demonstrated, recognizing that Indigenous sovereignty struggles are gendered frequently requires revising conventional concepts of sovereignty, decolonization, and social change altogether. For us, the real promise of Native feminist theories lies precisely in the ways that, along with recognizing the very real challenges that Indigenous peoples face daily, these theories are simultaneously constructing what Smith (2008b) compellingly describes as “the history of the future of sovereignty, what sovereignty could mean for Native peoples” (257). By directing our attention toward the beautifully evocative “history of the future of sovereignty,” she is reframing futurity—a concept important to a number of disciplines, including queer studies and performance studies—with Indigenous peoples at the center. Thus, Smith demonstrates that one of the most radical and necessary moves toward decolonization requires imagining and enacting a future for Indigenous peoples—a future based on terms of their own making. In a GLQ special issue titled “Sexuality, Nationality, Indigeneity,” Smith (2010) specifically elaborates on the concept of futurity as theorized by queer theorist Lee Edelman. She notes that </w:t>
      </w:r>
      <w:r w:rsidRPr="00087A72">
        <w:rPr>
          <w:b/>
          <w:u w:val="single"/>
        </w:rPr>
        <w:t>Edelman’s book No Future forwards a useful critique of the figure of “the Child” as the symbol of society’s reproductive future and an excuse for justifying</w:t>
      </w:r>
      <w:r w:rsidRPr="00087A72">
        <w:rPr>
          <w:sz w:val="16"/>
        </w:rPr>
        <w:t xml:space="preserve"> the </w:t>
      </w:r>
      <w:r w:rsidRPr="00087A72">
        <w:rPr>
          <w:b/>
          <w:u w:val="single"/>
        </w:rPr>
        <w:t>reproduction of the existing social order</w:t>
      </w:r>
      <w:r w:rsidRPr="00087A72">
        <w:rPr>
          <w:sz w:val="16"/>
        </w:rPr>
        <w:t xml:space="preserve"> (46). </w:t>
      </w:r>
      <w:r w:rsidRPr="00087A72">
        <w:rPr>
          <w:rStyle w:val="Emphasis"/>
        </w:rPr>
        <w:t>Yet</w:t>
      </w:r>
      <w:r w:rsidRPr="00087A72">
        <w:rPr>
          <w:sz w:val="16"/>
        </w:rPr>
        <w:t xml:space="preserve">, Smith also demonstrates that </w:t>
      </w:r>
      <w:r w:rsidRPr="00087A72">
        <w:rPr>
          <w:rStyle w:val="Emphasis"/>
        </w:rPr>
        <w:t>refusing to participate in the reproduction of society by declining to reproduce the Child is a mode of radical activism that is only possible</w:t>
      </w:r>
      <w:r w:rsidRPr="00087A72">
        <w:rPr>
          <w:sz w:val="16"/>
        </w:rPr>
        <w:t xml:space="preserve">, desirable, and otherwise “thinkable” </w:t>
      </w:r>
      <w:r w:rsidRPr="00087A72">
        <w:rPr>
          <w:rStyle w:val="Emphasis"/>
        </w:rPr>
        <w:t>for certain economically privileged white queers.</w:t>
      </w:r>
      <w:r w:rsidRPr="00087A72">
        <w:rPr>
          <w:sz w:val="16"/>
        </w:rPr>
        <w:t xml:space="preserve"> She argues that </w:t>
      </w:r>
      <w:r w:rsidRPr="00087A72">
        <w:rPr>
          <w:b/>
          <w:u w:val="single"/>
        </w:rPr>
        <w:t xml:space="preserve">[a]n indigenous critique must question the value of “no future” in the context of genocide, where Native peoples have already been determined by settler colonialism to have no future. </w:t>
      </w:r>
      <w:r w:rsidRPr="00087A72">
        <w:rPr>
          <w:rStyle w:val="Emphasis"/>
        </w:rPr>
        <w:t>If the goal of queerness is to challenge</w:t>
      </w:r>
      <w:r w:rsidRPr="00087A72">
        <w:rPr>
          <w:sz w:val="16"/>
        </w:rPr>
        <w:t xml:space="preserve"> the </w:t>
      </w:r>
      <w:r w:rsidRPr="00087A72">
        <w:rPr>
          <w:rStyle w:val="Emphasis"/>
        </w:rPr>
        <w:t>reproduction of the social order, then the Native child may already be queered</w:t>
      </w:r>
      <w:r w:rsidRPr="00087A72">
        <w:rPr>
          <w:sz w:val="16"/>
        </w:rPr>
        <w:t xml:space="preserve">. For instance, </w:t>
      </w:r>
      <w:r w:rsidRPr="00087A72">
        <w:rPr>
          <w:b/>
          <w:u w:val="single"/>
        </w:rPr>
        <w:t>Colonel John Chivington, the leader of the famous massacre at Sand Creek, charged</w:t>
      </w:r>
      <w:r w:rsidRPr="00087A72">
        <w:rPr>
          <w:sz w:val="16"/>
        </w:rPr>
        <w:t xml:space="preserve"> his </w:t>
      </w:r>
      <w:r w:rsidRPr="00087A72">
        <w:rPr>
          <w:rStyle w:val="Emphasis"/>
        </w:rPr>
        <w:t>followers to not only kill Native adults but to mutilate</w:t>
      </w:r>
      <w:r w:rsidRPr="00087A72">
        <w:rPr>
          <w:sz w:val="16"/>
        </w:rPr>
        <w:t xml:space="preserve"> their </w:t>
      </w:r>
      <w:r w:rsidRPr="00087A72">
        <w:rPr>
          <w:rStyle w:val="Emphasis"/>
        </w:rPr>
        <w:t>reproductive organs and to kill their children because “nits make lice.”</w:t>
      </w:r>
      <w:r w:rsidRPr="00087A72">
        <w:rPr>
          <w:sz w:val="16"/>
        </w:rPr>
        <w:t xml:space="preserve"> In this context, the </w:t>
      </w:r>
      <w:r w:rsidRPr="00087A72">
        <w:rPr>
          <w:b/>
          <w:u w:val="single"/>
        </w:rPr>
        <w:t>Native Child is not the guarantor of the reproductive future of white supremacy; it is the nit that undoes it.</w:t>
      </w:r>
      <w:r w:rsidRPr="00087A72">
        <w:rPr>
          <w:sz w:val="16"/>
        </w:rPr>
        <w:t xml:space="preserve"> (48) Smith’s critique exposes the ways that </w:t>
      </w:r>
      <w:r w:rsidRPr="00087A72">
        <w:rPr>
          <w:rStyle w:val="Emphasis"/>
        </w:rPr>
        <w:t>radical queer theory can participate in the “ascendancy of whiteness” even when it disavows it</w:t>
      </w:r>
      <w:r w:rsidRPr="00087A72">
        <w:rPr>
          <w:sz w:val="16"/>
        </w:rPr>
        <w:t>—</w:t>
      </w:r>
      <w:r w:rsidRPr="00087A72">
        <w:rPr>
          <w:rStyle w:val="Emphasis"/>
        </w:rPr>
        <w:t>in Edelman’s case, because he fails to acknowledge</w:t>
      </w:r>
      <w:r w:rsidRPr="00087A72">
        <w:rPr>
          <w:sz w:val="16"/>
        </w:rPr>
        <w:t xml:space="preserve"> or consider </w:t>
      </w:r>
      <w:r w:rsidRPr="00087A72">
        <w:rPr>
          <w:rStyle w:val="Emphasis"/>
        </w:rPr>
        <w:t>the ways that having children is a privilege that has been historically denied</w:t>
      </w:r>
      <w:r w:rsidRPr="00087A72">
        <w:rPr>
          <w:sz w:val="16"/>
        </w:rPr>
        <w:t xml:space="preserve"> to many nonwhite and nonafflu- ent people. </w:t>
      </w:r>
      <w:r w:rsidRPr="00087A72">
        <w:rPr>
          <w:b/>
          <w:u w:val="single"/>
        </w:rPr>
        <w:t>Given the pervasive violence perpetuated on Indigenous peoples through campaigns focused on managing Indigenous reproduction and child- rearing</w:t>
      </w:r>
      <w:r w:rsidRPr="00087A72">
        <w:rPr>
          <w:sz w:val="16"/>
        </w:rPr>
        <w:t xml:space="preserve"> (fr</w:t>
      </w:r>
      <w:r w:rsidRPr="00087A72">
        <w:rPr>
          <w:b/>
          <w:u w:val="single"/>
        </w:rPr>
        <w:t>om boarding schools to eugenics and forced sterilization</w:t>
      </w:r>
      <w:r w:rsidRPr="00087A72">
        <w:rPr>
          <w:sz w:val="16"/>
        </w:rPr>
        <w:t xml:space="preserve">), </w:t>
      </w:r>
      <w:r w:rsidRPr="00087A72">
        <w:rPr>
          <w:rStyle w:val="Emphasis"/>
        </w:rPr>
        <w:t>proposing to invest in “no future” seems not only irrelevant to Indigenous peoples, but a rehashing of previous settler colonial tactics.</w:t>
      </w:r>
      <w:r w:rsidRPr="00087A72">
        <w:rPr>
          <w:sz w:val="16"/>
        </w:rPr>
        <w:t xml:space="preserve"> Maile Arvin, Eve Tuck, and Angie Morrill · 25 Smith’s critique is meant to be a generative one, insisting on making real connections between Native and queer studies for the future of both fields and all of the peoples these fields engage. She further argues that “while both ‘tradition’ and ‘the future’ must be critically engaged, it does not follow that they can be dismissed” (ibid.). </w:t>
      </w:r>
      <w:r w:rsidRPr="00087A72">
        <w:rPr>
          <w:rStyle w:val="Emphasis"/>
        </w:rPr>
        <w:t>We also place importance on ideas of Indigenous futures, which are</w:t>
      </w:r>
      <w:r w:rsidRPr="00087A72">
        <w:rPr>
          <w:sz w:val="16"/>
        </w:rPr>
        <w:t xml:space="preserve"> always also </w:t>
      </w:r>
      <w:r w:rsidRPr="00087A72">
        <w:rPr>
          <w:rStyle w:val="Emphasis"/>
        </w:rPr>
        <w:t>interlaced with Indigenous traditions, histories, and</w:t>
      </w:r>
      <w:r w:rsidRPr="00087A72">
        <w:rPr>
          <w:sz w:val="16"/>
        </w:rPr>
        <w:t xml:space="preserve"> even </w:t>
      </w:r>
      <w:r w:rsidRPr="00087A72">
        <w:rPr>
          <w:rStyle w:val="Emphasis"/>
        </w:rPr>
        <w:t>ghosts, in our own theories of decolonization.</w:t>
      </w:r>
      <w:r w:rsidRPr="00087A72">
        <w:rPr>
          <w:sz w:val="16"/>
        </w:rPr>
        <w:t xml:space="preserve"> Eve Tuck (2009) has written about desire-based research as a key counterpoint to damage-centered research frameworks, which too often present Indigenous peoples as broken, arguing that “[d]esire is involved with the not yet and, at times, the not anymore. . . . Desire is about longing, about a present that is enriched by both the past and the future” (417). Angie Morrill (forthcoming) further writes that “[g]hosts haunt the future with expectations,” noting that we share desires with ghosts, therefore Native desire is a kind of time machine. For Maile Arvin (forthcom- ing), decolonization involves regeneration, which she defines as “desires and practices oriented by transforming settler colonial dispossession and recreating a people-possessed (rather than an individually self-possessed) Indigenous future.” In each of our approaches toward decolonization, we do not intend to recom- mend to our readers one proper set of decolonial practices, but rather create spaces in which decolonization can be deeply considered and experimented with in the specific contexts of different places. Overall, with this challenge to recognize Indigenous ways of knowing, we insist that it is most important to acknowledge Indigenous concepts and epistemologies as complex, knowledge- able, and full of both history and desire. Engaging Indigenous epistemologies, without appropriating them or viewing them merely as a mystical metaphor, is a method of decolonization that could play a significant role in creating a future for Indigenous peoples and Indigenous ways of knowing.</w:t>
      </w:r>
    </w:p>
    <w:p w:rsidR="00934B8A" w:rsidRPr="00087A72" w:rsidRDefault="00934B8A" w:rsidP="00496C79">
      <w:pPr>
        <w:pStyle w:val="Heading3"/>
      </w:pPr>
      <w:r w:rsidRPr="00087A72">
        <w:t>Link – Epistemology</w:t>
      </w:r>
    </w:p>
    <w:p w:rsidR="00934B8A" w:rsidRPr="00087A72" w:rsidRDefault="00934B8A" w:rsidP="00934B8A">
      <w:pPr>
        <w:pStyle w:val="Heading4"/>
      </w:pPr>
      <w:r w:rsidRPr="00087A72">
        <w:t xml:space="preserve">The aff’s migration scholars refusing to analyze the influx of Latin Americans to the US as a structural effect of ongoing </w:t>
      </w:r>
      <w:r w:rsidR="00ED0FAD" w:rsidRPr="00087A72">
        <w:t xml:space="preserve">settler </w:t>
      </w:r>
      <w:r w:rsidRPr="00087A72">
        <w:t>colonialism</w:t>
      </w:r>
      <w:r w:rsidR="00030ACD" w:rsidRPr="00087A72">
        <w:t xml:space="preserve">, maintaining the interest of national and international policy. Refusal to confront migration as an aftereffect of settler colonialism guarantees ongoing violence. </w:t>
      </w:r>
      <w:r w:rsidRPr="00087A72">
        <w:t xml:space="preserve"> </w:t>
      </w:r>
    </w:p>
    <w:p w:rsidR="00934B8A" w:rsidRPr="00087A72" w:rsidRDefault="00934B8A" w:rsidP="00934B8A">
      <w:r w:rsidRPr="00087A72">
        <w:rPr>
          <w:rStyle w:val="Style13ptBold"/>
        </w:rPr>
        <w:t>Saldana-Portillo 17-</w:t>
      </w:r>
      <w:r w:rsidRPr="00087A72">
        <w:rPr>
          <w:rStyle w:val="biotwocolumninfoaward"/>
        </w:rPr>
        <w:t xml:space="preserve"> (</w:t>
      </w:r>
      <w:r w:rsidRPr="00087A72">
        <w:t xml:space="preserve">Professor of Social &amp; Cultural Analysis, 1993Ph.D. in Modern Thought and Literature, Stanford University, 1983B.A. in English Literature, Yale University-AREAS OF RESEARCH, Latin American and Latinx Studies; Indigenous Studies; colonization and comparative race in the Americas; globalization and immigrations studies; development studies and revolutionary thought; hemispheric literary and cultural studies.- </w:t>
      </w:r>
      <w:r w:rsidRPr="00087A72">
        <w:rPr>
          <w:i/>
        </w:rPr>
        <w:t xml:space="preserve">Critical Latinx Indigeneities: A paradigm drift,  </w:t>
      </w:r>
      <w:r w:rsidRPr="00087A72">
        <w:t>issue 2—pp138-155)</w:t>
      </w:r>
    </w:p>
    <w:p w:rsidR="00934B8A" w:rsidRPr="00087A72" w:rsidRDefault="00934B8A" w:rsidP="00934B8A">
      <w:pPr>
        <w:rPr>
          <w:sz w:val="12"/>
        </w:rPr>
      </w:pPr>
      <w:r w:rsidRPr="00087A72">
        <w:rPr>
          <w:sz w:val="12"/>
        </w:rPr>
        <w:t>Mariana</w:t>
      </w:r>
      <w:r w:rsidR="00ED0FAD" w:rsidRPr="00087A72">
        <w:rPr>
          <w:sz w:val="12"/>
        </w:rPr>
        <w:t xml:space="preserve"> </w:t>
      </w:r>
      <w:r w:rsidRPr="00087A72">
        <w:rPr>
          <w:sz w:val="12"/>
        </w:rPr>
        <w:t>Ortega</w:t>
      </w:r>
      <w:r w:rsidR="00ED0FAD" w:rsidRPr="00087A72">
        <w:rPr>
          <w:sz w:val="12"/>
        </w:rPr>
        <w:t xml:space="preserve"> </w:t>
      </w:r>
      <w:r w:rsidRPr="00087A72">
        <w:rPr>
          <w:sz w:val="12"/>
        </w:rPr>
        <w:t>Bren˜a,</w:t>
      </w:r>
      <w:r w:rsidR="00ED0FAD" w:rsidRPr="00087A72">
        <w:rPr>
          <w:sz w:val="12"/>
        </w:rPr>
        <w:t xml:space="preserve"> </w:t>
      </w:r>
      <w:r w:rsidRPr="00087A72">
        <w:rPr>
          <w:sz w:val="12"/>
        </w:rPr>
        <w:t>to</w:t>
      </w:r>
      <w:r w:rsidR="00ED0FAD" w:rsidRPr="00087A72">
        <w:rPr>
          <w:sz w:val="12"/>
        </w:rPr>
        <w:t xml:space="preserve"> </w:t>
      </w:r>
      <w:r w:rsidRPr="00087A72">
        <w:rPr>
          <w:sz w:val="12"/>
        </w:rPr>
        <w:t>name</w:t>
      </w:r>
      <w:r w:rsidR="00ED0FAD" w:rsidRPr="00087A72">
        <w:rPr>
          <w:sz w:val="12"/>
        </w:rPr>
        <w:t xml:space="preserve"> </w:t>
      </w:r>
      <w:r w:rsidRPr="00087A72">
        <w:rPr>
          <w:sz w:val="12"/>
        </w:rPr>
        <w:t>but</w:t>
      </w:r>
      <w:r w:rsidR="00ED0FAD" w:rsidRPr="00087A72">
        <w:rPr>
          <w:sz w:val="12"/>
        </w:rPr>
        <w:t xml:space="preserve"> </w:t>
      </w:r>
      <w:r w:rsidRPr="00087A72">
        <w:rPr>
          <w:sz w:val="12"/>
        </w:rPr>
        <w:t>a</w:t>
      </w:r>
      <w:r w:rsidR="00ED0FAD" w:rsidRPr="00087A72">
        <w:rPr>
          <w:sz w:val="12"/>
        </w:rPr>
        <w:t xml:space="preserve"> </w:t>
      </w:r>
      <w:r w:rsidRPr="00087A72">
        <w:rPr>
          <w:sz w:val="12"/>
        </w:rPr>
        <w:t>few,</w:t>
      </w:r>
      <w:r w:rsidR="00ED0FAD" w:rsidRPr="00087A72">
        <w:rPr>
          <w:sz w:val="12"/>
        </w:rPr>
        <w:t xml:space="preserve"> </w:t>
      </w:r>
      <w:r w:rsidRPr="00087A72">
        <w:rPr>
          <w:sz w:val="12"/>
        </w:rPr>
        <w:t>have</w:t>
      </w:r>
      <w:r w:rsidR="00ED0FAD" w:rsidRPr="00087A72">
        <w:rPr>
          <w:sz w:val="12"/>
        </w:rPr>
        <w:t xml:space="preserve"> </w:t>
      </w:r>
      <w:r w:rsidRPr="00087A72">
        <w:rPr>
          <w:sz w:val="12"/>
        </w:rPr>
        <w:t>provided</w:t>
      </w:r>
      <w:r w:rsidR="00ED0FAD" w:rsidRPr="00087A72">
        <w:rPr>
          <w:sz w:val="12"/>
        </w:rPr>
        <w:t xml:space="preserve"> </w:t>
      </w:r>
      <w:r w:rsidRPr="00087A72">
        <w:rPr>
          <w:sz w:val="12"/>
        </w:rPr>
        <w:t>us</w:t>
      </w:r>
      <w:r w:rsidR="00ED0FAD" w:rsidRPr="00087A72">
        <w:rPr>
          <w:sz w:val="12"/>
        </w:rPr>
        <w:t xml:space="preserve"> </w:t>
      </w:r>
      <w:r w:rsidRPr="00087A72">
        <w:rPr>
          <w:sz w:val="12"/>
        </w:rPr>
        <w:t>with</w:t>
      </w:r>
      <w:r w:rsidR="00ED0FAD" w:rsidRPr="00087A72">
        <w:rPr>
          <w:sz w:val="12"/>
        </w:rPr>
        <w:t xml:space="preserve"> </w:t>
      </w:r>
      <w:r w:rsidRPr="00087A72">
        <w:rPr>
          <w:sz w:val="12"/>
        </w:rPr>
        <w:t>invaluable analyses of NAFTA push factors for Indigenous and subsistence farmers, and for displaced workers from domestic industries, as well as the pull factors of jobs in Mexico’s maquiladora sector along the northern border, and of jobs in the domestic, agricultural,</w:t>
      </w:r>
      <w:r w:rsidR="00ED0FAD" w:rsidRPr="00087A72">
        <w:rPr>
          <w:sz w:val="12"/>
        </w:rPr>
        <w:t xml:space="preserve"> </w:t>
      </w:r>
      <w:r w:rsidRPr="00087A72">
        <w:rPr>
          <w:sz w:val="12"/>
        </w:rPr>
        <w:t>and</w:t>
      </w:r>
      <w:r w:rsidR="00ED0FAD" w:rsidRPr="00087A72">
        <w:rPr>
          <w:sz w:val="12"/>
        </w:rPr>
        <w:t xml:space="preserve"> </w:t>
      </w:r>
      <w:r w:rsidRPr="00087A72">
        <w:rPr>
          <w:sz w:val="12"/>
        </w:rPr>
        <w:t>construction</w:t>
      </w:r>
      <w:r w:rsidR="00ED0FAD" w:rsidRPr="00087A72">
        <w:rPr>
          <w:sz w:val="12"/>
        </w:rPr>
        <w:t xml:space="preserve"> </w:t>
      </w:r>
      <w:r w:rsidRPr="00087A72">
        <w:rPr>
          <w:sz w:val="12"/>
        </w:rPr>
        <w:t>sectors</w:t>
      </w:r>
      <w:r w:rsidR="00ED0FAD" w:rsidRPr="00087A72">
        <w:rPr>
          <w:sz w:val="12"/>
        </w:rPr>
        <w:t xml:space="preserve"> </w:t>
      </w:r>
      <w:r w:rsidRPr="00087A72">
        <w:rPr>
          <w:sz w:val="12"/>
        </w:rPr>
        <w:t>of</w:t>
      </w:r>
      <w:r w:rsidR="00ED0FAD" w:rsidRPr="00087A72">
        <w:rPr>
          <w:sz w:val="12"/>
        </w:rPr>
        <w:t xml:space="preserve"> </w:t>
      </w:r>
      <w:r w:rsidRPr="00087A72">
        <w:rPr>
          <w:sz w:val="12"/>
        </w:rPr>
        <w:t>the</w:t>
      </w:r>
      <w:r w:rsidR="00ED0FAD" w:rsidRPr="00087A72">
        <w:rPr>
          <w:sz w:val="12"/>
        </w:rPr>
        <w:t xml:space="preserve"> </w:t>
      </w:r>
      <w:r w:rsidRPr="00087A72">
        <w:rPr>
          <w:sz w:val="12"/>
        </w:rPr>
        <w:t>United</w:t>
      </w:r>
      <w:r w:rsidR="00ED0FAD" w:rsidRPr="00087A72">
        <w:rPr>
          <w:sz w:val="12"/>
        </w:rPr>
        <w:t xml:space="preserve"> </w:t>
      </w:r>
      <w:r w:rsidRPr="00087A72">
        <w:rPr>
          <w:sz w:val="12"/>
        </w:rPr>
        <w:t>States</w:t>
      </w:r>
      <w:r w:rsidR="00ED0FAD" w:rsidRPr="00087A72">
        <w:rPr>
          <w:sz w:val="12"/>
        </w:rPr>
        <w:t xml:space="preserve"> </w:t>
      </w:r>
      <w:r w:rsidRPr="00087A72">
        <w:rPr>
          <w:sz w:val="12"/>
        </w:rPr>
        <w:t>(Ferna´ndez-Kelly</w:t>
      </w:r>
      <w:r w:rsidR="00ED0FAD" w:rsidRPr="00087A72">
        <w:rPr>
          <w:sz w:val="12"/>
        </w:rPr>
        <w:t xml:space="preserve"> </w:t>
      </w:r>
      <w:r w:rsidRPr="00087A72">
        <w:rPr>
          <w:sz w:val="12"/>
        </w:rPr>
        <w:t>and Massey</w:t>
      </w:r>
      <w:r w:rsidR="00ED0FAD" w:rsidRPr="00087A72">
        <w:rPr>
          <w:sz w:val="12"/>
        </w:rPr>
        <w:t xml:space="preserve"> </w:t>
      </w:r>
      <w:hyperlink w:anchor="_bookmark44" w:history="1">
        <w:r w:rsidRPr="00087A72">
          <w:rPr>
            <w:rStyle w:val="Hyperlink"/>
            <w:sz w:val="12"/>
          </w:rPr>
          <w:t>2007</w:t>
        </w:r>
      </w:hyperlink>
      <w:r w:rsidRPr="00087A72">
        <w:rPr>
          <w:sz w:val="12"/>
        </w:rPr>
        <w:t>;</w:t>
      </w:r>
      <w:r w:rsidR="00ED0FAD" w:rsidRPr="00087A72">
        <w:rPr>
          <w:sz w:val="12"/>
        </w:rPr>
        <w:t xml:space="preserve"> </w:t>
      </w:r>
      <w:r w:rsidRPr="00087A72">
        <w:rPr>
          <w:sz w:val="12"/>
        </w:rPr>
        <w:t>Wise</w:t>
      </w:r>
      <w:r w:rsidR="00ED0FAD" w:rsidRPr="00087A72">
        <w:rPr>
          <w:sz w:val="12"/>
        </w:rPr>
        <w:t xml:space="preserve"> </w:t>
      </w:r>
      <w:r w:rsidRPr="00087A72">
        <w:rPr>
          <w:sz w:val="12"/>
        </w:rPr>
        <w:t>and</w:t>
      </w:r>
      <w:r w:rsidR="00ED0FAD" w:rsidRPr="00087A72">
        <w:rPr>
          <w:sz w:val="12"/>
        </w:rPr>
        <w:t xml:space="preserve"> </w:t>
      </w:r>
      <w:r w:rsidRPr="00087A72">
        <w:rPr>
          <w:sz w:val="12"/>
        </w:rPr>
        <w:t>Ortega</w:t>
      </w:r>
      <w:r w:rsidR="00ED0FAD" w:rsidRPr="00087A72">
        <w:rPr>
          <w:sz w:val="12"/>
        </w:rPr>
        <w:t xml:space="preserve"> </w:t>
      </w:r>
      <w:r w:rsidRPr="00087A72">
        <w:rPr>
          <w:sz w:val="12"/>
        </w:rPr>
        <w:t>Bren˜a</w:t>
      </w:r>
      <w:r w:rsidR="00ED0FAD" w:rsidRPr="00087A72">
        <w:rPr>
          <w:sz w:val="12"/>
        </w:rPr>
        <w:t xml:space="preserve"> </w:t>
      </w:r>
      <w:hyperlink w:anchor="_bookmark66" w:history="1">
        <w:r w:rsidRPr="00087A72">
          <w:rPr>
            <w:rStyle w:val="Hyperlink"/>
            <w:sz w:val="12"/>
          </w:rPr>
          <w:t>2006</w:t>
        </w:r>
      </w:hyperlink>
      <w:r w:rsidRPr="00087A72">
        <w:rPr>
          <w:sz w:val="12"/>
        </w:rPr>
        <w:t>).</w:t>
      </w:r>
      <w:r w:rsidR="00ED0FAD" w:rsidRPr="00087A72">
        <w:rPr>
          <w:sz w:val="12"/>
        </w:rPr>
        <w:t xml:space="preserve"> </w:t>
      </w:r>
      <w:r w:rsidRPr="00087A72">
        <w:rPr>
          <w:sz w:val="12"/>
        </w:rPr>
        <w:t>Phillip</w:t>
      </w:r>
      <w:r w:rsidR="00ED0FAD" w:rsidRPr="00087A72">
        <w:rPr>
          <w:sz w:val="12"/>
        </w:rPr>
        <w:t xml:space="preserve"> </w:t>
      </w:r>
      <w:r w:rsidRPr="00087A72">
        <w:rPr>
          <w:sz w:val="12"/>
        </w:rPr>
        <w:t>L.</w:t>
      </w:r>
      <w:r w:rsidR="00ED0FAD" w:rsidRPr="00087A72">
        <w:rPr>
          <w:sz w:val="12"/>
        </w:rPr>
        <w:t xml:space="preserve"> </w:t>
      </w:r>
      <w:r w:rsidRPr="00087A72">
        <w:rPr>
          <w:sz w:val="12"/>
        </w:rPr>
        <w:t>Martin</w:t>
      </w:r>
      <w:r w:rsidR="00ED0FAD" w:rsidRPr="00087A72">
        <w:rPr>
          <w:sz w:val="12"/>
        </w:rPr>
        <w:t xml:space="preserve"> </w:t>
      </w:r>
      <w:r w:rsidRPr="00087A72">
        <w:rPr>
          <w:sz w:val="12"/>
        </w:rPr>
        <w:t>estimated</w:t>
      </w:r>
      <w:r w:rsidR="00ED0FAD" w:rsidRPr="00087A72">
        <w:rPr>
          <w:sz w:val="12"/>
        </w:rPr>
        <w:t xml:space="preserve"> </w:t>
      </w:r>
      <w:r w:rsidRPr="00087A72">
        <w:rPr>
          <w:sz w:val="12"/>
        </w:rPr>
        <w:t>the numbers of the NAFTA-induced ‘‘immigration hump’’ from Mexico at four million as early as 1993, providing this information in the hopes of circumventing treaty articles that would have dire consequences for Mexican agricultural production and Indigenous land tenure (1993).</w:t>
      </w:r>
      <w:hyperlink w:anchor="_bookmark27" w:history="1">
        <w:r w:rsidRPr="00087A72">
          <w:rPr>
            <w:rStyle w:val="Hyperlink"/>
            <w:sz w:val="12"/>
          </w:rPr>
          <w:t xml:space="preserve">28 </w:t>
        </w:r>
      </w:hyperlink>
      <w:r w:rsidRPr="00087A72">
        <w:rPr>
          <w:sz w:val="12"/>
        </w:rPr>
        <w:t>These warnings failed to have the hoped-for effect, and with current estimates of ten million Mexican undocumented immigrants in the US, Martin’s study vastly underestimated the ‘‘immigration hump.’’ Such economic and political research will most certainly now be directed toward calculating the effects of CAFTA on Central American economies and migration to the United States. Latinx studies courses could not function without migration studies, for it would be impossible to provide a meaningful account of the Latinx experience in the US without the scholarship of these outstanding scholars.</w:t>
      </w:r>
      <w:r w:rsidRPr="00087A72">
        <w:rPr>
          <w:rStyle w:val="Emphasis"/>
        </w:rPr>
        <w:t xml:space="preserve"> And yet, these accounts fail to capture the colonial aspects of Gar´ıfuna migration, the fact that the targeting of Indigenous women and children for out-migration is a form of colonial detribalization, of native elimination for the purposes of dispossession and for ‘‘properly’’ laboring the land presumably lying idle in the Gar´ıfuna’s wasteful hands. Again, Indigenous waste becomes the fuel for a new round of primitive accumulation.</w:t>
      </w:r>
      <w:r w:rsidRPr="00087A72">
        <w:rPr>
          <w:sz w:val="12"/>
        </w:rPr>
        <w:t xml:space="preserve"> As Patrick Wolfe’s analysis of </w:t>
      </w:r>
      <w:r w:rsidRPr="00087A72">
        <w:rPr>
          <w:rStyle w:val="Emphasis"/>
        </w:rPr>
        <w:t>settler colonialism stipulates, colonialism is not an event but a structure</w:t>
      </w:r>
      <w:r w:rsidRPr="00087A72">
        <w:rPr>
          <w:sz w:val="12"/>
        </w:rPr>
        <w:t xml:space="preserve"> (</w:t>
      </w:r>
      <w:hyperlink w:anchor="_bookmark67" w:history="1">
        <w:r w:rsidRPr="00087A72">
          <w:rPr>
            <w:rStyle w:val="Hyperlink"/>
            <w:sz w:val="12"/>
          </w:rPr>
          <w:t>2006</w:t>
        </w:r>
      </w:hyperlink>
      <w:r w:rsidRPr="00087A72">
        <w:rPr>
          <w:sz w:val="12"/>
        </w:rPr>
        <w:t xml:space="preserve">), </w:t>
      </w:r>
      <w:r w:rsidRPr="00087A72">
        <w:rPr>
          <w:rStyle w:val="Emphasis"/>
        </w:rPr>
        <w:t>and yet migration scholars would never analyze the influx of Latin Americans to the US as a structural effect of ongoing colonialism</w:t>
      </w:r>
      <w:r w:rsidRPr="00087A72">
        <w:rPr>
          <w:sz w:val="12"/>
        </w:rPr>
        <w:t xml:space="preserve">; </w:t>
      </w:r>
      <w:r w:rsidRPr="00087A72">
        <w:rPr>
          <w:rStyle w:val="Emphasis"/>
        </w:rPr>
        <w:t>the words colonialism and neocolonialism rarely appear in their essays</w:t>
      </w:r>
      <w:r w:rsidRPr="00087A72">
        <w:rPr>
          <w:sz w:val="12"/>
        </w:rPr>
        <w:t>. My critique is</w:t>
      </w:r>
      <w:r w:rsidR="00ED0FAD" w:rsidRPr="00087A72">
        <w:rPr>
          <w:sz w:val="12"/>
        </w:rPr>
        <w:t xml:space="preserve"> </w:t>
      </w:r>
      <w:r w:rsidRPr="00087A72">
        <w:rPr>
          <w:sz w:val="12"/>
        </w:rPr>
        <w:t>not</w:t>
      </w:r>
      <w:r w:rsidR="00ED0FAD" w:rsidRPr="00087A72">
        <w:rPr>
          <w:sz w:val="12"/>
        </w:rPr>
        <w:t xml:space="preserve"> </w:t>
      </w:r>
      <w:r w:rsidRPr="00087A72">
        <w:rPr>
          <w:sz w:val="12"/>
        </w:rPr>
        <w:t>a</w:t>
      </w:r>
      <w:r w:rsidR="00ED0FAD" w:rsidRPr="00087A72">
        <w:rPr>
          <w:sz w:val="12"/>
        </w:rPr>
        <w:t xml:space="preserve"> </w:t>
      </w:r>
      <w:r w:rsidRPr="00087A72">
        <w:rPr>
          <w:sz w:val="12"/>
        </w:rPr>
        <w:t>willful</w:t>
      </w:r>
      <w:r w:rsidR="00ED0FAD" w:rsidRPr="00087A72">
        <w:rPr>
          <w:sz w:val="12"/>
        </w:rPr>
        <w:t xml:space="preserve"> </w:t>
      </w:r>
      <w:r w:rsidRPr="00087A72">
        <w:rPr>
          <w:sz w:val="12"/>
        </w:rPr>
        <w:t>indulgence</w:t>
      </w:r>
      <w:r w:rsidR="00ED0FAD" w:rsidRPr="00087A72">
        <w:rPr>
          <w:sz w:val="12"/>
        </w:rPr>
        <w:t xml:space="preserve"> </w:t>
      </w:r>
      <w:r w:rsidRPr="00087A72">
        <w:rPr>
          <w:sz w:val="12"/>
        </w:rPr>
        <w:t>in</w:t>
      </w:r>
      <w:r w:rsidR="00ED0FAD" w:rsidRPr="00087A72">
        <w:rPr>
          <w:sz w:val="12"/>
        </w:rPr>
        <w:t xml:space="preserve"> </w:t>
      </w:r>
      <w:r w:rsidRPr="00087A72">
        <w:rPr>
          <w:sz w:val="12"/>
        </w:rPr>
        <w:t>na¨ıvete´.</w:t>
      </w:r>
      <w:r w:rsidR="00ED0FAD" w:rsidRPr="00087A72">
        <w:rPr>
          <w:sz w:val="12"/>
        </w:rPr>
        <w:t xml:space="preserve"> </w:t>
      </w:r>
      <w:r w:rsidRPr="00087A72">
        <w:rPr>
          <w:rStyle w:val="Emphasis"/>
        </w:rPr>
        <w:t>Migration</w:t>
      </w:r>
      <w:r w:rsidR="00ED0FAD" w:rsidRPr="00087A72">
        <w:rPr>
          <w:rStyle w:val="Emphasis"/>
        </w:rPr>
        <w:t xml:space="preserve"> </w:t>
      </w:r>
      <w:r w:rsidRPr="00087A72">
        <w:rPr>
          <w:rStyle w:val="Emphasis"/>
        </w:rPr>
        <w:t>scholars</w:t>
      </w:r>
      <w:r w:rsidR="00ED0FAD" w:rsidRPr="00087A72">
        <w:rPr>
          <w:rStyle w:val="Emphasis"/>
        </w:rPr>
        <w:t xml:space="preserve"> </w:t>
      </w:r>
      <w:r w:rsidRPr="00087A72">
        <w:rPr>
          <w:rStyle w:val="Emphasis"/>
        </w:rPr>
        <w:t>work</w:t>
      </w:r>
      <w:r w:rsidR="00ED0FAD" w:rsidRPr="00087A72">
        <w:rPr>
          <w:rStyle w:val="Emphasis"/>
        </w:rPr>
        <w:t xml:space="preserve"> </w:t>
      </w:r>
      <w:r w:rsidRPr="00087A72">
        <w:rPr>
          <w:rStyle w:val="Emphasis"/>
        </w:rPr>
        <w:t>in</w:t>
      </w:r>
      <w:r w:rsidR="00ED0FAD" w:rsidRPr="00087A72">
        <w:rPr>
          <w:rStyle w:val="Emphasis"/>
        </w:rPr>
        <w:t xml:space="preserve"> </w:t>
      </w:r>
      <w:r w:rsidRPr="00087A72">
        <w:rPr>
          <w:rStyle w:val="Emphasis"/>
        </w:rPr>
        <w:t>the</w:t>
      </w:r>
      <w:r w:rsidR="00ED0FAD" w:rsidRPr="00087A72">
        <w:rPr>
          <w:rStyle w:val="Emphasis"/>
        </w:rPr>
        <w:t xml:space="preserve"> </w:t>
      </w:r>
      <w:r w:rsidRPr="00087A72">
        <w:rPr>
          <w:rStyle w:val="Emphasis"/>
        </w:rPr>
        <w:t>interest</w:t>
      </w:r>
      <w:r w:rsidR="00ED0FAD" w:rsidRPr="00087A72">
        <w:rPr>
          <w:rStyle w:val="Emphasis"/>
        </w:rPr>
        <w:t xml:space="preserve"> </w:t>
      </w:r>
      <w:r w:rsidRPr="00087A72">
        <w:rPr>
          <w:rStyle w:val="Emphasis"/>
        </w:rPr>
        <w:t>of influencing national and international policy, and any extended discussion of migration as a form of colonialism would disqualify their scholarship as ideological and even bizarre,</w:t>
      </w:r>
      <w:r w:rsidRPr="00087A72">
        <w:rPr>
          <w:sz w:val="12"/>
        </w:rPr>
        <w:t xml:space="preserve"> </w:t>
      </w:r>
      <w:r w:rsidRPr="00087A72">
        <w:rPr>
          <w:rStyle w:val="Emphasis"/>
        </w:rPr>
        <w:t>eliminating any chance of their influence in Washington</w:t>
      </w:r>
      <w:r w:rsidRPr="00087A72">
        <w:rPr>
          <w:sz w:val="12"/>
        </w:rPr>
        <w:t>, DC</w:t>
      </w:r>
      <w:hyperlink w:anchor="_bookmark28" w:history="1">
        <w:r w:rsidRPr="00087A72">
          <w:rPr>
            <w:rStyle w:val="Hyperlink"/>
            <w:sz w:val="12"/>
          </w:rPr>
          <w:t>29</w:t>
        </w:r>
      </w:hyperlink>
      <w:r w:rsidRPr="00087A72">
        <w:rPr>
          <w:sz w:val="12"/>
        </w:rPr>
        <w:t xml:space="preserve"> Nevertheless, </w:t>
      </w:r>
      <w:r w:rsidRPr="00087A72">
        <w:rPr>
          <w:rStyle w:val="Emphasis"/>
        </w:rPr>
        <w:t>their economic paradigm of migration as strictly an effect of neoliberal restructuring cannot account for the racialized nature of capitalist accumulation occurring not only through Indigenous dispossession in Latin America, but also through an expansion of the prison industrial complex to include the housing and monitoring of black and brown Indigenous bodies migrating to the US. From the perspective of the migration studies paradigm, colonialism is a concluded event, any racial consequences of neoliberal reforms epiphenomenal rather than structural.</w:t>
      </w:r>
      <w:r w:rsidRPr="00087A72">
        <w:rPr>
          <w:sz w:val="12"/>
        </w:rPr>
        <w:t xml:space="preserve"> But a Critical Latinx Indigeneities perspective, drifting between migration studies and settler colonial studies, would interrogate these </w:t>
      </w:r>
      <w:r w:rsidRPr="00087A72">
        <w:rPr>
          <w:rStyle w:val="Emphasis"/>
        </w:rPr>
        <w:t>neoliberal reforms</w:t>
      </w:r>
      <w:r w:rsidRPr="00087A72">
        <w:rPr>
          <w:sz w:val="12"/>
        </w:rPr>
        <w:t xml:space="preserve"> for precisely the ways in which they</w:t>
      </w:r>
      <w:r w:rsidRPr="00087A72">
        <w:rPr>
          <w:rStyle w:val="Emphasis"/>
        </w:rPr>
        <w:t xml:space="preserve"> reiterate a colonial calculus</w:t>
      </w:r>
      <w:bookmarkStart w:id="2" w:name="_bookmark27"/>
      <w:bookmarkStart w:id="3" w:name="_bookmark28"/>
      <w:bookmarkEnd w:id="2"/>
      <w:bookmarkEnd w:id="3"/>
      <w:r w:rsidR="00ED0FAD" w:rsidRPr="00087A72">
        <w:rPr>
          <w:sz w:val="12"/>
        </w:rPr>
        <w:t xml:space="preserve"> </w:t>
      </w:r>
      <w:r w:rsidRPr="00087A72">
        <w:rPr>
          <w:rStyle w:val="Emphasis"/>
        </w:rPr>
        <w:t>of racial formation, especially when neoliberal economic expansion by TNCs is dependent on Indigenous waste and dispossession.</w:t>
      </w:r>
      <w:r w:rsidRPr="00087A72">
        <w:rPr>
          <w:sz w:val="12"/>
        </w:rPr>
        <w:t xml:space="preserve"> Critical Latinx Indigeneities scholars must drift between paradigms, like the diasporic Gar´ıfuna communities drift between nations, to trouble partitioned areas of knowledge production. This paradigm drift would also entail examining Gar´ıfunas’ presence within the prison industrial complex for the ways in which they challenge the paradigm. </w:t>
      </w:r>
      <w:r w:rsidRPr="00087A72">
        <w:rPr>
          <w:rStyle w:val="StyleUnderline"/>
        </w:rPr>
        <w:t>Michelle Alexander’s book, The New Jim Crow, draws attention to the fact that the prison industrial complex not only devastates the daily lives of black people throughout the United States, but also endangers our democracy by disenfranchising large swaths of African American citizens</w:t>
      </w:r>
      <w:r w:rsidRPr="00087A72">
        <w:rPr>
          <w:sz w:val="12"/>
        </w:rPr>
        <w:t xml:space="preserve"> (</w:t>
      </w:r>
      <w:hyperlink w:anchor="_bookmark30" w:history="1">
        <w:r w:rsidRPr="00087A72">
          <w:rPr>
            <w:rStyle w:val="Hyperlink"/>
            <w:sz w:val="12"/>
          </w:rPr>
          <w:t>2010</w:t>
        </w:r>
      </w:hyperlink>
      <w:r w:rsidRPr="00087A72">
        <w:rPr>
          <w:sz w:val="12"/>
        </w:rPr>
        <w:t>).</w:t>
      </w:r>
      <w:hyperlink w:anchor="_bookmark29" w:history="1">
        <w:r w:rsidRPr="00087A72">
          <w:rPr>
            <w:rStyle w:val="Hyperlink"/>
            <w:sz w:val="12"/>
          </w:rPr>
          <w:t xml:space="preserve">30 </w:t>
        </w:r>
      </w:hyperlink>
      <w:r w:rsidRPr="00087A72">
        <w:rPr>
          <w:sz w:val="12"/>
        </w:rPr>
        <w:t>Alexander is quite responsible in pointing out in the book’s blindspots—its</w:t>
      </w:r>
      <w:r w:rsidRPr="00087A72">
        <w:rPr>
          <w:rStyle w:val="Emphasis"/>
        </w:rPr>
        <w:t xml:space="preserve"> lack of attention to how incarceration affects Latino lives, and to the ways immigrant detention centers augment the prison system</w:t>
      </w:r>
      <w:r w:rsidRPr="00087A72">
        <w:rPr>
          <w:sz w:val="12"/>
        </w:rPr>
        <w:t xml:space="preserve">. She invites future scholars to take up these aspects, and by drifting into the prison studies paradigm, </w:t>
      </w:r>
      <w:r w:rsidRPr="00087A72">
        <w:rPr>
          <w:rStyle w:val="Emphasis"/>
        </w:rPr>
        <w:t>Critical Latinx Indigeneities answers this invitation</w:t>
      </w:r>
      <w:r w:rsidRPr="00087A72">
        <w:rPr>
          <w:sz w:val="12"/>
        </w:rPr>
        <w:t xml:space="preserve">. </w:t>
      </w:r>
      <w:r w:rsidRPr="00087A72">
        <w:rPr>
          <w:rStyle w:val="Emphasis"/>
        </w:rPr>
        <w:t>Alexander’s argument draws a straight line from plantation slavery through post- Reconstruction Jim Crow to the prison industrial complex as analogous racist modes of denying African American enfranchisement through time</w:t>
      </w:r>
      <w:r w:rsidRPr="00087A72">
        <w:rPr>
          <w:sz w:val="12"/>
        </w:rPr>
        <w:t xml:space="preserve">. </w:t>
      </w:r>
      <w:r w:rsidRPr="00087A72">
        <w:rPr>
          <w:rStyle w:val="Emphasis"/>
        </w:rPr>
        <w:t>Migrating Gar´ıfuna mothers and children trouble this story in several productive ways.</w:t>
      </w:r>
      <w:r w:rsidRPr="00087A72">
        <w:rPr>
          <w:sz w:val="12"/>
        </w:rPr>
        <w:t xml:space="preserve"> </w:t>
      </w:r>
      <w:r w:rsidRPr="00087A72">
        <w:rPr>
          <w:rStyle w:val="StyleUnderline"/>
        </w:rPr>
        <w:t>The Gar´ıfuna’s origin story casts this Afro-indigenous group as the descendants of</w:t>
      </w:r>
      <w:r w:rsidR="00ED0FAD" w:rsidRPr="00087A72">
        <w:rPr>
          <w:rStyle w:val="StyleUnderline"/>
        </w:rPr>
        <w:t xml:space="preserve"> </w:t>
      </w:r>
      <w:r w:rsidRPr="00087A72">
        <w:rPr>
          <w:rStyle w:val="StyleUnderline"/>
        </w:rPr>
        <w:t>cimarro´n</w:t>
      </w:r>
      <w:r w:rsidR="00ED0FAD" w:rsidRPr="00087A72">
        <w:rPr>
          <w:rStyle w:val="StyleUnderline"/>
        </w:rPr>
        <w:t xml:space="preserve"> </w:t>
      </w:r>
      <w:r w:rsidRPr="00087A72">
        <w:rPr>
          <w:rStyle w:val="StyleUnderline"/>
        </w:rPr>
        <w:t>communities</w:t>
      </w:r>
      <w:r w:rsidR="00ED0FAD" w:rsidRPr="00087A72">
        <w:rPr>
          <w:rStyle w:val="StyleUnderline"/>
        </w:rPr>
        <w:t xml:space="preserve"> </w:t>
      </w:r>
      <w:r w:rsidRPr="00087A72">
        <w:rPr>
          <w:rStyle w:val="StyleUnderline"/>
        </w:rPr>
        <w:t>of</w:t>
      </w:r>
      <w:r w:rsidR="00ED0FAD" w:rsidRPr="00087A72">
        <w:rPr>
          <w:rStyle w:val="StyleUnderline"/>
        </w:rPr>
        <w:t xml:space="preserve"> </w:t>
      </w:r>
      <w:r w:rsidRPr="00087A72">
        <w:rPr>
          <w:rStyle w:val="StyleUnderline"/>
        </w:rPr>
        <w:t>free</w:t>
      </w:r>
      <w:r w:rsidR="00ED0FAD" w:rsidRPr="00087A72">
        <w:rPr>
          <w:rStyle w:val="StyleUnderline"/>
        </w:rPr>
        <w:t xml:space="preserve"> </w:t>
      </w:r>
      <w:r w:rsidRPr="00087A72">
        <w:rPr>
          <w:rStyle w:val="StyleUnderline"/>
        </w:rPr>
        <w:t>and</w:t>
      </w:r>
      <w:r w:rsidR="00ED0FAD" w:rsidRPr="00087A72">
        <w:rPr>
          <w:rStyle w:val="StyleUnderline"/>
        </w:rPr>
        <w:t xml:space="preserve"> </w:t>
      </w:r>
      <w:r w:rsidRPr="00087A72">
        <w:rPr>
          <w:rStyle w:val="StyleUnderline"/>
        </w:rPr>
        <w:t>resistive</w:t>
      </w:r>
      <w:r w:rsidR="00ED0FAD" w:rsidRPr="00087A72">
        <w:rPr>
          <w:rStyle w:val="StyleUnderline"/>
        </w:rPr>
        <w:t xml:space="preserve"> </w:t>
      </w:r>
      <w:r w:rsidRPr="00087A72">
        <w:rPr>
          <w:rStyle w:val="StyleUnderline"/>
        </w:rPr>
        <w:t>Africans</w:t>
      </w:r>
      <w:r w:rsidR="00ED0FAD" w:rsidRPr="00087A72">
        <w:rPr>
          <w:rStyle w:val="StyleUnderline"/>
        </w:rPr>
        <w:t xml:space="preserve"> </w:t>
      </w:r>
      <w:r w:rsidRPr="00087A72">
        <w:rPr>
          <w:rStyle w:val="StyleUnderline"/>
        </w:rPr>
        <w:t>and</w:t>
      </w:r>
      <w:r w:rsidR="00ED0FAD" w:rsidRPr="00087A72">
        <w:rPr>
          <w:rStyle w:val="StyleUnderline"/>
        </w:rPr>
        <w:t xml:space="preserve"> </w:t>
      </w:r>
      <w:r w:rsidRPr="00087A72">
        <w:rPr>
          <w:rStyle w:val="StyleUnderline"/>
        </w:rPr>
        <w:t>Arawak</w:t>
      </w:r>
      <w:r w:rsidR="00ED0FAD" w:rsidRPr="00087A72">
        <w:rPr>
          <w:rStyle w:val="StyleUnderline"/>
        </w:rPr>
        <w:t xml:space="preserve"> </w:t>
      </w:r>
      <w:r w:rsidRPr="00087A72">
        <w:rPr>
          <w:rStyle w:val="StyleUnderline"/>
        </w:rPr>
        <w:t>and</w:t>
      </w:r>
      <w:r w:rsidR="00ED0FAD" w:rsidRPr="00087A72">
        <w:rPr>
          <w:rStyle w:val="StyleUnderline"/>
        </w:rPr>
        <w:t xml:space="preserve"> </w:t>
      </w:r>
      <w:r w:rsidRPr="00087A72">
        <w:rPr>
          <w:rStyle w:val="StyleUnderline"/>
        </w:rPr>
        <w:t>Carib Indians</w:t>
      </w:r>
      <w:r w:rsidRPr="00087A72">
        <w:rPr>
          <w:sz w:val="12"/>
        </w:rPr>
        <w:t xml:space="preserve">. </w:t>
      </w:r>
      <w:r w:rsidRPr="00087A72">
        <w:rPr>
          <w:rStyle w:val="Emphasis"/>
        </w:rPr>
        <w:t>This Gar´ıfuna origin story may harbor an unarticulated desire to disassociate Gar´ıfunas from the historical taint of enslavement associated with blackness. However, Gar´ıfunas’ insistence on their fugitive freedom within cimarro´n</w:t>
      </w:r>
      <w:r w:rsidR="00ED0FAD" w:rsidRPr="00087A72">
        <w:rPr>
          <w:rStyle w:val="Emphasis"/>
        </w:rPr>
        <w:t xml:space="preserve"> </w:t>
      </w:r>
      <w:r w:rsidRPr="00087A72">
        <w:rPr>
          <w:rStyle w:val="Emphasis"/>
        </w:rPr>
        <w:t>communities</w:t>
      </w:r>
      <w:r w:rsidR="00ED0FAD" w:rsidRPr="00087A72">
        <w:rPr>
          <w:rStyle w:val="Emphasis"/>
        </w:rPr>
        <w:t xml:space="preserve"> </w:t>
      </w:r>
      <w:r w:rsidRPr="00087A72">
        <w:rPr>
          <w:rStyle w:val="Emphasis"/>
        </w:rPr>
        <w:t>suggests</w:t>
      </w:r>
      <w:r w:rsidR="00ED0FAD" w:rsidRPr="00087A72">
        <w:rPr>
          <w:rStyle w:val="Emphasis"/>
        </w:rPr>
        <w:t xml:space="preserve"> </w:t>
      </w:r>
      <w:r w:rsidRPr="00087A72">
        <w:rPr>
          <w:rStyle w:val="Emphasis"/>
        </w:rPr>
        <w:t>a</w:t>
      </w:r>
      <w:r w:rsidR="00ED0FAD" w:rsidRPr="00087A72">
        <w:rPr>
          <w:rStyle w:val="Emphasis"/>
        </w:rPr>
        <w:t xml:space="preserve"> </w:t>
      </w:r>
      <w:r w:rsidRPr="00087A72">
        <w:rPr>
          <w:rStyle w:val="Emphasis"/>
        </w:rPr>
        <w:t>profound</w:t>
      </w:r>
      <w:r w:rsidR="00ED0FAD" w:rsidRPr="00087A72">
        <w:rPr>
          <w:rStyle w:val="Emphasis"/>
        </w:rPr>
        <w:t xml:space="preserve"> </w:t>
      </w:r>
      <w:r w:rsidRPr="00087A72">
        <w:rPr>
          <w:rStyle w:val="Emphasis"/>
        </w:rPr>
        <w:t>understanding</w:t>
      </w:r>
      <w:r w:rsidR="00ED0FAD" w:rsidRPr="00087A72">
        <w:rPr>
          <w:rStyle w:val="Emphasis"/>
        </w:rPr>
        <w:t xml:space="preserve"> </w:t>
      </w:r>
      <w:r w:rsidRPr="00087A72">
        <w:rPr>
          <w:rStyle w:val="Emphasis"/>
        </w:rPr>
        <w:t>of</w:t>
      </w:r>
      <w:r w:rsidR="00ED0FAD" w:rsidRPr="00087A72">
        <w:rPr>
          <w:rStyle w:val="Emphasis"/>
        </w:rPr>
        <w:t xml:space="preserve"> </w:t>
      </w:r>
      <w:r w:rsidRPr="00087A72">
        <w:rPr>
          <w:rStyle w:val="Emphasis"/>
        </w:rPr>
        <w:t>the</w:t>
      </w:r>
      <w:r w:rsidR="00ED0FAD" w:rsidRPr="00087A72">
        <w:rPr>
          <w:rStyle w:val="Emphasis"/>
        </w:rPr>
        <w:t xml:space="preserve"> </w:t>
      </w:r>
      <w:r w:rsidRPr="00087A72">
        <w:rPr>
          <w:rStyle w:val="Emphasis"/>
        </w:rPr>
        <w:t>fact</w:t>
      </w:r>
      <w:r w:rsidR="00ED0FAD" w:rsidRPr="00087A72">
        <w:rPr>
          <w:rStyle w:val="Emphasis"/>
        </w:rPr>
        <w:t xml:space="preserve"> </w:t>
      </w:r>
      <w:r w:rsidRPr="00087A72">
        <w:rPr>
          <w:rStyle w:val="Emphasis"/>
        </w:rPr>
        <w:t>that</w:t>
      </w:r>
      <w:r w:rsidR="00ED0FAD" w:rsidRPr="00087A72">
        <w:rPr>
          <w:rStyle w:val="Emphasis"/>
        </w:rPr>
        <w:t xml:space="preserve"> </w:t>
      </w:r>
      <w:r w:rsidRPr="00087A72">
        <w:rPr>
          <w:rStyle w:val="Emphasis"/>
        </w:rPr>
        <w:t>this freedom was accomplished precisely through miscegenation: free blacks cohabi- tated with free Indigenous people and successfully conspired to remain free.</w:t>
      </w:r>
      <w:r w:rsidRPr="00087A72">
        <w:rPr>
          <w:sz w:val="12"/>
        </w:rPr>
        <w:t xml:space="preserve"> Moreover, today in Honduras it is the Gar´ıfuna’s indigeneity that continues to ensure their freedom of possession of the communal territories that enable their reproduction, as evidenced by the Triunfo de la Cruz decision. It is not merely that this Gar´ıfuna origin story troubles Alexander’s plantation-to- prison paradigm because their cimarro´n ancestors escaped plantation slavery but are now in detention. Rather, a Critical Latinx Indigeneity interpretation of Gar´ıfuna migration necessarily alerts us to the provincial nature of two key building blocks in Alexander’s plantation-to prison narrative:</w:t>
      </w:r>
      <w:r w:rsidRPr="00087A72">
        <w:rPr>
          <w:rStyle w:val="Emphasis"/>
        </w:rPr>
        <w:t xml:space="preserve"> her use of the concept of racial caste and her interpretation of the war on drugs. Alexander argues that an implacable racial caste system in the US, with African Americans located firmly at the bottom, has necessitated continuous black disempowerment through successive modalities of control. Here Alexander divorces racial caste from any relationship to its historical origin in the casta system under Spanish colonialism, </w:t>
      </w:r>
      <w:r w:rsidRPr="00087A72">
        <w:rPr>
          <w:sz w:val="12"/>
        </w:rPr>
        <w:t xml:space="preserve">to the detriment of her argument. </w:t>
      </w:r>
      <w:r w:rsidRPr="00087A72">
        <w:rPr>
          <w:rStyle w:val="Emphasis"/>
        </w:rPr>
        <w:t>In colonial Latin America,</w:t>
      </w:r>
      <w:r w:rsidRPr="00087A72">
        <w:rPr>
          <w:sz w:val="12"/>
        </w:rPr>
        <w:t xml:space="preserve"> casta </w:t>
      </w:r>
      <w:r w:rsidRPr="00087A72">
        <w:rPr>
          <w:rStyle w:val="Emphasis"/>
        </w:rPr>
        <w:t>was anything but fixed, instead measuring the fluidity of race,</w:t>
      </w:r>
      <w:r w:rsidRPr="00087A72">
        <w:rPr>
          <w:sz w:val="12"/>
        </w:rPr>
        <w:t xml:space="preserve"> albeit in ideally rationalized units of measurement. In practice, castas </w:t>
      </w:r>
      <w:r w:rsidRPr="00087A72">
        <w:rPr>
          <w:rStyle w:val="Emphasis"/>
        </w:rPr>
        <w:t>were always shifting, hence the need for constantly recalibrating the infinite permutations of racial mixing. It was a paradoxical system, but one that</w:t>
      </w:r>
      <w:bookmarkStart w:id="4" w:name="_bookmark29"/>
      <w:bookmarkEnd w:id="4"/>
      <w:r w:rsidRPr="00087A72">
        <w:rPr>
          <w:rStyle w:val="Emphasis"/>
        </w:rPr>
        <w:t xml:space="preserve"> refused stasis and always foregrounded relationality among races</w:t>
      </w:r>
      <w:r w:rsidRPr="00087A72">
        <w:rPr>
          <w:sz w:val="12"/>
        </w:rPr>
        <w:t xml:space="preserve">. </w:t>
      </w:r>
      <w:r w:rsidRPr="00087A72">
        <w:rPr>
          <w:rStyle w:val="Emphasis"/>
        </w:rPr>
        <w:t>When Alexander forgets this longer history of racial casta in the Americas, she replicates the interested divisions made by British colonists in early New England. That is, she inadvertently replicates a colonial calculus of racial difference that cuts intimate relationality out of the colonial record</w:t>
      </w:r>
      <w:r w:rsidRPr="00087A72">
        <w:rPr>
          <w:sz w:val="12"/>
        </w:rPr>
        <w:t xml:space="preserve">. For how to account for </w:t>
      </w:r>
      <w:r w:rsidRPr="00087A72">
        <w:rPr>
          <w:rStyle w:val="Emphasis"/>
        </w:rPr>
        <w:t xml:space="preserve">the circuitous routes through which other brown and red bodies ended up in prison alongside blacks since the beginning of incarceration except through racial relationality? Deportation and detention of Mexican immigrants, for example, swelled prison populations </w:t>
      </w:r>
      <w:r w:rsidRPr="00087A72">
        <w:rPr>
          <w:sz w:val="12"/>
        </w:rPr>
        <w:t>in the first half of the twentieth century</w:t>
      </w:r>
      <w:r w:rsidRPr="00087A72">
        <w:rPr>
          <w:rStyle w:val="Emphasis"/>
        </w:rPr>
        <w:t>, and were big business for the carceral state and private corporations then as now (</w:t>
      </w:r>
      <w:r w:rsidRPr="00087A72">
        <w:rPr>
          <w:sz w:val="12"/>
        </w:rPr>
        <w:t xml:space="preserve">Goodman </w:t>
      </w:r>
      <w:hyperlink w:anchor="_bookmark46" w:history="1">
        <w:r w:rsidRPr="00087A72">
          <w:rPr>
            <w:rStyle w:val="Hyperlink"/>
            <w:sz w:val="12"/>
          </w:rPr>
          <w:t>2015</w:t>
        </w:r>
      </w:hyperlink>
      <w:r w:rsidRPr="00087A72">
        <w:rPr>
          <w:sz w:val="12"/>
        </w:rPr>
        <w:t xml:space="preserve">). Alexander’s analysis of the war on drugs is provincial as well, as Alexander attributes the root cause for this war in the need to incarcerate African Americans who had gained new freedoms from the civil rights movement. She traces the war on drugs back to Reagan’s presidency and the proliferation of crack cocaine on US city streets, facilitated by the CIA. </w:t>
      </w:r>
      <w:r w:rsidRPr="00087A72">
        <w:rPr>
          <w:rStyle w:val="Emphasis"/>
        </w:rPr>
        <w:t>The war on drugs effectively equals the New Jim Crow in her analysis</w:t>
      </w:r>
      <w:r w:rsidRPr="00087A72">
        <w:rPr>
          <w:sz w:val="12"/>
        </w:rPr>
        <w:t xml:space="preserve">. However, Nixon began </w:t>
      </w:r>
      <w:r w:rsidRPr="00087A72">
        <w:rPr>
          <w:rStyle w:val="StyleUnderline"/>
        </w:rPr>
        <w:t>the war on drugs as part of a Cold War strategy to contain communism in Latin America, years before the era of mass incarceration of African Americans.</w:t>
      </w:r>
      <w:r w:rsidRPr="00087A72">
        <w:rPr>
          <w:sz w:val="12"/>
        </w:rPr>
        <w:t xml:space="preserve"> </w:t>
      </w:r>
      <w:r w:rsidRPr="00087A72">
        <w:rPr>
          <w:rStyle w:val="StyleUnderline"/>
        </w:rPr>
        <w:t>While Nixon marketed his new war as an effort to curtail drug consumption in the US, designating funds for rehabilitation, it was primarily a vehicle for funneling monies to dictatorial Latin American military and police. This is why two-thirds of the trillion dollars spent on the drug war since the Nixon administration has been spent on eradication and interdiction in Latin America</w:t>
      </w:r>
      <w:r w:rsidRPr="00087A72">
        <w:rPr>
          <w:rStyle w:val="Emphasis"/>
        </w:rPr>
        <w:t>. For five decades now the US has supplied Latin American police and military with arms to allegedly fight drug production and distribution, providing them instead with the perfect cover for also killing labor organizers, Indigenous leaders</w:t>
      </w:r>
      <w:r w:rsidRPr="00087A72">
        <w:rPr>
          <w:sz w:val="12"/>
        </w:rPr>
        <w:t xml:space="preserve"> (including members of OFRANEH), </w:t>
      </w:r>
      <w:r w:rsidRPr="00087A72">
        <w:rPr>
          <w:rStyle w:val="Emphasis"/>
        </w:rPr>
        <w:t>human rights advocates, progressive journalists, clerics, and students.</w:t>
      </w:r>
      <w:r w:rsidRPr="00087A72">
        <w:rPr>
          <w:sz w:val="12"/>
        </w:rPr>
        <w:t xml:space="preserve"> Since the threat of communism and of guerrilla insurgencies in Latin America ended with the fall of the Soviet Union, this repressive activity funded by the US war on drugs has been directed against those who stand in the way of neoliberal reform and the transformation of Latin American economies, particularly against Indigenous activists like the Gar´ıfuna who resist extractive industries looking for minerals or energy sources, tourist industries looking for new sites for luxury resorts, pharmaceutical industries looking to harness biodiversity, and green imperialism looking to protect Indigenous territories from Indigenous peoples. </w:t>
      </w:r>
      <w:r w:rsidRPr="00087A72">
        <w:rPr>
          <w:rStyle w:val="Emphasis"/>
        </w:rPr>
        <w:t>African Americans have suffered dire consequences as a result of the war on drugs, but so have Latin Americans</w:t>
      </w:r>
      <w:r w:rsidRPr="00087A72">
        <w:rPr>
          <w:sz w:val="12"/>
        </w:rPr>
        <w:t xml:space="preserve">; what is more, these dire consequences are articulated together. Alexander misses this relationality in part because prison studies inadvertently makes the Indian presence in the Americas invisible. The ability of Critical Latinx Indigeneities to drift across paradigms restores this relationality. </w:t>
      </w:r>
      <w:r w:rsidRPr="00087A72">
        <w:rPr>
          <w:rStyle w:val="Emphasis"/>
        </w:rPr>
        <w:t>Thus, when Gar´ıfuna and other Indigenous peoples from the Northern Triangle show up at our doorstep fleeing for their lives,</w:t>
      </w:r>
      <w:r w:rsidRPr="00087A72">
        <w:rPr>
          <w:sz w:val="12"/>
        </w:rPr>
        <w:t xml:space="preserve"> a Critical Latinx Indigeneities perspective brings prison studies, migration studies, and settler colonial studies together to analyze </w:t>
      </w:r>
      <w:r w:rsidRPr="00087A72">
        <w:rPr>
          <w:rStyle w:val="Emphasis"/>
        </w:rPr>
        <w:t>these drug wars in Mexico and Central and South America as part of a much broader ongoing colonial dispossession of Indigenous populations across the hemisphere.</w:t>
      </w:r>
      <w:r w:rsidRPr="00087A72">
        <w:rPr>
          <w:sz w:val="12"/>
        </w:rPr>
        <w:t xml:space="preserve"> Moreover, when the Gar´ıfuna end up in modes of detention in the United States, they are joined to African Americans not</w:t>
      </w:r>
      <w:r w:rsidR="00ED0FAD" w:rsidRPr="00087A72">
        <w:rPr>
          <w:sz w:val="12"/>
        </w:rPr>
        <w:t xml:space="preserve"> </w:t>
      </w:r>
      <w:r w:rsidRPr="00087A72">
        <w:rPr>
          <w:sz w:val="12"/>
        </w:rPr>
        <w:t>only through a shared history of enslavement, struggle and freedom, but also as victims of a shared militarization of drug enforcement across the Americas</w:t>
      </w:r>
      <w:r w:rsidRPr="00087A72">
        <w:rPr>
          <w:rStyle w:val="Emphasis"/>
        </w:rPr>
        <w:t>. Their migrations and detentions as Indigenous peoples are not marginal to the economy of incarceration in the United States, but central to it</w:t>
      </w:r>
      <w:r w:rsidRPr="00087A72">
        <w:rPr>
          <w:sz w:val="12"/>
        </w:rPr>
        <w:t>.</w:t>
      </w:r>
      <w:r w:rsidRPr="00087A72">
        <w:rPr>
          <w:rStyle w:val="Emphasis"/>
        </w:rPr>
        <w:t xml:space="preserve"> Finally, turning to the settler colonialism paradigm, </w:t>
      </w:r>
      <w:r w:rsidRPr="00087A72">
        <w:rPr>
          <w:sz w:val="12"/>
        </w:rPr>
        <w:t>what do these Gar´ıfuna mothers and children tell us about the ways in which</w:t>
      </w:r>
      <w:r w:rsidRPr="00087A72">
        <w:rPr>
          <w:rStyle w:val="Emphasis"/>
        </w:rPr>
        <w:t xml:space="preserve"> this paradigm about Indigenous peoples paradoxically makes Indians invisible? </w:t>
      </w:r>
      <w:r w:rsidRPr="00087A72">
        <w:rPr>
          <w:sz w:val="12"/>
        </w:rPr>
        <w:t xml:space="preserve">They baffle the paradigm, </w:t>
      </w:r>
      <w:r w:rsidRPr="00087A72">
        <w:rPr>
          <w:rStyle w:val="StyleUnderline"/>
        </w:rPr>
        <w:t>according to which any and all peoples who arrived in the New World were participants in settler colonialism and benefited from it, even if they were brought in chains, or under indenture, or through massive annexation. Enslaved Africans, Asian coolies, annexed Mexicans, all are arrivants who benefited directly and lucratively from the elimination, removal, and absorption of the original inhabitants by European settlers</w:t>
      </w:r>
      <w:r w:rsidRPr="00087A72">
        <w:rPr>
          <w:sz w:val="12"/>
        </w:rPr>
        <w:t xml:space="preserve">. Do </w:t>
      </w:r>
      <w:r w:rsidRPr="00087A72">
        <w:rPr>
          <w:rStyle w:val="Emphasis"/>
        </w:rPr>
        <w:t>we begin to see how this settler colonialism is also predicated on the narrated extinction of Indians</w:t>
      </w:r>
      <w:r w:rsidRPr="00087A72">
        <w:rPr>
          <w:sz w:val="12"/>
        </w:rPr>
        <w:t xml:space="preserve">? Because what of the Gar´ıfuna? How does a settler colonial paradigm account for their continued presence in the new world? Were they arrivants when they survived slave ships that crashed against South American and Antillean shores to launch their cimarro´n lives? </w:t>
      </w:r>
      <w:r w:rsidRPr="00087A72">
        <w:rPr>
          <w:rStyle w:val="StyleUnderline"/>
        </w:rPr>
        <w:t>Are these Afro-indigenous mothers and children present-day arrivants, here to reap benefits expropriated from Native Americans</w:t>
      </w:r>
      <w:r w:rsidRPr="00087A72">
        <w:rPr>
          <w:sz w:val="12"/>
        </w:rPr>
        <w:t xml:space="preserve">? </w:t>
      </w:r>
      <w:r w:rsidRPr="00087A72">
        <w:rPr>
          <w:rStyle w:val="StyleUnderline"/>
        </w:rPr>
        <w:t>Did they displace the Indigenous people they became in the sixteenth century? More importantly, are the Gar´ıfuna mothers and children crashing against our shores today arrivants or Indigenous? How shall we treat them? Who shall greet them? At least in New York City, Latinxs organizations are meeting this challenge, since, according to the settler colonial paradigm, Gar´ıfunas must be the arrivants, since by its calculus they cannot be the Indigenous.</w:t>
      </w:r>
      <w:hyperlink w:anchor="_bookmark31" w:history="1">
        <w:r w:rsidRPr="00087A72">
          <w:rPr>
            <w:rStyle w:val="StyleUnderline"/>
          </w:rPr>
          <w:t xml:space="preserve">31 </w:t>
        </w:r>
      </w:hyperlink>
      <w:r w:rsidRPr="00087A72">
        <w:rPr>
          <w:rStyle w:val="StyleUnderline"/>
        </w:rPr>
        <w:t>According</w:t>
      </w:r>
      <w:r w:rsidRPr="00087A72">
        <w:rPr>
          <w:sz w:val="12"/>
        </w:rPr>
        <w:t xml:space="preserve"> to the prison studies paradigm, they too are arrivants to the scene of incarceration, their detention epiphenomenal to the story of African American incarceration. </w:t>
      </w:r>
      <w:r w:rsidRPr="00087A72">
        <w:rPr>
          <w:rStyle w:val="StyleUnderline"/>
        </w:rPr>
        <w:t>They arrive and do not fit the colonial calculus of blood quantum set in motion centuries ago by Anglo- American settlers</w:t>
      </w:r>
      <w:r w:rsidRPr="00087A72">
        <w:rPr>
          <w:sz w:val="12"/>
        </w:rPr>
        <w:t>. If Gar´ıfuna are cut, intermingled, diluted, far from home—</w:t>
      </w:r>
      <w:r w:rsidRPr="00087A72">
        <w:rPr>
          <w:rStyle w:val="Emphasis"/>
        </w:rPr>
        <w:t>they must be Latinx. And what about the ‘‘pure’’ Mayan mothers and children who languish in deportation proceedings because there is no one who is capable of translating into their Indigenous languages for credible fear interviews or in court? They do not speak any colonial language, and yet they are not properly Indian for they do not stay in their proper place. Are these Indigenous women and children arrivants as well, because this is not their territory, because they too are far from home? These are the urgent questions that a Critical Latinx Indigeneities perspective</w:t>
      </w:r>
      <w:r w:rsidRPr="00087A72">
        <w:rPr>
          <w:sz w:val="12"/>
        </w:rPr>
        <w:t>, capable of drifting across paradigms and defying blood quotas, can address by generously challenging settler colonialism studies, prison studies, and migration studies to address these pressing questions.</w:t>
      </w:r>
    </w:p>
    <w:p w:rsidR="00651F58" w:rsidRPr="00087A72" w:rsidRDefault="00651F58" w:rsidP="00496C79">
      <w:pPr>
        <w:pStyle w:val="Heading3"/>
      </w:pPr>
      <w:r w:rsidRPr="00087A72">
        <w:t>Link – Ethnography/Anthropology</w:t>
      </w:r>
    </w:p>
    <w:p w:rsidR="00651F58" w:rsidRPr="00087A72" w:rsidRDefault="00035D36" w:rsidP="00651F58">
      <w:pPr>
        <w:pStyle w:val="Heading4"/>
      </w:pPr>
      <w:r w:rsidRPr="00087A72">
        <w:t xml:space="preserve">Ethnography and anthropology function as settler colonial tools which ontological script the Native into an anachronistic </w:t>
      </w:r>
      <w:r w:rsidR="00F54897" w:rsidRPr="00087A72">
        <w:t>primitivism which justifies ongoing settler violence.</w:t>
      </w:r>
    </w:p>
    <w:p w:rsidR="00651F58" w:rsidRPr="00087A72" w:rsidRDefault="00651F58" w:rsidP="00651F58">
      <w:r w:rsidRPr="00087A72">
        <w:rPr>
          <w:rStyle w:val="Style13ptBold"/>
        </w:rPr>
        <w:t>Simpson ’07</w:t>
      </w:r>
      <w:r w:rsidRPr="00087A72">
        <w:t xml:space="preserve"> (Simpson, Audra. "On ethnographic refusal: indigeneity,‘voice’and colonial citizenship." Junctures: The Journal for Thematic Dialogue 9 (2007).  Pp.1-2,Paragraph: Anthropological Need)</w:t>
      </w:r>
    </w:p>
    <w:p w:rsidR="00651F58" w:rsidRPr="00087A72" w:rsidRDefault="00651F58" w:rsidP="00651F58">
      <w:pPr>
        <w:rPr>
          <w:u w:val="single"/>
        </w:rPr>
      </w:pPr>
      <w:r w:rsidRPr="00087A72">
        <w:rPr>
          <w:rStyle w:val="StyleUnderline"/>
        </w:rPr>
        <w:t>To speak of Indigeneity is to speak of colonialism and anthropology, as these are means through which Indigenous people have been known and sometimes are still known. In different moments, anthropology has imagined itself to be a voice, and in some disciplinary iterations, the voice of the colonised.</w:t>
      </w:r>
      <w:r w:rsidRPr="00087A72">
        <w:t xml:space="preserve">1 This modern interlocutionary role was not self-ascribed by anthropologists, nor was it without a serious material and ideational context; it accorded with the imperatives of Empire and in this, specific technologies of rule that sought to obtain space and resources, to define and know the difference that it constructed in those spaces and to then govern those within.2 </w:t>
      </w:r>
      <w:r w:rsidRPr="00087A72">
        <w:rPr>
          <w:rStyle w:val="StyleUnderline"/>
        </w:rPr>
        <w:t>Knowing and representing the “voices” within those places required more than military might, it required the methods and modalities of knowing, in particular: categorization, ethnological comparison, linguistic translation and ethnography. These techniques of knowing were predicated upon a profound need, as the distributions in power and possibility that made Empire also made for the heuristic and documentary requirements of a metropolitan and administrative readership, hence the required accounts of the difference that “culture” stood in for in these “new” places.</w:t>
      </w:r>
      <w:r w:rsidRPr="00087A72">
        <w:t xml:space="preserve">3 </w:t>
      </w:r>
      <w:r w:rsidRPr="00087A72">
        <w:rPr>
          <w:rStyle w:val="StyleUnderline"/>
        </w:rPr>
        <w:t>These accounts were required for governance, but also so that those in the metropole might know themselves in a manner that accorded to the global processes underway. Like “race” in other contexts, “culture” was (and still is in some quarters) the conceptual and necessarily essentialised space that stood in for complicated bodily and exchange-based relationships that enabled and marked colonial situations in Empire: warfare, commerce, sex, trade, missionisation. “Culture” described the difference that was found in these places and marked the ontological end-game of each exchange</w:t>
      </w:r>
      <w:r w:rsidRPr="00087A72">
        <w:t xml:space="preserve">: a difference that had been contained into neat, ethnically-defined territorial spaces that now needed to be made sense of, to be ordered, ranked, to be governed, to be possessed.4 </w:t>
      </w:r>
      <w:r w:rsidRPr="00087A72">
        <w:rPr>
          <w:rStyle w:val="StyleUnderline"/>
        </w:rPr>
        <w:t xml:space="preserve">This is a form of politics that is more than representational, as this was a governmental and disciplinary possession of bodies and territories, and in this were included existent forms of philosophy, history and social life that Empire sought to speak of and speak form. </w:t>
      </w:r>
      <w:r w:rsidRPr="00087A72">
        <w:t>In this article</w:t>
      </w:r>
      <w:r w:rsidRPr="00087A72">
        <w:rPr>
          <w:u w:val="single"/>
        </w:rPr>
        <w:t xml:space="preserve"> I will argue that the techniques of representation and analysis that avail themselves to us when the processes sketched out above have been accounted for make for a form of representation that may move away from “difference” and attendant containment as a unit of analysis. I am interested in the way that cultural analysis may look when difference is not the unit of analysis, when culture is disaggregated into narratives rather than wholes, when proximity to the territory that one is engaging in is as immediate as the self, and what this then does to questions of “voice.” I will argue that in such a context of anthropological accounting – a</w:t>
      </w:r>
      <w:r w:rsidRPr="00087A72">
        <w:t xml:space="preserve">n accounting I started to do above but will do more robustly below – </w:t>
      </w:r>
      <w:r w:rsidRPr="00087A72">
        <w:rPr>
          <w:u w:val="single"/>
        </w:rPr>
        <w:t>“voice” is coupled with sovereignty that is evident at the level of interlocution, at the level of method and at the level of textualisation. Within Indigenous contexts, contexts that are never properly “post-colonial,” the sovereignty of the people we speak of, when speaking for themselves, interrupt anthropological portraits of timelessness, procedure and function that dominate representations of their past and, sometimes, their present.</w:t>
      </w:r>
      <w:r w:rsidRPr="00087A72">
        <w:t xml:space="preserve"> As an anthropologist I always found such portraits of Indigenous peoples to be strange in light of the deeply resistant, self-governing and relentlessly critical people that I belong to and work with. When I started to do my work on a topic that simply matters to the Mohawks of Kahnawake – the question of who we are, and who we shall be for the future – I found that anthropological histories on the Iroquois5 and analytics used for cultural analysis were exceedingly ritualistic and procedural, and so much so that they privileged particular communities and peoples in ways that stressed harmony and timelessness even where there was utter opposition to and struggle against the state. </w:t>
      </w:r>
      <w:r w:rsidRPr="00087A72">
        <w:rPr>
          <w:rStyle w:val="StyleUnderline"/>
        </w:rPr>
        <w:t>Again, this is more than a representational problem, or a superficially representational problem</w:t>
      </w:r>
      <w:r w:rsidRPr="00087A72">
        <w:t>. The people that I work with and belong to do care deeply about ceremony and tradition, but hinged those concerns to nationhood, citizenship, rights, justice, proper ways of being in the world, the best way to be in relation to one another, political recognition, invigorating the Mohawk language – they did not talk about the usual anthropological fare that dominated the prodigious amount of research upon them. They clearly had and have critiques of state power, hegemony, history and even one another that made them appear anomalous against the literature written upon them. And so it was that I asked questions about the questions that mattered to us and had to write in certain ways, as these matterings sometimes were more our business than others, but clearly had import for much larger questions, questions concerning just forms of dominion, or sovereignty or citizenship. I want to reflect upon the dissonance between the representations that were produced by writing away from and to dominant forms of knowing and commitment to what people say (imperfectly glossed here as “voice”). I do so in order to ask what the form of knowledge might look like when such histories as the one sketched out above are accounted for in disciplinary form and analysis</w:t>
      </w:r>
      <w:r w:rsidRPr="00087A72">
        <w:rPr>
          <w:u w:val="single"/>
        </w:rPr>
        <w:t>. And further to that, I consider what analysis will look like, or sound like, when the goals and aspirations of those we talk to inform the methods and the shape of our theorizing and analysis.</w:t>
      </w:r>
    </w:p>
    <w:p w:rsidR="00BF6777" w:rsidRPr="00087A72" w:rsidRDefault="00BF6777" w:rsidP="00496C79">
      <w:pPr>
        <w:pStyle w:val="Heading3"/>
      </w:pPr>
      <w:r w:rsidRPr="00087A72">
        <w:t>Link – Extinction</w:t>
      </w:r>
    </w:p>
    <w:p w:rsidR="00BF6777" w:rsidRPr="00087A72" w:rsidRDefault="00BF6777" w:rsidP="00BF6777">
      <w:pPr>
        <w:pStyle w:val="Heading4"/>
      </w:pPr>
      <w:r w:rsidRPr="00087A72">
        <w:t>Narratives of extinction are a settler move to innocence, marking the fragility of whiteness in its repetition compulsion</w:t>
      </w:r>
    </w:p>
    <w:p w:rsidR="00BF6777" w:rsidRPr="00087A72" w:rsidRDefault="00BF6777" w:rsidP="00BF6777">
      <w:r w:rsidRPr="00087A72">
        <w:rPr>
          <w:rStyle w:val="Style13ptBold"/>
        </w:rPr>
        <w:t>Dalley 16</w:t>
      </w:r>
      <w:r w:rsidRPr="00087A72">
        <w:t xml:space="preserve"> (Hamish, Assistant professor of English at Daemen College and techer in the areas of ancient and modern world literature, “The deaths of settler colonialism: extinction as a metaphor of decolonization in contemporary settler literature,” </w:t>
      </w:r>
      <w:r w:rsidRPr="00087A72">
        <w:rPr>
          <w:i/>
        </w:rPr>
        <w:t>Settler Colonial Studies</w:t>
      </w:r>
      <w:r w:rsidRPr="00087A72">
        <w:t>, Issue Number, No. 8)//vikas</w:t>
      </w:r>
    </w:p>
    <w:p w:rsidR="00BF6777" w:rsidRPr="00087A72" w:rsidRDefault="00BF6777" w:rsidP="00BF6777">
      <w:pPr>
        <w:rPr>
          <w:b/>
          <w:iCs/>
          <w:sz w:val="26"/>
          <w:u w:val="single"/>
        </w:rPr>
      </w:pPr>
      <w:r w:rsidRPr="00087A72">
        <w:rPr>
          <w:b/>
          <w:u w:val="single"/>
        </w:rPr>
        <w:t>Settlers love to contemplate the possibility of their own extinction</w:t>
      </w:r>
      <w:r w:rsidRPr="00087A72">
        <w:rPr>
          <w:sz w:val="14"/>
        </w:rPr>
        <w:t xml:space="preserve">; to read many contemporary literary representations of settler colonialism is to find settlers strangely satisfied </w:t>
      </w:r>
      <w:r w:rsidRPr="00087A72">
        <w:rPr>
          <w:b/>
          <w:u w:val="single"/>
        </w:rPr>
        <w:t>in dreaming of ends</w:t>
      </w:r>
      <w:r w:rsidRPr="00087A72">
        <w:rPr>
          <w:sz w:val="14"/>
        </w:rPr>
        <w:t xml:space="preserve"> that never come. This tendency is widely prevalent in English-language representations of settler colonialism produced since the 1980s: the possibility of an ending – </w:t>
      </w:r>
      <w:r w:rsidRPr="00087A72">
        <w:rPr>
          <w:rStyle w:val="Emphasis"/>
        </w:rPr>
        <w:t>the likelihood that the settler race will one day die out</w:t>
      </w:r>
      <w:r w:rsidRPr="00087A72">
        <w:rPr>
          <w:sz w:val="14"/>
        </w:rPr>
        <w:t xml:space="preserve"> – is a common theme in literary and pop culture considerations of colonialism’s future. Yet it has barely been remarked how surprising it is that this theme is so present. For settlers, of all people, to obsessively ruminate on their own finitude is counterintuitive, for few modern social formations have been more resistant to change than settler colonialism. 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that has been mounted whenever </w:t>
      </w:r>
      <w:r w:rsidRPr="00087A72">
        <w:rPr>
          <w:sz w:val="14"/>
          <w:szCs w:val="14"/>
        </w:rPr>
        <w:t>such an order has been built.</w:t>
      </w:r>
      <w:r w:rsidRPr="00087A72">
        <w:rPr>
          <w:b/>
          <w:sz w:val="14"/>
          <w:szCs w:val="14"/>
          <w:u w:val="single"/>
        </w:rPr>
        <w:t xml:space="preserve"> </w:t>
      </w:r>
      <w:r w:rsidRPr="00087A72">
        <w:rPr>
          <w:b/>
          <w:u w:val="single"/>
        </w:rPr>
        <w:t>Settlers think all the time that they might one day end, even though (perhaps because) that ending seems unlikely</w:t>
      </w:r>
      <w:r w:rsidRPr="00087A72">
        <w:rPr>
          <w:sz w:val="14"/>
        </w:rPr>
        <w:t xml:space="preserve"> ever to happen. The significance of this paradox for settler-colonial literature is the subject of this article. </w:t>
      </w:r>
      <w:r w:rsidRPr="00087A72">
        <w:rPr>
          <w:rStyle w:val="Emphasis"/>
        </w:rPr>
        <w:t>Considering the problem of futurity offers a useful foil to traditional analyses of settler colonial narrative</w:t>
      </w:r>
      <w:r w:rsidRPr="00087A72">
        <w:rPr>
          <w:sz w:val="14"/>
        </w:rPr>
        <w:t xml:space="preserve">, which typically examine settlers’ attitudes towards history in order to highlight a constitutive anxiety about the past – about origins. </w:t>
      </w:r>
      <w:r w:rsidRPr="00087A72">
        <w:rPr>
          <w:b/>
          <w:u w:val="single"/>
        </w:rPr>
        <w:t>Settler colonialism</w:t>
      </w:r>
      <w:r w:rsidRPr="00087A72">
        <w:rPr>
          <w:sz w:val="14"/>
        </w:rPr>
        <w:t xml:space="preserve">, the argument goes, </w:t>
      </w:r>
      <w:r w:rsidRPr="00087A72">
        <w:rPr>
          <w:b/>
          <w:u w:val="single"/>
        </w:rPr>
        <w:t>has a problem with historical narration that arises from a contradiction in its founding mythology.</w:t>
      </w:r>
      <w:r w:rsidRPr="00087A72">
        <w:rPr>
          <w:sz w:val="14"/>
        </w:rPr>
        <w:t xml:space="preserve"> In Stephen Turner’s formulation, the settler subject is by definition one who comes from elsewhere but who strives to make this place home. </w:t>
      </w:r>
      <w:r w:rsidRPr="00087A72">
        <w:rPr>
          <w:rStyle w:val="Emphasis"/>
        </w:rPr>
        <w:t>The settlement narrative must explain how this gap</w:t>
      </w:r>
      <w:r w:rsidRPr="00087A72">
        <w:rPr>
          <w:sz w:val="14"/>
        </w:rPr>
        <w:t xml:space="preserve"> – which is at once geographical, historical, and existential – </w:t>
      </w:r>
      <w:r w:rsidRPr="00087A72">
        <w:rPr>
          <w:b/>
          <w:u w:val="single"/>
        </w:rPr>
        <w:t xml:space="preserve">has been bridged, and </w:t>
      </w:r>
      <w:r w:rsidRPr="00087A72">
        <w:rPr>
          <w:rStyle w:val="Emphasis"/>
        </w:rPr>
        <w:t>the settler transformed from outsider into indigene.</w:t>
      </w:r>
      <w:r w:rsidRPr="00087A72">
        <w:rPr>
          <w:sz w:val="14"/>
        </w:rPr>
        <w:t xml:space="preserve"> Yet the transformation </w:t>
      </w:r>
      <w:r w:rsidRPr="00087A72">
        <w:rPr>
          <w:rStyle w:val="Emphasis"/>
        </w:rPr>
        <w:t>must remain</w:t>
      </w:r>
      <w:r w:rsidRPr="00087A72">
        <w:rPr>
          <w:b/>
          <w:u w:val="single"/>
        </w:rPr>
        <w:t xml:space="preserve"> constitutively </w:t>
      </w:r>
      <w:r w:rsidRPr="00087A72">
        <w:rPr>
          <w:rStyle w:val="Emphasis"/>
        </w:rPr>
        <w:t>incomplete, because the desire to be at home</w:t>
      </w:r>
      <w:r w:rsidRPr="00087A72">
        <w:rPr>
          <w:b/>
          <w:u w:val="single"/>
        </w:rPr>
        <w:t xml:space="preserve"> necessarily </w:t>
      </w:r>
      <w:r w:rsidRPr="00087A72">
        <w:rPr>
          <w:rStyle w:val="Emphasis"/>
        </w:rPr>
        <w:t>invokes the spectre of the native, whose existence</w:t>
      </w:r>
      <w:r w:rsidRPr="00087A72">
        <w:rPr>
          <w:sz w:val="14"/>
        </w:rPr>
        <w:t xml:space="preserve"> (which cannot be disavowed completely because it is needed to define the settler’s difference, superiority, and hence claim to the land) </w:t>
      </w:r>
      <w:r w:rsidRPr="00087A72">
        <w:rPr>
          <w:rStyle w:val="Emphasis"/>
        </w:rPr>
        <w:t>inscribes the settler’s foreignness</w:t>
      </w:r>
      <w:r w:rsidRPr="00087A72">
        <w:rPr>
          <w:sz w:val="14"/>
        </w:rPr>
        <w:t xml:space="preserve">, thus </w:t>
      </w:r>
      <w:r w:rsidRPr="00087A72">
        <w:rPr>
          <w:rStyle w:val="Emphasis"/>
        </w:rPr>
        <w:t>reinstating the gap between settler and colony that the narrative was meant to efface.</w:t>
      </w:r>
      <w:r w:rsidRPr="00087A72">
        <w:rPr>
          <w:sz w:val="14"/>
        </w:rPr>
        <w:t xml:space="preserve"> Settler-colonial narrative is thus </w:t>
      </w:r>
      <w:r w:rsidRPr="00087A72">
        <w:rPr>
          <w:b/>
          <w:u w:val="single"/>
        </w:rPr>
        <w:t>shaped around its need to erase and evoke the native, to make the indigene both invisible and present in a contradictory pattern that prevents settlers from</w:t>
      </w:r>
      <w:r w:rsidRPr="00087A72">
        <w:rPr>
          <w:sz w:val="14"/>
        </w:rPr>
        <w:t xml:space="preserve"> ever </w:t>
      </w:r>
      <w:r w:rsidRPr="00087A72">
        <w:rPr>
          <w:b/>
          <w:u w:val="single"/>
        </w:rPr>
        <w:t>moving on from the moment of colonization.</w:t>
      </w:r>
      <w:r w:rsidRPr="00087A72">
        <w:rPr>
          <w:sz w:val="14"/>
        </w:rPr>
        <w:t xml:space="preserve">2 As evidence of this constitutive contradiction, </w:t>
      </w:r>
      <w:r w:rsidRPr="00087A72">
        <w:rPr>
          <w:rStyle w:val="Emphasis"/>
        </w:rPr>
        <w:t>critics have identified in settler-colonial discourse symptoms of psychic</w:t>
      </w:r>
      <w:r w:rsidRPr="00087A72">
        <w:rPr>
          <w:sz w:val="14"/>
        </w:rPr>
        <w:t xml:space="preserve"> distress such as disavowal, inversion, and </w:t>
      </w:r>
      <w:r w:rsidRPr="00087A72">
        <w:rPr>
          <w:rStyle w:val="Emphasis"/>
        </w:rPr>
        <w:t>repression</w:t>
      </w:r>
      <w:r w:rsidRPr="00087A72">
        <w:rPr>
          <w:sz w:val="14"/>
        </w:rPr>
        <w:t xml:space="preserve">.3 Indeed, </w:t>
      </w:r>
      <w:r w:rsidRPr="00087A72">
        <w:rPr>
          <w:rStyle w:val="Emphasis"/>
        </w:rPr>
        <w:t>the frozen temporality of settler-colonial narrative</w:t>
      </w:r>
      <w:r w:rsidRPr="00087A72">
        <w:rPr>
          <w:sz w:val="14"/>
        </w:rPr>
        <w:t xml:space="preserve">, fixated on the moment of the frontier, recalls nothing so much as Freud’s description </w:t>
      </w:r>
      <w:r w:rsidRPr="00087A72">
        <w:rPr>
          <w:rStyle w:val="Emphasis"/>
        </w:rPr>
        <w:t>of the ‘repetition compulsion’ attending trauma.</w:t>
      </w:r>
      <w:r w:rsidRPr="00087A72">
        <w:rPr>
          <w:sz w:val="14"/>
        </w:rPr>
        <w:t xml:space="preserve">4 As Lorenzo Veracini puts it, because: </w:t>
      </w:r>
      <w:r w:rsidRPr="00087A72">
        <w:rPr>
          <w:b/>
          <w:u w:val="single"/>
        </w:rPr>
        <w:t>‘settler society’ can thus be seen as a fantasy where a perception of a constant struggle is juxtaposed against an ideal of ‘peace’ that can never be reached, settler projects embrace and reject violence</w:t>
      </w:r>
      <w:r w:rsidRPr="00087A72">
        <w:rPr>
          <w:sz w:val="14"/>
        </w:rPr>
        <w:t xml:space="preserve"> at the same time. The settler colonial situation is thus a circumstance where the tension between contradictory impulses produces long-lasting psychic conflicts and a number of associated psychopathologies.5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settler-colonial narrative can never contemplate an ending: that settler decolonization is inconceivable because settlers lack the metaphorical tools to imagine their own demise.6 This article outlines why I partly disagree with that view. I argue that </w:t>
      </w:r>
      <w:r w:rsidRPr="00087A72">
        <w:rPr>
          <w:b/>
          <w:u w:val="single"/>
        </w:rPr>
        <w:t>the narratological paradox that defines settler-colonial narrative does make the future a problematic object of contemplation.</w:t>
      </w:r>
      <w:r w:rsidRPr="00087A72">
        <w:rPr>
          <w:sz w:val="14"/>
        </w:rPr>
        <w:t xml:space="preserve"> But </w:t>
      </w:r>
      <w:r w:rsidRPr="00087A72">
        <w:rPr>
          <w:b/>
          <w:u w:val="single"/>
        </w:rPr>
        <w:t>that does not make settler decolonization unthinkable per se</w:t>
      </w:r>
      <w:r w:rsidRPr="00087A72">
        <w:rPr>
          <w:sz w:val="14"/>
        </w:rPr>
        <w:t xml:space="preserve">; as I will show, </w:t>
      </w:r>
      <w:r w:rsidRPr="00087A72">
        <w:rPr>
          <w:rStyle w:val="Emphasis"/>
        </w:rPr>
        <w:t>settlers do often try to imagine their demise</w:t>
      </w:r>
      <w:r w:rsidRPr="00087A72">
        <w:rPr>
          <w:sz w:val="14"/>
        </w:rPr>
        <w:t xml:space="preserve"> – but they do so </w:t>
      </w:r>
      <w:r w:rsidRPr="00087A72">
        <w:rPr>
          <w:rStyle w:val="Emphasis"/>
        </w:rPr>
        <w:t xml:space="preserve">in a way that reasserts the paradoxes of their founding ideology, with the result that </w:t>
      </w:r>
      <w:r w:rsidRPr="00087A72">
        <w:rPr>
          <w:sz w:val="14"/>
        </w:rPr>
        <w:t xml:space="preserve">the radical </w:t>
      </w:r>
      <w:r w:rsidRPr="00087A72">
        <w:rPr>
          <w:rStyle w:val="Emphasis"/>
        </w:rPr>
        <w:t>potentiality of decolonization is undone</w:t>
      </w:r>
      <w:r w:rsidRPr="00087A72">
        <w:rPr>
          <w:sz w:val="14"/>
        </w:rPr>
        <w:t xml:space="preserve"> even </w:t>
      </w:r>
      <w:r w:rsidRPr="00087A72">
        <w:rPr>
          <w:rStyle w:val="Emphasis"/>
        </w:rPr>
        <w:t>as it is invoked.</w:t>
      </w:r>
      <w:r w:rsidRPr="00087A72">
        <w:rPr>
          <w:sz w:val="14"/>
        </w:rPr>
        <w:t xml:space="preserve"> I argue that, notwithstanding Veracini’s analysis, there is a metaphor via which the end of settler colonialism unspools – </w:t>
      </w:r>
      <w:r w:rsidRPr="00087A72">
        <w:rPr>
          <w:rStyle w:val="Emphasis"/>
        </w:rPr>
        <w:t>the</w:t>
      </w:r>
      <w:r w:rsidRPr="00087A72">
        <w:rPr>
          <w:sz w:val="14"/>
        </w:rPr>
        <w:t xml:space="preserve"> quasi-</w:t>
      </w:r>
      <w:r w:rsidRPr="00087A72">
        <w:rPr>
          <w:sz w:val="14"/>
          <w:szCs w:val="14"/>
        </w:rPr>
        <w:t>biological</w:t>
      </w:r>
      <w:r w:rsidRPr="00087A72">
        <w:t xml:space="preserve"> </w:t>
      </w:r>
      <w:r w:rsidRPr="00087A72">
        <w:rPr>
          <w:rStyle w:val="Emphasis"/>
        </w:rPr>
        <w:t>concept of extinction</w:t>
      </w:r>
      <w:r w:rsidRPr="00087A72">
        <w:rPr>
          <w:sz w:val="14"/>
        </w:rPr>
        <w:t xml:space="preserve">, which, when </w:t>
      </w:r>
      <w:r w:rsidRPr="00087A72">
        <w:rPr>
          <w:rStyle w:val="Emphasis"/>
        </w:rPr>
        <w:t>deployed as a narrative trope, offers settlers a chance to consider and disavow their demise</w:t>
      </w:r>
      <w:r w:rsidRPr="00087A72">
        <w:rPr>
          <w:sz w:val="14"/>
        </w:rPr>
        <w:t xml:space="preserve">, just as they consider and then disavow the violence of their origins. This article traces the importance of the trope of extinction for contemporary settler-colonial literature,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w:t>
      </w:r>
      <w:r w:rsidRPr="00087A72">
        <w:rPr>
          <w:b/>
          <w:u w:val="single"/>
        </w:rPr>
        <w:t>my analysis is intended to draw the attention of settler colonial studies toward futurity and</w:t>
      </w:r>
      <w:r w:rsidRPr="00087A72">
        <w:rPr>
          <w:sz w:val="14"/>
        </w:rPr>
        <w:t xml:space="preserve"> the </w:t>
      </w:r>
      <w:r w:rsidRPr="00087A72">
        <w:rPr>
          <w:b/>
          <w:u w:val="single"/>
        </w:rPr>
        <w:t>ambivalence of settler paranoia</w:t>
      </w:r>
      <w:r w:rsidRPr="00087A72">
        <w:rPr>
          <w:sz w:val="14"/>
        </w:rPr>
        <w:t xml:space="preserve">, while highlighting a potential point of cross-fertilization between settler-colonial and eco-critical approaches to contemporary literature. That ‘extinction’ should be a key word in the settler-colonial lexicon is no surprise. In Patrick Wolfe’s phrase,7 </w:t>
      </w:r>
      <w:r w:rsidRPr="00087A72">
        <w:rPr>
          <w:rStyle w:val="StyleUnderline"/>
        </w:rPr>
        <w:t>settler colonialism is predicated on a ‘logic of elimination’ that tends towards the extermination – by one means or another – of indigenous peoples</w:t>
      </w:r>
      <w:r w:rsidRPr="00087A72">
        <w:rPr>
          <w:sz w:val="14"/>
        </w:rPr>
        <w:t xml:space="preserv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 9 that necessitates the extinction of inferior races. 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 century novels from the imperial metropole, such as Dracula and War of the Worlds, which are plotted around the prospect of invasions that would see the extinction of British imperialism, and, in the process, the human species. Such </w:t>
      </w:r>
      <w:r w:rsidRPr="00087A72">
        <w:rPr>
          <w:rStyle w:val="Emphasis"/>
        </w:rPr>
        <w:t>anxieties draw energy from a pattern of settler defensiveness that can be observed across</w:t>
      </w:r>
      <w:r w:rsidRPr="00087A72">
        <w:rPr>
          <w:sz w:val="14"/>
        </w:rPr>
        <w:t xml:space="preserve"> numerous </w:t>
      </w:r>
      <w:r w:rsidRPr="00087A72">
        <w:rPr>
          <w:rStyle w:val="Emphasis"/>
        </w:rPr>
        <w:t>settler-colonial contexts.</w:t>
      </w:r>
      <w:r w:rsidRPr="00087A72">
        <w:rPr>
          <w:sz w:val="14"/>
        </w:rPr>
        <w:t xml:space="preserve"> Marilyn Lake’s and Henry Reynold’s account of </w:t>
      </w:r>
      <w:r w:rsidRPr="00087A72">
        <w:rPr>
          <w:b/>
          <w:u w:val="single"/>
        </w:rPr>
        <w:t>the emergence of transnational ‘whiteness’ highlights the paradoxical fact that while white male settlers have been arguably the most privileged class in history,</w:t>
      </w:r>
      <w:r w:rsidRPr="00087A72">
        <w:rPr>
          <w:sz w:val="14"/>
        </w:rPr>
        <w:t xml:space="preserve"> they have </w:t>
      </w:r>
      <w:r w:rsidRPr="00087A72">
        <w:rPr>
          <w:rStyle w:val="Emphasis"/>
        </w:rPr>
        <w:t>routinely perceived themselves to be ‘under siege’, threatened with destruction</w:t>
      </w:r>
      <w:r w:rsidRPr="00087A72">
        <w:rPr>
          <w:sz w:val="14"/>
        </w:rPr>
        <w:t xml:space="preserve"> to the extent </w:t>
      </w:r>
      <w:r w:rsidRPr="00087A72">
        <w:rPr>
          <w:rStyle w:val="Emphasis"/>
        </w:rPr>
        <w:t>that their very identity of</w:t>
      </w:r>
      <w:r w:rsidRPr="00087A72">
        <w:rPr>
          <w:sz w:val="14"/>
        </w:rPr>
        <w:t xml:space="preserve"> ‘</w:t>
      </w:r>
      <w:r w:rsidRPr="00087A72">
        <w:rPr>
          <w:rStyle w:val="Emphasis"/>
        </w:rPr>
        <w:t>whiteness was born in the apprehension of imminent loss</w:t>
      </w:r>
      <w:r w:rsidRPr="00087A72">
        <w:rPr>
          <w:sz w:val="14"/>
        </w:rPr>
        <w:t xml:space="preserve">’. 11 The </w:t>
      </w:r>
      <w:r w:rsidRPr="00087A72">
        <w:rPr>
          <w:rStyle w:val="Emphasis"/>
        </w:rPr>
        <w:t>fear of looming annihilation serves</w:t>
      </w:r>
      <w:r w:rsidRPr="00087A72">
        <w:rPr>
          <w:b/>
          <w:u w:val="single"/>
        </w:rPr>
        <w:t xml:space="preserve"> a powerful ideological function in settler communities, working </w:t>
      </w:r>
      <w:r w:rsidRPr="00087A72">
        <w:rPr>
          <w:rStyle w:val="Emphasis"/>
        </w:rPr>
        <w:t>to foster racial solidarity, suppress dissent, and legitimate violence against indigenous populations</w:t>
      </w:r>
      <w:r w:rsidRPr="00087A72">
        <w:rPr>
          <w:b/>
          <w:u w:val="single"/>
        </w:rPr>
        <w:t xml:space="preserve"> who</w:t>
      </w:r>
      <w:r w:rsidRPr="00087A72">
        <w:rPr>
          <w:sz w:val="14"/>
        </w:rPr>
        <w:t xml:space="preserve">, by any objective measure, </w:t>
      </w:r>
      <w:r w:rsidRPr="00087A72">
        <w:rPr>
          <w:b/>
          <w:u w:val="single"/>
        </w:rPr>
        <w:t>are far more at risk of extermination than the settlers who fear them.</w:t>
      </w:r>
      <w:r w:rsidRPr="00087A72">
        <w:rPr>
          <w:sz w:val="14"/>
        </w:rPr>
        <w:t xml:space="preserve"> Ann Curthoys and Dirk Moses have traced this pattern in Australia and Israel-Palestine, respectively.12 This scholarship suggests that </w:t>
      </w:r>
      <w:r w:rsidRPr="00087A72">
        <w:rPr>
          <w:rStyle w:val="Emphasis"/>
        </w:rPr>
        <w:t>narratives of settler extinction are acts of ideological mystification, obscuring the brutal inequalities of the frontier behind a mask of white vulnerability</w:t>
      </w:r>
      <w:r w:rsidRPr="00087A72">
        <w:rPr>
          <w:sz w:val="14"/>
        </w:rPr>
        <w:t xml:space="preserve"> – an argument with which I sympathize. However, this article shows how there is more to settler-colonial extinction narratives than bad faith. I argue that 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argument that to treat decolonization figuratively, as I argue </w:t>
      </w:r>
      <w:r w:rsidRPr="00087A72">
        <w:rPr>
          <w:rStyle w:val="Emphasis"/>
        </w:rPr>
        <w:t>extinction narratives</w:t>
      </w:r>
      <w:r w:rsidRPr="00087A72">
        <w:rPr>
          <w:sz w:val="14"/>
        </w:rPr>
        <w:t xml:space="preserve"> do, is necessarily to prec</w:t>
      </w:r>
      <w:r w:rsidRPr="00087A72">
        <w:rPr>
          <w:rStyle w:val="Emphasis"/>
        </w:rPr>
        <w:t>lude radical change, creating opportunities for settler ‘moves to innocence’ that re-legitimate racial inequality.</w:t>
      </w:r>
      <w:r w:rsidRPr="00087A72">
        <w:rPr>
          <w:sz w:val="14"/>
        </w:rPr>
        <w:t>13 The counterview to this pessimistic perspective is offered by Veracini, who suggests that progressive change to settler-colonial relationships will only happen if narratives can be found that make decolonization thinkable.14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w:t>
      </w:r>
      <w:r w:rsidRPr="00087A72">
        <w:rPr>
          <w:rStyle w:val="StyleUnderline"/>
        </w:rPr>
        <w:t>. First, extinction narratives take at least two forms depending on whether the ‘end’ of settler society is framed primarily in historical-civilizational terms or in a stronger, biological sense; the key question is whether the ‘thing’ that is going extinct is a society or a species. Second, biologically oriented extinction narratives rely on a more or less conscious slippage between ‘the settler’ and ‘the human’. Third, 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 Fourth, these ideological effects are mediated by gender, insofar as extinction narratives invoke issues of biological reproduction, community protection, and violence that function to differentiate and reify masculine and feminine roles in the putative de-colonial future.</w:t>
      </w:r>
      <w:r w:rsidRPr="00087A72">
        <w:rPr>
          <w:sz w:val="14"/>
        </w:rPr>
        <w:t xml:space="preserve"> Overall, my central claim is that </w:t>
      </w:r>
      <w:r w:rsidRPr="00087A72">
        <w:rPr>
          <w:b/>
          <w:u w:val="single"/>
        </w:rPr>
        <w:t>extinction is a core trope through which settler futurity emerges</w:t>
      </w:r>
      <w:r w:rsidRPr="00087A72">
        <w:rPr>
          <w:sz w:val="14"/>
        </w:rPr>
        <w:t xml:space="preserve">, one </w:t>
      </w:r>
      <w:r w:rsidRPr="00087A72">
        <w:rPr>
          <w:rStyle w:val="Emphasis"/>
        </w:rPr>
        <w:t>with crucial narrative and ideological effects that shape</w:t>
      </w:r>
      <w:r w:rsidRPr="00087A72">
        <w:rPr>
          <w:sz w:val="14"/>
        </w:rPr>
        <w:t xml:space="preserve"> much of the contemporary </w:t>
      </w:r>
      <w:r w:rsidRPr="00087A72">
        <w:rPr>
          <w:rStyle w:val="Emphasis"/>
        </w:rPr>
        <w:t>literature emerging from white colonial settings.</w:t>
      </w:r>
    </w:p>
    <w:p w:rsidR="00A23BBC" w:rsidRPr="00087A72" w:rsidRDefault="00A23BBC" w:rsidP="00496C79">
      <w:pPr>
        <w:pStyle w:val="Heading3"/>
      </w:pPr>
      <w:r w:rsidRPr="00087A72">
        <w:t>Link – Feminism</w:t>
      </w:r>
    </w:p>
    <w:p w:rsidR="00A23BBC" w:rsidRPr="00087A72" w:rsidRDefault="00A23BBC" w:rsidP="00A23BBC">
      <w:pPr>
        <w:pStyle w:val="Heading4"/>
      </w:pPr>
      <w:r w:rsidRPr="00087A72">
        <w:t xml:space="preserve">The female indigenous body has become viewed as expendable, and faces the highest rate of violence, disappearance rate, and murder. </w:t>
      </w:r>
    </w:p>
    <w:p w:rsidR="00A23BBC" w:rsidRPr="00087A72" w:rsidRDefault="00A23BBC" w:rsidP="00A23BBC">
      <w:r w:rsidRPr="00087A72">
        <w:rPr>
          <w:rStyle w:val="Style13ptBold"/>
        </w:rPr>
        <w:t xml:space="preserve">Taschereau Mamers 17 </w:t>
      </w:r>
      <w:r w:rsidRPr="00087A72">
        <w:t xml:space="preserve"> (Danielle, University of Western Ontario, Graduate in media studies "Settler Colonial Ways of Seeing: Documentary Governance of Indigenous Life in Canada and its Disruption" (2017). Electronic Thesis and Dissertation Repository. 4651. https://ir.lib.uwo.ca/etd/4651)</w:t>
      </w:r>
    </w:p>
    <w:p w:rsidR="00A23BBC" w:rsidRPr="00087A72" w:rsidRDefault="00A23BBC" w:rsidP="00A23BBC">
      <w:pPr>
        <w:rPr>
          <w:u w:val="single"/>
        </w:rPr>
      </w:pPr>
      <w:r w:rsidRPr="00087A72">
        <w:t xml:space="preserve">Chapter Four brings the dissertation’s arguments about </w:t>
      </w:r>
      <w:r w:rsidRPr="00087A72">
        <w:rPr>
          <w:rStyle w:val="StyleUnderline"/>
        </w:rPr>
        <w:t>settler colonial ways of seeing and the governed visibility of Indigenous lives through classification, enumeration, and documentation to the direct violence of murdered and missing Indigenous women (MMIW). The crisis of MMIW, I argue, is a crime made possible by the politics of visibility thematized in the preceding chapters</w:t>
      </w:r>
      <w:r w:rsidRPr="00087A72">
        <w:t xml:space="preserve">. This same </w:t>
      </w:r>
      <w:r w:rsidRPr="00087A72">
        <w:rPr>
          <w:rStyle w:val="StyleUnderline"/>
        </w:rPr>
        <w:t>politics of visibility that generates “Indians” on paper also produces an invisibility of Indigenous lives with claims to land and sovereignty. Further, settler colonial ways of seeing render “Indian” lives unintelligible as lives that matter,</w:t>
      </w:r>
      <w:r w:rsidRPr="00087A72">
        <w:t xml:space="preserve"> naturalizing the material and </w:t>
      </w:r>
      <w:r w:rsidRPr="00087A72">
        <w:rPr>
          <w:rStyle w:val="StyleUnderline"/>
        </w:rPr>
        <w:t>epistemic violence individuals and communities have been made to endure as given conditions of “Indian” existence</w:t>
      </w:r>
      <w:r w:rsidRPr="00087A72">
        <w:t xml:space="preserve">. This final chapter examines the techniques of documentation that have contributed to the </w:t>
      </w:r>
      <w:r w:rsidRPr="00087A72">
        <w:rPr>
          <w:rStyle w:val="Emphasis"/>
        </w:rPr>
        <w:t>emergent visibility of disappeared and murdered Indigenous women as the MMIW crisis. I argue that the MMIW crisis has become visible to the Canadian state and the broader settler society through three key frames.</w:t>
      </w:r>
      <w:r w:rsidRPr="00087A72">
        <w:t xml:space="preserve"> Each frame has a number at its center—</w:t>
      </w:r>
      <w:r w:rsidRPr="00087A72">
        <w:rPr>
          <w:rStyle w:val="Emphasis"/>
        </w:rPr>
        <w:t>a count of disappeared and murdered women. From the 67 women’s deaths made visible by the Missing Women’s Commission of Inquiry to the 582 women’s lives entered into the NWAC Sisters in Spirit database to the 1,181 cases of disappearance and murder counted by the RCMP’s Operational Overview.</w:t>
      </w:r>
      <w:r w:rsidRPr="00087A72">
        <w:t xml:space="preserve"> This chapter analyzes these three numerical frames, the shifts between them, and how numbers have been used establish the existence of the crisis despite the limitations of the settler colonial field of vision. However, </w:t>
      </w:r>
      <w:r w:rsidRPr="00087A72">
        <w:rPr>
          <w:rStyle w:val="Emphasis"/>
        </w:rPr>
        <w:t xml:space="preserve">numbers also homogenize and flatten what they measure. To examine how Indigenous artists have worked outside the genre of numbers to document 38 the magnitude of loss experienced by the families and communities of disappeared and murdered women, the final section of the chapter analyzes performances by Rebecca Belmore and a community-based installation art coordinated by Christi Belcourt. The effects of bureaucratic re-presentations are not limited to how Indigenous lives are made visible to the state. </w:t>
      </w:r>
      <w:r w:rsidRPr="00087A72">
        <w:t xml:space="preserve">Documentation techniques that account for lives without counting them as lives that matter (ethically, politically, or historically) </w:t>
      </w:r>
      <w:r w:rsidRPr="00087A72">
        <w:rPr>
          <w:rStyle w:val="StyleUnderline"/>
        </w:rPr>
        <w:t xml:space="preserve">creates the material conditions in which sovereign power intrudes upon Indigenous lives, creating opportunities for violence to unfold without appearing as an emergency requiring action. The role of settler colonial ways of seeing in materializing logics of elimination and structuring how lives become legible is thereby naturalized, depoliticized, and obscured. </w:t>
      </w:r>
    </w:p>
    <w:p w:rsidR="00540BEA" w:rsidRPr="00087A72" w:rsidRDefault="00540BEA" w:rsidP="00496C79">
      <w:pPr>
        <w:pStyle w:val="Heading3"/>
      </w:pPr>
      <w:r w:rsidRPr="00087A72">
        <w:t>Link – Freedom/Slavery Dichotomy</w:t>
      </w:r>
    </w:p>
    <w:p w:rsidR="00540BEA" w:rsidRPr="00087A72" w:rsidRDefault="008A4551" w:rsidP="00540BEA">
      <w:pPr>
        <w:pStyle w:val="Heading4"/>
      </w:pPr>
      <w:r w:rsidRPr="00087A72">
        <w:t>Focusing on the freedom/slavery dichotomy obscures the ongoing unfreedom of Black people and misdiagonsises how settler colonialism creates the condition of possibility for the dialect of freedom/slavery to take place.</w:t>
      </w:r>
    </w:p>
    <w:p w:rsidR="00540BEA" w:rsidRPr="00087A72" w:rsidRDefault="00540BEA" w:rsidP="00540BEA">
      <w:r w:rsidRPr="00087A72">
        <w:rPr>
          <w:rStyle w:val="Style13ptBold"/>
        </w:rPr>
        <w:t>Asaka 17</w:t>
      </w:r>
      <w:r w:rsidRPr="00087A72">
        <w:t>—(Ikuko, PhD from UWMadison for Gender and Women’s History, “Tropical Freedom : Climate, Settler Colonialism, and Black Exclusion in the Age of Emancipation”, pp 15-18)</w:t>
      </w:r>
    </w:p>
    <w:p w:rsidR="00540BEA" w:rsidRPr="00087A72" w:rsidRDefault="00540BEA" w:rsidP="00540BEA">
      <w:pPr>
        <w:rPr>
          <w:sz w:val="16"/>
        </w:rPr>
      </w:pPr>
      <w:r w:rsidRPr="00087A72">
        <w:rPr>
          <w:sz w:val="16"/>
        </w:rPr>
        <w:t>Within this highly politicized dyad</w:t>
      </w:r>
      <w:r w:rsidRPr="00087A72">
        <w:rPr>
          <w:u w:val="single"/>
        </w:rPr>
        <w:t>, current scholarly analyses of the antebellum African American experience have rarely looked into the racial logic under lying the meaning and praxis of freedom in both the British Empire and the United States</w:t>
      </w:r>
      <w:r w:rsidRPr="00087A72">
        <w:rPr>
          <w:sz w:val="16"/>
        </w:rPr>
        <w:t xml:space="preserve">. Nor have they adequately examined free African North Americans’ critical stance toward the racialized structures of freedom. Emphasis tends to be placed on Canada’s role as an asylum for freedom seekers on the Underground Railroad, and </w:t>
      </w:r>
      <w:r w:rsidRPr="00087A72">
        <w:rPr>
          <w:u w:val="single"/>
        </w:rPr>
        <w:t>African American abolitionists’ embrace of the British and denunciation of U.S. slavery in contrast to West Indian emancipation.32 The focus on the freedom- slavery dualism has also generated works that ascribe the distinctiveness of African American freedom to its existence within a slave republic, implicitly and explic itly emphasizing its peculiarity in juxtaposition to black freedom in postemancipation socie ties.33</w:t>
      </w:r>
      <w:r w:rsidRPr="00087A72">
        <w:rPr>
          <w:sz w:val="16"/>
        </w:rPr>
        <w:t xml:space="preserve"> This book, in contrast, foregrounds patterned dynamics of stratifying freedom at work in both the slave republic and the free monarchy. These dynamics also complicate our understanding of the Atlantic world during the era of emancipation. </w:t>
      </w:r>
      <w:r w:rsidRPr="00087A72">
        <w:rPr>
          <w:u w:val="single"/>
        </w:rPr>
        <w:t>Studies of the formation of hierarchies in connection with the rising tide of black liberation in the Atlantic world have mainly stressed the asymmetrical experiences of slavery and freedom</w:t>
      </w:r>
      <w:r w:rsidRPr="00087A72">
        <w:rPr>
          <w:sz w:val="16"/>
        </w:rPr>
        <w:t xml:space="preserve">. Such a world, demarcated into patches of free and unfree territory, entailed an imagined community of what Matthew Guterl describes as “a pan- American slave- holding class” that bound together the U.S. South and Latin Amer i ca.34 According to Sue Peabody and Keila Grinberg, this </w:t>
      </w:r>
      <w:r w:rsidRPr="00087A72">
        <w:rPr>
          <w:u w:val="single"/>
        </w:rPr>
        <w:t>coexistence of slavery and freedom generated relations and pro cesses that were “both hierarchical and highly mobile</w:t>
      </w:r>
      <w:r w:rsidRPr="00087A72">
        <w:rPr>
          <w:sz w:val="16"/>
        </w:rPr>
        <w:t>”— hierarchical because of the discrepancies of experience between those who remained enslaved and those who attained freedom by moving to a free territory.35 What coincided with such uneven conditions was another kind of hierarchy, one embedded in freedom. As people who were enslaved in vari ous locations found their way to liberation in the intricate Atlantic world, by the middle of the nineteenth century African North Americans had become cognizant of racial segmentations of freedom within the space of the Atlantic. And they defied and negotiated these hierarchies through intellectual work and by more implicit acts of negation</w:t>
      </w:r>
      <w:r w:rsidRPr="00087A72">
        <w:rPr>
          <w:u w:val="single"/>
        </w:rPr>
        <w:t xml:space="preserve">. What drove and shaped the racial geographies of freedom was a settler colonial impulse. The recognition of this fact joins together historical themes pursued separately in most scholarship. </w:t>
      </w:r>
      <w:r w:rsidRPr="00087A72">
        <w:rPr>
          <w:sz w:val="16"/>
        </w:rPr>
        <w:t xml:space="preserve">This book illuminates the long- neglected intersection between what Richard Follett, Eric Foner, and Walter Johnson call the “ingrained patterns of be hav ior and racial thought” that informed “the range and latitude of black freedom in the age of emancipation” and what Daiva Stasiulis and Nira Yuval- Davis refer to as the “historical patterns of societal development and state formation” </w:t>
      </w:r>
      <w:r w:rsidRPr="00087A72">
        <w:rPr>
          <w:u w:val="single"/>
        </w:rPr>
        <w:t>that constituted “the concepts of ‘(white) settler society’ and ‘settler colony’ . . . [as] historical constructs.”36 More specifically, acknowledging the intersections between black freedom and settler colonialism resituates African Americans in discussions of U.S. settler dynamics, which have mostly approached “blacks’ relationship with their colonizers” primarily as that of an “enslaved labor force” on the soil taken from indigenous populations.3</w:t>
      </w:r>
      <w:r w:rsidRPr="00087A72">
        <w:rPr>
          <w:sz w:val="16"/>
        </w:rPr>
        <w:t xml:space="preserve">7 As noted by David Roediger and Elizabeth Esch, a rich body of lit er a ture </w:t>
      </w:r>
      <w:r w:rsidRPr="00087A72">
        <w:rPr>
          <w:u w:val="single"/>
        </w:rPr>
        <w:t>has placed slavery firmly within “the context of the dispossession of indigenous people by settler colonialism.”38 Nevertheless, the emphasis on slavery has tended to divert attention from the centrality of displacement in black- white relationships</w:t>
      </w:r>
      <w:r w:rsidRPr="00087A72">
        <w:rPr>
          <w:sz w:val="16"/>
        </w:rPr>
        <w:t xml:space="preserve">. More recently, however, theoretical and historical </w:t>
      </w:r>
      <w:r w:rsidRPr="00087A72">
        <w:rPr>
          <w:u w:val="single"/>
        </w:rPr>
        <w:t>explorations of Liberian colonization have viewed it as one kind of settler colonial modality— that of “ultimately ‘cleansing’ the settler body politic of its (indigenous and exogenous) alterities</w:t>
      </w:r>
      <w:r w:rsidRPr="00087A72">
        <w:rPr>
          <w:sz w:val="16"/>
        </w:rPr>
        <w:t xml:space="preserve">”— and pointed to Liberian colonization’s instrumentality in the proj ect of white settler profiteering.39 As illuminating as these expositions are, they provide only snapshots of a geo graph i cally broader and chronologically longer history in which Liberian colonization was embedded. Similarly, </w:t>
      </w:r>
      <w:r w:rsidRPr="00087A72">
        <w:rPr>
          <w:u w:val="single"/>
        </w:rPr>
        <w:t xml:space="preserve">little attention has been paid to the intersection of settler colonialism and free black removal in the field of African Canadian history. </w:t>
      </w:r>
      <w:r w:rsidRPr="00087A72">
        <w:rPr>
          <w:sz w:val="16"/>
        </w:rPr>
        <w:t xml:space="preserve">The existing </w:t>
      </w:r>
      <w:r w:rsidRPr="00087A72">
        <w:rPr>
          <w:u w:val="single"/>
        </w:rPr>
        <w:t>lit er a ture</w:t>
      </w:r>
      <w:r w:rsidRPr="00087A72">
        <w:rPr>
          <w:sz w:val="16"/>
        </w:rPr>
        <w:t xml:space="preserve"> on attempts to relocate self- emancipated people to the British Ca rib bean </w:t>
      </w:r>
      <w:r w:rsidRPr="00087A72">
        <w:rPr>
          <w:u w:val="single"/>
        </w:rPr>
        <w:t>has not connected the schemes to imperatives of white settler colonialism</w:t>
      </w:r>
      <w:r w:rsidRPr="00087A72">
        <w:rPr>
          <w:sz w:val="16"/>
        </w:rPr>
        <w:t xml:space="preserve">. Nor has it investigated the languages that underpinned black exclusion from Canada’s settler polity or recognized the transnational operation of the under lying racial logic of tropical black freedom.40 </w:t>
      </w:r>
      <w:r w:rsidRPr="00087A72">
        <w:rPr>
          <w:u w:val="single"/>
        </w:rPr>
        <w:t>In U.S. historiography in par tic u lar, recognizing the existence of a settler colonial factor in black removal proj ects contributes to a recent effort to explain the sustained popularity of black colonization up to the end of the Civil War</w:t>
      </w:r>
      <w:r w:rsidRPr="00087A72">
        <w:rPr>
          <w:sz w:val="16"/>
        </w:rPr>
        <w:t>. Foner has observed that the Liberian scheme was “a po liti cal movement, an ideology, and a program that enjoyed remarkably broad support before and during the Civil War.”41 David Brion Davis calls for an investigation into the public ac cep tance of colonization in the antebellum era, since “</w:t>
      </w:r>
      <w:r w:rsidRPr="00087A72">
        <w:rPr>
          <w:u w:val="single"/>
        </w:rPr>
        <w:t>historians have never really explained why the coupling of emancipation and colonization appealed to leading American statesmen from Jefferson to Lincoln.”42 By showing how colonization supporters bundled their ventures with the imperative of expanding a white- only yeomanry</w:t>
      </w:r>
      <w:r w:rsidRPr="00087A72">
        <w:rPr>
          <w:sz w:val="16"/>
        </w:rPr>
        <w:t xml:space="preserve">, this book demonstrates that colonization was appealing partly because of its essential role in forming and articulating a core tenet of the U.S. continental empire. </w:t>
      </w:r>
      <w:r w:rsidRPr="00087A72">
        <w:rPr>
          <w:u w:val="single"/>
        </w:rPr>
        <w:t>Importantly, in thinking about freedom and settler colonialism, one should keep in mind that aspirations for landholding by the emancipated were “premised on earlier and continuing modes of colonization of Indigenous peoples</w:t>
      </w:r>
      <w:r w:rsidRPr="00087A72">
        <w:rPr>
          <w:sz w:val="16"/>
        </w:rPr>
        <w:t>.” Bonita Lawrence and Enakshi Dua make this point by poignantly asking: “Out of whose land would the ‘40 acres’ be carved?” The ideal of “black land rights” was, in essence, predicated on indigenous peoples’ “ free[ing] up” of land for settlement.</w:t>
      </w:r>
    </w:p>
    <w:p w:rsidR="00496C79" w:rsidRPr="00087A72" w:rsidRDefault="00496C79" w:rsidP="00496C79">
      <w:pPr>
        <w:pStyle w:val="Heading3"/>
      </w:pPr>
      <w:r w:rsidRPr="00087A72">
        <w:t>Link – Gender</w:t>
      </w:r>
    </w:p>
    <w:p w:rsidR="00496C79" w:rsidRPr="00087A72" w:rsidRDefault="00496C79" w:rsidP="00496C79">
      <w:pPr>
        <w:pStyle w:val="Heading4"/>
      </w:pPr>
      <w:r w:rsidRPr="00087A72">
        <w:t xml:space="preserve">Gender’s role in the intersections of racism and global capitalism are transparent in migration policies as a biopolitical tool of governance.  </w:t>
      </w:r>
    </w:p>
    <w:p w:rsidR="00496C79" w:rsidRPr="00087A72" w:rsidRDefault="00496C79" w:rsidP="00496C79">
      <w:r w:rsidRPr="00087A72">
        <w:rPr>
          <w:b/>
          <w:bCs/>
        </w:rPr>
        <w:t xml:space="preserve">Rodriguez 18 </w:t>
      </w:r>
      <w:r w:rsidRPr="00087A72">
        <w:t>(Encarnación, Professor of Sociology, Managing Director of Master’s Program Society and Modern Cultures “The Coloniality of Migration and the Refugee Crisis” Canada’s Journal on Refugees Volume 34, No.1, pp. 16-20) OD</w:t>
      </w:r>
    </w:p>
    <w:p w:rsidR="00496C79" w:rsidRPr="00087A72" w:rsidRDefault="00496C79" w:rsidP="00496C79">
      <w:pPr>
        <w:rPr>
          <w:u w:val="single"/>
        </w:rPr>
      </w:pPr>
      <w:r w:rsidRPr="00087A72">
        <w:rPr>
          <w:sz w:val="12"/>
        </w:rPr>
        <w:t xml:space="preserve">The fifteenth and sixteenth centuries to Europe’s colonized and occupied territories and developed further by European philosophical and scientific discourses in the eighteenth and nineteenth centuries31 As such, racism is the basis of the constitution of the world order and the division of the world’s population.32 </w:t>
      </w:r>
      <w:r w:rsidRPr="00087A72">
        <w:rPr>
          <w:u w:val="single"/>
        </w:rPr>
        <w:t>Within this system of racial classifi- cation that Anibal Quijano33 defines as the “coloniality of power</w:t>
      </w:r>
      <w:r w:rsidRPr="00087A72">
        <w:rPr>
          <w:sz w:val="12"/>
        </w:rPr>
        <w:t xml:space="preserve">,” social categories in ethnicity, indigeneity, race, and religion emerged, classifying the population by administra- tive, legal, scientific, and aesthetic categories. </w:t>
      </w:r>
      <w:r w:rsidRPr="00087A72">
        <w:rPr>
          <w:u w:val="single"/>
        </w:rPr>
        <w:t>A system of power was developed through which relationships of gov- ernance, labour, economy, and culture were forged.</w:t>
      </w:r>
      <w:r w:rsidRPr="00087A72">
        <w:rPr>
          <w:sz w:val="12"/>
        </w:rPr>
        <w:t xml:space="preserve"> </w:t>
      </w:r>
      <w:r w:rsidRPr="00087A72">
        <w:rPr>
          <w:b/>
          <w:iCs/>
          <w:u w:val="single"/>
        </w:rPr>
        <w:t>This sys- tem of colonial racial differentiation set out</w:t>
      </w:r>
      <w:r w:rsidRPr="00087A72">
        <w:rPr>
          <w:sz w:val="12"/>
        </w:rPr>
        <w:t xml:space="preserve"> Eurocentrism’s “fundamental axes” of a modern hierarchical system through which </w:t>
      </w:r>
      <w:r w:rsidRPr="00087A72">
        <w:rPr>
          <w:b/>
          <w:iCs/>
          <w:u w:val="single"/>
        </w:rPr>
        <w:t>“historical identities”</w:t>
      </w:r>
      <w:r w:rsidRPr="00087A72">
        <w:rPr>
          <w:sz w:val="12"/>
        </w:rPr>
        <w:t xml:space="preserve"> were created </w:t>
      </w:r>
      <w:r w:rsidRPr="00087A72">
        <w:rPr>
          <w:b/>
          <w:iCs/>
          <w:u w:val="single"/>
        </w:rPr>
        <w:t>that discerned a “new global structure of the control of labor” associated with specific “social roles” and “geohistorical places.”</w:t>
      </w:r>
      <w:r w:rsidRPr="00087A72">
        <w:rPr>
          <w:sz w:val="12"/>
        </w:rPr>
        <w:t>34 While this “</w:t>
      </w:r>
      <w:r w:rsidRPr="00087A72">
        <w:rPr>
          <w:b/>
          <w:iCs/>
          <w:u w:val="single"/>
        </w:rPr>
        <w:t>racial axis has a colonial origin and character</w:t>
      </w:r>
      <w:r w:rsidRPr="00087A72">
        <w:rPr>
          <w:sz w:val="12"/>
        </w:rPr>
        <w:t xml:space="preserve">, ... it has proven to be more durable and stable than the colonialism in whose matrix it was established.”35 </w:t>
      </w:r>
      <w:r w:rsidRPr="00087A72">
        <w:rPr>
          <w:u w:val="single"/>
        </w:rPr>
        <w:t>Relations of global trade, the organization of waged and unwaged labour, the division of work, in short, the modes of production and social reproduction of global capitalism continue to be organized by the racial matrix sustaining the coloniality of power</w:t>
      </w:r>
      <w:r w:rsidRPr="00087A72">
        <w:rPr>
          <w:sz w:val="12"/>
        </w:rPr>
        <w:t xml:space="preserve">. The coloniality of power represents the cultural predicament of racial capitalism. Further, as Maria Lugones36 asserts, the racial differentiation system intersected with a patriarchal system, which became hegemonic in early modern times (thirteenth and fourteenth centuries) in Europe37 and was exported to the colonies from the fifteenth century onwards. This constituted the “coloniality of gender.” </w:t>
      </w:r>
      <w:r w:rsidRPr="00087A72">
        <w:rPr>
          <w:u w:val="single"/>
        </w:rPr>
        <w:t>The coloniality of gender defines the universalization of a European cis- gender dichotomy, which produced positions of masculine superiority and feminine inferiority</w:t>
      </w:r>
      <w:r w:rsidRPr="00087A72">
        <w:rPr>
          <w:sz w:val="12"/>
        </w:rPr>
        <w:t xml:space="preserve">. In the intersection with colonialism and racism, these categories are complicated, </w:t>
      </w:r>
      <w:r w:rsidRPr="00087A72">
        <w:rPr>
          <w:b/>
          <w:iCs/>
          <w:u w:val="single"/>
        </w:rPr>
        <w:t xml:space="preserve">as when masculinity is racialized as black and brown, it is considered “animalistic” and, as such, violent and inferior. </w:t>
      </w:r>
      <w:r w:rsidRPr="00087A72">
        <w:rPr>
          <w:sz w:val="12"/>
        </w:rPr>
        <w:t xml:space="preserve">At the same time, femininity coupled with black or brown masculinity can be considered inferior and an object of sexualized exploitation and violence. Therefore, as Lugones argues, gender constitutes the matrix of the coloniality of power.38 Negotiations around femininity and masculinity, as well as normative heterosexuality configure modern societies. </w:t>
      </w:r>
      <w:r w:rsidRPr="00087A72">
        <w:rPr>
          <w:u w:val="single"/>
        </w:rPr>
        <w:t xml:space="preserve">Gen- der plays a significant role in the interplay of racialization and global capitalism, fundamentally shaping the coloniality of power within asylum and migration policies. </w:t>
      </w:r>
      <w:r w:rsidRPr="00087A72">
        <w:rPr>
          <w:sz w:val="12"/>
        </w:rPr>
        <w:t xml:space="preserve">Though not spelt out through the term coloniality, this understanding of the colonial condition and its social, political, and cultural persistence has been outlined by anti- colonial thinkers such as W. E. B. du Bois,39 Eric Williams,40 C. L. R. James,41 Claudia Jones,42 and Kwame Nkrumah43 29 tuted through racialization.30 Racism was exported from As W. E. B. Du Bois noted, modern societies are consti in their analyses of European colonialism, pointing at rac- isms as the shapers of modernity. </w:t>
      </w:r>
      <w:r w:rsidRPr="00087A72">
        <w:rPr>
          <w:u w:val="single"/>
        </w:rPr>
        <w:t xml:space="preserve">As they demonstrate, the differentiation between citizen and non-citizen </w:t>
      </w:r>
      <w:r w:rsidRPr="00087A72">
        <w:rPr>
          <w:sz w:val="12"/>
        </w:rPr>
        <w:t>(alien and others)—</w:t>
      </w:r>
      <w:r w:rsidRPr="00087A72">
        <w:rPr>
          <w:u w:val="single"/>
        </w:rPr>
        <w:t>which regulates access to the labour market, edu- cation, political participation, the health system, media, and cultural representation—was established in colony and metropole alike</w:t>
      </w:r>
      <w:r w:rsidRPr="00087A72">
        <w:rPr>
          <w:sz w:val="12"/>
        </w:rPr>
        <w:t xml:space="preserve">. Thus racism was not just exported to the colonies but existed within the fabric of European socie- ties prior to colonization.44 </w:t>
      </w:r>
      <w:r w:rsidRPr="00087A72">
        <w:rPr>
          <w:b/>
          <w:iCs/>
          <w:u w:val="single"/>
        </w:rPr>
        <w:t>Racism is not an exception to European modernity but is at its very foundation.</w:t>
      </w:r>
      <w:r w:rsidRPr="00087A72">
        <w:rPr>
          <w:sz w:val="12"/>
        </w:rPr>
        <w:t xml:space="preserve">45 For Eric Williams, the transatlantic slave trade—the Maafa—fore- grounds the entanglement between European modernity and the colonial plantation economy. It is in this entangle- ment that migration emerges in the nineteenth century as a modern nation-state colonial tool of governing the popula- tion in racial, ethnic, national, religious, and cultural terms. Nineteenth-Century Settler Colonialism and European Transatlantic Migration Considering Europe’s entangled global history, it is surpris- ing that </w:t>
      </w:r>
      <w:r w:rsidRPr="00087A72">
        <w:rPr>
          <w:u w:val="single"/>
        </w:rPr>
        <w:t>contemporary migratory movements are perceived</w:t>
      </w:r>
      <w:r w:rsidRPr="00087A72">
        <w:rPr>
          <w:sz w:val="12"/>
        </w:rPr>
        <w:t xml:space="preserve"> in political and media discourses as external to Europe’s his- tory and </w:t>
      </w:r>
      <w:r w:rsidRPr="00087A72">
        <w:rPr>
          <w:u w:val="single"/>
        </w:rPr>
        <w:t>as singular phenomena</w:t>
      </w:r>
      <w:r w:rsidRPr="00087A72">
        <w:rPr>
          <w:sz w:val="12"/>
        </w:rPr>
        <w:t xml:space="preserve">. This has not always been the case. For example, in territories marked by a history of European colonialism, </w:t>
      </w:r>
      <w:r w:rsidRPr="00087A72">
        <w:rPr>
          <w:u w:val="single"/>
        </w:rPr>
        <w:t>settler colonialism</w:t>
      </w:r>
      <w:r w:rsidRPr="00087A72">
        <w:rPr>
          <w:sz w:val="12"/>
        </w:rPr>
        <w:t xml:space="preserve">, and transatlantic migration, such as nation-states </w:t>
      </w:r>
      <w:r w:rsidRPr="00087A72">
        <w:rPr>
          <w:u w:val="single"/>
        </w:rPr>
        <w:t>in the Americas, Australia,46 Canada, New Zealand, and South Africa, transatlantic European migration has been foundational to the creation of these nation-states as countries of immigration</w:t>
      </w:r>
      <w:r w:rsidRPr="00087A72">
        <w:rPr>
          <w:sz w:val="12"/>
        </w:rPr>
        <w:t xml:space="preserve">. Defin- ing themselves in the eighteenth and nineteenth centuries as “countries of settlers and immigrants,” public discourses of these nation-states on national, cultural, and linguistic representation oscillated in the nineteenth century between negation or partial acknowledgement of the transcultural fabric of their societies, until today </w:t>
      </w:r>
      <w:r w:rsidRPr="00087A72">
        <w:rPr>
          <w:b/>
          <w:iCs/>
          <w:u w:val="single"/>
        </w:rPr>
        <w:t>these national narratives silence the exploitation and dehumanization of the indig- enous populations in these territories, ending in genocide</w:t>
      </w:r>
      <w:r w:rsidRPr="00087A72">
        <w:rPr>
          <w:sz w:val="12"/>
        </w:rPr>
        <w:t xml:space="preserve"> in some cases. In Latin America </w:t>
      </w:r>
      <w:r w:rsidRPr="00087A72">
        <w:rPr>
          <w:u w:val="single"/>
        </w:rPr>
        <w:t>the African presence47</w:t>
      </w:r>
      <w:r w:rsidRPr="00087A72">
        <w:rPr>
          <w:sz w:val="12"/>
        </w:rPr>
        <w:t xml:space="preserve"> due to the transatlantic slave trade during the sixteenth and nine- teenth centuries </w:t>
      </w:r>
      <w:r w:rsidRPr="00087A72">
        <w:rPr>
          <w:u w:val="single"/>
        </w:rPr>
        <w:t>has also been omitted from modern nation- state building historiography</w:t>
      </w:r>
      <w:r w:rsidRPr="00087A72">
        <w:rPr>
          <w:sz w:val="12"/>
        </w:rPr>
        <w:t xml:space="preserve">.48 From the sixteenth to the nineteenth centuries approximately 13 million people from West and East Africa were enslaved and shipped to Europe and the Americas.49 </w:t>
      </w:r>
      <w:r w:rsidRPr="00087A72">
        <w:rPr>
          <w:u w:val="single"/>
        </w:rPr>
        <w:t>In the twenty-first century, official historiographies and governments in these countries do not acknowledge the his- tory, governments, political struggle, intellectual and artistic presence of the people who inhabited these territories before European colonization.</w:t>
      </w:r>
      <w:r w:rsidRPr="00087A72">
        <w:rPr>
          <w:sz w:val="12"/>
        </w:rPr>
        <w:t xml:space="preserve">50 Nonetheless, the presence of indigenous intellectuals, artists and activists challenging the white supremacist discourse of the Eurocentric narratives of “discovery” and “country of immigration” is more publicly present than ever.51 This same narrative disclosed the con- tinuity between European colonialism and European trans- atlantic migration. As Douglas Massey52 states, from 1500 to 1800 world immigration patterns were defined by European colonialism. While Europe was establishing colonial rule in Africa and Asia, approximately 48 million emigrants left Europe for the Americas, Australia, and New Zealand between 1800 and 1925.53 The settlers arriving in the Ameri- cas from Britain, Ireland, Italy, Norway, Portugal, Spain, and Sweden represented part of modern colonization. This trans- atlantic migration forms part of the modern European over- seas colonial settlement project, coupled with ongoing settler colonialism in Oceania. </w:t>
      </w:r>
      <w:r w:rsidRPr="00087A72">
        <w:rPr>
          <w:b/>
          <w:iCs/>
          <w:u w:val="single"/>
        </w:rPr>
        <w:t>Driven by the annexation of land, appropriation of raw materials, and subjugation of the indig- enous population to pure exploitable labour, this project was also propelled by the economic boost produced through the transatlantic slave trade, enabling industrialization in Eng- land, other parts of Europe, and the Americas.</w:t>
      </w:r>
      <w:r w:rsidRPr="00087A72">
        <w:rPr>
          <w:sz w:val="12"/>
        </w:rPr>
        <w:t xml:space="preserve"> After the offi- cial abolition of slavery in the Americas, indentured laborers were recruited from China54 and India to work in the rapidly expanding plantation industry from the late nineteenth to the early twentieth centuries, as well as impoverished, reli- giously and politically persecuted Europeans.55 Though migration due to religious persecution, poverty, and epidemic menaces represents a consistent feature of European history, it was not until the late nineteenth cen- tury that migration was centre stage in the regulation and control of the nation and its others</w:t>
      </w:r>
      <w:r w:rsidRPr="00087A72">
        <w:rPr>
          <w:b/>
          <w:iCs/>
          <w:u w:val="single"/>
        </w:rPr>
        <w:t>. As a biopolitical tool of governance, migration policies were engineered and imple- mented first in countries in transition from colonial rule to sovereign national power.</w:t>
      </w:r>
      <w:r w:rsidRPr="00087A72">
        <w:rPr>
          <w:sz w:val="12"/>
        </w:rPr>
        <w:t xml:space="preserve"> </w:t>
      </w:r>
      <w:r w:rsidRPr="00087A72">
        <w:rPr>
          <w:u w:val="single"/>
        </w:rPr>
        <w:t>The first modern migration poli- cies were developed in the late nineteenth century in North, Central, and South America, and in parts of the Caribbean</w:t>
      </w:r>
      <w:r w:rsidRPr="00087A72">
        <w:rPr>
          <w:sz w:val="12"/>
        </w:rPr>
        <w:t xml:space="preserve">.56 Guaranteeing the political, economic, and cultural influence of former colonial powers, migration policies established a set of instruments prioritizing the recruitment of white European migrants.57 This process took place in Canada, the United States, the Spanish-speaking Caribbean, and Latin America, or in territories kept in political dependency on the English Crown until the second half of the twentieth century, such as Australia58 and New Zealand.59 As a result of the expansion of transportation and the need for workers in rapidly expanding industries, nineteenth- century white European transatlantic migration signalled the advent of racially structured capitalist progress, techno- logical advancement and urbanization. The focus on racial capitalism60 constituted the nation-states’ rationale for the process of racialization in the recruitment of migrant labour and the selection of the migrant workforce via parameters of profit and efficacy in the former European colonies. The recruitment of white European migrants was also deter- mined by a cultural and educational project of nation build- ing in the former European colonies. </w:t>
      </w:r>
      <w:r w:rsidRPr="00087A72">
        <w:rPr>
          <w:u w:val="single"/>
        </w:rPr>
        <w:t xml:space="preserve">Here, the colonial discourse of Europe as the cradle of civilization, modernity, culture and progress underpinned the nation-state project. </w:t>
      </w:r>
      <w:r w:rsidRPr="00087A72">
        <w:rPr>
          <w:sz w:val="12"/>
        </w:rPr>
        <w:t xml:space="preserve">The newly constituted sovereign nation-states in the Americas reacted to increasing immigration by establishing policies banning certain social, national, religious, and racial groups from entry. </w:t>
      </w:r>
      <w:r w:rsidRPr="00087A72">
        <w:rPr>
          <w:u w:val="single"/>
        </w:rPr>
        <w:t xml:space="preserve">For example, when Britain intro- duced its first immigration service in 1827 to promote the emigration of Irish and poor people to Canada,61 the Nova Scotia Assembly reacted by establishing a bond system for the immigrants entering the country in 1828. </w:t>
      </w:r>
      <w:r w:rsidRPr="00087A72">
        <w:rPr>
          <w:sz w:val="12"/>
        </w:rPr>
        <w:t xml:space="preserve">The bond sys- tem set a £10 tax on the master of any migrant vessel aiming to land on Canadian shores.62 If migrants did not become a burden for the Canadian state due to sickness, old age, pov- erty, or immaturity, they would be refunded the bond within a year. The introduction of the bond system was preceded by discussions on race. In 1815 a group of black Bermudi- ans entering Canada as British colonial subjects caused an uproar in the Nova Scotia Assembly, which complained to the English Crown about sending black people to Canada. The Assembly asked that they be repatriated and their fur- ther migration be prevented.63 </w:t>
      </w:r>
      <w:r w:rsidRPr="00087A72">
        <w:rPr>
          <w:u w:val="single"/>
        </w:rPr>
        <w:t>The question of race also became prominent in the further development of the head tax system.</w:t>
      </w:r>
      <w:r w:rsidRPr="00087A72">
        <w:rPr>
          <w:sz w:val="12"/>
        </w:rPr>
        <w:t xml:space="preserve"> First introduced to control migration in general in 1828, it was also used as a tool to prevent the immigration of racialized bodies. In 1885, for example, the introduction of the Chinese head tax on Chinese immigrants deployed specific requirements in order to reduce their immigra- tion. Chinese immigration was stopped altogether through the introduction </w:t>
      </w:r>
      <w:r w:rsidRPr="00087A72">
        <w:rPr>
          <w:u w:val="single"/>
        </w:rPr>
        <w:t>of the Chinese Immigration Act of 1923</w:t>
      </w:r>
      <w:r w:rsidRPr="00087A72">
        <w:rPr>
          <w:sz w:val="12"/>
        </w:rPr>
        <w:t xml:space="preserve">.64 From 1908 to 1947 the Continuous Journey legislation restricted Indian immigration by foreclosing their right as British colonial subjects to migrate to Canada. This had its more tragic moment in the Komagata Maru episode of 1914. A Japanese ship Komagata Maru, carrying 376 Punjabi pas- sengers, coming from Hong Kong was not permitted to land in Vancouver and sent to Budge Budge near Kolkata, where they were fired at, detained, and kept under surveillance for years, as they were suspected of being political dissidents.65 The Komagata Maru incident reflects the racial coding of Canada’s immigration policies at this time. The “Continuous Journey” regulation was introduced in 1908, two years after immigration legislation targeting non-white people and was further elaborated in 1910 by the corresponding Immigration Acts.66 Under these acts, the list of prohibited immigrants was expanded, and the Governor-in-Council (i.e., federal Cabinet) obtained greater authority in deciding on entry, settlement, and deportation measures. Further restrictions on entry permission were defined on the basis of race. </w:t>
      </w:r>
      <w:r w:rsidRPr="00087A72">
        <w:rPr>
          <w:u w:val="single"/>
        </w:rPr>
        <w:t>For example, Asian immigrants were required to have $200 and Chinese immigrants $500 in their possession before being permitted entry, while white migrants were required to have a minimum of $25 upon their arrival</w:t>
      </w:r>
      <w:r w:rsidRPr="00087A72">
        <w:rPr>
          <w:sz w:val="12"/>
        </w:rPr>
        <w:t xml:space="preserve">.67 Thus the Continu- ous Passage regulation was introduced in order to hinder the entry of non-European immigrants by permitting entry only to immigrants who came “from the country of their birth, or citizenship, by a continuous journey” and using tickets “purchased before leaving the country of their birth or citi- zenship.” In the case of the Komagata Maru, its passengers coming from India could not make a straight journey to Vancouver because they needed to stop somewhere in order to be able to do the immense crossing. This stop was China. Further, Indian nationals that succeeded in making a con- tinuous journey needed to pay the already mentioned entry tax of $200. The Komagata Maru event is emblematic for the racial coding of immigration laws in Canada, as it demon- strates the deeply entrenched racism shaping immigration policies at this time. In the 1870s the United States followed the Canadian entry tax system by passing legislation prohibiting certain groups of migrants from entering the country. In 1875, for example, Congress prohibited the entry of prostitutes, convicts, and persons with mental health issues or physical incapacities.68 In 1891 the ban was expanded to persons suffering from con- tagious diseases and allowed the deportation of migrants not complying with entry requirements. Some years later, such bio-political screening included the categories of race and nationality as selection criteria. Gerald L. Neuman69 asserts that the assumption that the United States of America was a country of free borders until the introduction of migration laws in 1875 is a myth. Also David Scott FitzGerald and David A. Cook-Martín70 concede that the United States had been one of the first nations to initiate racially coded naturaliza- tion and migration policies in the eighteenth and nineteenth centuries. The introduction of the Naturalization Law in 1790 reserved eligibility to naturalize to “free whites,” exclud- ing the indigenous and enslaved population from citizenship. Further, at this time the first federal migrations laws were passed. The movement between the states in this region was already regulated by the English Crown and after independ- ence by the United States itself in the form of incipient migra- tion regulations. These migration regulations targeted poor and sick migrants, such as laws passed in Massachusetts in 1794 penalizing “any person who knowingly brought a pauper or indigent person into any town in the Commonwealth”71 or the masters of vessels bringing “unauthorized” colonial settlers. It was not until the beginning of the nineteenth century that a difference was established between “aliens” and “colonial settlers.” In 1831, laws passed in Massachusetts penalized the entry of “aliens” into US territory. Further, as </w:t>
      </w:r>
      <w:r w:rsidRPr="00087A72">
        <w:rPr>
          <w:u w:val="single"/>
        </w:rPr>
        <w:t>Neuman observes, the link between slavery and racism in the regulation of the movement of black people, fleeing from slavery and seeking political asylum in states that had abol- ished slavery, is significant for how migration policies in the late nineteenth century would be racially coded</w:t>
      </w:r>
      <w:r w:rsidRPr="00087A72">
        <w:rPr>
          <w:sz w:val="12"/>
        </w:rPr>
        <w:t xml:space="preserve">. Already in the aftermath of the anti-colonial and anti-slavery rebellion in Saint Domingue in the early nineteenth century, black people coming to the United States were not only consid- ered suspicious, as they were perceived as “free blacks,” but their revolutionary engagement was feared because of its potential to incite revolt against racism. In 1803 the South- ern States of the United States obtained an “enactment of a federal statute prohibiting the importation of foreign blacks into states whose laws forbade their entry.”72 In the second half of the nineteenth century, </w:t>
      </w:r>
      <w:r w:rsidRPr="00087A72">
        <w:rPr>
          <w:u w:val="single"/>
        </w:rPr>
        <w:t>migration regulations were explicitly guided by racial differentiation</w:t>
      </w:r>
      <w:r w:rsidRPr="00087A72">
        <w:rPr>
          <w:sz w:val="12"/>
        </w:rPr>
        <w:t xml:space="preserve">. For example, the U.S. government reacted to Chinese migration by passing </w:t>
      </w:r>
      <w:r w:rsidRPr="00087A72">
        <w:rPr>
          <w:u w:val="single"/>
        </w:rPr>
        <w:t>the Chinese Exclusion Act</w:t>
      </w:r>
      <w:r w:rsidRPr="00087A72">
        <w:rPr>
          <w:sz w:val="12"/>
        </w:rPr>
        <w:t xml:space="preserve"> in 1882.73 This Act established a system of registration whereby all Chinese workers were obliged to register or face deportation. Though in the fol- lowing years this Act was challenged by lawyers, restrictions on Chinese immigration were tightened throughout the next decades. Canada also passed a Chinese Immigration Act in 1885 introducing a head tax of fifty dollars on Chinese migrants. Eleven years later, Australia passed an Immigra- tion Restriction Bill to prevent access by Southeast Asian immigrants, followed by a “White Australian Policy” in 1904, which banned immigration from South Asia, particularly from India, as well as from Africa.74 This policy continued into the second half of the twentieth century. Tanya Ketarí Hernández75 notes, “Debates over immi- gration policies in Spanish America were often couched in racial language.” At the beginning of the nineteenth century the Congress of Gran Colombia (constituting what is now Colombia, Ecuador, Panama, and Venezuela) promoted settler colonialism by granting land to European migrants. Brazil and Argentina followed suit and prioritized European migration in their constitutions, arguing that this would be beneficial for technological and economic progress. Argen- tina actively promoted and sought European immigration after the emancipation of the enslaved population in 1853. Between 1869 and 1895 the European population in Argen- tina increased from 1.8 million to 4 million, and in 1914 it was 7.9 million, 30 per cent of the population.76 This increase was not a coincidence but resulted from a concerted effort by the Argentine government to recruit European workers and gift land, as well as partially cover the cost of transpor- tation of white European migrants in the early years. Simi- lar developments took place in Brazil, Cuba, and Uruguay, where together with Argentina, 90 per cent of the 10–11 mil- lion European migrants who arrived between 1880 and 1930 settled. In Venezuela, after the emancipation of the enslaved population in 1854, the government’s interest in white European migration was confirmed within public intellec- tual debates around the blanqueamiento (whitening) of the nation.</w:t>
      </w:r>
      <w:r w:rsidRPr="00087A72">
        <w:rPr>
          <w:u w:val="single"/>
        </w:rPr>
        <w:t>77 Through the biological metaphor of “transfusion of blood” the Venezuelan government recruited migrants from Ireland, Gran Canaria, Germany, and Italy to keep the nation white</w:t>
      </w:r>
      <w:r w:rsidRPr="00087A72">
        <w:rPr>
          <w:sz w:val="12"/>
        </w:rPr>
        <w:t xml:space="preserve">. In 1891 legislation was passed preventing non- white migrants from entering the country. This policy was integrated in the 1906 constitution, which explicitly prohib- ited any African-descendent immigration. In a similar vein, in 1890 </w:t>
      </w:r>
      <w:r w:rsidRPr="00087A72">
        <w:rPr>
          <w:u w:val="single"/>
        </w:rPr>
        <w:t xml:space="preserve">Brazil instituted Decree No. 528, which excluded all migrants from Africa and Asia from entering the country. </w:t>
      </w:r>
      <w:r w:rsidRPr="00087A72">
        <w:rPr>
          <w:b/>
          <w:iCs/>
          <w:u w:val="single"/>
        </w:rPr>
        <w:t>This decree instituted the primacy of whiteness and dispos- sessed the inhabitants of</w:t>
      </w:r>
      <w:r w:rsidRPr="00087A72">
        <w:rPr>
          <w:sz w:val="12"/>
        </w:rPr>
        <w:t xml:space="preserve"> Abya Yala78 </w:t>
      </w:r>
      <w:r w:rsidRPr="00087A72">
        <w:rPr>
          <w:b/>
          <w:iCs/>
          <w:u w:val="single"/>
        </w:rPr>
        <w:t>from their entitlement to land they had inhabited for centuries,</w:t>
      </w:r>
      <w:r w:rsidRPr="00087A72">
        <w:rPr>
          <w:sz w:val="12"/>
        </w:rPr>
        <w:t xml:space="preserve"> as the migrants arriving mainly from Portugal, Italy, Spain, and Germany were thought to legally own and settle in individual allot- ments of this territory. Brazil states in its 1853 constitution, “The federal government shall foster European immigration, and may not restrict, limit or burden with any tax whatso- ever, the entry.”79 In 1921 Brazil’s Federal Law prohibited the entry of “undesirables.”80 This legal regulation was factually executed, when Brazil rejected the settlement of a group of African-Americans who were planning to create a settler colony in Mato Grosso.81 Legislation preventing particularly Chinese and non-European immigration was also passed in other parts of Latin America and the Caribbean. In Haiti, legislation forbidding the entry of Syrian immigrants was introduced in 1903.82 Similar laws banning Armenians and Syrians were also passed in Costa Rica (1914), Panama (1909–17), and Venezuela (1919).83 Europe expanded its eco- nomic, political, legal, and cultural control over colonized territories overseas through settler colonialism-migration until the middle of the twentieth century. However, in the public discourse in Europe this white European transatlan- tic settler colonial-migration seems to have been forgotten. Instead, migration is considered a new issue appearing in post-1945 societies or brought by post-1970s globalization to Europe. Within this context, migration is constructed as not having any roots in Europe, and Europe itself as the epicen- tre of global immigration. EU Asylum-Migration Regime and Racial Differentiation In the late 1940s and 1950s citizens of English colonies in the Caribbean and the Indian subcontinent arrived in the United Kingdom. These British citizens were seen as exterior to the nation and constructed as immigrants. In France in the 1950s a similar situation occurred when citizens from the French North African colonies arrived in the hexagone (France). The presence of these (former) colonial subjects in the seat of empire challenged the public myth that European nation-states were cut off from the circuits of colonialism and imperialism. In the 1960s and 1970s labour migra- tion shaped the Fordist state in Germany, France, Britain, the Netherlands, and the Benelux countries, through the recruitment of workers from the disenfranchised territories of Southern Europe, Turkey, Morocco, and (post-)colonial territories. Despite these migratory movements, Europe’s memory about its own history of transatlantic settler colo- nialism-migration and exile was not brought to the fore. Nonetheless, the 1980s reaffirmed that the movements of people due to political persecution, poverty, war, austerity, social constraints, cultural restrictions, lack of employment, study, leisure, or just because of their wish for change, con- stituted the fabric of current societies. It is within this (post-) colonial context that migration and border control measures, technologies, devices, and tropes have been engineered in the last three decades. Migration regulation ensures that the Other of the nation/ Europe/the Occident is reconfigured in racial terms. The logic generated in this context constructs and produces objects to be governed through restrictions, management devices, and administrative categories such as “refugee,” “asylum seeker,” or a variety of migrant statuses. The colonial- ity of migration operates within this matrix of social clas- sification on the basis of colonial racial hierarchies. Colonial difference departs from the idea that the colonized popula- tion is fundamentally different and inherently inferior to the colonizer.84 It conceives the Other as radically inassimilable, oscillating between the positions of strangeness and similari- ty.85 Migration policies reiterate such racialized objectifica- tion reminiscent of colonial times. While </w:t>
      </w:r>
      <w:r w:rsidRPr="00087A72">
        <w:rPr>
          <w:u w:val="single"/>
        </w:rPr>
        <w:t>current EU migration and asylum policies</w:t>
      </w:r>
      <w:r w:rsidRPr="00087A72">
        <w:rPr>
          <w:sz w:val="12"/>
        </w:rPr>
        <w:t xml:space="preserve"> do not operate explicitly within a framework of racial or ethnic difference, by coupling nationality and the right to asylum, they </w:t>
      </w:r>
      <w:r w:rsidRPr="00087A72">
        <w:rPr>
          <w:u w:val="single"/>
        </w:rPr>
        <w:t xml:space="preserve">construct hierarchies in the recognition or rejection of asylum in terms of nationalities. </w:t>
      </w:r>
      <w:r w:rsidRPr="00087A72">
        <w:rPr>
          <w:sz w:val="12"/>
        </w:rPr>
        <w:t xml:space="preserve">This </w:t>
      </w:r>
      <w:r w:rsidRPr="00087A72">
        <w:rPr>
          <w:b/>
          <w:iCs/>
          <w:u w:val="single"/>
        </w:rPr>
        <w:t>places people in zones of recognition or rejection of the human right to liveabili- ty</w:t>
      </w:r>
      <w:r w:rsidRPr="00087A72">
        <w:rPr>
          <w:sz w:val="12"/>
        </w:rPr>
        <w:t xml:space="preserve">.86 This coupling follows from the foundation of racialized notions of the Other. While the entry of Syrian refugees to Germany was being accepted in the autumn of 2015, for instance, people from Kosovo, Albania, and Montenegro were being deported. On October 24, 2015, these latter coun- tries were declared “safe countries of origin.” However, those affected by these deportations were primarily Roma families who had fled from racist violence in their countries of origin. The perception and categorization of this group was deter- mined in Germany not only by their national origin. As the result of Western European racism against Roma and Sinti, deeply rooted since the Middle Ages and articulated anew, they have become the objects of securitization measures.87 Further, as previously argued, </w:t>
      </w:r>
      <w:r w:rsidRPr="00087A72">
        <w:rPr>
          <w:b/>
          <w:iCs/>
          <w:u w:val="single"/>
        </w:rPr>
        <w:t>the discourses on the “refu- gee crisis” operate within the duality of self and Other</w:t>
      </w:r>
      <w:r w:rsidRPr="00087A72">
        <w:rPr>
          <w:sz w:val="12"/>
        </w:rPr>
        <w:t xml:space="preserve">. The debate on the “refugee crisis” is determined either by the humanitarian perspective or by a regulatory approach. The humanitarian perspective emphasizes the need for wealthy nations to provide support for people fleeing from wars and conflict zones. It appeals to Christian and humanitar- ian traditions of charity and empathy. Instead, the regula- tory approach argues for the prioritization of securing the wealth of the local population. This debate is taking place across all political party ideologies in countries with a strong welfare regime, such as in Western Europe, the Scandinavian countries, the Netherlands, France, and Germany. If we take Germany, for example, we see how the argument about the limits of the welfare state in providing support for refugees is debated by very different political actors. While there are, of course, ideological and policy-related differences between the political camps, it is surprising to see how they converge in the use of </w:t>
      </w:r>
      <w:r w:rsidRPr="00087A72">
        <w:rPr>
          <w:u w:val="single"/>
        </w:rPr>
        <w:t>the figure of the refugee as the Other of the nation</w:t>
      </w:r>
      <w:r w:rsidRPr="00087A72">
        <w:rPr>
          <w:sz w:val="12"/>
        </w:rPr>
        <w:t xml:space="preserve">, or Europe’s “exteriority.”88 However, the migration- asylum nexus does not only follow the logic of the produc- tion of a racialized exteriority to the nationally imagined and proclaimed norm of European whiteness. </w:t>
      </w:r>
      <w:r w:rsidRPr="00087A72">
        <w:rPr>
          <w:u w:val="single"/>
        </w:rPr>
        <w:t xml:space="preserve">This nexus also operates within the dynamics of exploitation that have func- tioned for the last five centuries within the colonial-modern world system, and particularly within the context of nation- state migration policies since the nineteenth century. </w:t>
      </w:r>
    </w:p>
    <w:p w:rsidR="00E06E0C" w:rsidRPr="00087A72" w:rsidRDefault="00E06E0C" w:rsidP="00E06E0C">
      <w:pPr>
        <w:pStyle w:val="Heading4"/>
      </w:pPr>
      <w:r w:rsidRPr="00087A72">
        <w:t>Gendered complicities demand residents to uphold a “stable” heteronormative being, furthering the invisibility of indigenous women in hyper masculinist colonial spaces and indigenous men when made effeminate in comparison to the racialized immigrant.</w:t>
      </w:r>
    </w:p>
    <w:p w:rsidR="00E06E0C" w:rsidRPr="00087A72" w:rsidRDefault="00E06E0C" w:rsidP="00E06E0C">
      <w:r w:rsidRPr="00087A72">
        <w:rPr>
          <w:b/>
          <w:bCs/>
        </w:rPr>
        <w:t xml:space="preserve">Upadhyay 16 </w:t>
      </w:r>
      <w:r w:rsidRPr="00087A72">
        <w:t>(Nishant, Assistant Professor in Women's and Gender Studies at University of Massachusetts Dartmouth, Ph.D. in Graduate Program in Social and Political Thought at York University, South Asian</w:t>
      </w:r>
      <w:r w:rsidRPr="00087A72">
        <w:rPr>
          <w:i/>
        </w:rPr>
        <w:t xml:space="preserve"> “We’ll Sail Like Columbus”: Race, Indigeneity, Settler Colonialism, and the Making of South Asian Diasporas in Canada.</w:t>
      </w:r>
      <w:r w:rsidRPr="00087A72">
        <w:t xml:space="preserve"> pp. 266-268) IA</w:t>
      </w:r>
    </w:p>
    <w:p w:rsidR="00496C79" w:rsidRPr="00087A72" w:rsidRDefault="00E06E0C" w:rsidP="00496C79">
      <w:pPr>
        <w:rPr>
          <w:sz w:val="12"/>
        </w:rPr>
      </w:pPr>
      <w:r w:rsidRPr="00087A72">
        <w:rPr>
          <w:sz w:val="12"/>
        </w:rPr>
        <w:t xml:space="preserve">Meritocracy gets (re)produced not only as deracialized but also as degendered. With gender the similar logic works as if heteropatriarchal and misogynist structures do not function in the work place. It must be noted that Fort McMurray and the tar sands are hyper-masculinized spaces including home, work and other public spaces—sexual harassment, gender discrimination, and unequal wages are the norm. Women have been not able to capitalize their skills and labour in the booming industry as compared to the male workforce. For example, male/female ratios in 2007 were 79 to 21 per cent for geoscientists and 96 to 4 per cent for trades (Maya Rolbin- Ghanie). In Suncor, women made only 23.3 per cent of the workforce in 2012 (a slight increase from 21.5 per cent is 2007) (Suncor n.pag.). For my respondents not having any women engineers or having one co-op female student or just one-woman permanent staff for 30 years is “normal.” It was either explained through merit or through Canadian exceptionalism. The logic is that companies prefer employees with the necessary skills, and similar to race, gender is not relevant in determining skills and merits. For example, Ritesh explained, “Oh yeah! It’s fair. All these companies care about is qualification. They don’t care about gender and anything else. If you are qualified enough then they give you jobs, like an engineering director was a woman a few years back. So it’s not like that [sexism does not function in the workplace].” For Kabir: “it’s not that they are not there. I would say its mainly based on their performance and what nature of work they do. In other words, if the women are not studying engineering then they would not be qualified enough. As more female students are getting trained in engineering, as Kritika noted, “[these companies] have started hiring women.” Gender equality, or relative lack of discrimination, is also explained through Canada’s exceptionalism vis-à-vis the U.S.; for example, Sanjeev, a computer engineer in an oil company, noted: “as far as I understand, </w:t>
      </w:r>
      <w:r w:rsidRPr="00087A72">
        <w:rPr>
          <w:u w:val="single"/>
        </w:rPr>
        <w:t>Canadian people are still family oriented not like other parts of North America</w:t>
      </w:r>
      <w:r w:rsidRPr="00087A72">
        <w:rPr>
          <w:sz w:val="12"/>
        </w:rPr>
        <w:t xml:space="preserve"> ... Here, as I understand, it is still more family oriented. That plays a part. And obviously </w:t>
      </w:r>
      <w:r w:rsidRPr="00087A72">
        <w:rPr>
          <w:u w:val="single"/>
        </w:rPr>
        <w:t>it will always force the women typically to be at home to be with the child</w:t>
      </w:r>
      <w:r w:rsidRPr="00087A72">
        <w:rPr>
          <w:sz w:val="12"/>
        </w:rPr>
        <w:t xml:space="preserve">. Their later entry into the workforce also plays a role.” Comparing gender equality in Canada to “back home” (India for most respondents), many reflected that gender imparity was “not as bad as back home.” </w:t>
      </w:r>
      <w:r w:rsidRPr="00087A72">
        <w:rPr>
          <w:u w:val="single"/>
        </w:rPr>
        <w:t>All conversations around gender assumed women to be white or racialized, and not Indigenous</w:t>
      </w:r>
      <w:r w:rsidRPr="00087A72">
        <w:rPr>
          <w:sz w:val="12"/>
        </w:rPr>
        <w:t xml:space="preserve">. </w:t>
      </w:r>
      <w:r w:rsidRPr="00087A72">
        <w:rPr>
          <w:u w:val="single"/>
        </w:rPr>
        <w:t xml:space="preserve">On the one hand, Indigenous women get invisibilized in these conversations, much akin to the settler state methods, where Indigenous women are always already absent from the imagination and state-formulations of indigeneity. Further, violences against Indigenous women in these hyper masculinist colonial spaces is obfuscated in these discourses.32 On the other hand, Indigenous men are made effeminate in comparison to the racialized immigrant—men or women, i.e. they’re not “man enough” with their braids, to be in the office, have a stable job and life and not be dependent on the state. </w:t>
      </w:r>
      <w:r w:rsidRPr="00087A72">
        <w:rPr>
          <w:sz w:val="12"/>
        </w:rPr>
        <w:t xml:space="preserve">The questions about gender discrimination and sexism garnered similar denial and disbelief from men and women alike. I should further note, that out of the five women I interviewed, four of them were interviewed along with their husbands at the same time. While this, along with the fact that I was identified as man by most of my respondents, would have impacted my interactions with the women. But given that none of the women had high-skilled jobs as compared to the men I interviewed (with the exception of one), is telling of the gender dynamics both within the private and public sphere for these women. Out of the remaining five men, only one respondent’s wife worked outside; all others were homemakers. Additionally, with all four couples I interviewed, the domesticated gender dynamics were highly visible, gendered and normalized (from who served tea and snacks, to who went to answer the call, to who went to look at the child/ren etc.). While I did not ask my respondents about domestic gender dynamics, the gendered relations at home replicate the gender relations at the workplace. I draw out this picture to point out how both the private and public spaces remain highly gendered within the economy, and how gender is integral to understanding the workings of the tar sands. In addition, the fact that all my respondents were in heterosexual endogamic marriages speaks to the deep interconnections between heteronormativity and neoliberal economy. </w:t>
      </w:r>
      <w:r w:rsidRPr="00087A72">
        <w:rPr>
          <w:u w:val="single"/>
        </w:rPr>
        <w:t>That the economy requires the workers be heteronormative is easily visible in the city, public and private spaces.</w:t>
      </w:r>
      <w:r w:rsidRPr="00087A72">
        <w:rPr>
          <w:sz w:val="12"/>
        </w:rPr>
        <w:t xml:space="preserve"> Fort McMurray is a very heteronormative city with very limited queer spaces. For all my respondents to be heterosexual is not a mere coincidence in the context of the tar sands economy. </w:t>
      </w:r>
      <w:r w:rsidRPr="00087A72">
        <w:rPr>
          <w:b/>
          <w:iCs/>
          <w:u w:val="single"/>
        </w:rPr>
        <w:t xml:space="preserve">The demands of the economy and market require the residents to have “stable” normative lives in terms of class, gender and sexuality. </w:t>
      </w:r>
      <w:r w:rsidRPr="00087A72">
        <w:rPr>
          <w:sz w:val="12"/>
        </w:rPr>
        <w:t xml:space="preserve">In the next section, I discuss Punjabis and their work experiences in different parts of B.C. in forestry and fishery industries during the 1960-90s. Comparing the Fort McMurray community with B.C. communities exposes the heterogeneity of South Asian diasporas in Canada. Firstly, it demonstrates how not everyone in the diaspora is similarly privileged or upwardly mobile. Secondly, it ruptures the myth that immigrant communities who “make it” on the point system are similar; rather it highlights the complexity of socio-economic positionalities of communities. </w:t>
      </w:r>
    </w:p>
    <w:p w:rsidR="0022388F" w:rsidRPr="00087A72" w:rsidRDefault="0022388F" w:rsidP="00496C79">
      <w:pPr>
        <w:pStyle w:val="Heading3"/>
      </w:pPr>
      <w:r w:rsidRPr="00087A72">
        <w:t>Link – Hegemony</w:t>
      </w:r>
    </w:p>
    <w:p w:rsidR="00792F86" w:rsidRPr="00087A72" w:rsidRDefault="00792F86" w:rsidP="00792F86">
      <w:pPr>
        <w:pStyle w:val="Heading4"/>
      </w:pPr>
      <w:r w:rsidRPr="00087A72">
        <w:t>Hegemony’s belief in its own superiority produces settler sovereignty as justified and inevitable, creating reiterative practices of genocide</w:t>
      </w:r>
    </w:p>
    <w:p w:rsidR="00792F86" w:rsidRPr="00087A72" w:rsidRDefault="00792F86" w:rsidP="00792F86">
      <w:r w:rsidRPr="00087A72">
        <w:rPr>
          <w:rStyle w:val="Style13ptBold"/>
        </w:rPr>
        <w:t>Bruyneel 15</w:t>
      </w:r>
      <w:r w:rsidRPr="00087A72">
        <w:t xml:space="preserve"> (Kevin, Professor of Politics at Babson College. He wrote The Third Space of Sovereignty: The Postcolonial Politics of U.S.-Indigenous Relations, “Codename Geronimo: settler memory and the production of American statism,” </w:t>
      </w:r>
      <w:r w:rsidRPr="00087A72">
        <w:rPr>
          <w:i/>
        </w:rPr>
        <w:t>Settler Colonial Studies</w:t>
      </w:r>
      <w:r w:rsidRPr="00087A72">
        <w:t>, Issue Number, No.4, pp. 4-6)//vikas</w:t>
      </w:r>
    </w:p>
    <w:p w:rsidR="00792F86" w:rsidRPr="00087A72" w:rsidRDefault="00792F86" w:rsidP="00792F86">
      <w:pPr>
        <w:rPr>
          <w:sz w:val="16"/>
        </w:rPr>
      </w:pPr>
      <w:r w:rsidRPr="00087A72">
        <w:rPr>
          <w:sz w:val="16"/>
        </w:rPr>
        <w:t xml:space="preserve">In moving swiftly from the so-called War on Terror, to the US-Dakota War and its aftermath, to the US Civil War and its notable moments my introductory narrative intentionally blurs the boundaries between past and present, between colonialist and imperialist state violence, and between the mutually constitutive practices of liberal nationalism and colonial settlement in US political development. To blur boundaries is not to imply that they do not exist, as there are important distinctions and definitions worth maintaining here. Rather, the aim is to draw attention to the intimate, constitutive relationship among these categories so as to see, for example, </w:t>
      </w:r>
      <w:r w:rsidRPr="00087A72">
        <w:rPr>
          <w:b/>
          <w:u w:val="single"/>
        </w:rPr>
        <w:t>the active settler logic at the core of American collective memory</w:t>
      </w:r>
      <w:r w:rsidRPr="00087A72">
        <w:rPr>
          <w:sz w:val="16"/>
        </w:rPr>
        <w:t xml:space="preserve"> that </w:t>
      </w:r>
      <w:r w:rsidRPr="00087A72">
        <w:rPr>
          <w:b/>
          <w:u w:val="single"/>
        </w:rPr>
        <w:t>habitually justifies and authorizes US imperialist violence in the contemporary period</w:t>
      </w:r>
      <w:r w:rsidRPr="00087A72">
        <w:rPr>
          <w:sz w:val="16"/>
        </w:rPr>
        <w:t xml:space="preserve">, just </w:t>
      </w:r>
      <w:r w:rsidRPr="00087A72">
        <w:rPr>
          <w:b/>
          <w:u w:val="single"/>
        </w:rPr>
        <w:t>as these imperialist actions and their justifications reinforce the liberal legitimation of</w:t>
      </w:r>
      <w:r w:rsidRPr="00087A72">
        <w:rPr>
          <w:sz w:val="16"/>
        </w:rPr>
        <w:t xml:space="preserve"> persistent </w:t>
      </w:r>
      <w:r w:rsidRPr="00087A72">
        <w:rPr>
          <w:b/>
          <w:u w:val="single"/>
        </w:rPr>
        <w:t>settler dispossession, violence, and incarceration.</w:t>
      </w:r>
      <w:r w:rsidRPr="00087A72">
        <w:rPr>
          <w:sz w:val="16"/>
        </w:rPr>
        <w:t xml:space="preserve"> It is not a mere matter of </w:t>
      </w:r>
      <w:r w:rsidRPr="00087A72">
        <w:rPr>
          <w:b/>
          <w:u w:val="single"/>
        </w:rPr>
        <w:t>political incorrectness that name of Geronimo</w:t>
      </w:r>
      <w:r w:rsidRPr="00087A72">
        <w:rPr>
          <w:sz w:val="16"/>
        </w:rPr>
        <w:t xml:space="preserve">, the </w:t>
      </w:r>
      <w:r w:rsidRPr="00087A72">
        <w:rPr>
          <w:b/>
          <w:u w:val="single"/>
        </w:rPr>
        <w:t>legendary Chiricahua Apache</w:t>
      </w:r>
      <w:r w:rsidRPr="00087A72">
        <w:rPr>
          <w:sz w:val="16"/>
        </w:rPr>
        <w:t xml:space="preserve"> leader, became </w:t>
      </w:r>
      <w:r w:rsidRPr="00087A72">
        <w:rPr>
          <w:b/>
          <w:u w:val="single"/>
        </w:rPr>
        <w:t>military code for identifying Bin Laden</w:t>
      </w:r>
      <w:r w:rsidRPr="00087A72">
        <w:rPr>
          <w:sz w:val="16"/>
        </w:rPr>
        <w:t xml:space="preserve">. </w:t>
      </w:r>
      <w:r w:rsidRPr="00087A72">
        <w:rPr>
          <w:b/>
          <w:u w:val="single"/>
        </w:rPr>
        <w:t>Nor is it just a coincidence that</w:t>
      </w:r>
      <w:r w:rsidRPr="00087A72">
        <w:rPr>
          <w:sz w:val="16"/>
        </w:rPr>
        <w:t xml:space="preserve"> the </w:t>
      </w:r>
      <w:r w:rsidRPr="00087A72">
        <w:rPr>
          <w:b/>
          <w:u w:val="single"/>
        </w:rPr>
        <w:t>Emancipation Proclamation was signed</w:t>
      </w:r>
      <w:r w:rsidRPr="00087A72">
        <w:rPr>
          <w:sz w:val="16"/>
        </w:rPr>
        <w:t xml:space="preserve"> only </w:t>
      </w:r>
      <w:r w:rsidRPr="00087A72">
        <w:rPr>
          <w:b/>
          <w:u w:val="single"/>
        </w:rPr>
        <w:t xml:space="preserve">six days after the mass execution of the Dakota </w:t>
      </w:r>
      <w:r w:rsidRPr="00087A72">
        <w:rPr>
          <w:sz w:val="16"/>
        </w:rPr>
        <w:t xml:space="preserve">38. </w:t>
      </w:r>
      <w:r w:rsidRPr="00087A72">
        <w:rPr>
          <w:b/>
          <w:u w:val="single"/>
        </w:rPr>
        <w:t>And it is not a case of amnesia that leads</w:t>
      </w:r>
      <w:r w:rsidRPr="00087A72">
        <w:rPr>
          <w:sz w:val="16"/>
        </w:rPr>
        <w:t xml:space="preserve"> President </w:t>
      </w:r>
      <w:r w:rsidRPr="00087A72">
        <w:rPr>
          <w:b/>
          <w:u w:val="single"/>
        </w:rPr>
        <w:t>Obama to ask the nation to remember the actions of</w:t>
      </w:r>
      <w:r w:rsidRPr="00087A72">
        <w:rPr>
          <w:sz w:val="16"/>
        </w:rPr>
        <w:t xml:space="preserve"> President </w:t>
      </w:r>
      <w:r w:rsidRPr="00087A72">
        <w:rPr>
          <w:b/>
          <w:u w:val="single"/>
        </w:rPr>
        <w:t>Lincoln as it concerns liberating enslaved Black Americans</w:t>
      </w:r>
      <w:r w:rsidRPr="00087A72">
        <w:rPr>
          <w:sz w:val="16"/>
        </w:rPr>
        <w:t xml:space="preserve"> while </w:t>
      </w:r>
      <w:r w:rsidRPr="00087A72">
        <w:rPr>
          <w:b/>
          <w:u w:val="single"/>
        </w:rPr>
        <w:t>staying silent on</w:t>
      </w:r>
      <w:r w:rsidRPr="00087A72">
        <w:rPr>
          <w:sz w:val="16"/>
        </w:rPr>
        <w:t xml:space="preserve"> Lincoln's role in the </w:t>
      </w:r>
      <w:r w:rsidRPr="00087A72">
        <w:rPr>
          <w:b/>
          <w:u w:val="single"/>
        </w:rPr>
        <w:t>execution of the Dakota</w:t>
      </w:r>
      <w:r w:rsidRPr="00087A72">
        <w:rPr>
          <w:sz w:val="16"/>
        </w:rPr>
        <w:t xml:space="preserve"> 38, let alone even mentioning these men at all. </w:t>
      </w:r>
      <w:r w:rsidRPr="00087A72">
        <w:rPr>
          <w:b/>
          <w:u w:val="single"/>
        </w:rPr>
        <w:t>What links these all is</w:t>
      </w:r>
      <w:r w:rsidRPr="00087A72">
        <w:rPr>
          <w:sz w:val="16"/>
        </w:rPr>
        <w:t xml:space="preserve"> that they are </w:t>
      </w:r>
      <w:r w:rsidRPr="00087A72">
        <w:rPr>
          <w:b/>
          <w:u w:val="single"/>
        </w:rPr>
        <w:t>different forms of evidence of the important relationship between settler memory and statism in the development and maintenance of US liberal colonialism. Settler memory refers to the mnemonics – that is, the functions, practices, and products of memory</w:t>
      </w:r>
      <w:r w:rsidRPr="00087A72">
        <w:rPr>
          <w:sz w:val="16"/>
        </w:rPr>
        <w:t xml:space="preserve"> – of </w:t>
      </w:r>
      <w:r w:rsidRPr="00087A72">
        <w:rPr>
          <w:rStyle w:val="Emphasis"/>
        </w:rPr>
        <w:t>colonialist dispossession and settlement that shape settler subjectivity and governmentality in liberal colonial contexts such as the USA</w:t>
      </w:r>
      <w:r w:rsidRPr="00087A72">
        <w:rPr>
          <w:sz w:val="16"/>
        </w:rPr>
        <w:t xml:space="preserve">. By ‘liberal colonial’ I mean polities comprised of institutions, norms, and practices that reflect a compatible encounter between liberal-democracy and colonialism in the political development and contemporary formations of nations such as the USA. In short, liberal-democracy and settler colonialism are not mutually exclusive or contradictory. In contexts such as the USA they are mutually reinforcing; </w:t>
      </w:r>
      <w:r w:rsidRPr="00087A72">
        <w:rPr>
          <w:b/>
          <w:u w:val="single"/>
        </w:rPr>
        <w:t>liberal democracy legitimates settler dispossessions while</w:t>
      </w:r>
      <w:r w:rsidRPr="00087A72">
        <w:rPr>
          <w:sz w:val="16"/>
        </w:rPr>
        <w:t xml:space="preserve"> these very </w:t>
      </w:r>
      <w:r w:rsidRPr="00087A72">
        <w:rPr>
          <w:b/>
          <w:u w:val="single"/>
        </w:rPr>
        <w:t>dispossessions provide the territorial and ideological context for liberal democratic political life</w:t>
      </w:r>
      <w:r w:rsidRPr="00087A72">
        <w:rPr>
          <w:sz w:val="16"/>
        </w:rPr>
        <w:t xml:space="preserve">. And in liberal colonial contexts such as the USA, settler mnemonics – such as codename Geronimo, Black Hawk helicopters, places and teams named after Indigenous peoples, and calendric commemorations such as Columbus Day and Thanksgiving – are so ubiquitous and habitual that they become both simultaneously present and absent in American collective memory. This is settler memory at work, habitually invoking settler colonialism in a manner that blurs the line between past and present, thus further re-inscribing the practices of present day settler violence and dispossession. That is, these </w:t>
      </w:r>
      <w:r w:rsidRPr="00087A72">
        <w:rPr>
          <w:b/>
          <w:u w:val="single"/>
        </w:rPr>
        <w:t>settler memories are both there and not there at the same time, before our eyes but also dispossessed of active political meaning</w:t>
      </w:r>
      <w:r w:rsidRPr="00087A72">
        <w:rPr>
          <w:sz w:val="16"/>
        </w:rPr>
        <w:t xml:space="preserve"> in and by the settler imaginary. </w:t>
      </w:r>
      <w:r w:rsidRPr="00087A72">
        <w:rPr>
          <w:b/>
          <w:u w:val="single"/>
        </w:rPr>
        <w:t>This is a cycle that replays dispossession and settlement</w:t>
      </w:r>
      <w:r w:rsidRPr="00087A72">
        <w:rPr>
          <w:sz w:val="16"/>
        </w:rPr>
        <w:t xml:space="preserve"> on a mnemonic loop. Political efforts to challenge the meaning of, for example, codename Geronimo, Columbus Day, or the Washington football team's name seek to intervene and upset this mnemonic loop so as to unsettle this memory and refuse this ongoing dispossession. During political conflicts over these settler designations we see that settler memory is not a forgetting of colonialism and settlement. This is not a condition of collective amnesia in which nations conveniently forget those aspect of the past that do not shed a positive light on the nation.6 In contrast to the amnesia diagnosis, I argue that </w:t>
      </w:r>
      <w:r w:rsidRPr="00087A72">
        <w:rPr>
          <w:b/>
          <w:u w:val="single"/>
        </w:rPr>
        <w:t>the problem with America's relationship with its past is</w:t>
      </w:r>
      <w:r w:rsidRPr="00087A72">
        <w:rPr>
          <w:sz w:val="16"/>
        </w:rPr>
        <w:t xml:space="preserve"> not a matter of forgetting, but rather is </w:t>
      </w:r>
      <w:r w:rsidRPr="00087A72">
        <w:rPr>
          <w:b/>
          <w:u w:val="single"/>
        </w:rPr>
        <w:t>the manner in which the nation remembers its past, as facts and myths, and</w:t>
      </w:r>
      <w:r w:rsidRPr="00087A72">
        <w:rPr>
          <w:sz w:val="16"/>
        </w:rPr>
        <w:t xml:space="preserve"> the important role of this remembering in the </w:t>
      </w:r>
      <w:r w:rsidRPr="00087A72">
        <w:rPr>
          <w:b/>
          <w:u w:val="single"/>
        </w:rPr>
        <w:t>re-legitimation of contemporary violence, dispossession, and appropriation.</w:t>
      </w:r>
      <w:r w:rsidRPr="00087A72">
        <w:rPr>
          <w:sz w:val="16"/>
        </w:rPr>
        <w:t xml:space="preserve">7 In this regard, I offer up the concept of settler memory to refer to the way in which a settler society habitually articulates collective knowledge of the past and present of settler colonial violence and dispossession and in the same moment disavows the political relevance of this memory by refusing and absenting the presence of Indigenous people as contemporary agents. Furthermore, </w:t>
      </w:r>
      <w:r w:rsidRPr="00087A72">
        <w:rPr>
          <w:b/>
          <w:u w:val="single"/>
        </w:rPr>
        <w:t>settler memory is always at work in this way because securing settlement is a persistent American state practice</w:t>
      </w:r>
      <w:r w:rsidRPr="00087A72">
        <w:rPr>
          <w:sz w:val="16"/>
        </w:rPr>
        <w:t xml:space="preserve">. As such, a contemporary anti-colonial politics needs to attend to the working of settler memory as central to the reproduction of settler ideology and hegemony in our time, including legitimating the status and role of the settler state. I argue that </w:t>
      </w:r>
      <w:r w:rsidRPr="00087A72">
        <w:rPr>
          <w:b/>
          <w:u w:val="single"/>
        </w:rPr>
        <w:t>American state practices and institutions function and are legitimated</w:t>
      </w:r>
      <w:r w:rsidRPr="00087A72">
        <w:rPr>
          <w:sz w:val="16"/>
        </w:rPr>
        <w:t xml:space="preserve">, especially in their most warlike functioning, </w:t>
      </w:r>
      <w:r w:rsidRPr="00087A72">
        <w:rPr>
          <w:b/>
          <w:u w:val="single"/>
        </w:rPr>
        <w:t>through settler memory</w:t>
      </w:r>
      <w:r w:rsidRPr="00087A72">
        <w:rPr>
          <w:sz w:val="16"/>
        </w:rPr>
        <w:t xml:space="preserve">. When one accounts for the history and present of American violence toward Indigenous people and dispossession of Indigenous lands it is fair to say that the USA has always been in a warlike state; that this is not a new phenomenon of the post-World War II era. In this regard, settler memory as an active practice, not a reference to dislocated past. Just as an individual cannot act ably without the active function of memory, neither can institutions nor communities such as the American settler state and nation. States and nations are embodied structures that function, develop, and transform through the expression of individual and collective agency over time. They do not have a life on their own without people maintaining them, developing and adapting them, and articulating their power. </w:t>
      </w:r>
      <w:r w:rsidRPr="00087A72">
        <w:rPr>
          <w:rStyle w:val="Emphasis"/>
        </w:rPr>
        <w:t>The American effort to legitimate</w:t>
      </w:r>
      <w:r w:rsidRPr="00087A72">
        <w:rPr>
          <w:sz w:val="16"/>
        </w:rPr>
        <w:t xml:space="preserve"> settlement requires </w:t>
      </w:r>
      <w:r w:rsidRPr="00087A72">
        <w:rPr>
          <w:rStyle w:val="Emphasis"/>
        </w:rPr>
        <w:t>persistent articulation, especially as it concerns statist power that enforces and naturalizes Indigenous territorial dispossession and</w:t>
      </w:r>
      <w:r w:rsidRPr="00087A72">
        <w:rPr>
          <w:sz w:val="16"/>
        </w:rPr>
        <w:t xml:space="preserve"> Indigenous people's </w:t>
      </w:r>
      <w:r w:rsidRPr="00087A72">
        <w:rPr>
          <w:rStyle w:val="Emphasis"/>
        </w:rPr>
        <w:t>disempowerment</w:t>
      </w:r>
      <w:r w:rsidRPr="00087A72">
        <w:rPr>
          <w:sz w:val="16"/>
        </w:rPr>
        <w:t>. This essay offers a way to imagine decolonization and unsettlement through a critique of statism by deconstructing it as produced through the intersected practices of memory and settlement. I turn next to explain why memory is an important analytical site of political intervention here, in particular in its relationship to settler statism. Building upon this discussion, the essay then assesses the case of Codename Geronimo, moving back and forth between historical and contemporary events with a specific focus on how the mnemonic figure of Geronimo offers insight on the mnemonic practices central to the persistence of US liberal colonialism and settler statism.</w:t>
      </w:r>
    </w:p>
    <w:p w:rsidR="00CD7A9B" w:rsidRPr="00087A72" w:rsidRDefault="00CD7A9B" w:rsidP="00CD7A9B">
      <w:pPr>
        <w:pStyle w:val="Heading4"/>
        <w:rPr>
          <w:rStyle w:val="Style13ptBold"/>
          <w:b/>
        </w:rPr>
      </w:pPr>
      <w:r w:rsidRPr="00087A72">
        <w:rPr>
          <w:rStyle w:val="Style13ptBold"/>
          <w:b/>
        </w:rPr>
        <w:t xml:space="preserve">Settler sovereignty is circulated and materialized through hegemony and the cultivation of it </w:t>
      </w:r>
    </w:p>
    <w:p w:rsidR="00CD7A9B" w:rsidRPr="00087A72" w:rsidRDefault="00CD7A9B" w:rsidP="00CD7A9B">
      <w:pPr>
        <w:rPr>
          <w:sz w:val="16"/>
          <w:szCs w:val="16"/>
        </w:rPr>
      </w:pPr>
      <w:r w:rsidRPr="00087A72">
        <w:rPr>
          <w:rStyle w:val="Style13ptBold"/>
        </w:rPr>
        <w:t xml:space="preserve">Rifkin 2013 </w:t>
      </w:r>
      <w:r w:rsidRPr="00087A72">
        <w:rPr>
          <w:rStyle w:val="Style13ptBold"/>
          <w:b w:val="0"/>
          <w:sz w:val="16"/>
          <w:szCs w:val="16"/>
        </w:rPr>
        <w:t xml:space="preserve">(Mark Rifkin, Professor. US Ethnic Literature University of North Carolina – Greensboro research primarily focuses on Native American writing and politics from the eighteenth century onward, exploring the ways that Indigenous peoples have negotiated U.S. racial and imperial formations.  “Settler common sense” </w:t>
      </w:r>
      <w:r w:rsidRPr="00087A72">
        <w:rPr>
          <w:rStyle w:val="Style13ptBold"/>
          <w:b w:val="0"/>
          <w:i/>
          <w:sz w:val="16"/>
          <w:szCs w:val="16"/>
        </w:rPr>
        <w:t>Settler Colonial Studies</w:t>
      </w:r>
      <w:r w:rsidRPr="00087A72">
        <w:rPr>
          <w:rStyle w:val="Style13ptBold"/>
          <w:b w:val="0"/>
          <w:sz w:val="16"/>
          <w:szCs w:val="16"/>
        </w:rPr>
        <w:t xml:space="preserve">, 2013, Vol. 3, pp. 326-328) [JS] </w:t>
      </w:r>
    </w:p>
    <w:p w:rsidR="00CD7A9B" w:rsidRPr="00087A72" w:rsidRDefault="00CD7A9B" w:rsidP="00CD7A9B">
      <w:pPr>
        <w:rPr>
          <w:sz w:val="16"/>
        </w:rPr>
      </w:pPr>
      <w:r w:rsidRPr="00087A72">
        <w:rPr>
          <w:rStyle w:val="StyleUnderline"/>
        </w:rPr>
        <w:t>Developing a notion of common sense that is understood neither as a structure, ontology, nor logic a</w:t>
      </w:r>
      <w:r w:rsidRPr="00087A72">
        <w:rPr>
          <w:rStyle w:val="Emphasis"/>
        </w:rPr>
        <w:t>llows for thinking of settlement as pervasively active without being totalized as a singular, self-generating, somewhat uniform whole</w:t>
      </w:r>
      <w:r w:rsidRPr="00087A72">
        <w:rPr>
          <w:rStyle w:val="StyleUnderline"/>
        </w:rPr>
        <w:t>.</w:t>
      </w:r>
      <w:r w:rsidRPr="00087A72">
        <w:rPr>
          <w:sz w:val="16"/>
        </w:rPr>
        <w:t xml:space="preserve"> In developing a notion of “hegemony”, in opposition to the more mechanical and prefabricated sense of ideology, Raymond Williams characterizes it as “a lived system of meanings and values – constitutive and constituting – which as they are experienced as practices appear as reciprocally confirming” (110), but he adds, “</w:t>
      </w:r>
      <w:r w:rsidRPr="00087A72">
        <w:rPr>
          <w:rStyle w:val="StyleUnderline"/>
        </w:rPr>
        <w:t>A lived hegemony is always a process. It is not, except analytically, a system or a structure ... In practice, that is, hegemony can never be singular</w:t>
      </w:r>
      <w:r w:rsidRPr="00087A72">
        <w:rPr>
          <w:sz w:val="16"/>
        </w:rPr>
        <w:t xml:space="preserve">,” </w:t>
      </w:r>
      <w:r w:rsidRPr="00087A72">
        <w:rPr>
          <w:rStyle w:val="StyleUnderline"/>
        </w:rPr>
        <w:t>instead needing “continually to be renewed, recreated, defended, and modified”</w:t>
      </w:r>
      <w:r w:rsidRPr="00087A72">
        <w:rPr>
          <w:sz w:val="16"/>
        </w:rPr>
        <w:t xml:space="preserve"> (112). While one might analytically shorthand the formation and processes under discussion as a “system”, they remain practically and materially in flux, in need of constant reiteration and recirculation. He adds, “</w:t>
      </w:r>
      <w:r w:rsidRPr="00087A72">
        <w:rPr>
          <w:rStyle w:val="StyleUnderline"/>
        </w:rPr>
        <w:t>The strongest barrier to the recognition of human cultural activity is this immediate and regular conversion of experience into finished products</w:t>
      </w:r>
      <w:r w:rsidRPr="00087A72">
        <w:rPr>
          <w:sz w:val="16"/>
        </w:rPr>
        <w:t>,” such that “</w:t>
      </w:r>
      <w:r w:rsidRPr="00087A72">
        <w:rPr>
          <w:rStyle w:val="Emphasis"/>
        </w:rPr>
        <w:t>relationships, institutions and formations in which we are still actively involved are converted, by this procedural mode, into formed wholes rather than forming and formative processes</w:t>
      </w:r>
      <w:r w:rsidRPr="00087A72">
        <w:rPr>
          <w:sz w:val="16"/>
        </w:rPr>
        <w:t xml:space="preserve">” (128). Following this line of thought, a “procedural” account of settlement as always-already a “formed whole” </w:t>
      </w:r>
      <w:r w:rsidRPr="00087A72">
        <w:rPr>
          <w:rStyle w:val="StyleUnderline"/>
        </w:rPr>
        <w:t>leaves aside the ways the institutions of the settler-state become “actively involved” in the daily life of non-Natives, serving as “formative” but in ways that cannot be understood as “finished</w:t>
      </w:r>
      <w:r w:rsidRPr="00087A72">
        <w:rPr>
          <w:sz w:val="16"/>
        </w:rPr>
        <w:t xml:space="preserve">” – </w:t>
      </w:r>
      <w:r w:rsidRPr="00087A72">
        <w:rPr>
          <w:rStyle w:val="Emphasis"/>
        </w:rPr>
        <w:t>as always taking the same shape and thus known beforehand</w:t>
      </w:r>
      <w:r w:rsidRPr="00087A72">
        <w:rPr>
          <w:sz w:val="16"/>
        </w:rPr>
        <w:t xml:space="preserve">. If the jurisdiction of the nation appears as given, </w:t>
      </w:r>
      <w:r w:rsidRPr="00087A72">
        <w:rPr>
          <w:rStyle w:val="StyleUnderline"/>
        </w:rPr>
        <w:t>that very sensation of self-evidence of the state’s claim to “domestic” space needs explaining.</w:t>
      </w:r>
      <w:r w:rsidRPr="00087A72">
        <w:rPr>
          <w:sz w:val="16"/>
        </w:rPr>
        <w:t xml:space="preserve"> Flipping over Nicoll’s call for “an embodied recognition that </w:t>
      </w:r>
      <w:r w:rsidRPr="00087A72">
        <w:rPr>
          <w:rStyle w:val="Emphasis"/>
        </w:rPr>
        <w:t>we already exist within Indigenous sovereignty</w:t>
      </w:r>
      <w:r w:rsidRPr="00087A72">
        <w:rPr>
          <w:sz w:val="16"/>
        </w:rPr>
        <w:t xml:space="preserve">”, such analysis begins by investigating the conditions of possibility for the historical and persistent deferral of Native sovereignty, the ways </w:t>
      </w:r>
      <w:r w:rsidRPr="00087A72">
        <w:rPr>
          <w:rStyle w:val="Emphasis"/>
        </w:rPr>
        <w:t>settler sovereignty continually is activated, circulated, and materialized within and through the “lived hegemony” of everyday experience</w:t>
      </w:r>
      <w:r w:rsidRPr="00087A72">
        <w:rPr>
          <w:rStyle w:val="StyleUnderline"/>
        </w:rPr>
        <w:t>. The notion of settler common sense, then, seeks to address how the legalities, administrative structures, and concrete effects of settler governance get “renewed” and “recreated”</w:t>
      </w:r>
      <w:r w:rsidRPr="00087A72">
        <w:rPr>
          <w:sz w:val="16"/>
        </w:rPr>
        <w:t xml:space="preserve"> in quotidian phenomena by non-Native, non-state actors, in ways that do not necessarily affirm settlement as an explicit set of imperatives/initiatives or coordinate with each other as a self-identical program. In the absence of such a processual (as opposed to “procedural”) methodology, settlement can appear as a de facto monolith, forestalling discussion of the divergence and attendant (uneven) relations among its manifestations, the mediums and modes of its non-official proliferation/realization, and the character and contours of its abiding influence in situations in which Native people(s) do not lie at the center. In Reassembling the Social, Bruno Latour argues against kinds of sociological investigation in which </w:t>
      </w:r>
      <w:r w:rsidRPr="00087A72">
        <w:rPr>
          <w:rStyle w:val="StyleUnderline"/>
        </w:rPr>
        <w:t xml:space="preserve">“the social” functions as an explanatory tool that exceeds and precedes the particular sets and sites of relations under discussion: </w:t>
      </w:r>
      <w:r w:rsidRPr="00087A72">
        <w:rPr>
          <w:sz w:val="16"/>
        </w:rPr>
        <w:t>“every activity – law, science, technology, religion, organization, politics, management, etc. – could be related to and explained by the same social aggregates behind all of them”.12 Doing so short-circuits the investigation by a priori positing an integrated set of connections that is then treated as a sufficient cause for the “activity” in question which itself functions in the analysis as merely a bearer of that self-same “social aggregate”, not doing anything on its own. Latour observes, “If inertia, durability, range, solidity, commitment, loyalty, adhesion, etc. have to be accounted for, this cannot be done without looking for vehicles, tools, instruments, and materials able to provide such a stability” (35</w:t>
      </w:r>
      <w:r w:rsidRPr="00087A72">
        <w:rPr>
          <w:rStyle w:val="Emphasis"/>
        </w:rPr>
        <w:t>). If settlement operates as a continuing force – via elimination/replacement, whiteness, Indianization, etc. – characterizing it in these overarching terms not only can produce the sense that one needs to choose among them</w:t>
      </w:r>
      <w:r w:rsidRPr="00087A72">
        <w:rPr>
          <w:sz w:val="16"/>
        </w:rPr>
        <w:t xml:space="preserve"> (each presenting itself as foundational in ways that tend to cast the others as secondary effects rather than as sometimes independent, competing, or interanimating dynamics), </w:t>
      </w:r>
      <w:r w:rsidRPr="00087A72">
        <w:rPr>
          <w:rStyle w:val="StyleUnderline"/>
        </w:rPr>
        <w:t>but that the durability, consistency, scope, and consolidation of the phenomenon/a in question inheres within settlement as an immanently unfolding entity.</w:t>
      </w:r>
      <w:r w:rsidRPr="00087A72">
        <w:rPr>
          <w:sz w:val="16"/>
        </w:rPr>
        <w:t xml:space="preserve"> How, though, do non-Natives actively participate in the ongoing remaking of settlement as a shifting assemblage of ordinary actions, occupancies, ethics, aspirations, dispositions, and sensations in ways that meaningfully affect its operation and effects, as opposed to merely following a course understood as more or less predetermined? </w:t>
      </w:r>
      <w:r w:rsidRPr="00087A72">
        <w:rPr>
          <w:rStyle w:val="StyleUnderline"/>
        </w:rPr>
        <w:t>Forestalling the positing of an always fully coherent and integrated system behind the dynamics one analyzes, though, does not displace the need to address what happens beneath them, to the “territoriality of conquest”</w:t>
      </w:r>
      <w:r w:rsidRPr="00087A72">
        <w:rPr>
          <w:sz w:val="16"/>
        </w:rPr>
        <w:t xml:space="preserve">. Work on affect, </w:t>
      </w:r>
      <w:r w:rsidRPr="00087A72">
        <w:rPr>
          <w:rStyle w:val="StyleUnderline"/>
        </w:rPr>
        <w:t>the everyday, and phenomenology tends to emphasize moments of perception and its possibilities for introducing new or unexpected relations rather than its capacity actively to enact forms of continuity</w:t>
      </w:r>
      <w:r w:rsidRPr="00087A72">
        <w:rPr>
          <w:sz w:val="16"/>
        </w:rPr>
        <w:t xml:space="preserve">,13 and </w:t>
      </w:r>
      <w:r w:rsidRPr="00087A72">
        <w:rPr>
          <w:rStyle w:val="StyleUnderline"/>
        </w:rPr>
        <w:t>they largely do not investigate the enframing (geo)political ground on which these moments occur.</w:t>
      </w:r>
      <w:r w:rsidRPr="00087A72">
        <w:rPr>
          <w:sz w:val="16"/>
        </w:rPr>
        <w:t xml:space="preserve"> By contrast, the notion of settler common sense seeks to address how settler occupancy and jurisdiction are realized, regularized, and actively produced as if inert context in everyday articulations, interactions, practices, and sensations in which Native people(s) may or may not appear. Without invoking settlement as a version of Latour’s “social aggregate”, we can understand the settler-state’s existence and legalities as achieving “stability” and “durability” through the mediation of ordinary, unofficial connections, including forms of feeling. Attending phenomen- ologically to how the world enters subjectivity and becomes comprehensible as such provides the means for tracing how the settler-state’s modes of land tenure and governance as well as the dis- possession, </w:t>
      </w:r>
      <w:r w:rsidRPr="00087A72">
        <w:rPr>
          <w:rStyle w:val="StyleUnderline"/>
        </w:rPr>
        <w:t xml:space="preserve">regulation, and effacement of Indigenous peoples are, </w:t>
      </w:r>
      <w:r w:rsidRPr="00087A72">
        <w:rPr>
          <w:sz w:val="16"/>
        </w:rPr>
        <w:t>in Williams’s terms, “</w:t>
      </w:r>
      <w:r w:rsidRPr="00087A72">
        <w:rPr>
          <w:rStyle w:val="Emphasis"/>
        </w:rPr>
        <w:t>renewed, recreated, defended, and modified” in mundane ways.</w:t>
      </w:r>
      <w:r w:rsidRPr="00087A72">
        <w:rPr>
          <w:sz w:val="16"/>
        </w:rPr>
        <w:t xml:space="preserve"> </w:t>
      </w:r>
      <w:r w:rsidRPr="00087A72">
        <w:rPr>
          <w:rStyle w:val="Emphasis"/>
        </w:rPr>
        <w:t>Settler jurisdiction inhabits the everyday experience of non-Natives, less determining effects and relationships than inducing inclinations and coalescing/catalyzing possibilities. Aspects of law and policy orient, shape the trajectory of, and provide momentum for quotidian modes of sensation and contextualization.</w:t>
      </w:r>
      <w:r w:rsidRPr="00087A72">
        <w:rPr>
          <w:sz w:val="16"/>
        </w:rPr>
        <w:t xml:space="preserve"> In Phenomenology of Perception, Maurice Merleau- Ponty suggests, “</w:t>
      </w:r>
      <w:r w:rsidRPr="00087A72">
        <w:rPr>
          <w:rStyle w:val="StyleUnderline"/>
        </w:rPr>
        <w:t>since sensation is a reconstitution, it pre-supposes in me sediments left behind by some previous constitution</w:t>
      </w:r>
      <w:r w:rsidRPr="00087A72">
        <w:rPr>
          <w:sz w:val="16"/>
        </w:rPr>
        <w:t xml:space="preserve">”, adding, “The person who perceives is not spread out before himself as a consciousness must be; he has historical density, he takes up a perceptual tradition.”14 </w:t>
      </w:r>
      <w:r w:rsidRPr="00087A72">
        <w:rPr>
          <w:rStyle w:val="StyleUnderline"/>
        </w:rPr>
        <w:t>The “previous constitution” of the space one occupies as part of the US nation-state provides non- conscious “historical density” to non-natives’ engagement with the landscape, reconstituting settlement as part of assessing the material “field of possibility” for present action</w:t>
      </w:r>
      <w:r w:rsidRPr="00087A72">
        <w:rPr>
          <w:sz w:val="16"/>
        </w:rPr>
        <w:t xml:space="preserve"> (509): “I do not so much perceive objects as reckon with an environment” (483). In this way, </w:t>
      </w:r>
      <w:r w:rsidRPr="00087A72">
        <w:rPr>
          <w:rStyle w:val="Emphasis"/>
        </w:rPr>
        <w:t>the assertion of US control over the space claimed as internal to the nation; the carving of that space into nested jurisdictional hierarchies</w:t>
      </w:r>
      <w:r w:rsidRPr="00087A72">
        <w:rPr>
          <w:sz w:val="16"/>
        </w:rPr>
        <w:t xml:space="preserve">; </w:t>
      </w:r>
      <w:r w:rsidRPr="00087A72">
        <w:rPr>
          <w:rStyle w:val="Emphasis"/>
        </w:rPr>
        <w:t xml:space="preserve">the enactment of privatizing forms of property-law materialized through practices of documentation, surveying, and sale; and the sequestration and regulation of particular plots of land as protected or “public” cumulatively contribute to the construction and experience of an environment in which Indigenous peoples appear to have no place. </w:t>
      </w:r>
      <w:r w:rsidRPr="00087A72">
        <w:rPr>
          <w:rStyle w:val="StyleUnderline"/>
        </w:rPr>
        <w:t xml:space="preserve">Attending to the ways settler law operates as a historically dense field of everyday possibility enables a consideration of what precedes non-Native subjects in their individual inhabitance, </w:t>
      </w:r>
      <w:r w:rsidRPr="00087A72">
        <w:rPr>
          <w:rStyle w:val="Emphasis"/>
        </w:rPr>
        <w:t>how state policies engender inclinations and tendencies</w:t>
      </w:r>
      <w:r w:rsidRPr="00087A72">
        <w:rPr>
          <w:sz w:val="16"/>
        </w:rPr>
        <w:t>. In Queer Phenomenology, Sara Ahmed suggests, Familiarity is shaped by the ‘feel’ of space or by how spaces “impress” upon bodies....The familiar is an effect of inhabitance; we are not simply in the familiar, but rather the familiar is shaped by actions that reach out toward objects that are already within reach.</w:t>
      </w:r>
    </w:p>
    <w:p w:rsidR="0022388F" w:rsidRPr="00087A72" w:rsidRDefault="0022388F" w:rsidP="0022388F">
      <w:pPr>
        <w:pStyle w:val="Heading4"/>
      </w:pPr>
      <w:r w:rsidRPr="00087A72">
        <w:t>The desire for a single nation-state’s power is what led to Euro-centric settler colonization, and splitting the bonds of power between native people to minimize the threat of the “other”</w:t>
      </w:r>
    </w:p>
    <w:p w:rsidR="0022388F" w:rsidRPr="00087A72" w:rsidRDefault="0022388F" w:rsidP="0022388F">
      <w:r w:rsidRPr="00087A72">
        <w:rPr>
          <w:rStyle w:val="Style13ptBold"/>
        </w:rPr>
        <w:t xml:space="preserve">Taschereau Mamers 17 </w:t>
      </w:r>
      <w:r w:rsidRPr="00087A72">
        <w:t xml:space="preserve"> (Danielle, University of Western Ontario, Graduate in media studies "Settler Colonial Ways of Seeing: Documentary Governance of Indigenous Life in Canada and its Disruption" (2017). Electronic Thesis and Dissertation Repository. 4651. https://ir.lib.uwo.ca/etd/4651)</w:t>
      </w:r>
    </w:p>
    <w:p w:rsidR="0022388F" w:rsidRPr="00087A72" w:rsidRDefault="0022388F" w:rsidP="0022388F">
      <w:pPr>
        <w:rPr>
          <w:u w:val="single"/>
        </w:rPr>
      </w:pPr>
      <w:r w:rsidRPr="00087A72">
        <w:t xml:space="preserve">I make frequent </w:t>
      </w:r>
      <w:r w:rsidRPr="00087A72">
        <w:rPr>
          <w:rStyle w:val="Emphasis"/>
        </w:rPr>
        <w:t>reference to Indigenous nations and nationhood throughout this dissertation.</w:t>
      </w:r>
      <w:r w:rsidRPr="00087A72">
        <w:t xml:space="preserve"> My invocation of these terms intends to distinguish Indigenous nations as communities connected to </w:t>
      </w:r>
      <w:r w:rsidRPr="00087A72">
        <w:rPr>
          <w:rStyle w:val="StyleUnderline"/>
        </w:rPr>
        <w:t>pre-contact societies through cultural, political, economic, and social practices that survive in the present from the political formations, such as “Indian bands”, imposed post-invasion by settler colonial agents</w:t>
      </w:r>
      <w:r w:rsidRPr="00087A72">
        <w:t xml:space="preserve">. Engaging with Taiaiake Alfred’s writing, Coulthard notes that Indigenous nationhood is the result of neither </w:t>
      </w:r>
      <w:r w:rsidRPr="00087A72">
        <w:rPr>
          <w:rStyle w:val="StyleUnderline"/>
        </w:rPr>
        <w:t>transhistorical essentialism nor contemporary invention, but “informed by a complex of cultural practices and traditions that have survived the onslaught of colonialism and continue to structure the form and content of Indigenous activism in the present”</w:t>
      </w:r>
      <w:r w:rsidRPr="00087A72">
        <w:t xml:space="preserve"> (2014, 64). Similarly, Simpson describes the challenge of negotiating the difficult issue of membership as part of asking the broader question of “how to be a nation, when much of one’s territory has been taken” (2014, 10). The </w:t>
      </w:r>
      <w:r w:rsidRPr="00087A72">
        <w:rPr>
          <w:rStyle w:val="StyleUnderline"/>
        </w:rPr>
        <w:t>theorization of nationhood in Indigenous scholarship contests Euro-modern theorizations of sovereignty, in which to claim sovereign power over a territory and its bodies is to authorize a singular law and to preserve the force of that law with a singular source of legitimate violence</w:t>
      </w:r>
      <w:r w:rsidRPr="00087A72">
        <w:t xml:space="preserve"> (Weber 1946, 26). In the context of Canada, the nation-state model asserts federal and provincial governments as the sole sources of law over the inhabitants of territories claimed by the state. Within this context, the recognition and accommodation of difference among peoples is articulated as cultural or ethnic difference, subsumed under the state’s claimed legal and political authority. The Canadian </w:t>
      </w:r>
      <w:r w:rsidRPr="00087A72">
        <w:rPr>
          <w:rStyle w:val="StyleUnderline"/>
        </w:rPr>
        <w:t>nation-state model, then, can withstand the limited existence of difference, so long as this recognition is conferred by the state and in ways that do not meaningfully disrupt the legal, political, and economic structures of Canadian sovereignty. Theorists of Indigenous nationhood have pointed out that Indigenous nations have a history of co- existence and such concepts of nationhood do not hinge on a singular source of legal authority over territory and peoples, as is the case with “the narrow fictions of a single 20 sovereignty” that undergird the settler colonial imaginaries active in the Canadian nation- state</w:t>
      </w:r>
      <w:r w:rsidRPr="00087A72">
        <w:t xml:space="preserve"> (Alfred 2005, 33). As such, Indigenous conceptions of nationhood can withstand the complex plurality of nations co-present in a territory, or of sovereignties “within a sovereignty” (Simpson 2014, 10). It is important to note that conceptions of Indigenous nationhood—though not necessarily unified—identify cultural </w:t>
      </w:r>
      <w:r w:rsidRPr="00087A72">
        <w:rPr>
          <w:rStyle w:val="StyleUnderline"/>
        </w:rPr>
        <w:t>sovereignty and formal self-government as political goals, but do not necessarily involve the creation of new nation-states in the model of Euro-modern sovereignty.</w:t>
      </w:r>
      <w:r w:rsidRPr="00087A72">
        <w:t xml:space="preserve"> Indigenous nationhood was and continues to be a primary target of settler colonial governance and the affirmation and regeneration Indigenous nationhood is a crucial aspect of decolonization. In addition to imposing a racial taxonomy, the Indian Act also defined “Indian bands” as the only unit of community affiliation visible to settler colonial ways of seeing. Val Napoleon notes this creation of colonial agents “bears no relationship to the larger nation or its ancient cultural systems of governance, land tenure, laws, or citizenship” (2001, 126). The Indian Act’s imposition of “Indian bands” </w:t>
      </w:r>
      <w:r w:rsidRPr="00087A72">
        <w:rPr>
          <w:rStyle w:val="StyleUnderline"/>
        </w:rPr>
        <w:t>aimed to fracture Indigenous nations and undermine their claims to territories. For example, the Gitxsan nation in what is now northern British Columbia was divided into six Gitxsan bands under the Indian Act, each with separate governing councils and membership rules that administratively fragment the nation and contravene the political and hereditary relationships of Gitxsan society (Napoleon 2001, 126). The legal division and separation of nations into smaller bands was a policy designed to erode Indigenous political formations.</w:t>
      </w:r>
      <w:r w:rsidRPr="00087A72">
        <w:t xml:space="preserve"> This fracturing of Indigenous nationhood was furthered by the homogenizing work of Indian Act racial taxonomies, which sought to deny the realities of politically distinct Indigenous nations and peoples by transforming them into individual “Indians”, as a stage in the path to enfranchisement as fully assimilated citizens (Milloy 2008). There is ongoing debate over the meaning and form of nationhood under the conditions of contemporary settler colonialism amongst Indigenous scholars, political leaders, and knowledge keepers (Alfred 2005; Barker 2005; Coulthard 2014; A. Simpson, 2014, L. Simpson 2011). I have neither the knowledge nor the authority to claim a position in these debates, but attend instead to the challenge Indigenous nationhood poses to settler colonial desires and to the actions taken by colonial agents to undermine and 21 extinguish this threat. Further, I </w:t>
      </w:r>
      <w:r w:rsidRPr="00087A72">
        <w:rPr>
          <w:rStyle w:val="StyleUnderline"/>
        </w:rPr>
        <w:t xml:space="preserve">take the normative position that any reparative efforts undertaken by the settler state and broader society to offer redress for colonial violence must approach Indigenous nations “as political partners to be engaged with rather than as social problems to be ameliorated” (Andersen 2014, 19). Debates in Indigenous scholarship and communities around resource allocation, membership policy, legal orders, and other matters of self-governance draw on Indigenous histories and relations. The work of these debates themselves, as well as the political activism they feed, can be understood as practices of resurgence that have the effect of regenerating political and legal traditions, reclaiming knowledge, and developing resources for undercutting the domination of settler colonial policies. </w:t>
      </w:r>
    </w:p>
    <w:p w:rsidR="0022388F" w:rsidRPr="00087A72" w:rsidRDefault="0022388F" w:rsidP="00496C79">
      <w:pPr>
        <w:pStyle w:val="Heading3"/>
      </w:pPr>
      <w:r w:rsidRPr="00087A72">
        <w:t>Link – Humanitarianism</w:t>
      </w:r>
    </w:p>
    <w:p w:rsidR="0022388F" w:rsidRPr="00087A72" w:rsidRDefault="0022388F" w:rsidP="0022388F">
      <w:pPr>
        <w:pStyle w:val="Heading4"/>
      </w:pPr>
      <w:r w:rsidRPr="00087A72">
        <w:t>Historical “humanitarianism” does not account for the people colonized, as it follows the story of settler colonialists who fight to erase their existences</w:t>
      </w:r>
    </w:p>
    <w:p w:rsidR="0022388F" w:rsidRPr="00087A72" w:rsidRDefault="0022388F" w:rsidP="0022388F">
      <w:r w:rsidRPr="00087A72">
        <w:rPr>
          <w:rStyle w:val="Style13ptBold"/>
        </w:rPr>
        <w:t>Edmonds, Johnston 16</w:t>
      </w:r>
      <w:r w:rsidRPr="00087A72">
        <w:t xml:space="preserve"> (Penelope &amp; Anna. ARC future fellow history and classics—Associate professor in the Institute for Advanced Studies in the Humanities "Empire, Humanitarianism and Violence in the Colonies." Journal of Colonialism and Colonial History, vol. 17 no. 1, 2016. Project MUSE, </w:t>
      </w:r>
      <w:hyperlink r:id="rId17" w:history="1">
        <w:r w:rsidRPr="00087A72">
          <w:t>doi:10.1353/cch.2016.0013</w:t>
        </w:r>
      </w:hyperlink>
      <w:r w:rsidRPr="00087A72">
        <w:t>)</w:t>
      </w:r>
    </w:p>
    <w:p w:rsidR="0022388F" w:rsidRPr="00087A72" w:rsidRDefault="0022388F" w:rsidP="0022388F">
      <w:pPr>
        <w:rPr>
          <w:rStyle w:val="StyleUnderline"/>
        </w:rPr>
      </w:pPr>
      <w:r w:rsidRPr="00087A72">
        <w:t>There is now a burgeoning scholarship at the intersection of new imperialism and the history of humanitarianism. Scholars have not only pointed to the continuing need to historicise humanitarian developments, but, importantly, argued for more consideration of humanitarian developments outside of Europe and the “Third World.”</w:t>
      </w:r>
      <w:bookmarkStart w:id="5" w:name="f1-text"/>
      <w:r w:rsidRPr="00087A72">
        <w:fldChar w:fldCharType="begin"/>
      </w:r>
      <w:r w:rsidRPr="00087A72">
        <w:instrText xml:space="preserve"> HYPERLINK "https://muse.jhu.edu/article/613279" \l "f1" </w:instrText>
      </w:r>
      <w:r w:rsidRPr="00087A72">
        <w:fldChar w:fldCharType="separate"/>
      </w:r>
      <w:r w:rsidRPr="00087A72">
        <w:t>1</w:t>
      </w:r>
      <w:r w:rsidRPr="00087A72">
        <w:fldChar w:fldCharType="end"/>
      </w:r>
      <w:bookmarkEnd w:id="5"/>
      <w:r w:rsidRPr="00087A72">
        <w:t xml:space="preserve"> As Alan Lester and Fae Dussart have recently argued, we must reassess entrenched understandings of the development of humanitarianism as originating from an “anti-slavery mother” and “European battlefield father,” especially in the “light of trans-imperial governmental experiments in violently colonised settler colonial spaces.”</w:t>
      </w:r>
      <w:bookmarkStart w:id="6" w:name="f2-text"/>
      <w:r w:rsidRPr="00087A72">
        <w:fldChar w:fldCharType="begin"/>
      </w:r>
      <w:r w:rsidRPr="00087A72">
        <w:instrText xml:space="preserve"> HYPERLINK "https://muse.jhu.edu/article/613279" \l "f2" </w:instrText>
      </w:r>
      <w:r w:rsidRPr="00087A72">
        <w:fldChar w:fldCharType="separate"/>
      </w:r>
      <w:r w:rsidRPr="00087A72">
        <w:t>2</w:t>
      </w:r>
      <w:r w:rsidRPr="00087A72">
        <w:fldChar w:fldCharType="end"/>
      </w:r>
      <w:bookmarkEnd w:id="6"/>
      <w:r w:rsidRPr="00087A72">
        <w:t>The diverse forms of imperial humanitarian history, and their entanglements with violence in colonised regions such as Australia, New Zealand, North America, India and the Pacific, demand attention. This special</w:t>
      </w:r>
      <w:r w:rsidRPr="00087A72">
        <w:rPr>
          <w:rFonts w:cs="Times New Roman"/>
          <w:color w:val="0A0A0A"/>
          <w:sz w:val="24"/>
          <w:lang w:eastAsia="zh-CN"/>
        </w:rPr>
        <w:t xml:space="preserve"> </w:t>
      </w:r>
      <w:r w:rsidRPr="00087A72">
        <w:rPr>
          <w:rStyle w:val="StyleUnderline"/>
        </w:rPr>
        <w:t>collection takes up this challenge to consider the diverse and contested relationship between humanitarianism and violence</w:t>
      </w:r>
      <w:r w:rsidRPr="00087A72">
        <w:rPr>
          <w:rFonts w:cs="Times New Roman"/>
          <w:color w:val="0A0A0A"/>
          <w:sz w:val="24"/>
          <w:lang w:eastAsia="zh-CN"/>
        </w:rPr>
        <w:t xml:space="preserve"> </w:t>
      </w:r>
      <w:r w:rsidRPr="00087A72">
        <w:t xml:space="preserve">in the Anglophone colonies, and the experiences and impact of humanitarians from the late eighteenth to early twentieth centuries who sought to ameliorate various forms of colonial violence, </w:t>
      </w:r>
      <w:r w:rsidRPr="00087A72">
        <w:rPr>
          <w:rStyle w:val="StyleUnderline"/>
        </w:rPr>
        <w:t>advocate for non-violence and/or engage in anticolonial and humanitarian activities. We are particularly interested in exploring the various conceptualisations of colonial conflict by humanitarians:</w:t>
      </w:r>
      <w:r w:rsidRPr="00087A72">
        <w:rPr>
          <w:rFonts w:cs="Times New Roman"/>
          <w:color w:val="0A0A0A"/>
          <w:sz w:val="24"/>
          <w:lang w:eastAsia="zh-CN"/>
        </w:rPr>
        <w:t xml:space="preserve"> their written accounts “on the ground” and </w:t>
      </w:r>
      <w:r w:rsidRPr="00087A72">
        <w:rPr>
          <w:rStyle w:val="StyleUnderline"/>
        </w:rPr>
        <w:t>assessments of both epistemological and physical violence; their appeals, strategies and interventions to arrest violence and protect suffering subjects; the local and transnational protests against violence; the politics of witnessing; and the economies of affect and sentiment, and narratives of humanitarianism and violence that circulated with personnel and though text within imperial networks.</w:t>
      </w:r>
      <w:r w:rsidRPr="00087A72">
        <w:rPr>
          <w:rFonts w:cs="Times New Roman"/>
          <w:color w:val="0A0A0A"/>
          <w:sz w:val="24"/>
          <w:lang w:eastAsia="zh-CN"/>
        </w:rPr>
        <w:t xml:space="preserve"> </w:t>
      </w:r>
      <w:r w:rsidRPr="00087A72">
        <w:t>Interrogated here too are the ways that humanitarians, protectors and others could simultaneously be implicated in or oversee various forms of violence; indeed, the</w:t>
      </w:r>
      <w:r w:rsidRPr="00087A72">
        <w:rPr>
          <w:rFonts w:cs="Times New Roman"/>
          <w:color w:val="0A0A0A"/>
          <w:sz w:val="24"/>
          <w:lang w:eastAsia="zh-CN"/>
        </w:rPr>
        <w:t xml:space="preserve"> </w:t>
      </w:r>
      <w:r w:rsidRPr="00087A72">
        <w:rPr>
          <w:rStyle w:val="StyleUnderline"/>
        </w:rPr>
        <w:t xml:space="preserve">refutation of outright conflict or brutality could sometimes lead to other forms of harm and organised coercion of colonised, unfree and convicted peoples alike. Early cross-cultural contact resulted in explicit and undeniable physical conflict and indeed acts of colonial terror, associated with the classic frontier of European invasion, but a consequence of colonial state formation and the extension of European-style laws and other “civilising” regimes was that while violent interpersonal conflict may have subsided </w:t>
      </w:r>
      <w:r w:rsidRPr="00087A72">
        <w:t>(or have been more easily hidden</w:t>
      </w:r>
      <w:r w:rsidRPr="00087A72">
        <w:rPr>
          <w:rStyle w:val="StyleUnderline"/>
        </w:rPr>
        <w:t xml:space="preserve">), methods for identifying, representing and managing Indigenous and unfree populations rose with the development of colonial state infrastructure. </w:t>
      </w:r>
      <w:r w:rsidRPr="00087A72">
        <w:t>Over time, such</w:t>
      </w:r>
      <w:r w:rsidRPr="00087A72">
        <w:rPr>
          <w:rStyle w:val="StyleUnderline"/>
        </w:rPr>
        <w:t xml:space="preserve"> tensions only increased in many colonial cultures. These forms of social management, which may be described as infrastructural or bureaucratic violence, could have highly destructive effects upon Indigenous communities, even if the everyday practices of protection and surveillance were apparently benevolent in intention.</w:t>
      </w:r>
      <w:bookmarkStart w:id="7" w:name="f3-text"/>
      <w:r w:rsidRPr="00087A72">
        <w:rPr>
          <w:rFonts w:cs="Times New Roman"/>
          <w:color w:val="0A0A0A"/>
          <w:sz w:val="18"/>
          <w:szCs w:val="18"/>
          <w:vertAlign w:val="superscript"/>
          <w:lang w:eastAsia="zh-CN"/>
        </w:rPr>
        <w:fldChar w:fldCharType="begin"/>
      </w:r>
      <w:r w:rsidRPr="00087A72">
        <w:rPr>
          <w:rFonts w:cs="Times New Roman"/>
          <w:color w:val="0A0A0A"/>
          <w:sz w:val="18"/>
          <w:szCs w:val="18"/>
          <w:vertAlign w:val="superscript"/>
          <w:lang w:eastAsia="zh-CN"/>
        </w:rPr>
        <w:instrText xml:space="preserve"> HYPERLINK "https://muse.jhu.edu/article/613279" \l "f3" </w:instrText>
      </w:r>
      <w:r w:rsidRPr="00087A72">
        <w:rPr>
          <w:rFonts w:cs="Times New Roman"/>
          <w:color w:val="0A0A0A"/>
          <w:sz w:val="18"/>
          <w:szCs w:val="18"/>
          <w:vertAlign w:val="superscript"/>
          <w:lang w:eastAsia="zh-CN"/>
        </w:rPr>
        <w:fldChar w:fldCharType="separate"/>
      </w:r>
      <w:r w:rsidRPr="00087A72">
        <w:rPr>
          <w:rFonts w:cs="Times New Roman"/>
          <w:color w:val="284F84"/>
          <w:sz w:val="18"/>
          <w:szCs w:val="18"/>
          <w:u w:val="single"/>
          <w:vertAlign w:val="superscript"/>
          <w:lang w:eastAsia="zh-CN"/>
        </w:rPr>
        <w:t>3</w:t>
      </w:r>
      <w:r w:rsidRPr="00087A72">
        <w:rPr>
          <w:rFonts w:cs="Times New Roman"/>
          <w:color w:val="0A0A0A"/>
          <w:sz w:val="18"/>
          <w:szCs w:val="18"/>
          <w:vertAlign w:val="superscript"/>
          <w:lang w:eastAsia="zh-CN"/>
        </w:rPr>
        <w:fldChar w:fldCharType="end"/>
      </w:r>
      <w:bookmarkEnd w:id="7"/>
      <w:r w:rsidRPr="00087A72">
        <w:rPr>
          <w:rFonts w:cs="Times New Roman"/>
          <w:color w:val="0A0A0A"/>
          <w:sz w:val="24"/>
          <w:lang w:eastAsia="zh-CN"/>
        </w:rPr>
        <w:t xml:space="preserve"> “</w:t>
      </w:r>
      <w:r w:rsidRPr="00087A72">
        <w:t>The history of humanitarianism importantly is also the history of those who suffer,” writes Michelle Tusan. Crucially important, therefore, are the experiences of humanitarianism’s recipients—Indigenous peoples, enslaved and convicted peoples, and other unfree labourers—and their political engagement with or refutations of colonial humanitarian endeavours.</w:t>
      </w:r>
      <w:r w:rsidRPr="00087A72">
        <w:rPr>
          <w:rFonts w:cs="Times New Roman"/>
          <w:color w:val="0A0A0A"/>
          <w:sz w:val="24"/>
          <w:lang w:eastAsia="zh-CN"/>
        </w:rPr>
        <w:t xml:space="preserve"> </w:t>
      </w:r>
      <w:r w:rsidRPr="00087A72">
        <w:rPr>
          <w:rStyle w:val="StyleUnderline"/>
        </w:rPr>
        <w:t>Scholarship which posits humanitarianism as a unilinear, beneficent alleviation of the suffering of its putative objects can also be delimited</w:t>
      </w:r>
      <w:r w:rsidRPr="00087A72">
        <w:rPr>
          <w:rFonts w:cs="Times New Roman"/>
          <w:color w:val="0A0A0A"/>
          <w:sz w:val="24"/>
          <w:lang w:eastAsia="zh-CN"/>
        </w:rPr>
        <w:t xml:space="preserve">. </w:t>
      </w:r>
      <w:r w:rsidRPr="00087A72">
        <w:t>As Tusan remarks, comprehending the</w:t>
      </w:r>
      <w:r w:rsidRPr="00087A72">
        <w:rPr>
          <w:rFonts w:cs="Times New Roman"/>
          <w:color w:val="0A0A0A"/>
          <w:sz w:val="24"/>
          <w:lang w:eastAsia="zh-CN"/>
        </w:rPr>
        <w:t xml:space="preserve"> </w:t>
      </w:r>
      <w:r w:rsidRPr="00087A72">
        <w:rPr>
          <w:rStyle w:val="StyleUnderline"/>
        </w:rPr>
        <w:t xml:space="preserve">humanitarian response to violence, atrocity and genocide “necessarily requires considering the relationships of power that inevitably shadow any thinking about </w:t>
      </w:r>
      <w:r w:rsidRPr="00087A72">
        <w:t>intervention on behalf of persecuted populations.”</w:t>
      </w:r>
      <w:bookmarkStart w:id="8" w:name="f4-text"/>
      <w:r w:rsidRPr="00087A72">
        <w:fldChar w:fldCharType="begin"/>
      </w:r>
      <w:r w:rsidRPr="00087A72">
        <w:instrText xml:space="preserve"> HYPERLINK "https://muse.jhu.edu/article/613279" \l "f4" </w:instrText>
      </w:r>
      <w:r w:rsidRPr="00087A72">
        <w:fldChar w:fldCharType="separate"/>
      </w:r>
      <w:r w:rsidRPr="00087A72">
        <w:t>4</w:t>
      </w:r>
      <w:r w:rsidRPr="00087A72">
        <w:fldChar w:fldCharType="end"/>
      </w:r>
      <w:bookmarkEnd w:id="8"/>
      <w:r w:rsidRPr="00087A72">
        <w:t xml:space="preserve"> In analysing these complex imperial and multidirectional power relations, we seek to foreground</w:t>
      </w:r>
      <w:r w:rsidRPr="00087A72">
        <w:rPr>
          <w:rFonts w:cs="Times New Roman"/>
          <w:color w:val="0A0A0A"/>
          <w:sz w:val="24"/>
          <w:lang w:eastAsia="zh-CN"/>
        </w:rPr>
        <w:t xml:space="preserve"> </w:t>
      </w:r>
      <w:r w:rsidRPr="00087A72">
        <w:rPr>
          <w:rStyle w:val="StyleUnderline"/>
        </w:rPr>
        <w:t>subversions of power on the ground and also the ways that the precepts and rhetoric of liberal humanitarianism might be received and actively reworked by colonised peoples.</w:t>
      </w:r>
      <w:r w:rsidRPr="00087A72">
        <w:rPr>
          <w:rFonts w:cs="Times New Roman"/>
          <w:color w:val="0A0A0A"/>
          <w:sz w:val="24"/>
          <w:lang w:eastAsia="zh-CN"/>
        </w:rPr>
        <w:t xml:space="preserve"> </w:t>
      </w:r>
      <w:r w:rsidRPr="00087A72">
        <w:t>Further, as Sean Scalmer’s essay in this collection shows, such discourses could be effectively harnessed to anticolonial struggle, despite the</w:t>
      </w:r>
      <w:r w:rsidRPr="00087A72">
        <w:rPr>
          <w:rFonts w:cs="Times New Roman"/>
          <w:color w:val="0A0A0A"/>
          <w:sz w:val="24"/>
          <w:lang w:eastAsia="zh-CN"/>
        </w:rPr>
        <w:t xml:space="preserve"> </w:t>
      </w:r>
      <w:r w:rsidRPr="00087A72">
        <w:rPr>
          <w:rStyle w:val="StyleUnderline"/>
        </w:rPr>
        <w:t>implicit limits and disjuctures of an imperial humanitarian discourse of nonviolence.</w:t>
      </w:r>
      <w:bookmarkStart w:id="9" w:name="f5-text"/>
      <w:r w:rsidRPr="00087A72">
        <w:fldChar w:fldCharType="begin"/>
      </w:r>
      <w:r w:rsidRPr="00087A72">
        <w:instrText xml:space="preserve"> HYPERLINK "https://muse.jhu.edu/article/613279" \l "f5" </w:instrText>
      </w:r>
      <w:r w:rsidRPr="00087A72">
        <w:fldChar w:fldCharType="separate"/>
      </w:r>
      <w:r w:rsidRPr="00087A72">
        <w:t>5</w:t>
      </w:r>
      <w:r w:rsidRPr="00087A72">
        <w:fldChar w:fldCharType="end"/>
      </w:r>
      <w:bookmarkEnd w:id="9"/>
      <w:r w:rsidRPr="00087A72">
        <w:t xml:space="preserve"> For well over three decades, a growing body of scholarship on the Australian and New Zealand </w:t>
      </w:r>
      <w:r w:rsidRPr="00087A72">
        <w:rPr>
          <w:rStyle w:val="StyleUnderline"/>
        </w:rPr>
        <w:t>colonies and humanitarianism in general has studied the varied forms of humanitarian history and their multivalent entanglements with violence in colonised regions.</w:t>
      </w:r>
      <w:bookmarkStart w:id="10" w:name="f6-text"/>
      <w:r w:rsidRPr="00087A72">
        <w:rPr>
          <w:rFonts w:cs="Times New Roman"/>
          <w:color w:val="0A0A0A"/>
          <w:sz w:val="18"/>
          <w:szCs w:val="18"/>
          <w:vertAlign w:val="superscript"/>
          <w:lang w:eastAsia="zh-CN"/>
        </w:rPr>
        <w:fldChar w:fldCharType="begin"/>
      </w:r>
      <w:r w:rsidRPr="00087A72">
        <w:rPr>
          <w:rFonts w:cs="Times New Roman"/>
          <w:color w:val="0A0A0A"/>
          <w:sz w:val="18"/>
          <w:szCs w:val="18"/>
          <w:vertAlign w:val="superscript"/>
          <w:lang w:eastAsia="zh-CN"/>
        </w:rPr>
        <w:instrText xml:space="preserve"> HYPERLINK "https://muse.jhu.edu/article/613279" \l "f6" </w:instrText>
      </w:r>
      <w:r w:rsidRPr="00087A72">
        <w:rPr>
          <w:rFonts w:cs="Times New Roman"/>
          <w:color w:val="0A0A0A"/>
          <w:sz w:val="18"/>
          <w:szCs w:val="18"/>
          <w:vertAlign w:val="superscript"/>
          <w:lang w:eastAsia="zh-CN"/>
        </w:rPr>
        <w:fldChar w:fldCharType="separate"/>
      </w:r>
      <w:r w:rsidRPr="00087A72">
        <w:rPr>
          <w:rFonts w:cs="Times New Roman"/>
          <w:color w:val="284F84"/>
          <w:sz w:val="18"/>
          <w:szCs w:val="18"/>
          <w:u w:val="single"/>
          <w:vertAlign w:val="superscript"/>
          <w:lang w:eastAsia="zh-CN"/>
        </w:rPr>
        <w:t>6</w:t>
      </w:r>
      <w:r w:rsidRPr="00087A72">
        <w:rPr>
          <w:rFonts w:cs="Times New Roman"/>
          <w:color w:val="0A0A0A"/>
          <w:sz w:val="18"/>
          <w:szCs w:val="18"/>
          <w:vertAlign w:val="superscript"/>
          <w:lang w:eastAsia="zh-CN"/>
        </w:rPr>
        <w:fldChar w:fldCharType="end"/>
      </w:r>
      <w:bookmarkEnd w:id="10"/>
      <w:r w:rsidRPr="00087A72">
        <w:rPr>
          <w:rFonts w:cs="Times New Roman"/>
          <w:color w:val="0A0A0A"/>
          <w:sz w:val="24"/>
          <w:lang w:eastAsia="zh-CN"/>
        </w:rPr>
        <w:t xml:space="preserve"> </w:t>
      </w:r>
      <w:r w:rsidRPr="00087A72">
        <w:t>Work on humanitarianism and missionaries across settler colonies in the nineteenth and twentieth centuries is particularly notable.</w:t>
      </w:r>
      <w:bookmarkStart w:id="11" w:name="f7-text"/>
      <w:r w:rsidRPr="00087A72">
        <w:fldChar w:fldCharType="begin"/>
      </w:r>
      <w:r w:rsidRPr="00087A72">
        <w:instrText xml:space="preserve"> HYPERLINK "https://muse.jhu.edu/article/613279" \l "f7" </w:instrText>
      </w:r>
      <w:r w:rsidRPr="00087A72">
        <w:fldChar w:fldCharType="separate"/>
      </w:r>
      <w:r w:rsidRPr="00087A72">
        <w:t>7</w:t>
      </w:r>
      <w:r w:rsidRPr="00087A72">
        <w:fldChar w:fldCharType="end"/>
      </w:r>
      <w:bookmarkEnd w:id="11"/>
      <w:r w:rsidRPr="00087A72">
        <w:t xml:space="preserve"> Nevertheless,</w:t>
      </w:r>
      <w:r w:rsidRPr="00087A72">
        <w:rPr>
          <w:rFonts w:cs="Times New Roman"/>
          <w:color w:val="0A0A0A"/>
          <w:sz w:val="24"/>
          <w:lang w:eastAsia="zh-CN"/>
        </w:rPr>
        <w:t xml:space="preserve"> </w:t>
      </w:r>
      <w:r w:rsidRPr="00087A72">
        <w:rPr>
          <w:rStyle w:val="Emphasis"/>
        </w:rPr>
        <w:t xml:space="preserve">“humanitarianism” as an area of scholarly engagement has often tended to gloss over historical, political and spiritual specificities. Until recently, the particular entanglements of humanitarianism and colonial governance and the question of violence and nonviolence have been overlooked. </w:t>
      </w:r>
      <w:r w:rsidRPr="00087A72">
        <w:t>A new imperial religious history has emerged that views religion as central to British imperial endeavour in its creation of “moral empire” and seeks to examine, as Hilary Carey notes, “the nuanced interpretation of the complex ways in which religion was, and to some extent still is, entangled with other imperial networks and relationships.”</w:t>
      </w:r>
      <w:bookmarkStart w:id="12" w:name="f8-text"/>
      <w:r w:rsidRPr="00087A72">
        <w:fldChar w:fldCharType="begin"/>
      </w:r>
      <w:r w:rsidRPr="00087A72">
        <w:instrText xml:space="preserve"> HYPERLINK "https://muse.jhu.edu/article/613279" \l "f8" </w:instrText>
      </w:r>
      <w:r w:rsidRPr="00087A72">
        <w:fldChar w:fldCharType="separate"/>
      </w:r>
      <w:r w:rsidRPr="00087A72">
        <w:t>8</w:t>
      </w:r>
      <w:r w:rsidRPr="00087A72">
        <w:fldChar w:fldCharType="end"/>
      </w:r>
      <w:bookmarkEnd w:id="12"/>
      <w:r w:rsidRPr="00087A72">
        <w:t xml:space="preserve"> This shift, in accordance with the</w:t>
      </w:r>
      <w:r w:rsidRPr="00087A72">
        <w:rPr>
          <w:rFonts w:cs="Times New Roman"/>
          <w:color w:val="0A0A0A"/>
          <w:sz w:val="24"/>
          <w:lang w:eastAsia="zh-CN"/>
        </w:rPr>
        <w:t xml:space="preserve"> </w:t>
      </w:r>
      <w:r w:rsidRPr="00087A72">
        <w:rPr>
          <w:rStyle w:val="Emphasis"/>
        </w:rPr>
        <w:t>dynamic convergence of new imperialism with transnational approaches, and a reconsideration of a more globally interconnected and networked empire, has enabled a new scholarship of humanitarianism, protection, governance, and colonial violence to emerge.</w:t>
      </w:r>
      <w:r w:rsidRPr="00087A72">
        <w:rPr>
          <w:rFonts w:cs="Times New Roman"/>
          <w:color w:val="0A0A0A"/>
          <w:sz w:val="24"/>
          <w:lang w:eastAsia="zh-CN"/>
        </w:rPr>
        <w:t xml:space="preserve"> </w:t>
      </w:r>
      <w:r w:rsidRPr="00087A72">
        <w:t>Such new work has the potential to take close account of the distinctive and formative experiences of local settler/coloniser environments and to appreciate its networked, imperial nature, where humanitarians observed, witnessed, and sought to ameliorate—or were implicated in—various forms of violence in new colonies and unruly frontiers</w:t>
      </w:r>
      <w:r w:rsidRPr="00087A72">
        <w:rPr>
          <w:rFonts w:cs="Times New Roman"/>
          <w:color w:val="0A0A0A"/>
          <w:sz w:val="24"/>
          <w:lang w:eastAsia="zh-CN"/>
        </w:rPr>
        <w:t xml:space="preserve">. </w:t>
      </w:r>
      <w:r w:rsidRPr="00087A72">
        <w:rPr>
          <w:rStyle w:val="StyleUnderline"/>
        </w:rPr>
        <w:t>In exploring key humanitarian concepts such as violence, nonviolence, amelioration and protection, for example, we must be attentive to the ways their meanings were produced and maintained in this period of immense social change.</w:t>
      </w:r>
    </w:p>
    <w:p w:rsidR="0022388F" w:rsidRPr="00087A72" w:rsidRDefault="0022388F" w:rsidP="0022388F">
      <w:pPr>
        <w:pStyle w:val="Heading4"/>
        <w:rPr>
          <w:lang w:eastAsia="zh-CN"/>
        </w:rPr>
      </w:pPr>
      <w:r w:rsidRPr="00087A72">
        <w:rPr>
          <w:lang w:eastAsia="zh-CN"/>
        </w:rPr>
        <w:t xml:space="preserve">Passivity during times of imperial pressure only increase violence and ignorance toward the indigenous people </w:t>
      </w:r>
    </w:p>
    <w:p w:rsidR="0022388F" w:rsidRPr="00087A72" w:rsidRDefault="0022388F" w:rsidP="0022388F">
      <w:r w:rsidRPr="00087A72">
        <w:rPr>
          <w:rStyle w:val="Style13ptBold"/>
        </w:rPr>
        <w:t>Edmonds, Johnston 16</w:t>
      </w:r>
      <w:r w:rsidRPr="00087A72">
        <w:t xml:space="preserve"> (Penelope &amp; Anna. ARC future fellow history and classics—Associate professor in the Institute for Advanced Studies in the Humanities "Empire, Humanitarianism and Violence in the Colonies." Journal of Colonialism and Colonial History, vol. 17 no. 1, 2016. Project MUSE, </w:t>
      </w:r>
      <w:hyperlink r:id="rId18" w:history="1">
        <w:r w:rsidRPr="00087A72">
          <w:t>doi:10.1353/cch.2016.0013</w:t>
        </w:r>
      </w:hyperlink>
      <w:r w:rsidRPr="00087A72">
        <w:t>)</w:t>
      </w:r>
    </w:p>
    <w:p w:rsidR="0022388F" w:rsidRPr="00087A72" w:rsidRDefault="0022388F" w:rsidP="0022388F">
      <w:r w:rsidRPr="00087A72">
        <w:t>Talal Asad has traced the emergence of a cluster of concepts such as “humanismus” from the fifteenth-century German, the medieval “humanitas” and the nineteenth-century secular “humanism”: “humanity, humanism, humanitarianism belong to a tangled and shifting history,” he argues.</w:t>
      </w:r>
      <w:bookmarkStart w:id="13" w:name="f9-text"/>
      <w:r w:rsidRPr="00087A72">
        <w:fldChar w:fldCharType="begin"/>
      </w:r>
      <w:r w:rsidRPr="00087A72">
        <w:instrText xml:space="preserve"> HYPERLINK "https://muse.jhu.edu/article/613279" \l "f9" </w:instrText>
      </w:r>
      <w:r w:rsidRPr="00087A72">
        <w:fldChar w:fldCharType="separate"/>
      </w:r>
      <w:r w:rsidRPr="00087A72">
        <w:t>9</w:t>
      </w:r>
      <w:r w:rsidRPr="00087A72">
        <w:fldChar w:fldCharType="end"/>
      </w:r>
      <w:bookmarkEnd w:id="13"/>
      <w:r w:rsidRPr="00087A72">
        <w:t xml:space="preserve"> </w:t>
      </w:r>
      <w:r w:rsidRPr="00087A72">
        <w:rPr>
          <w:rStyle w:val="StyleUnderline"/>
        </w:rPr>
        <w:t>The term humanitarianism and its associated concepts and practices specifically “emerged in the nineteenth century with the consolidation of the European nation states, the expansion of European colonial empires and the global development of capitalism,”</w:t>
      </w:r>
      <w:r w:rsidRPr="00087A72">
        <w:t xml:space="preserve"> argues Asad. The theological </w:t>
      </w:r>
      <w:r w:rsidRPr="00087A72">
        <w:rPr>
          <w:rStyle w:val="StyleUnderline"/>
        </w:rPr>
        <w:t>connotations of humanitarianism are associated with ideas of redemption, reaching out, and the language of sentiment and affect.</w:t>
      </w:r>
      <w:bookmarkStart w:id="14" w:name="f10-text"/>
      <w:r w:rsidRPr="00087A72">
        <w:rPr>
          <w:rStyle w:val="StyleUnderline"/>
        </w:rPr>
        <w:fldChar w:fldCharType="begin"/>
      </w:r>
      <w:r w:rsidRPr="00087A72">
        <w:rPr>
          <w:rStyle w:val="StyleUnderline"/>
        </w:rPr>
        <w:instrText xml:space="preserve"> HYPERLINK "https://muse.jhu.edu/article/613279" \l "f10" </w:instrText>
      </w:r>
      <w:r w:rsidRPr="00087A72">
        <w:rPr>
          <w:rStyle w:val="StyleUnderline"/>
        </w:rPr>
        <w:fldChar w:fldCharType="separate"/>
      </w:r>
      <w:r w:rsidRPr="00087A72">
        <w:rPr>
          <w:rStyle w:val="StyleUnderline"/>
        </w:rPr>
        <w:t>10</w:t>
      </w:r>
      <w:r w:rsidRPr="00087A72">
        <w:rPr>
          <w:rStyle w:val="StyleUnderline"/>
        </w:rPr>
        <w:fldChar w:fldCharType="end"/>
      </w:r>
      <w:bookmarkEnd w:id="14"/>
      <w:r w:rsidRPr="00087A72">
        <w:rPr>
          <w:rStyle w:val="StyleUnderline"/>
        </w:rPr>
        <w:t xml:space="preserve"> There is a general consensus that what Charles Taylor calls a “moral imperative to reduce suffering” emerged from Enlightenment thought and Christian </w:t>
      </w:r>
      <w:r w:rsidRPr="00087A72">
        <w:t>(and especially Protestant)</w:t>
      </w:r>
      <w:r w:rsidRPr="00087A72">
        <w:rPr>
          <w:rStyle w:val="StyleUnderline"/>
        </w:rPr>
        <w:t xml:space="preserve"> root</w:t>
      </w:r>
      <w:r w:rsidRPr="00087A72">
        <w:t>s.</w:t>
      </w:r>
      <w:bookmarkStart w:id="15" w:name="f11-text"/>
      <w:r w:rsidRPr="00087A72">
        <w:fldChar w:fldCharType="begin"/>
      </w:r>
      <w:r w:rsidRPr="00087A72">
        <w:instrText xml:space="preserve"> HYPERLINK "https://muse.jhu.edu/article/613279" \l "f11" </w:instrText>
      </w:r>
      <w:r w:rsidRPr="00087A72">
        <w:fldChar w:fldCharType="separate"/>
      </w:r>
      <w:r w:rsidRPr="00087A72">
        <w:t>11</w:t>
      </w:r>
      <w:r w:rsidRPr="00087A72">
        <w:fldChar w:fldCharType="end"/>
      </w:r>
      <w:bookmarkEnd w:id="15"/>
      <w:r w:rsidRPr="00087A72">
        <w:t xml:space="preserve"> As Asad argues, with this came an associated and assumed narrative about the elimination of human suffering: that </w:t>
      </w:r>
      <w:r w:rsidRPr="00087A72">
        <w:rPr>
          <w:rStyle w:val="StyleUnderline"/>
        </w:rPr>
        <w:t>moral progress is advanced when the violence of military conflict and dictatorship gives way to the nonviolence of international diplomacy and democratic politics, when harsh physical punishment of convicts gives way to humane confinement, when war gives way to peace.</w:t>
      </w:r>
      <w:bookmarkStart w:id="16" w:name="f12-text"/>
      <w:r w:rsidRPr="00087A72">
        <w:fldChar w:fldCharType="begin"/>
      </w:r>
      <w:r w:rsidRPr="00087A72">
        <w:instrText xml:space="preserve"> HYPERLINK "https://muse.jhu.edu/article/613279" \l "f12" </w:instrText>
      </w:r>
      <w:r w:rsidRPr="00087A72">
        <w:fldChar w:fldCharType="separate"/>
      </w:r>
      <w:r w:rsidRPr="00087A72">
        <w:t>12</w:t>
      </w:r>
      <w:r w:rsidRPr="00087A72">
        <w:fldChar w:fldCharType="end"/>
      </w:r>
      <w:bookmarkEnd w:id="16"/>
      <w:r w:rsidRPr="00087A72">
        <w:t xml:space="preserve"> Likewise Tusan has </w:t>
      </w:r>
      <w:r w:rsidRPr="00087A72">
        <w:rPr>
          <w:rStyle w:val="Emphasis"/>
        </w:rPr>
        <w:t>surveyed humanitarianism and the notion of interventions to alleviate suffering as both an “idea and a practice.”</w:t>
      </w:r>
      <w:r w:rsidRPr="00087A72">
        <w:t xml:space="preserve"> She notes that early modern monarchs controlled potential external intervention on behalf of their dispossessed subjects. With the Enlightenment, “</w:t>
      </w:r>
      <w:r w:rsidRPr="00087A72">
        <w:rPr>
          <w:rStyle w:val="Emphasis"/>
        </w:rPr>
        <w:t xml:space="preserve">broad claims of a universal humanity offered new ways of understanding the obligation to act. </w:t>
      </w:r>
      <w:r w:rsidRPr="00087A72">
        <w:t xml:space="preserve">By the nineteenth century, an </w:t>
      </w:r>
      <w:r w:rsidRPr="00087A72">
        <w:rPr>
          <w:rStyle w:val="Emphasis"/>
        </w:rPr>
        <w:t>activist sensibility found voice in campaigns that looked to undo long-held practices like slavery through pressuring governments to abolish slavery on humanitarian grounds.”</w:t>
      </w:r>
      <w:bookmarkStart w:id="17" w:name="f13-text"/>
      <w:r w:rsidRPr="00087A72">
        <w:rPr>
          <w:rStyle w:val="Emphasis"/>
        </w:rPr>
        <w:fldChar w:fldCharType="begin"/>
      </w:r>
      <w:r w:rsidRPr="00087A72">
        <w:rPr>
          <w:rStyle w:val="Emphasis"/>
        </w:rPr>
        <w:instrText xml:space="preserve"> HYPERLINK "https://muse.jhu.edu/article/613279" \l "f13" </w:instrText>
      </w:r>
      <w:r w:rsidRPr="00087A72">
        <w:rPr>
          <w:rStyle w:val="Emphasis"/>
        </w:rPr>
        <w:fldChar w:fldCharType="separate"/>
      </w:r>
      <w:r w:rsidRPr="00087A72">
        <w:rPr>
          <w:rStyle w:val="Emphasis"/>
        </w:rPr>
        <w:t>13</w:t>
      </w:r>
      <w:r w:rsidRPr="00087A72">
        <w:rPr>
          <w:rStyle w:val="Emphasis"/>
        </w:rPr>
        <w:fldChar w:fldCharType="end"/>
      </w:r>
      <w:bookmarkEnd w:id="17"/>
      <w:r w:rsidRPr="00087A72">
        <w:rPr>
          <w:rStyle w:val="Emphasis"/>
        </w:rPr>
        <w:t xml:space="preserve"> The simultaneous rise of humanitarianism and imperialism in the modern period has been noted by a number of scholars</w:t>
      </w:r>
      <w:r w:rsidRPr="00087A72">
        <w:t>, including Joel Quirk, who delineates the ways that colonialism and antislavery were viewed as compatible in the nineteenth century.</w:t>
      </w:r>
      <w:bookmarkStart w:id="18" w:name="f14-text"/>
      <w:r w:rsidRPr="00087A72">
        <w:fldChar w:fldCharType="begin"/>
      </w:r>
      <w:r w:rsidRPr="00087A72">
        <w:instrText xml:space="preserve"> HYPERLINK "https://muse.jhu.edu/article/613279" \l "f14" </w:instrText>
      </w:r>
      <w:r w:rsidRPr="00087A72">
        <w:fldChar w:fldCharType="separate"/>
      </w:r>
      <w:r w:rsidRPr="00087A72">
        <w:t>14</w:t>
      </w:r>
      <w:r w:rsidRPr="00087A72">
        <w:fldChar w:fldCharType="end"/>
      </w:r>
      <w:bookmarkEnd w:id="18"/>
      <w:r w:rsidRPr="00087A72">
        <w:t xml:space="preserve"> </w:t>
      </w:r>
      <w:r w:rsidRPr="00087A72">
        <w:rPr>
          <w:rStyle w:val="Emphasis"/>
        </w:rPr>
        <w:t>Quirk argues that the antislavery campaigns marked an important moment in the development of paternalistic colonialism, and abolitionism was less concerned with human equality than with “colonial priorities,”</w:t>
      </w:r>
      <w:r w:rsidRPr="00087A72">
        <w:t xml:space="preserve"> with </w:t>
      </w:r>
      <w:r w:rsidRPr="00087A72">
        <w:rPr>
          <w:rStyle w:val="StyleUnderline"/>
        </w:rPr>
        <w:t>legal abolition thus enabling other forms of unfree and exploitative labour worldwide.</w:t>
      </w:r>
      <w:bookmarkStart w:id="19" w:name="f15-text"/>
      <w:r w:rsidRPr="00087A72">
        <w:rPr>
          <w:rStyle w:val="StyleUnderline"/>
        </w:rPr>
        <w:fldChar w:fldCharType="begin"/>
      </w:r>
      <w:r w:rsidRPr="00087A72">
        <w:rPr>
          <w:rStyle w:val="StyleUnderline"/>
        </w:rPr>
        <w:instrText xml:space="preserve"> HYPERLINK "https://muse.jhu.edu/article/613279" \l "f15" </w:instrText>
      </w:r>
      <w:r w:rsidRPr="00087A72">
        <w:rPr>
          <w:rStyle w:val="StyleUnderline"/>
        </w:rPr>
        <w:fldChar w:fldCharType="separate"/>
      </w:r>
      <w:r w:rsidRPr="00087A72">
        <w:rPr>
          <w:rStyle w:val="StyleUnderline"/>
        </w:rPr>
        <w:t>15</w:t>
      </w:r>
      <w:r w:rsidRPr="00087A72">
        <w:rPr>
          <w:rStyle w:val="StyleUnderline"/>
        </w:rPr>
        <w:fldChar w:fldCharType="end"/>
      </w:r>
      <w:bookmarkEnd w:id="19"/>
      <w:r w:rsidRPr="00087A72">
        <w:rPr>
          <w:rStyle w:val="StyleUnderline"/>
        </w:rPr>
        <w:t xml:space="preserve"> Indeed, the other “colonial priorities” of the period were the expansion of empire</w:t>
      </w:r>
      <w:r w:rsidRPr="00087A72">
        <w:t xml:space="preserve"> in the Pacific and Indian Ocean regions in sites of British settlement such as North America, Australia, New Zealand, and South Africa. It was in these colonies of settlement that the entwined projects of liberal humanitarianism and empire took on a particular and potent character. An apparent </w:t>
      </w:r>
      <w:r w:rsidRPr="00087A72">
        <w:rPr>
          <w:rStyle w:val="StyleUnderline"/>
        </w:rPr>
        <w:t xml:space="preserve">paradox saw the rise of British humanitarianism in the 1830s amidst these aggressively expanding colonies marked by intense violence against Indigenous peoples; </w:t>
      </w:r>
      <w:r w:rsidRPr="00087A72">
        <w:t>Lester and Dussart begin their new book by articulating this conceptual riddle.</w:t>
      </w:r>
      <w:bookmarkStart w:id="20" w:name="f16-text"/>
      <w:r w:rsidRPr="00087A72">
        <w:fldChar w:fldCharType="begin"/>
      </w:r>
      <w:r w:rsidRPr="00087A72">
        <w:instrText xml:space="preserve"> HYPERLINK "https://muse.jhu.edu/article/613279" \l "f16" </w:instrText>
      </w:r>
      <w:r w:rsidRPr="00087A72">
        <w:fldChar w:fldCharType="separate"/>
      </w:r>
      <w:r w:rsidRPr="00087A72">
        <w:t>16</w:t>
      </w:r>
      <w:r w:rsidRPr="00087A72">
        <w:fldChar w:fldCharType="end"/>
      </w:r>
      <w:bookmarkEnd w:id="20"/>
      <w:r w:rsidRPr="00087A72">
        <w:t xml:space="preserve"> After the abolition of the slave trade (1807) and later of slavery in the British settlements (1833), </w:t>
      </w:r>
      <w:r w:rsidRPr="00087A72">
        <w:rPr>
          <w:rStyle w:val="StyleUnderline"/>
        </w:rPr>
        <w:t>abolitionist humanitarians began to turn their attention to the fate of Indigenous peoples in the colonies of settlement, and questions of moral empire and the possibility of humanitarian governance grew to prominence</w:t>
      </w:r>
      <w:r w:rsidRPr="00087A72">
        <w:t>.</w:t>
      </w:r>
      <w:bookmarkStart w:id="21" w:name="f17-text"/>
      <w:r w:rsidRPr="00087A72">
        <w:fldChar w:fldCharType="begin"/>
      </w:r>
      <w:r w:rsidRPr="00087A72">
        <w:instrText xml:space="preserve"> HYPERLINK "https://muse.jhu.edu/article/613279" \l "f17" </w:instrText>
      </w:r>
      <w:r w:rsidRPr="00087A72">
        <w:fldChar w:fldCharType="separate"/>
      </w:r>
      <w:r w:rsidRPr="00087A72">
        <w:t>17</w:t>
      </w:r>
      <w:r w:rsidRPr="00087A72">
        <w:fldChar w:fldCharType="end"/>
      </w:r>
      <w:bookmarkEnd w:id="21"/>
      <w:r w:rsidRPr="00087A72">
        <w:t xml:space="preserve"> By this time humanitarian precepts had gained influence throughout the British colonies, resulting in the establishment of the Aborigines Protection Society in 1837. In both metropolitan and colonial governing circles, </w:t>
      </w:r>
      <w:r w:rsidRPr="00087A72">
        <w:rPr>
          <w:rStyle w:val="StyleUnderline"/>
        </w:rPr>
        <w:t>humanitarians generally did not oppose colonisation, but increasingly promoted a benevolent or “Christian colonisation,” a civilising mission of moral enlightenment.</w:t>
      </w:r>
      <w:bookmarkStart w:id="22" w:name="f18-text"/>
      <w:r w:rsidRPr="00087A72">
        <w:rPr>
          <w:rStyle w:val="StyleUnderline"/>
        </w:rPr>
        <w:fldChar w:fldCharType="begin"/>
      </w:r>
      <w:r w:rsidRPr="00087A72">
        <w:rPr>
          <w:rStyle w:val="StyleUnderline"/>
        </w:rPr>
        <w:instrText xml:space="preserve"> HYPERLINK "https://muse.jhu.edu/article/613279" \l "f18" </w:instrText>
      </w:r>
      <w:r w:rsidRPr="00087A72">
        <w:rPr>
          <w:rStyle w:val="StyleUnderline"/>
        </w:rPr>
        <w:fldChar w:fldCharType="separate"/>
      </w:r>
      <w:r w:rsidRPr="00087A72">
        <w:rPr>
          <w:rStyle w:val="StyleUnderline"/>
        </w:rPr>
        <w:t>18</w:t>
      </w:r>
      <w:r w:rsidRPr="00087A72">
        <w:rPr>
          <w:rStyle w:val="StyleUnderline"/>
        </w:rPr>
        <w:fldChar w:fldCharType="end"/>
      </w:r>
      <w:bookmarkEnd w:id="22"/>
      <w:r w:rsidRPr="00087A72">
        <w:rPr>
          <w:rStyle w:val="StyleUnderline"/>
        </w:rPr>
        <w:t xml:space="preserve"> In the southeastern Australian colonies, while humanitarians emphasised the moral imperatives of a humane colonisation, pastoralists and agriculturalists insisted on access to cheap labour and land. Many expatriate Britons challenged the model of a humane or Christian colonisation through an emerging assertion of “settler” rights and entitlements. A strong doctrine of supercessionism—that settlers should rightly replace Indigenes—was promoted, based on claims of British moral and racial superiority, and Lockean principles of civilisation, property and the imperative to cultivate land.</w:t>
      </w:r>
      <w:bookmarkStart w:id="23" w:name="f19-text"/>
      <w:r w:rsidRPr="00087A72">
        <w:rPr>
          <w:rStyle w:val="StyleUnderline"/>
        </w:rPr>
        <w:fldChar w:fldCharType="begin"/>
      </w:r>
      <w:r w:rsidRPr="00087A72">
        <w:rPr>
          <w:rStyle w:val="StyleUnderline"/>
        </w:rPr>
        <w:instrText xml:space="preserve"> HYPERLINK "https://muse.jhu.edu/article/613279" \l "f19" </w:instrText>
      </w:r>
      <w:r w:rsidRPr="00087A72">
        <w:rPr>
          <w:rStyle w:val="StyleUnderline"/>
        </w:rPr>
        <w:fldChar w:fldCharType="separate"/>
      </w:r>
      <w:r w:rsidRPr="00087A72">
        <w:rPr>
          <w:rStyle w:val="StyleUnderline"/>
        </w:rPr>
        <w:t>19</w:t>
      </w:r>
      <w:r w:rsidRPr="00087A72">
        <w:rPr>
          <w:rStyle w:val="StyleUnderline"/>
        </w:rPr>
        <w:fldChar w:fldCharType="end"/>
      </w:r>
      <w:bookmarkEnd w:id="23"/>
      <w:r w:rsidRPr="00087A72">
        <w:rPr>
          <w:rStyle w:val="StyleUnderline"/>
        </w:rPr>
        <w:t xml:space="preserve"> Colonial governors could articulate broad humanitarian precepts, yet condone violence both retributive and disciplinary and effectively outsource it to settlers, militia and other groups</w:t>
      </w:r>
      <w:r w:rsidRPr="00087A72">
        <w:t>. So too the amelioration of violence could be left to partly formed and messy plural legal codes, government missionaries and other humanitarians entirely independent of the state. In colonial New South Wales, for example, as settlers crossed the Blue Mountains onto the Bathurst Plains they faced resistance from Wiradjuri warriors who killed or wounded both stock and their keepers. Martial law was proclaimed by Governor Thomas Brisbane (1822–25) on the Bathurst Plains on 14 August 1824 following the killing of seven stockmen by Aborigines in the ranges north of Bathurst, and the murder of Aboriginal women and children by settler-vigilantes in what the Sydney Gazette on 14 October 1824 called “an exterminating war.”</w:t>
      </w:r>
      <w:bookmarkStart w:id="24" w:name="f20-text"/>
      <w:r w:rsidRPr="00087A72">
        <w:fldChar w:fldCharType="begin"/>
      </w:r>
      <w:r w:rsidRPr="00087A72">
        <w:instrText xml:space="preserve"> HYPERLINK "https://muse.jhu.edu/article/613279" \l "f20" </w:instrText>
      </w:r>
      <w:r w:rsidRPr="00087A72">
        <w:fldChar w:fldCharType="separate"/>
      </w:r>
      <w:r w:rsidRPr="00087A72">
        <w:t>20</w:t>
      </w:r>
      <w:r w:rsidRPr="00087A72">
        <w:fldChar w:fldCharType="end"/>
      </w:r>
      <w:bookmarkEnd w:id="24"/>
      <w:r w:rsidRPr="00087A72">
        <w:t xml:space="preserve"> Brisbane also established a mounted police force whose first frontier deployment to “pacify” Aboriginal peoples was in the upper Hunter Valley in 1826.</w:t>
      </w:r>
      <w:bookmarkStart w:id="25" w:name="f21-text"/>
      <w:r w:rsidRPr="00087A72">
        <w:fldChar w:fldCharType="begin"/>
      </w:r>
      <w:r w:rsidRPr="00087A72">
        <w:instrText xml:space="preserve"> HYPERLINK "https://muse.jhu.edu/article/613279" \l "f21" </w:instrText>
      </w:r>
      <w:r w:rsidRPr="00087A72">
        <w:fldChar w:fldCharType="separate"/>
      </w:r>
      <w:r w:rsidRPr="00087A72">
        <w:t>21</w:t>
      </w:r>
      <w:r w:rsidRPr="00087A72">
        <w:fldChar w:fldCharType="end"/>
      </w:r>
      <w:bookmarkEnd w:id="25"/>
      <w:r w:rsidRPr="00087A72">
        <w:t xml:space="preserve"> Despite popular and permissive claims that the frontier was a place of lawlessness, instead, as Julie Evans has argued, the </w:t>
      </w:r>
      <w:r w:rsidRPr="00087A72">
        <w:rPr>
          <w:rStyle w:val="StyleUnderline"/>
        </w:rPr>
        <w:t>declaration of martial law served to formalise the frontier as a legal space of violence and was thereby crucial to the furtherance of the settler project</w:t>
      </w:r>
      <w:r w:rsidRPr="00087A72">
        <w:t>.</w:t>
      </w:r>
      <w:bookmarkStart w:id="26" w:name="f22-text"/>
      <w:r w:rsidRPr="00087A72">
        <w:fldChar w:fldCharType="begin"/>
      </w:r>
      <w:r w:rsidRPr="00087A72">
        <w:instrText xml:space="preserve"> HYPERLINK "https://muse.jhu.edu/article/613279" \l "f22" </w:instrText>
      </w:r>
      <w:r w:rsidRPr="00087A72">
        <w:fldChar w:fldCharType="separate"/>
      </w:r>
      <w:r w:rsidRPr="00087A72">
        <w:t>22</w:t>
      </w:r>
      <w:r w:rsidRPr="00087A72">
        <w:fldChar w:fldCharType="end"/>
      </w:r>
      <w:bookmarkEnd w:id="26"/>
      <w:r w:rsidRPr="00087A72">
        <w:t xml:space="preserve"> Within a year Governor Brisbane granted 10,000 acres (4047 ha) to the London Missionary Society for an Aboriginal reserve at Lake Macquarie.</w:t>
      </w:r>
      <w:bookmarkStart w:id="27" w:name="f23-text"/>
      <w:r w:rsidRPr="00087A72">
        <w:fldChar w:fldCharType="begin"/>
      </w:r>
      <w:r w:rsidRPr="00087A72">
        <w:instrText xml:space="preserve"> HYPERLINK "https://muse.jhu.edu/article/613279" \l "f23" </w:instrText>
      </w:r>
      <w:r w:rsidRPr="00087A72">
        <w:fldChar w:fldCharType="separate"/>
      </w:r>
      <w:r w:rsidRPr="00087A72">
        <w:t>23</w:t>
      </w:r>
      <w:r w:rsidRPr="00087A72">
        <w:fldChar w:fldCharType="end"/>
      </w:r>
      <w:bookmarkEnd w:id="27"/>
      <w:r w:rsidRPr="00087A72">
        <w:t xml:space="preserve"> The resident missionary, the Reverend Lancelot Threlkeld, used his privileged position to witness and publicise settler violence against Aborigines in graphic terms.</w:t>
      </w:r>
      <w:bookmarkStart w:id="28" w:name="f24-text"/>
      <w:r w:rsidRPr="00087A72">
        <w:fldChar w:fldCharType="begin"/>
      </w:r>
      <w:r w:rsidRPr="00087A72">
        <w:instrText xml:space="preserve"> HYPERLINK "https://muse.jhu.edu/article/613279" \l "f24" </w:instrText>
      </w:r>
      <w:r w:rsidRPr="00087A72">
        <w:fldChar w:fldCharType="separate"/>
      </w:r>
      <w:r w:rsidRPr="00087A72">
        <w:t>24</w:t>
      </w:r>
      <w:r w:rsidRPr="00087A72">
        <w:fldChar w:fldCharType="end"/>
      </w:r>
      <w:bookmarkEnd w:id="28"/>
      <w:r w:rsidRPr="00087A72">
        <w:t xml:space="preserve"> Some scholars have described Brisbane’s policy towards Aboriginal people as ambivalent, on the one hand imposing martial law and on the other seeking to compensate lost Aboriginal land through humanitarian measures. Yet this seeming ambivalence rather reflected the growing tensions of colonisation, where </w:t>
      </w:r>
      <w:r w:rsidRPr="00087A72">
        <w:rPr>
          <w:rStyle w:val="StyleUnderline"/>
        </w:rPr>
        <w:t>retaliatory and offensive state-sanctioned violence sat alongside an emergent humanitarianism that sought to conciliate, civilise, compensate and protect Aboriginal peoples</w:t>
      </w:r>
      <w:r w:rsidRPr="00087A72">
        <w:t>.</w:t>
      </w:r>
      <w:bookmarkStart w:id="29" w:name="f25-text"/>
      <w:r w:rsidRPr="00087A72">
        <w:fldChar w:fldCharType="begin"/>
      </w:r>
      <w:r w:rsidRPr="00087A72">
        <w:instrText xml:space="preserve"> HYPERLINK "https://muse.jhu.edu/article/613279" \l "f25" </w:instrText>
      </w:r>
      <w:r w:rsidRPr="00087A72">
        <w:fldChar w:fldCharType="separate"/>
      </w:r>
      <w:r w:rsidRPr="00087A72">
        <w:t>25</w:t>
      </w:r>
      <w:r w:rsidRPr="00087A72">
        <w:fldChar w:fldCharType="end"/>
      </w:r>
      <w:bookmarkEnd w:id="29"/>
      <w:r w:rsidRPr="00087A72">
        <w:t xml:space="preserve"> By the mid-nineteenth century, the rise of self-governing settler states often permitted and enabled new forms of organised legal violence (martial law, native police corps, and child removal) against Indigenous peoples deemed non-sovereign in their own lands. Since settlers came to stay, </w:t>
      </w:r>
      <w:r w:rsidRPr="00087A72">
        <w:rPr>
          <w:rStyle w:val="StyleUnderline"/>
        </w:rPr>
        <w:t>questions of universalism versus difference had to be worked out on the ground in highly specific ways, and differently from those of other colonies. Settler colonial dynamics would come to exhibit a civilising mission at the heart of which was an organising grammar that represented invasion in terms of benevolence and White civility</w:t>
      </w:r>
      <w:r w:rsidRPr="00087A72">
        <w:t>.</w:t>
      </w:r>
      <w:bookmarkStart w:id="30" w:name="f26-text"/>
      <w:r w:rsidRPr="00087A72">
        <w:fldChar w:fldCharType="begin"/>
      </w:r>
      <w:r w:rsidRPr="00087A72">
        <w:instrText xml:space="preserve"> HYPERLINK "https://muse.jhu.edu/article/613279" \l "f26" </w:instrText>
      </w:r>
      <w:r w:rsidRPr="00087A72">
        <w:fldChar w:fldCharType="separate"/>
      </w:r>
      <w:r w:rsidRPr="00087A72">
        <w:t>26</w:t>
      </w:r>
      <w:r w:rsidRPr="00087A72">
        <w:fldChar w:fldCharType="end"/>
      </w:r>
      <w:bookmarkEnd w:id="30"/>
      <w:r w:rsidRPr="00087A72">
        <w:t xml:space="preserve"> The Whig humanitarian promise of liberal empire in the Age of Reform offered a sacred covenant, Pax Britannica, a conciliatory agreement or settlement which proffered civilisation and uplift for Indigenous people, as they in turn exchanged their sovereignty in the bargain. Yet </w:t>
      </w:r>
      <w:r w:rsidRPr="00087A72">
        <w:rPr>
          <w:rStyle w:val="StyleUnderline"/>
        </w:rPr>
        <w:t>liberal universalism’s high tenets, including ideas of the brotherhood of man, would manifest in these settler colonies through a thoroughly hierarchised and brutal means of operation.</w:t>
      </w:r>
      <w:bookmarkStart w:id="31" w:name="f27-text"/>
      <w:r w:rsidRPr="00087A72">
        <w:rPr>
          <w:rStyle w:val="StyleUnderline"/>
        </w:rPr>
        <w:fldChar w:fldCharType="begin"/>
      </w:r>
      <w:r w:rsidRPr="00087A72">
        <w:rPr>
          <w:rStyle w:val="StyleUnderline"/>
        </w:rPr>
        <w:instrText xml:space="preserve"> HYPERLINK "https://muse.jhu.edu/article/613279" \l "f27" </w:instrText>
      </w:r>
      <w:r w:rsidRPr="00087A72">
        <w:rPr>
          <w:rStyle w:val="StyleUnderline"/>
        </w:rPr>
        <w:fldChar w:fldCharType="separate"/>
      </w:r>
      <w:r w:rsidRPr="00087A72">
        <w:rPr>
          <w:rStyle w:val="StyleUnderline"/>
        </w:rPr>
        <w:t>27</w:t>
      </w:r>
      <w:r w:rsidRPr="00087A72">
        <w:rPr>
          <w:rStyle w:val="StyleUnderline"/>
        </w:rPr>
        <w:fldChar w:fldCharType="end"/>
      </w:r>
      <w:bookmarkEnd w:id="31"/>
      <w:r w:rsidRPr="00087A72">
        <w:rPr>
          <w:rStyle w:val="StyleUnderline"/>
        </w:rPr>
        <w:t xml:space="preserve"> Observing such inequities, humanitarians would come to assert that the mistreatment of Aboriginal peoples and the theft of their land in British settlements was a form of grave national sin, albeit an “evil of comparatively recent origin.”</w:t>
      </w:r>
      <w:bookmarkStart w:id="32" w:name="f28-text"/>
      <w:r w:rsidRPr="00087A72">
        <w:fldChar w:fldCharType="begin"/>
      </w:r>
      <w:r w:rsidRPr="00087A72">
        <w:instrText xml:space="preserve"> HYPERLINK "https://muse.jhu.edu/article/613279" \l "f28" </w:instrText>
      </w:r>
      <w:r w:rsidRPr="00087A72">
        <w:fldChar w:fldCharType="separate"/>
      </w:r>
      <w:r w:rsidRPr="00087A72">
        <w:t>28</w:t>
      </w:r>
      <w:r w:rsidRPr="00087A72">
        <w:fldChar w:fldCharType="end"/>
      </w:r>
      <w:bookmarkEnd w:id="32"/>
      <w:r w:rsidRPr="00087A72">
        <w:t xml:space="preserve"> The affective, evangelical tones of such assessment were stark. The landmark 1837 Report of the Parliamentary Select Committee on the Aboriginal Tribes, which was established to assess the treatment </w:t>
      </w:r>
      <w:r w:rsidRPr="00087A72">
        <w:rPr>
          <w:rStyle w:val="StyleUnderline"/>
        </w:rPr>
        <w:t>of Indigenous peoples in British settlements in the face of colonisation, exemplified such debates about the virtue or sin of colonisation among people of British origin. As Elizabeth Elbourne has argued elsewhere, the debate was “cast in Christian terms… and heavily influenced by evangelical Christian ideas about sin, repentance and redemption, although the meaning and pertinence of Christianity were also sometimes at stake.</w:t>
      </w:r>
      <w:r w:rsidRPr="00087A72">
        <w:t>”</w:t>
      </w:r>
      <w:bookmarkStart w:id="33" w:name="f29-text"/>
      <w:r w:rsidRPr="00087A72">
        <w:fldChar w:fldCharType="begin"/>
      </w:r>
      <w:r w:rsidRPr="00087A72">
        <w:instrText xml:space="preserve"> HYPERLINK "https://muse.jhu.edu/article/613279" \l "f29" </w:instrText>
      </w:r>
      <w:r w:rsidRPr="00087A72">
        <w:fldChar w:fldCharType="separate"/>
      </w:r>
      <w:r w:rsidRPr="00087A72">
        <w:t>29</w:t>
      </w:r>
      <w:r w:rsidRPr="00087A72">
        <w:fldChar w:fldCharType="end"/>
      </w:r>
      <w:bookmarkEnd w:id="33"/>
      <w:r w:rsidRPr="00087A72">
        <w:t xml:space="preserve"> The Select Committee report “castigated settlers and traders for their immoral treatment of indigenous peoples and argued that such treatment contributed to [their] physical destruction and moral degradation,” writes Elbourne. Solutions proposed by the committee included the </w:t>
      </w:r>
      <w:r w:rsidRPr="00087A72">
        <w:rPr>
          <w:rStyle w:val="StyleUnderline"/>
        </w:rPr>
        <w:t>metropolitan oversight of settler relationships with Indigenous peoples, envisioning, ultimately, the moral recreation of sinful settlers and non-Christian Indigenes alike, and their eventual joint assimilation into an imagined Christian community of the virtuous</w:t>
      </w:r>
      <w:r w:rsidRPr="00087A72">
        <w:t>.</w:t>
      </w:r>
      <w:bookmarkStart w:id="34" w:name="f30-text"/>
      <w:r w:rsidRPr="00087A72">
        <w:fldChar w:fldCharType="begin"/>
      </w:r>
      <w:r w:rsidRPr="00087A72">
        <w:instrText xml:space="preserve"> HYPERLINK "https://muse.jhu.edu/article/613279" \l "f30" </w:instrText>
      </w:r>
      <w:r w:rsidRPr="00087A72">
        <w:fldChar w:fldCharType="separate"/>
      </w:r>
      <w:r w:rsidRPr="00087A72">
        <w:t>30</w:t>
      </w:r>
      <w:r w:rsidRPr="00087A72">
        <w:fldChar w:fldCharType="end"/>
      </w:r>
      <w:bookmarkEnd w:id="34"/>
      <w:r w:rsidRPr="00087A72">
        <w:t xml:space="preserve"> Examining these debates, Elbourne argues “the focus of Colonial Office administrators, of many British critics of imperial policy and of many settlers themselves on sin and virtue, centred on the moral character of the individual and of the nation alike, as well as on the morality of the colonized.” Yet </w:t>
      </w:r>
      <w:r w:rsidRPr="00087A72">
        <w:rPr>
          <w:rStyle w:val="StyleUnderline"/>
        </w:rPr>
        <w:t>often they neglected the “structural issues that drove frontier conflict in the first place, despite moments of real recognition of the importance of structure.”</w:t>
      </w:r>
      <w:bookmarkStart w:id="35" w:name="f31-text"/>
      <w:r w:rsidRPr="00087A72">
        <w:rPr>
          <w:rStyle w:val="StyleUnderline"/>
        </w:rPr>
        <w:fldChar w:fldCharType="begin"/>
      </w:r>
      <w:r w:rsidRPr="00087A72">
        <w:rPr>
          <w:rStyle w:val="StyleUnderline"/>
        </w:rPr>
        <w:instrText xml:space="preserve"> HYPERLINK "https://muse.jhu.edu/article/613279" \l "f31" </w:instrText>
      </w:r>
      <w:r w:rsidRPr="00087A72">
        <w:rPr>
          <w:rStyle w:val="StyleUnderline"/>
        </w:rPr>
        <w:fldChar w:fldCharType="separate"/>
      </w:r>
      <w:r w:rsidRPr="00087A72">
        <w:rPr>
          <w:rStyle w:val="StyleUnderline"/>
        </w:rPr>
        <w:t>31</w:t>
      </w:r>
      <w:r w:rsidRPr="00087A72">
        <w:rPr>
          <w:rStyle w:val="StyleUnderline"/>
        </w:rPr>
        <w:fldChar w:fldCharType="end"/>
      </w:r>
      <w:bookmarkEnd w:id="35"/>
      <w:r w:rsidRPr="00087A72">
        <w:rPr>
          <w:rStyle w:val="StyleUnderline"/>
        </w:rPr>
        <w:t xml:space="preserve"> Despite self-representations, then, the benevolence of many colonial states is seriously contestable. Careful interrogation of self-interested settler claims to morality and justifications of violence (both physical and representational) renders progressivist (and presentist) arguments about the inherent civility of the (now) liberal democratic “post”colonial state less than compelling, despite their continued articulation.</w:t>
      </w:r>
      <w:bookmarkStart w:id="36" w:name="f32-text"/>
      <w:r w:rsidRPr="00087A72">
        <w:fldChar w:fldCharType="begin"/>
      </w:r>
      <w:r w:rsidRPr="00087A72">
        <w:instrText xml:space="preserve"> HYPERLINK "https://muse.jhu.edu/article/613279" \l "f32" </w:instrText>
      </w:r>
      <w:r w:rsidRPr="00087A72">
        <w:fldChar w:fldCharType="separate"/>
      </w:r>
      <w:r w:rsidRPr="00087A72">
        <w:t>32</w:t>
      </w:r>
      <w:r w:rsidRPr="00087A72">
        <w:fldChar w:fldCharType="end"/>
      </w:r>
      <w:bookmarkEnd w:id="36"/>
      <w:r w:rsidRPr="00087A72">
        <w:t xml:space="preserve"> So too it is important to recognise the ambivalence of benevolence and sympathy in colonial contexts. As Asad argues, </w:t>
      </w:r>
      <w:r w:rsidRPr="00087A72">
        <w:rPr>
          <w:rStyle w:val="Emphasis"/>
        </w:rPr>
        <w:t>humanitarianism could use “violence to subdue violence” and benevolent ideas often played out in deeply paradoxical ways.</w:t>
      </w:r>
      <w:r w:rsidRPr="00087A72">
        <w:t xml:space="preserve"> In his view, we need to consider the complexities and internal contradictions of enlightenment thought in which “compassion and benevolence are intertwined with violence and cruelty, an </w:t>
      </w:r>
      <w:r w:rsidRPr="00087A72">
        <w:rPr>
          <w:rStyle w:val="StyleUnderline"/>
        </w:rPr>
        <w:t>intertwining that is not merely a co-existence of the two but a mutual dependence of each on the other.”</w:t>
      </w:r>
      <w:bookmarkStart w:id="37" w:name="f33-text"/>
      <w:r w:rsidRPr="00087A72">
        <w:rPr>
          <w:rStyle w:val="StyleUnderline"/>
        </w:rPr>
        <w:fldChar w:fldCharType="begin"/>
      </w:r>
      <w:r w:rsidRPr="00087A72">
        <w:rPr>
          <w:rStyle w:val="StyleUnderline"/>
        </w:rPr>
        <w:instrText xml:space="preserve"> HYPERLINK "https://muse.jhu.edu/article/613279" \l "f33" </w:instrText>
      </w:r>
      <w:r w:rsidRPr="00087A72">
        <w:rPr>
          <w:rStyle w:val="StyleUnderline"/>
        </w:rPr>
        <w:fldChar w:fldCharType="separate"/>
      </w:r>
      <w:r w:rsidRPr="00087A72">
        <w:rPr>
          <w:rStyle w:val="StyleUnderline"/>
        </w:rPr>
        <w:t>33</w:t>
      </w:r>
      <w:r w:rsidRPr="00087A72">
        <w:rPr>
          <w:rStyle w:val="StyleUnderline"/>
        </w:rPr>
        <w:fldChar w:fldCharType="end"/>
      </w:r>
      <w:bookmarkEnd w:id="37"/>
      <w:r w:rsidRPr="00087A72">
        <w:rPr>
          <w:rStyle w:val="StyleUnderline"/>
        </w:rPr>
        <w:t xml:space="preserve"> In the colonies outright physical violence and humanitarian modes of action could constitute complementary modes of colonial governance.</w:t>
      </w:r>
      <w:r w:rsidRPr="00087A72">
        <w:t xml:space="preserve"> Comparisons across differing colonial contexts are revealing. While the settler colonies powerfully galvanised humanitarians, India did not inspire the same fervour in metropolitan activists, Jordanna Bailkin argues.</w:t>
      </w:r>
      <w:bookmarkStart w:id="38" w:name="f34-text"/>
      <w:r w:rsidRPr="00087A72">
        <w:fldChar w:fldCharType="begin"/>
      </w:r>
      <w:r w:rsidRPr="00087A72">
        <w:instrText xml:space="preserve"> HYPERLINK "https://muse.jhu.edu/article/613279" \l "f34" </w:instrText>
      </w:r>
      <w:r w:rsidRPr="00087A72">
        <w:fldChar w:fldCharType="separate"/>
      </w:r>
      <w:r w:rsidRPr="00087A72">
        <w:t>34</w:t>
      </w:r>
      <w:r w:rsidRPr="00087A72">
        <w:fldChar w:fldCharType="end"/>
      </w:r>
      <w:bookmarkEnd w:id="38"/>
      <w:r w:rsidRPr="00087A72">
        <w:t>Despite early and vigorous missionary efforts—across denominations, and against the strenuous resistance of the East India Company—external humanitarian interest in India was limited, even if discrete issues such as satiattracted widespread metropolitan outrage.</w:t>
      </w:r>
      <w:bookmarkStart w:id="39" w:name="f35-text"/>
      <w:r w:rsidRPr="00087A72">
        <w:fldChar w:fldCharType="begin"/>
      </w:r>
      <w:r w:rsidRPr="00087A72">
        <w:instrText xml:space="preserve"> HYPERLINK "https://muse.jhu.edu/article/613279" \l "f35" </w:instrText>
      </w:r>
      <w:r w:rsidRPr="00087A72">
        <w:fldChar w:fldCharType="separate"/>
      </w:r>
      <w:r w:rsidRPr="00087A72">
        <w:t>35</w:t>
      </w:r>
      <w:r w:rsidRPr="00087A72">
        <w:fldChar w:fldCharType="end"/>
      </w:r>
      <w:bookmarkEnd w:id="39"/>
      <w:r w:rsidRPr="00087A72">
        <w:t xml:space="preserve"> Thus the South Asian colonial executive assumed much of the </w:t>
      </w:r>
      <w:r w:rsidRPr="00087A72">
        <w:rPr>
          <w:rStyle w:val="StyleUnderline"/>
        </w:rPr>
        <w:t>responsibility for humanitarian effort, producing a contradictory and limited sphere of action but also avoiding much of the rancour that characterised other colonial contact zones.</w:t>
      </w:r>
      <w:r w:rsidRPr="00087A72">
        <w:t xml:space="preserve"> This circumstance did not mean that violent interactions between Indians and Britons went unremarked. Indeed, in her study of how and when Europeans could be held culpable for murder, Bailkin demonstrates that governors developed detailed strategies to manage White violence, while the colonial judiciary </w:t>
      </w:r>
      <w:r w:rsidRPr="00087A72">
        <w:rPr>
          <w:rStyle w:val="StyleUnderline"/>
        </w:rPr>
        <w:t>effectively downgraded such violence into lesser categories than murder. Indian and British sources depict White violence quite differently—the former as an endemic feature of colonial rule, the latter as actions of rogue individuals</w:t>
      </w:r>
      <w:r w:rsidRPr="00087A72">
        <w:t>, often off-duty soldiers—but intriguingly the official archive on interracial violence expanded in scope even as (White) culpability for that violence was diminished through defensive court procedures that rationalized the vulnerability of Indian bodies.</w:t>
      </w:r>
      <w:bookmarkStart w:id="40" w:name="f36-text"/>
      <w:r w:rsidRPr="00087A72">
        <w:fldChar w:fldCharType="begin"/>
      </w:r>
      <w:r w:rsidRPr="00087A72">
        <w:instrText xml:space="preserve"> HYPERLINK "https://muse.jhu.edu/article/613279" \l "f36" </w:instrText>
      </w:r>
      <w:r w:rsidRPr="00087A72">
        <w:fldChar w:fldCharType="separate"/>
      </w:r>
      <w:r w:rsidRPr="00087A72">
        <w:t>36</w:t>
      </w:r>
      <w:r w:rsidRPr="00087A72">
        <w:fldChar w:fldCharType="end"/>
      </w:r>
      <w:bookmarkEnd w:id="40"/>
      <w:r w:rsidRPr="00087A72">
        <w:t xml:space="preserve"> </w:t>
      </w:r>
      <w:r w:rsidRPr="00087A72">
        <w:rPr>
          <w:rStyle w:val="StyleUnderline"/>
        </w:rPr>
        <w:t>Interracial violence deeply troubled the humanitarian precepts of manly behaviour that fuelled the modern scientific theories of British leaders such as Lord Curzon, yet Bailkin notes that such leaders were pilloried by the vernacular press for bigotry: for Curzon, she concludes, the prosecution of White criminality was a way of “preserving the doctrine of racial superiority via humanitarianism.</w:t>
      </w:r>
      <w:r w:rsidRPr="00087A72">
        <w:t>”</w:t>
      </w:r>
      <w:bookmarkStart w:id="41" w:name="f37-text"/>
      <w:r w:rsidRPr="00087A72">
        <w:fldChar w:fldCharType="begin"/>
      </w:r>
      <w:r w:rsidRPr="00087A72">
        <w:instrText xml:space="preserve"> HYPERLINK "https://muse.jhu.edu/article/613279" \l "f37" </w:instrText>
      </w:r>
      <w:r w:rsidRPr="00087A72">
        <w:fldChar w:fldCharType="separate"/>
      </w:r>
      <w:r w:rsidRPr="00087A72">
        <w:t>37</w:t>
      </w:r>
      <w:r w:rsidRPr="00087A72">
        <w:fldChar w:fldCharType="end"/>
      </w:r>
      <w:bookmarkEnd w:id="41"/>
      <w:r w:rsidRPr="00087A72">
        <w:t xml:space="preserve"> </w:t>
      </w:r>
    </w:p>
    <w:p w:rsidR="007F2DDD" w:rsidRPr="00087A72" w:rsidRDefault="007F2DDD" w:rsidP="00496C79">
      <w:pPr>
        <w:pStyle w:val="Heading3"/>
      </w:pPr>
      <w:r w:rsidRPr="00087A72">
        <w:t>Link – Il/legal Migration</w:t>
      </w:r>
    </w:p>
    <w:p w:rsidR="007F2DDD" w:rsidRPr="00087A72" w:rsidRDefault="007F2DDD" w:rsidP="007F2DDD">
      <w:pPr>
        <w:pStyle w:val="Heading4"/>
      </w:pPr>
      <w:r w:rsidRPr="00087A72">
        <w:t xml:space="preserve">The settler colonial designation of the body of the Native is the condition of possibility for the rubrics of legal and illegal to be applied. Demonstrated in the violence of Indian residential schools, the Native body does not simply perform an illegal act—such as the migrant who will transgress the sovereign’s boundaries—but rather the Native body is </w:t>
      </w:r>
      <w:r w:rsidRPr="00087A72">
        <w:rPr>
          <w:i/>
        </w:rPr>
        <w:t>illegal</w:t>
      </w:r>
      <w:r w:rsidRPr="00087A72">
        <w:t xml:space="preserve"> as such, demarcating not the limit of the law such as in homo sacer, but rather is the ante-ontological position which grants coherency to legality and illegality altogether.</w:t>
      </w:r>
    </w:p>
    <w:p w:rsidR="007F2DDD" w:rsidRPr="00087A72" w:rsidRDefault="007F2DDD" w:rsidP="007F2DDD">
      <w:r w:rsidRPr="00087A72">
        <w:rPr>
          <w:rStyle w:val="Style13ptBold"/>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64-69) NIJ</w:t>
      </w:r>
    </w:p>
    <w:p w:rsidR="007F2DDD" w:rsidRPr="00087A72" w:rsidRDefault="007F2DDD" w:rsidP="007F2DDD">
      <w:pPr>
        <w:rPr>
          <w:b/>
          <w:iCs/>
          <w:sz w:val="26"/>
          <w:u w:val="single"/>
        </w:rPr>
      </w:pPr>
      <w:r w:rsidRPr="00087A72">
        <w:rPr>
          <w:rStyle w:val="StyleUnderline"/>
        </w:rPr>
        <w:t>Despite these intense/coercive, punitive measures of control/deterrence</w:t>
      </w:r>
      <w:r w:rsidRPr="00087A72">
        <w:rPr>
          <w:sz w:val="12"/>
        </w:rPr>
        <w:t xml:space="preserve">, as the school system continued to offer abuse, danger, neglect, and hunger instead of safety, education, support, and adequate care, </w:t>
      </w:r>
      <w:r w:rsidRPr="00087A72">
        <w:rPr>
          <w:rStyle w:val="StyleUnderline"/>
        </w:rPr>
        <w:t xml:space="preserve">students continued to run away. A form of repetition in reverse, these runaways returned to the land </w:t>
      </w:r>
      <w:r w:rsidRPr="00087A72">
        <w:rPr>
          <w:sz w:val="12"/>
        </w:rPr>
        <w:t xml:space="preserve">(land which their people had formerly held) </w:t>
      </w:r>
      <w:r w:rsidRPr="00087A72">
        <w:rPr>
          <w:rStyle w:val="StyleUnderline"/>
        </w:rPr>
        <w:t>as fugitives. Disoriented, enervated by fatigue and malnutrition, and underequipped for self-propelled travel, many were unable to find the bodily writings, the footsteps in the snow, that might lead them home. This metaphor</w:t>
      </w:r>
      <w:r w:rsidRPr="00087A72">
        <w:rPr>
          <w:sz w:val="12"/>
        </w:rPr>
        <w:t xml:space="preserve"> is not a flight of poetic fancy, but rather </w:t>
      </w:r>
      <w:r w:rsidRPr="00087A72">
        <w:rPr>
          <w:rStyle w:val="StyleUnderline"/>
        </w:rPr>
        <w:t>describes a spatial politics of unhoming, a figure which indexes the extent to which the political authority concentrated in the schools radiated outwards, re-scripting both the landscape and the bodies that traveled through it. This politicization of space and of the body goes hand-in-hand with</w:t>
      </w:r>
      <w:r w:rsidRPr="00087A72">
        <w:rPr>
          <w:sz w:val="12"/>
        </w:rPr>
        <w:t xml:space="preserve">, indeed, extends from, </w:t>
      </w:r>
      <w:r w:rsidRPr="00087A72">
        <w:rPr>
          <w:rStyle w:val="StyleUnderline"/>
        </w:rPr>
        <w:t>the/a politicization of natural life which is/was axiomatic of colonial rule</w:t>
      </w:r>
      <w:r w:rsidRPr="00087A72">
        <w:rPr>
          <w:sz w:val="12"/>
        </w:rPr>
        <w:t xml:space="preserve"> in Canada. The politicization of natural life is a biopolitical first principle. The zone of the Indian residential school, isolated and remote, concatenated conditions of precariousness whose technologies—of starvation, of sickness, of neglect, of abuse etc.—exposed child residents, not simply to harm, but to death. Indeed, within the IRS, ongoing exposure to death was the norm. This fact, that exposure to technologies of death was normal, is not, I argue, indicative of a longitudinal kind of system failure. Nor was it the incidental outcome of hapless administration, both of which are narratives offered in the TRC final report of the IRS. Rather, my argument is that the IRS instantiated rare zones in which the politicization of natural life—the production of life as political—is rendered visible. Furthermore, </w:t>
      </w:r>
      <w:r w:rsidRPr="00087A72">
        <w:rPr>
          <w:rStyle w:val="StyleUnderline"/>
        </w:rPr>
        <w:t>as active sites in the production and reproduction of political life, the IRS capacitated/enforced/recapitulated the manufacture of a form of life virtually indistinguishable from the laws governing it. A paradigmatic biopolitical operation, the manufacture of politicized life/life as political secures the ongoing renewal of social relations that conjoin the personhood of some to the disposability of others. This disposability is a disappearing act that does not entail an absolute vanishing, but instead makes visible the placing under erasure of certain bodies under the law, making this erasure/disposability the predicate for the well-being and safety of other bodies. The law emerges here as the governing mechanism that guarantees the ongoing regeneration of the social relations of disposability and survival on one hand, and, on the other, the subordination of both sets of bodies—the ‘good’ bodies that constitute the body politic, and the ‘bad’ or ‘lacking’ bodies placed under erasure—to the law in the name of the greater good. In this way, at least part of what the Aboriginal child runaway-fugitive shows us is the indistinguishability of law and life</w:t>
      </w:r>
      <w:r w:rsidRPr="00087A72">
        <w:rPr>
          <w:sz w:val="12"/>
        </w:rPr>
        <w:t xml:space="preserve">, such that life becomes what Giorgio Agamben (1998) calls, “the threshold in which law constantly passes into fact and fact into law. The indiscernibility of life and law effectively contributes to a normative crisis, for here it is no longer the case that rule of law bears upon or applies to the living body, but, rather, the living body becomes the rule and criterion of its own application” (173). </w:t>
      </w:r>
      <w:r w:rsidRPr="00087A72">
        <w:rPr>
          <w:rStyle w:val="StyleUnderline"/>
        </w:rPr>
        <w:t>This undercuts recourse to the transcendence or independence of the law as its source of legitimacy. The law refers to bodies</w:t>
      </w:r>
      <w:r w:rsidRPr="00087A72">
        <w:rPr>
          <w:sz w:val="12"/>
        </w:rPr>
        <w:t xml:space="preserve">—as illegal, as legal as long as appropriate documentation is obtained, as legal only within strictly partitioned zones— </w:t>
      </w:r>
      <w:r w:rsidRPr="00087A72">
        <w:rPr>
          <w:rStyle w:val="StyleUnderline"/>
        </w:rPr>
        <w:t>while appearing to refer to transcendental ideals or truth. And bodies refer to the law</w:t>
      </w:r>
      <w:r w:rsidRPr="00087A72">
        <w:rPr>
          <w:sz w:val="12"/>
        </w:rPr>
        <w:t xml:space="preserve">, as any North-West Mounted police constable stumbling upon an Aboriginal child runaway between 1894 and 1996 might tell us. </w:t>
      </w:r>
      <w:r w:rsidRPr="00087A72">
        <w:rPr>
          <w:rStyle w:val="Emphasis"/>
        </w:rPr>
        <w:t>Such a body, beyond the zone of the residential school is not simply doing something illegal: this body is illegal.</w:t>
      </w:r>
    </w:p>
    <w:p w:rsidR="00BF6777" w:rsidRPr="00087A72" w:rsidRDefault="00BF6777" w:rsidP="00496C79">
      <w:pPr>
        <w:pStyle w:val="Heading3"/>
      </w:pPr>
      <w:r w:rsidRPr="00087A72">
        <w:t>Link – Immigrant Social Justice</w:t>
      </w:r>
    </w:p>
    <w:p w:rsidR="00BF6777" w:rsidRPr="00087A72" w:rsidRDefault="00BF6777" w:rsidP="00BF6777">
      <w:pPr>
        <w:pStyle w:val="Heading4"/>
        <w:rPr>
          <w:rFonts w:cstheme="majorHAnsi"/>
        </w:rPr>
      </w:pPr>
      <w:r w:rsidRPr="00087A72">
        <w:rPr>
          <w:rFonts w:cstheme="majorHAnsi"/>
        </w:rPr>
        <w:t xml:space="preserve">Affirmations of the US as a nation of immigrants constitutes a discursive mythology of </w:t>
      </w:r>
      <w:r w:rsidRPr="00087A72">
        <w:rPr>
          <w:rStyle w:val="Style13ptBold"/>
          <w:rFonts w:cstheme="majorHAnsi"/>
          <w:b/>
        </w:rPr>
        <w:t>immigration</w:t>
      </w:r>
      <w:r w:rsidRPr="00087A72">
        <w:rPr>
          <w:rFonts w:cstheme="majorHAnsi"/>
        </w:rPr>
        <w:t xml:space="preserve"> which renders the erasure of the indigenous savage inevitable – immigrant social justice cannot be fused with indigenous struggle</w:t>
      </w:r>
    </w:p>
    <w:p w:rsidR="00BF6777" w:rsidRPr="00087A72" w:rsidRDefault="00BF6777" w:rsidP="00BF6777">
      <w:pPr>
        <w:rPr>
          <w:rFonts w:cstheme="majorHAnsi"/>
        </w:rPr>
      </w:pPr>
      <w:r w:rsidRPr="00087A72">
        <w:rPr>
          <w:rStyle w:val="Style13ptBold"/>
          <w:rFonts w:cstheme="majorHAnsi"/>
        </w:rPr>
        <w:t>Dauvergne 16</w:t>
      </w:r>
      <w:r w:rsidRPr="00087A72">
        <w:rPr>
          <w:rFonts w:cstheme="majorHAnsi"/>
        </w:rPr>
        <w:t xml:space="preserve"> (Catherine, She is the eighth dean of the Peter A. Allard School of Law. Professor Dauvergne has been working in the area of refugee, immigration, and citizenship law over the past quarter of a century, “Immigration and the End of Settler Societies”,</w:t>
      </w:r>
      <w:r w:rsidRPr="00087A72">
        <w:rPr>
          <w:rFonts w:cstheme="majorHAnsi"/>
          <w:i/>
        </w:rPr>
        <w:t xml:space="preserve"> Cambridge University Press</w:t>
      </w:r>
      <w:r w:rsidRPr="00087A72">
        <w:rPr>
          <w:rFonts w:cstheme="majorHAnsi"/>
        </w:rPr>
        <w:t>, pp. 10-13)//vikas</w:t>
      </w:r>
    </w:p>
    <w:p w:rsidR="00BF6777" w:rsidRPr="00087A72" w:rsidRDefault="00BF6777" w:rsidP="00BF6777">
      <w:pPr>
        <w:rPr>
          <w:rFonts w:cstheme="majorHAnsi"/>
          <w:sz w:val="16"/>
        </w:rPr>
      </w:pPr>
      <w:r w:rsidRPr="00087A72">
        <w:rPr>
          <w:rFonts w:cstheme="majorHAnsi"/>
          <w:sz w:val="16"/>
        </w:rPr>
        <w:t xml:space="preserve">Throughout the entire first century of global migration regulation, from the early 1900s to the present, a distinction between settler societies and others has informed and predicted patterns of migration and migration regulation. This distinction served as a guide to strategies of recruitment and reception, to global alliances around migration questions, to approaches to asylum, and to citizenship. This era has now come to a close. The work of this book is to demonstrate how and why this is so, and to outline what new predictors or patterns of migration and migration regulation may now be valuable. </w:t>
      </w:r>
      <w:r w:rsidRPr="00087A72">
        <w:rPr>
          <w:rStyle w:val="Emphasis"/>
          <w:rFonts w:cstheme="majorHAnsi"/>
        </w:rPr>
        <w:t>Global migration regulation first developed in</w:t>
      </w:r>
      <w:r w:rsidRPr="00087A72">
        <w:rPr>
          <w:rFonts w:cstheme="majorHAnsi"/>
          <w:sz w:val="16"/>
        </w:rPr>
        <w:t xml:space="preserve"> the context of </w:t>
      </w:r>
      <w:r w:rsidRPr="00087A72">
        <w:rPr>
          <w:rStyle w:val="Emphasis"/>
          <w:rFonts w:cstheme="majorHAnsi"/>
        </w:rPr>
        <w:t>settler societies</w:t>
      </w:r>
      <w:r w:rsidRPr="00087A72">
        <w:rPr>
          <w:rFonts w:cstheme="majorHAnsi"/>
          <w:b/>
          <w:u w:val="single"/>
        </w:rPr>
        <w:t>, and their demise contains key markers</w:t>
      </w:r>
      <w:r w:rsidRPr="00087A72">
        <w:rPr>
          <w:rFonts w:cstheme="majorHAnsi"/>
          <w:sz w:val="16"/>
        </w:rPr>
        <w:t xml:space="preserve"> for the future. To understand why any of this matters, however, it is first crucial to understand how </w:t>
      </w:r>
      <w:r w:rsidRPr="00087A72">
        <w:rPr>
          <w:rFonts w:cstheme="majorHAnsi"/>
          <w:b/>
          <w:u w:val="single"/>
        </w:rPr>
        <w:t>the concept of a settler society ordered global migration for more than a century</w:t>
      </w:r>
      <w:r w:rsidRPr="00087A72">
        <w:rPr>
          <w:rFonts w:cstheme="majorHAnsi"/>
          <w:sz w:val="16"/>
        </w:rPr>
        <w:t xml:space="preserve">. This chapter begins with unraveling this ordering, and then examines the legal architecture of migration in the settler society and considers the insights of critiques of the settler society concept. </w:t>
      </w:r>
      <w:r w:rsidRPr="00087A72">
        <w:rPr>
          <w:rFonts w:cstheme="majorHAnsi"/>
          <w:b/>
          <w:u w:val="single"/>
        </w:rPr>
        <w:t>Settler society</w:t>
      </w:r>
      <w:r w:rsidRPr="00087A72">
        <w:rPr>
          <w:rFonts w:cstheme="majorHAnsi"/>
          <w:sz w:val="16"/>
        </w:rPr>
        <w:t xml:space="preserve"> is not a scientific category. It </w:t>
      </w:r>
      <w:r w:rsidRPr="00087A72">
        <w:rPr>
          <w:rFonts w:cstheme="majorHAnsi"/>
          <w:b/>
          <w:u w:val="single"/>
        </w:rPr>
        <w:t>is an idea with a core of meaning, and considerable slippage around the edges.</w:t>
      </w:r>
      <w:r w:rsidRPr="00087A72">
        <w:rPr>
          <w:rFonts w:cstheme="majorHAnsi"/>
          <w:sz w:val="16"/>
        </w:rPr>
        <w:t xml:space="preserve"> One is just as likely to see the term used by social commentators and politicians as by academics. This low-key omnipresence is part of its importance – it has slipped into everyday discourse. A rigorous definition is not helpful, as my purpose is not to stake out and police boundaries of a certain category. Indeed, some of the work of this book depends on a degree of wobbliness in the concept, on its ability to mean different things at different times or for different people. But it is important to set out the broad parameters of the idea. When a journalist, a politician, or a geographer talks about a settler society, we do know what they mean.1 </w:t>
      </w:r>
      <w:r w:rsidRPr="00087A72">
        <w:rPr>
          <w:rStyle w:val="Emphasis"/>
          <w:rFonts w:cstheme="majorHAnsi"/>
        </w:rPr>
        <w:t>A mythology of immigration is the core of the settler society.</w:t>
      </w:r>
      <w:r w:rsidRPr="00087A72">
        <w:rPr>
          <w:rFonts w:cstheme="majorHAnsi"/>
          <w:b/>
          <w:u w:val="single"/>
        </w:rPr>
        <w:t xml:space="preserve"> Settler societies were built from</w:t>
      </w:r>
      <w:r w:rsidRPr="00087A72">
        <w:rPr>
          <w:rFonts w:cstheme="majorHAnsi"/>
          <w:sz w:val="16"/>
        </w:rPr>
        <w:t xml:space="preserve"> the ground up by </w:t>
      </w:r>
      <w:r w:rsidRPr="00087A72">
        <w:rPr>
          <w:rFonts w:cstheme="majorHAnsi"/>
          <w:b/>
          <w:u w:val="single"/>
        </w:rPr>
        <w:t>people who left European nations and sought</w:t>
      </w:r>
      <w:r w:rsidRPr="00087A72">
        <w:rPr>
          <w:rFonts w:cstheme="majorHAnsi"/>
          <w:sz w:val="16"/>
        </w:rPr>
        <w:t xml:space="preserve"> permanent </w:t>
      </w:r>
      <w:r w:rsidRPr="00087A72">
        <w:rPr>
          <w:rFonts w:cstheme="majorHAnsi"/>
          <w:b/>
          <w:u w:val="single"/>
        </w:rPr>
        <w:t>homes in the New World.</w:t>
      </w:r>
      <w:r w:rsidRPr="00087A72">
        <w:rPr>
          <w:rFonts w:cstheme="majorHAnsi"/>
          <w:sz w:val="16"/>
        </w:rPr>
        <w:t xml:space="preserve"> In an era of colonial empires, settler societies were a distinct chapter in the dominant colonizing narrative. While these were, of course, colonies of European empires, their ostensible “emptiness” distinguished them from colonies in Africa, Asia, and the Indian subcontinent. </w:t>
      </w:r>
      <w:r w:rsidRPr="00087A72">
        <w:rPr>
          <w:rStyle w:val="Emphasis"/>
          <w:rFonts w:cstheme="majorHAnsi"/>
        </w:rPr>
        <w:t>Settler societies were not simply colonized; they were populated</w:t>
      </w:r>
      <w:r w:rsidRPr="00087A72">
        <w:rPr>
          <w:rFonts w:cstheme="majorHAnsi"/>
          <w:sz w:val="16"/>
        </w:rPr>
        <w:t xml:space="preserve"> by Europeans. So complete were these acts of population that the societies came to regard themselves as somehow European. For the settler society, immigration was a nation-building imperative. One of the imprecisions in understanding settler societies turns on whether to draw a distinction between those places where European settlement came to completely dominate and define, and those places where resistance to settlement was more robust, and thus by the early twenty-first century they are no longer completely defined by their settlers. For this reason, Australia, Canada, the United States, and New Zealand are the paradigmatic settler societies. South Africa, Zimbabwe, Mexico, Peru, Israel, Algeria, and others fit more awkwardly into the box. One way to capture this distinction is to consider how the settler society emerges from colonial status. The processes bringing independence to settler societies do not belong to the late-twentieth-century story of decolonization. In the case of the United States, independence was staked out well before the first era of massive global migration. For the other three exemplars, independence was an incremental and amiable process. The ongoing struggles of decolonization are not part of the narrative in either case, and most of the rubric of the post-colonial is inapt. The centrality of immigration mythology has several vital consequences. First among these is that </w:t>
      </w:r>
      <w:r w:rsidRPr="00087A72">
        <w:rPr>
          <w:rFonts w:cstheme="majorHAnsi"/>
          <w:b/>
          <w:u w:val="single"/>
        </w:rPr>
        <w:t>the paradigmatic settler societies</w:t>
      </w:r>
      <w:r w:rsidRPr="00087A72">
        <w:rPr>
          <w:rFonts w:cstheme="majorHAnsi"/>
          <w:sz w:val="16"/>
        </w:rPr>
        <w:t xml:space="preserve">, Canada, Australia, New Zealand, and the United States, </w:t>
      </w:r>
      <w:r w:rsidRPr="00087A72">
        <w:rPr>
          <w:rFonts w:cstheme="majorHAnsi"/>
          <w:b/>
          <w:u w:val="single"/>
        </w:rPr>
        <w:t xml:space="preserve">understand themselves as being nations built through migration. </w:t>
      </w:r>
      <w:r w:rsidRPr="00087A72">
        <w:rPr>
          <w:rFonts w:cstheme="majorHAnsi"/>
          <w:sz w:val="16"/>
        </w:rPr>
        <w:t xml:space="preserve">While this story plays out differently in each of these places, the </w:t>
      </w:r>
      <w:r w:rsidRPr="00087A72">
        <w:rPr>
          <w:rFonts w:cstheme="majorHAnsi"/>
          <w:b/>
          <w:u w:val="single"/>
        </w:rPr>
        <w:t>variations do not disrupt a strong migration core to the story of national identity.</w:t>
      </w:r>
      <w:r w:rsidRPr="00087A72">
        <w:rPr>
          <w:rFonts w:cstheme="majorHAnsi"/>
          <w:sz w:val="16"/>
        </w:rPr>
        <w:t xml:space="preserve"> In the United States the War of Independence and the Civil War are foundational moments but the founders themselves are from else- where. Canada cogitates on the French fact in Quebec, and Australia in its maturity embraces the convict stain. Possibly the greatest variation of the narrative is heard in New Zealand, where the indigenous Maori have been more persistent than original inhabitants in the other three, and thus the mythology of immigration as foundational has been more persistently disrupted. Perhaps this is why, of these four countries, only New Zealand does not have a major national immigration museum.2 There is a certain irony here, of course, as the contemporary prominence of the Maori as compared to indigenous populations elsewhere is partially related to New Zealand’s measured approach to immigration in the early settler colonial period. Aiming to build a “better Britain,” New Zealand focused on migrant purity and thus reduced migrant numbers, and this is a contributing factor to somewhat less complete dominance over the indigenous population.3 Within this group, Canada, Australia, and New Zealand are often selected as the comparator group, and the United States is considered to be the outlier.4 This grouping places the emphasis on colonial history. From my perspective, however, the United States fits squarely in the frame, as my focus is on the place of immigration in national institutions and the contemporary shape of immigration policies and politics. Excluding the United States from this picture amounts to excluding the most powerful example of all. The inter- twining of migration and national identity is part of the settler ethos, and reaches all aspects of the national imagination. </w:t>
      </w:r>
      <w:r w:rsidRPr="00087A72">
        <w:rPr>
          <w:rFonts w:cstheme="majorHAnsi"/>
          <w:b/>
          <w:u w:val="single"/>
        </w:rPr>
        <w:t>This is a key aspect of national identity in the United States</w:t>
      </w:r>
      <w:r w:rsidRPr="00087A72">
        <w:rPr>
          <w:rFonts w:cstheme="majorHAnsi"/>
          <w:sz w:val="16"/>
        </w:rPr>
        <w:t xml:space="preserve">, possibly more strongly embraced than anywhere else on Earth. In each state, </w:t>
      </w:r>
      <w:r w:rsidRPr="00087A72">
        <w:rPr>
          <w:rFonts w:cstheme="majorHAnsi"/>
          <w:b/>
          <w:u w:val="single"/>
        </w:rPr>
        <w:t>this intertwining continues to shape migration policy and politics</w:t>
      </w:r>
      <w:r w:rsidRPr="00087A72">
        <w:rPr>
          <w:rFonts w:cstheme="majorHAnsi"/>
          <w:sz w:val="16"/>
        </w:rPr>
        <w:t xml:space="preserve">. The United States examples of the </w:t>
      </w:r>
      <w:r w:rsidRPr="00087A72">
        <w:rPr>
          <w:rStyle w:val="Emphasis"/>
          <w:rFonts w:cstheme="majorHAnsi"/>
        </w:rPr>
        <w:t>green card lottery and contemporary DREAM Act activism</w:t>
      </w:r>
      <w:r w:rsidRPr="00087A72">
        <w:rPr>
          <w:rFonts w:cstheme="majorHAnsi"/>
          <w:b/>
          <w:u w:val="single"/>
        </w:rPr>
        <w:t xml:space="preserve"> are</w:t>
      </w:r>
      <w:r w:rsidRPr="00087A72">
        <w:rPr>
          <w:rFonts w:cstheme="majorHAnsi"/>
          <w:sz w:val="16"/>
        </w:rPr>
        <w:t xml:space="preserve"> among the most poignant </w:t>
      </w:r>
      <w:r w:rsidRPr="00087A72">
        <w:rPr>
          <w:rFonts w:cstheme="majorHAnsi"/>
          <w:b/>
          <w:u w:val="single"/>
        </w:rPr>
        <w:t>examples.</w:t>
      </w:r>
      <w:r w:rsidRPr="00087A72">
        <w:rPr>
          <w:rFonts w:cstheme="majorHAnsi"/>
          <w:sz w:val="16"/>
        </w:rPr>
        <w:t xml:space="preserve"> Another distinguishing feature of the settler society is that </w:t>
      </w:r>
      <w:r w:rsidRPr="00087A72">
        <w:rPr>
          <w:rFonts w:cstheme="majorHAnsi"/>
          <w:b/>
          <w:u w:val="single"/>
        </w:rPr>
        <w:t xml:space="preserve">the </w:t>
      </w:r>
      <w:r w:rsidRPr="00087A72">
        <w:rPr>
          <w:rStyle w:val="Emphasis"/>
          <w:rFonts w:cstheme="majorHAnsi"/>
        </w:rPr>
        <w:t>mythology of migration has been</w:t>
      </w:r>
      <w:r w:rsidRPr="00087A72">
        <w:rPr>
          <w:rFonts w:cstheme="majorHAnsi"/>
          <w:sz w:val="16"/>
        </w:rPr>
        <w:t xml:space="preserve">, throughout most of these nations’ histories, </w:t>
      </w:r>
      <w:r w:rsidRPr="00087A72">
        <w:rPr>
          <w:rStyle w:val="Emphasis"/>
          <w:rFonts w:cstheme="majorHAnsi"/>
        </w:rPr>
        <w:t xml:space="preserve">translated into a contemporary commitment to ongoing migration. </w:t>
      </w:r>
      <w:r w:rsidRPr="00087A72">
        <w:rPr>
          <w:rFonts w:cstheme="majorHAnsi"/>
          <w:b/>
          <w:u w:val="single"/>
        </w:rPr>
        <w:t>These</w:t>
      </w:r>
      <w:r w:rsidRPr="00087A72">
        <w:rPr>
          <w:rFonts w:cstheme="majorHAnsi"/>
          <w:sz w:val="16"/>
        </w:rPr>
        <w:t xml:space="preserve"> countries </w:t>
      </w:r>
      <w:r w:rsidRPr="00087A72">
        <w:rPr>
          <w:rFonts w:cstheme="majorHAnsi"/>
          <w:b/>
          <w:u w:val="single"/>
        </w:rPr>
        <w:t>were</w:t>
      </w:r>
      <w:r w:rsidRPr="00087A72">
        <w:rPr>
          <w:rFonts w:cstheme="majorHAnsi"/>
          <w:sz w:val="16"/>
        </w:rPr>
        <w:t xml:space="preserve"> the </w:t>
      </w:r>
      <w:r w:rsidRPr="00087A72">
        <w:rPr>
          <w:rFonts w:cstheme="majorHAnsi"/>
          <w:b/>
          <w:u w:val="single"/>
        </w:rPr>
        <w:t xml:space="preserve">predominant recipients of much of the great wave of global migration </w:t>
      </w:r>
      <w:r w:rsidRPr="00087A72">
        <w:rPr>
          <w:rFonts w:cstheme="majorHAnsi"/>
          <w:sz w:val="16"/>
        </w:rPr>
        <w:t xml:space="preserve">that took place </w:t>
      </w:r>
      <w:r w:rsidRPr="00087A72">
        <w:rPr>
          <w:rFonts w:cstheme="majorHAnsi"/>
          <w:b/>
          <w:u w:val="single"/>
        </w:rPr>
        <w:t>between the late 1880s and early 1920s.</w:t>
      </w:r>
      <w:r w:rsidRPr="00087A72">
        <w:rPr>
          <w:rFonts w:cstheme="majorHAnsi"/>
          <w:sz w:val="16"/>
        </w:rPr>
        <w:t xml:space="preserve"> David Held and his co-authors published an analysis comparing the intensity and effects of various phases of global migration and concluded that what they termed the “trans- atlantic surge of 1880 to 1920” was the most intense phase of global migration up to their 1999 publication date. Whether current conditions would exceed that surge on Held’s measurement is unclear.5 While widespread immigration restriction began in earnest in the early decades of the twentieth century, </w:t>
      </w:r>
      <w:r w:rsidRPr="00087A72">
        <w:rPr>
          <w:rFonts w:cstheme="majorHAnsi"/>
          <w:b/>
          <w:u w:val="single"/>
        </w:rPr>
        <w:t xml:space="preserve">these </w:t>
      </w:r>
      <w:r w:rsidRPr="00087A72">
        <w:rPr>
          <w:rStyle w:val="Emphasis"/>
          <w:rFonts w:cstheme="majorHAnsi"/>
        </w:rPr>
        <w:t>states continued to welcome many categories of migrants</w:t>
      </w:r>
      <w:r w:rsidRPr="00087A72">
        <w:rPr>
          <w:rFonts w:cstheme="majorHAnsi"/>
          <w:sz w:val="16"/>
        </w:rPr>
        <w:t xml:space="preserve">. Rather than closing their doors completely, </w:t>
      </w:r>
      <w:r w:rsidRPr="00087A72">
        <w:rPr>
          <w:rFonts w:cstheme="majorHAnsi"/>
          <w:b/>
          <w:u w:val="single"/>
        </w:rPr>
        <w:t xml:space="preserve">they sought </w:t>
      </w:r>
      <w:r w:rsidRPr="00087A72">
        <w:rPr>
          <w:rStyle w:val="Emphasis"/>
          <w:rFonts w:cstheme="majorHAnsi"/>
        </w:rPr>
        <w:t>to organize and control who would enter</w:t>
      </w:r>
      <w:r w:rsidRPr="00087A72">
        <w:rPr>
          <w:rFonts w:cstheme="majorHAnsi"/>
          <w:sz w:val="16"/>
        </w:rPr>
        <w:t xml:space="preserve">. And throughout the twentieth century, at varying points, each sought out particular groups of migrants as a remedy for some social or economic ill. Indeed, even into the second decade of the twenty-first century, Canada, Australia, and New Zealand are actively recruiting migrants in specified categories, and </w:t>
      </w:r>
      <w:r w:rsidRPr="00087A72">
        <w:rPr>
          <w:rFonts w:cstheme="majorHAnsi"/>
          <w:b/>
          <w:u w:val="single"/>
        </w:rPr>
        <w:t>the United States continues to be home to more permanent and temporary migrants than any other nation on earth.</w:t>
      </w:r>
      <w:r w:rsidRPr="00087A72">
        <w:rPr>
          <w:rFonts w:cstheme="majorHAnsi"/>
          <w:sz w:val="16"/>
        </w:rPr>
        <w:t xml:space="preserve">6 The </w:t>
      </w:r>
      <w:r w:rsidRPr="00087A72">
        <w:rPr>
          <w:rFonts w:cstheme="majorHAnsi"/>
          <w:b/>
          <w:u w:val="single"/>
        </w:rPr>
        <w:t>commitment to migration in these states has been deep and ongoing.</w:t>
      </w:r>
      <w:r w:rsidRPr="00087A72">
        <w:rPr>
          <w:rFonts w:cstheme="majorHAnsi"/>
          <w:sz w:val="16"/>
        </w:rPr>
        <w:t xml:space="preserve"> The shared </w:t>
      </w:r>
      <w:r w:rsidRPr="00087A72">
        <w:rPr>
          <w:rStyle w:val="Emphasis"/>
          <w:rFonts w:cstheme="majorHAnsi"/>
        </w:rPr>
        <w:t>mythology of immigration</w:t>
      </w:r>
      <w:r w:rsidRPr="00087A72">
        <w:rPr>
          <w:rFonts w:cstheme="majorHAnsi"/>
          <w:sz w:val="16"/>
        </w:rPr>
        <w:t xml:space="preserve"> also </w:t>
      </w:r>
      <w:r w:rsidRPr="00087A72">
        <w:rPr>
          <w:rStyle w:val="Emphasis"/>
          <w:rFonts w:cstheme="majorHAnsi"/>
        </w:rPr>
        <w:t>serves to mask the savage destruction of indigenous peoples</w:t>
      </w:r>
      <w:r w:rsidRPr="00087A72">
        <w:rPr>
          <w:rFonts w:cstheme="majorHAnsi"/>
          <w:b/>
          <w:u w:val="single"/>
        </w:rPr>
        <w:t xml:space="preserve"> and ways of life that is</w:t>
      </w:r>
      <w:r w:rsidRPr="00087A72">
        <w:rPr>
          <w:rFonts w:cstheme="majorHAnsi"/>
          <w:sz w:val="16"/>
        </w:rPr>
        <w:t xml:space="preserve"> also </w:t>
      </w:r>
      <w:r w:rsidRPr="00087A72">
        <w:rPr>
          <w:rFonts w:cstheme="majorHAnsi"/>
          <w:b/>
          <w:u w:val="single"/>
        </w:rPr>
        <w:t>shared across these nations. The</w:t>
      </w:r>
      <w:r w:rsidRPr="00087A72">
        <w:rPr>
          <w:rFonts w:cstheme="majorHAnsi"/>
          <w:sz w:val="16"/>
        </w:rPr>
        <w:t xml:space="preserve"> very </w:t>
      </w:r>
      <w:r w:rsidRPr="00087A72">
        <w:rPr>
          <w:rFonts w:cstheme="majorHAnsi"/>
          <w:b/>
          <w:u w:val="single"/>
        </w:rPr>
        <w:t>idea of “settlers” suggests that there was a wild land in need of taming</w:t>
      </w:r>
      <w:r w:rsidRPr="00087A72">
        <w:rPr>
          <w:rFonts w:cstheme="majorHAnsi"/>
          <w:sz w:val="16"/>
        </w:rPr>
        <w:t xml:space="preserve">, of settlement. And thus in each of these places </w:t>
      </w:r>
      <w:r w:rsidRPr="00087A72">
        <w:rPr>
          <w:rFonts w:cstheme="majorHAnsi"/>
          <w:b/>
          <w:u w:val="single"/>
        </w:rPr>
        <w:t xml:space="preserve">the </w:t>
      </w:r>
      <w:r w:rsidRPr="00087A72">
        <w:rPr>
          <w:rStyle w:val="Emphasis"/>
          <w:rFonts w:cstheme="majorHAnsi"/>
        </w:rPr>
        <w:t xml:space="preserve">founding mythology has included the intrepid frontiersman battling </w:t>
      </w:r>
      <w:r w:rsidRPr="00087A72">
        <w:rPr>
          <w:rFonts w:cstheme="majorHAnsi"/>
          <w:b/>
          <w:u w:val="single"/>
        </w:rPr>
        <w:t xml:space="preserve">the </w:t>
      </w:r>
      <w:r w:rsidRPr="00087A72">
        <w:rPr>
          <w:rStyle w:val="Emphasis"/>
          <w:rFonts w:cstheme="majorHAnsi"/>
        </w:rPr>
        <w:t>savagery</w:t>
      </w:r>
      <w:r w:rsidRPr="00087A72">
        <w:rPr>
          <w:rFonts w:cstheme="majorHAnsi"/>
          <w:b/>
          <w:u w:val="single"/>
        </w:rPr>
        <w:t xml:space="preserve"> of land and people to transform the place</w:t>
      </w:r>
      <w:r w:rsidRPr="00087A72">
        <w:rPr>
          <w:rFonts w:cstheme="majorHAnsi"/>
          <w:sz w:val="16"/>
        </w:rPr>
        <w:t xml:space="preserve"> into a terrain of fences and measures. And law. The idea of Canada, Australia, or </w:t>
      </w:r>
      <w:r w:rsidRPr="00087A72">
        <w:rPr>
          <w:rStyle w:val="Emphasis"/>
          <w:rFonts w:cstheme="majorHAnsi"/>
        </w:rPr>
        <w:t>the United States being a nation of migration is</w:t>
      </w:r>
      <w:r w:rsidRPr="00087A72">
        <w:rPr>
          <w:rFonts w:cstheme="majorHAnsi"/>
          <w:sz w:val="16"/>
        </w:rPr>
        <w:t xml:space="preserve"> such </w:t>
      </w:r>
      <w:r w:rsidRPr="00087A72">
        <w:rPr>
          <w:rStyle w:val="Emphasis"/>
          <w:rFonts w:cstheme="majorHAnsi"/>
        </w:rPr>
        <w:t>a profound</w:t>
      </w:r>
      <w:r w:rsidRPr="00087A72">
        <w:rPr>
          <w:rFonts w:cstheme="majorHAnsi"/>
          <w:sz w:val="16"/>
        </w:rPr>
        <w:t xml:space="preserve"> and effective </w:t>
      </w:r>
      <w:r w:rsidRPr="00087A72">
        <w:rPr>
          <w:rStyle w:val="Emphasis"/>
          <w:rFonts w:cstheme="majorHAnsi"/>
        </w:rPr>
        <w:t>silencer of the trajectory of indigenous life</w:t>
      </w:r>
      <w:r w:rsidRPr="00087A72">
        <w:rPr>
          <w:rFonts w:cstheme="majorHAnsi"/>
          <w:b/>
          <w:u w:val="single"/>
        </w:rPr>
        <w:t xml:space="preserve"> that it is deeply challenging to bring indigenous peoples into a story</w:t>
      </w:r>
      <w:r w:rsidRPr="00087A72">
        <w:rPr>
          <w:rFonts w:cstheme="majorHAnsi"/>
          <w:sz w:val="16"/>
        </w:rPr>
        <w:t xml:space="preserve"> of the immigrant nation. </w:t>
      </w:r>
      <w:r w:rsidRPr="00087A72">
        <w:rPr>
          <w:rFonts w:cstheme="majorHAnsi"/>
          <w:b/>
          <w:u w:val="single"/>
        </w:rPr>
        <w:t>While contemporary social justice politics</w:t>
      </w:r>
      <w:r w:rsidRPr="00087A72">
        <w:rPr>
          <w:rFonts w:cstheme="majorHAnsi"/>
          <w:sz w:val="16"/>
        </w:rPr>
        <w:t xml:space="preserve"> often </w:t>
      </w:r>
      <w:r w:rsidRPr="00087A72">
        <w:rPr>
          <w:rFonts w:cstheme="majorHAnsi"/>
          <w:b/>
          <w:u w:val="single"/>
        </w:rPr>
        <w:t>sees allegiances between</w:t>
      </w:r>
      <w:r w:rsidRPr="00087A72">
        <w:rPr>
          <w:rFonts w:cstheme="majorHAnsi"/>
          <w:sz w:val="16"/>
        </w:rPr>
        <w:t xml:space="preserve"> new </w:t>
      </w:r>
      <w:r w:rsidRPr="00087A72">
        <w:rPr>
          <w:rFonts w:cstheme="majorHAnsi"/>
          <w:b/>
          <w:u w:val="single"/>
        </w:rPr>
        <w:t>migrants and indigenous peoples</w:t>
      </w:r>
      <w:r w:rsidRPr="00087A72">
        <w:rPr>
          <w:rFonts w:cstheme="majorHAnsi"/>
          <w:sz w:val="16"/>
        </w:rPr>
        <w:t xml:space="preserve"> as those at the margins of these societies, the </w:t>
      </w:r>
      <w:r w:rsidRPr="00087A72">
        <w:rPr>
          <w:rFonts w:cstheme="majorHAnsi"/>
          <w:b/>
          <w:u w:val="single"/>
        </w:rPr>
        <w:t xml:space="preserve">claims of these groups are not articulated in the same terms, and </w:t>
      </w:r>
      <w:r w:rsidRPr="00087A72">
        <w:rPr>
          <w:rFonts w:cstheme="majorHAnsi"/>
          <w:sz w:val="16"/>
        </w:rPr>
        <w:t xml:space="preserve">the </w:t>
      </w:r>
      <w:r w:rsidRPr="00087A72">
        <w:rPr>
          <w:rFonts w:cstheme="majorHAnsi"/>
          <w:b/>
          <w:u w:val="single"/>
        </w:rPr>
        <w:t>allegiance rarely reaches the level of shared demands or joint manifestos</w:t>
      </w:r>
      <w:r w:rsidRPr="00087A72">
        <w:rPr>
          <w:rFonts w:cstheme="majorHAnsi"/>
          <w:sz w:val="16"/>
        </w:rPr>
        <w:t xml:space="preserve">. Indeed, it is the reality that these states are nations of immigrants that is the most damaging fact to be overcome in the struggle for indigenous justice and social inclusion. </w:t>
      </w:r>
      <w:r w:rsidRPr="00087A72">
        <w:rPr>
          <w:rFonts w:cstheme="majorHAnsi"/>
          <w:b/>
          <w:u w:val="single"/>
        </w:rPr>
        <w:t>Settler societies share this past and present trajectory.</w:t>
      </w:r>
      <w:r w:rsidRPr="00087A72">
        <w:rPr>
          <w:rFonts w:cstheme="majorHAnsi"/>
          <w:sz w:val="16"/>
        </w:rPr>
        <w:t xml:space="preserve"> The idea that there can be such a thing as </w:t>
      </w:r>
      <w:r w:rsidRPr="00087A72">
        <w:rPr>
          <w:rStyle w:val="Emphasis"/>
          <w:rFonts w:cstheme="majorHAnsi"/>
        </w:rPr>
        <w:t>a “nation of immigration” has become commonplace</w:t>
      </w:r>
      <w:r w:rsidRPr="00087A72">
        <w:rPr>
          <w:rFonts w:cstheme="majorHAnsi"/>
          <w:sz w:val="16"/>
        </w:rPr>
        <w:t>. It structures the way we think about immigration, the way we regulate it, and the way we study it. Understanding how this is so is, therefore, key to seeing why the end of settler societies matters. This chapter now takes up each of these ideas in turn, situating the settler society in immigration thought, regulation, and critique.</w:t>
      </w:r>
    </w:p>
    <w:p w:rsidR="00C72150" w:rsidRPr="00087A72" w:rsidRDefault="00C72150" w:rsidP="00496C79">
      <w:pPr>
        <w:pStyle w:val="Heading3"/>
      </w:pPr>
      <w:r w:rsidRPr="00087A72">
        <w:t>Link – Inclusion</w:t>
      </w:r>
    </w:p>
    <w:p w:rsidR="00C72150" w:rsidRPr="00087A72" w:rsidRDefault="00C72150" w:rsidP="00C72150">
      <w:pPr>
        <w:pStyle w:val="Heading4"/>
      </w:pPr>
      <w:r w:rsidRPr="00087A72">
        <w:t>Multiculturalism allows for the celebration of differences and erases historical contemporary white supremacist. The focus on diversity normalizes racial and settler colonial hierarchies.</w:t>
      </w:r>
    </w:p>
    <w:p w:rsidR="00C72150" w:rsidRPr="00087A72" w:rsidRDefault="00C72150" w:rsidP="00C72150">
      <w:r w:rsidRPr="00087A72">
        <w:rPr>
          <w:b/>
          <w:bCs/>
        </w:rPr>
        <w:t>Greensmith 18</w:t>
      </w:r>
      <w:r w:rsidRPr="00087A72">
        <w:t xml:space="preserve"> [Cameron, Professor in the Human Services department at Kennesaw State University, “Desiring Diversity: The Limits of White Settler Multiculturalism in Queer Organizations” </w:t>
      </w:r>
      <w:r w:rsidRPr="00087A72">
        <w:rPr>
          <w:i/>
          <w:iCs/>
        </w:rPr>
        <w:t>Studies in Ethnicity and Nationalism</w:t>
      </w:r>
      <w:r w:rsidRPr="00087A72">
        <w:t xml:space="preserve"> Issue 1, No. 18, PP 59-61]</w:t>
      </w:r>
    </w:p>
    <w:p w:rsidR="00C72150" w:rsidRPr="00087A72" w:rsidRDefault="00C72150" w:rsidP="00C72150">
      <w:pPr>
        <w:rPr>
          <w:sz w:val="12"/>
        </w:rPr>
      </w:pPr>
      <w:r w:rsidRPr="00087A72">
        <w:rPr>
          <w:u w:val="single"/>
        </w:rPr>
        <w:t>Official multiculturalism emerged in Canada in 1971, first as a policy under Prime Minister Pierre Elliot Trudeau, and second, in 1988, as law within the official Multicultural Act under Prime Minister Brian Mulroney, to address linguistic, cultural, and land-based disputes within the nation</w:t>
      </w:r>
      <w:r w:rsidRPr="00087A72">
        <w:rPr>
          <w:sz w:val="12"/>
        </w:rPr>
        <w:t xml:space="preserve"> (Day 2000; Mackey 2002; St. Denis 2011). Official multiculturalism was first implemented as an imagined and very real creation of a cultural mosaic — a strategic move away from the United States’ melting pot (Dion 2009; Mackey 2002; Simpson, James, and Mack, 2011). This move created a falsified image of Canada (and its people) that is deeply rooted in notions of innocence, whereby Canada has only taken part in peaceful engagements with Indigenous peoples, and has never exercised racism within its immigration practices. </w:t>
      </w:r>
      <w:r w:rsidRPr="00087A72">
        <w:rPr>
          <w:u w:val="single"/>
        </w:rPr>
        <w:t>While research has documented the realities of racism and settler colonialism in Canada’s history and present, the construction of a good and innocent Canadian citizen remains deeply entrenched in the imagery of Canada itself. Multiculturalism, in other words, was meant to enter into the fabric of everyday life, and has become institutionalized and normalized in an attempt to ‘design a unified nation’</w:t>
      </w:r>
      <w:r w:rsidRPr="00087A72">
        <w:rPr>
          <w:sz w:val="12"/>
        </w:rPr>
        <w:t xml:space="preserve"> (Chazan et al. 2011:3). As Rinaldo Walcott (2011:136) argued, multiculturalism has indeed become the ‘fundamental characteristic of Canadian heritage and identity’. </w:t>
      </w:r>
      <w:r w:rsidRPr="00087A72">
        <w:rPr>
          <w:u w:val="single"/>
        </w:rPr>
        <w:t>Multiculturalism allows Canadian citizen-subjects to erase historical and contemporary white supremacist and settler colonial processes and practices.</w:t>
      </w:r>
      <w:r w:rsidRPr="00087A72">
        <w:rPr>
          <w:sz w:val="12"/>
        </w:rPr>
        <w:t xml:space="preserve"> As Sunera Thobani (2007:154) so aptly put it, ‘multiculturalism allowed Canadians to resolve the crisis of whiteness through its [Canada’s] reorganization as tolerant, pluralist, and racially innocent, uncontaminated by its previous racist history’. </w:t>
      </w:r>
      <w:r w:rsidRPr="00087A72">
        <w:rPr>
          <w:u w:val="single"/>
        </w:rPr>
        <w:t>The ideological and discursive use of multiculturalism produces a Canada that is inclusive, diverse, and tolerant, and which ‘celebrat[es]</w:t>
      </w:r>
      <w:r w:rsidRPr="00087A72">
        <w:rPr>
          <w:sz w:val="12"/>
        </w:rPr>
        <w:t xml:space="preserve"> . . . </w:t>
      </w:r>
      <w:r w:rsidRPr="00087A72">
        <w:rPr>
          <w:u w:val="single"/>
        </w:rPr>
        <w:t>differences’</w:t>
      </w:r>
      <w:r w:rsidRPr="00087A72">
        <w:rPr>
          <w:sz w:val="12"/>
        </w:rPr>
        <w:t xml:space="preserve"> (Dion 2009:74). </w:t>
      </w:r>
      <w:r w:rsidRPr="00087A72">
        <w:rPr>
          <w:u w:val="single"/>
        </w:rPr>
        <w:t>This particular mantra of celebration has become the central pillar for constructing a Canadian national identity. But within this celebration of differences lies an essential homogenization of the population, creating a core Canadian culture, whereby Indigenous peoples and people of colour have been made to become Others within the nation. Multiculturalism has been put in place to manage the country’s internal differences by maintaining its core culture — a white settler nation established by two ‘founding nations’</w:t>
      </w:r>
      <w:r w:rsidRPr="00087A72">
        <w:rPr>
          <w:sz w:val="12"/>
        </w:rPr>
        <w:t xml:space="preserve"> (the British and French) (Day 2000; Mackey 2002; Thobani 2007; Walcott 2011). In sustaining narratives and imaginations of early conquest, this core culture places the power and control into the hands of whites, while Others — those who are Indigenous and/or of colour — are considered secondary, included within the nation so long as they assimilate and become ‘Canadian’. Thus, </w:t>
      </w:r>
      <w:r w:rsidRPr="00087A72">
        <w:rPr>
          <w:u w:val="single"/>
        </w:rPr>
        <w:t>multiculturalism is used to bring difference together under the rubric of diversity, and anyone who exists outside of this narrative is required to assimilate, and is simultaneously constructed as an outsider due to their culture</w:t>
      </w:r>
      <w:r w:rsidRPr="00087A72">
        <w:rPr>
          <w:sz w:val="12"/>
        </w:rPr>
        <w:t xml:space="preserve"> (Bannerji 2000; Razack 2008). </w:t>
      </w:r>
      <w:r w:rsidRPr="00087A72">
        <w:rPr>
          <w:u w:val="single"/>
        </w:rPr>
        <w:t>The particular focus on multiculture is the mechanism that erases Indigenous peoples’ own unique articulations of Indigenous nationhood and sovereignty by requiring an investment in white settler colonial institutions</w:t>
      </w:r>
      <w:r w:rsidRPr="00087A72">
        <w:rPr>
          <w:sz w:val="12"/>
        </w:rPr>
        <w:t xml:space="preserve"> (e.g. The Indian Act) (Cannon and Sunseri 2011; Coulthard 2007; Lawrence and Dua 2005; St. Denis 2011). As Thobani (2007:175) so aptly argued, ‘state-sponsored multiculturalism compels [Indigenous peoples] to negotiate and comprehend their identities on very narrow grounds, discouraging and possibly foreclosing the possibility of alliances that might allow a systemic challenge to white dominance, patriarchy, and global corporate capitalism’. </w:t>
      </w:r>
      <w:r w:rsidRPr="00087A72">
        <w:rPr>
          <w:rStyle w:val="StyleUnderline"/>
        </w:rPr>
        <w:t xml:space="preserve">Official multiculturalism </w:t>
      </w:r>
      <w:r w:rsidRPr="00087A72">
        <w:rPr>
          <w:sz w:val="12"/>
        </w:rPr>
        <w:t xml:space="preserve">— and subsequent iterations of multicultural diversity — </w:t>
      </w:r>
      <w:r w:rsidRPr="00087A72">
        <w:rPr>
          <w:rStyle w:val="StyleUnderline"/>
        </w:rPr>
        <w:t xml:space="preserve">erases Indigenous peoples’ experiences of white settler colonialism to trace them as belonging to a ‘special interest group’ that is produced as one cultural group amongst many </w:t>
      </w:r>
      <w:r w:rsidRPr="00087A72">
        <w:rPr>
          <w:sz w:val="12"/>
        </w:rPr>
        <w:t xml:space="preserve">(Cannon and Sunseri 2011; Lawrence and Dua 2005; Porter 1999; St. Denis 2011; Thobani 2007). </w:t>
      </w:r>
      <w:r w:rsidRPr="00087A72">
        <w:rPr>
          <w:u w:val="single"/>
        </w:rPr>
        <w:t>The sole focus on culture erases the divergent struggles amongst Indigenous communities and communities of colour, while perpetuating the common understanding of communities as distinctly and culturally separate.</w:t>
      </w:r>
      <w:r w:rsidRPr="00087A72">
        <w:rPr>
          <w:sz w:val="12"/>
        </w:rPr>
        <w:t xml:space="preserve"> The power of multiculturalism sustains cultural difference in Canada. Eva Mackey (2002:20) provided a rich analysis of Canadian ‘core identity’ as being comprised of ‘Canadian-Canadians’, a term used by white folks she interviewed to indicate their ordinariness — an ‘unmarked, non-ethnic, and usually white . . . identity’. As a result of such conceptualizations, the (presumed) whiteness of nationals becomes normalized, effectively producing Indigenous peoples and people of colour as Others. This has grave consequences for how Canadian identity is regulated and policed. </w:t>
      </w:r>
      <w:r w:rsidRPr="00087A72">
        <w:rPr>
          <w:u w:val="single"/>
        </w:rPr>
        <w:t xml:space="preserve">The assimilation required of Indigenous peoples and people of colour produces Canada and its imaginings of citizenship to be only white. The presence of people of colour and Indigenous peoples within this nation that is ‘celebrating of difference’ continues to be viewed as compromising the whiteness of the Canadian nation-state </w:t>
      </w:r>
      <w:r w:rsidRPr="00087A72">
        <w:rPr>
          <w:sz w:val="12"/>
        </w:rPr>
        <w:t xml:space="preserve">(Thobani 2007). </w:t>
      </w:r>
      <w:r w:rsidRPr="00087A72">
        <w:rPr>
          <w:u w:val="single"/>
        </w:rPr>
        <w:t>In other words, ‘multiculturalism is itself a politics of settlement’</w:t>
      </w:r>
      <w:r w:rsidRPr="00087A72">
        <w:rPr>
          <w:sz w:val="12"/>
        </w:rPr>
        <w:t xml:space="preserve"> (Chazan et al. 2011:1). While evocations of diversity and difference invite Canadian citizen subjects to desire the allure of multiculturalism, the process of white settlement through which Canada was founded remains immune from scrutiny. Indeed, </w:t>
      </w:r>
      <w:r w:rsidRPr="00087A72">
        <w:rPr>
          <w:u w:val="single"/>
        </w:rPr>
        <w:t>the use of diversity — requiring, needing, and wanting diversity — obscures the realities of the structural whiteness embedded within institutions and organizations</w:t>
      </w:r>
      <w:r w:rsidRPr="00087A72">
        <w:rPr>
          <w:sz w:val="12"/>
        </w:rPr>
        <w:t xml:space="preserve"> (Ahmed 2012). </w:t>
      </w:r>
      <w:r w:rsidRPr="00087A72">
        <w:rPr>
          <w:u w:val="single"/>
        </w:rPr>
        <w:t>Instead of working towards challenging structures of domination that continue to deride and repudiate the well-being of Indigenous peoples and people of colour, diversity is used to bring attention to difference — attention that can emerge as an empty gesture of inclusion, or a problematic politics of recognition</w:t>
      </w:r>
      <w:r w:rsidRPr="00087A72">
        <w:rPr>
          <w:sz w:val="12"/>
        </w:rPr>
        <w:t xml:space="preserve">, as will be discussed below. It is thus through the discourse of diversity — and the desire for it — that the Canadian nation-state holds whiteness at its centre, by creating cultural/racial groups as Others who are at once celebrated and marginalized due to their differences. </w:t>
      </w:r>
      <w:r w:rsidRPr="00087A72">
        <w:rPr>
          <w:u w:val="single"/>
        </w:rPr>
        <w:t>The desire for diversity within multicultural Canada is deeply embedded within a politics of recognition.</w:t>
      </w:r>
      <w:r w:rsidRPr="00087A72">
        <w:rPr>
          <w:sz w:val="12"/>
        </w:rPr>
        <w:t xml:space="preserve"> Nancy Fraser’s (2000) theorization of recognition becomes useful in thinking through ways diversity is utilized within queer communities in Toronto. In particular, for Fraser, recognition naturalizes the production of difference, where being recognized is only validated through some sort of naming. Combining recognition with Louis Althusser’s (1971:162–163) concept of interpellation — the police officer uttering ‘Hey, you there’ to call on a citizen with no recognition or naming — allows for the understanding of how the (white) authoritarian is placed in a power-over relationship with the citizen-subject. </w:t>
      </w:r>
      <w:r w:rsidRPr="00087A72">
        <w:rPr>
          <w:u w:val="single"/>
        </w:rPr>
        <w:t>A politics of naming allows for the subject to be differentiated while simultaneously constituted as different through this process</w:t>
      </w:r>
      <w:r w:rsidRPr="00087A72">
        <w:rPr>
          <w:sz w:val="12"/>
        </w:rPr>
        <w:t xml:space="preserve"> (Ahmed 2000). So, </w:t>
      </w:r>
      <w:r w:rsidRPr="00087A72">
        <w:rPr>
          <w:u w:val="single"/>
        </w:rPr>
        <w:t>bringing this all back to the concept of diversity, as this</w:t>
      </w:r>
      <w:r w:rsidRPr="00087A72">
        <w:rPr>
          <w:sz w:val="12"/>
        </w:rPr>
        <w:t xml:space="preserve"> comes to mean many things, but typically </w:t>
      </w:r>
      <w:r w:rsidRPr="00087A72">
        <w:rPr>
          <w:u w:val="single"/>
        </w:rPr>
        <w:t>resides within recognition of culture</w:t>
      </w:r>
      <w:r w:rsidRPr="00087A72">
        <w:rPr>
          <w:sz w:val="12"/>
        </w:rPr>
        <w:t xml:space="preserve"> (e.g. the 3-D approach: dress, dance, and dining [Srivastava 2007]), </w:t>
      </w:r>
      <w:r w:rsidRPr="00087A72">
        <w:rPr>
          <w:u w:val="single"/>
        </w:rPr>
        <w:t>people of colour and Indigenous peoples come to exist on the colonizers’ terms alone.</w:t>
      </w:r>
      <w:r w:rsidRPr="00087A72">
        <w:rPr>
          <w:sz w:val="12"/>
        </w:rPr>
        <w:t xml:space="preserve"> In other words, </w:t>
      </w:r>
      <w:r w:rsidRPr="00087A72">
        <w:rPr>
          <w:u w:val="single"/>
        </w:rPr>
        <w:t>diversity further normalizes racial and settler colonial hierarchies, which places emphasis on the capacity of white settlers to recognize and know culture</w:t>
      </w:r>
      <w:r w:rsidRPr="00087A72">
        <w:rPr>
          <w:sz w:val="12"/>
        </w:rPr>
        <w:t xml:space="preserve"> (Coulthard 2007; Povinelli 2002) — what I refer to as racial descriptors of non-whiteness. For Glen Coulthard (2007), </w:t>
      </w:r>
      <w:r w:rsidRPr="00087A72">
        <w:rPr>
          <w:u w:val="single"/>
        </w:rPr>
        <w:t>the politics of recognition is used to downplay Indigenous peoples as self-determining, further naturalizing the on-going conquest that Indigenous peoples and nations face in Canada.</w:t>
      </w:r>
      <w:r w:rsidRPr="00087A72">
        <w:rPr>
          <w:sz w:val="12"/>
        </w:rPr>
        <w:t xml:space="preserve"> And, </w:t>
      </w:r>
      <w:r w:rsidRPr="00087A72">
        <w:rPr>
          <w:u w:val="single"/>
        </w:rPr>
        <w:t>while the politics of recognition is entrenched within the discourse of diversity contained in Canada’s imaginings of itself and its citizen-subjects, it also plays out and operates differently within different spaces, places, and organizations.</w:t>
      </w:r>
      <w:r w:rsidRPr="00087A72">
        <w:rPr>
          <w:sz w:val="12"/>
        </w:rPr>
        <w:t xml:space="preserve"> </w:t>
      </w:r>
      <w:r w:rsidRPr="00087A72">
        <w:rPr>
          <w:u w:val="single"/>
        </w:rPr>
        <w:t>Thus,</w:t>
      </w:r>
      <w:r w:rsidRPr="00087A72">
        <w:rPr>
          <w:sz w:val="12"/>
        </w:rPr>
        <w:t xml:space="preserve"> returning back to the object of inquiry — queer communities — they are not immune from the racist and settler colonial underpinnings of the politics of recognition embedded within the desire for diversity. </w:t>
      </w:r>
      <w:r w:rsidRPr="00087A72">
        <w:rPr>
          <w:u w:val="single"/>
        </w:rPr>
        <w:t>The desire to be recognized and named is an important aspect of discourses of multiculturalism</w:t>
      </w:r>
      <w:r w:rsidRPr="00087A72">
        <w:rPr>
          <w:sz w:val="12"/>
        </w:rPr>
        <w:t>, within which (certain) inclusive queer politics reside.</w:t>
      </w:r>
    </w:p>
    <w:p w:rsidR="00C72150" w:rsidRPr="00087A72" w:rsidRDefault="00C72150" w:rsidP="00C72150"/>
    <w:p w:rsidR="009A7C8F" w:rsidRPr="00087A72" w:rsidRDefault="009A7C8F" w:rsidP="00496C79">
      <w:pPr>
        <w:pStyle w:val="Heading3"/>
      </w:pPr>
      <w:r w:rsidRPr="00087A72">
        <w:t>Link – Law</w:t>
      </w:r>
    </w:p>
    <w:p w:rsidR="009A7C8F" w:rsidRPr="00087A72" w:rsidRDefault="009A7C8F" w:rsidP="009A7C8F">
      <w:pPr>
        <w:pStyle w:val="Heading4"/>
      </w:pPr>
      <w:r w:rsidRPr="00087A72">
        <w:t>The law has been used to divide indigenous people with arbitrary labels and keep differentiation preventing people to specific accesses and being controlled under the settler colonial government, as well as gendered labels that go into the decision making process to delegitimize native women</w:t>
      </w:r>
    </w:p>
    <w:p w:rsidR="009A7C8F" w:rsidRPr="00087A72" w:rsidRDefault="009A7C8F" w:rsidP="009A7C8F">
      <w:r w:rsidRPr="00087A72">
        <w:rPr>
          <w:rStyle w:val="Style13ptBold"/>
        </w:rPr>
        <w:t xml:space="preserve">Taschereau Mamers 17 </w:t>
      </w:r>
      <w:r w:rsidRPr="00087A72">
        <w:t xml:space="preserve"> (Danielle, University of Western Ontario, Graduate in media studies "Settler Colonial Ways of Seeing: Documentary Governance of Indigenous Life in Canada and its Disruption" (2017). Electronic Thesis and Dissertation Repository. 4651. https://ir.lib.uwo.ca/etd/4651)</w:t>
      </w:r>
    </w:p>
    <w:p w:rsidR="009A7C8F" w:rsidRPr="00087A72" w:rsidRDefault="009A7C8F" w:rsidP="009A7C8F">
      <w:r w:rsidRPr="00087A72">
        <w:t xml:space="preserve">The </w:t>
      </w:r>
      <w:r w:rsidRPr="00087A72">
        <w:rPr>
          <w:rStyle w:val="Emphasis"/>
        </w:rPr>
        <w:t>1876 definition of “Indians” did not include Métis and “non-status Indians” and, as a result, they are not entitled to registration under the Act nor to its “benefits”.</w:t>
      </w:r>
      <w:r w:rsidRPr="00087A72">
        <w:t xml:space="preserve"> However, the Indian Act did formally articulate “</w:t>
      </w:r>
      <w:r w:rsidRPr="00087A72">
        <w:rPr>
          <w:rStyle w:val="StyleUnderline"/>
        </w:rPr>
        <w:t>halfbreed” as a racial category</w:t>
      </w:r>
      <w:r w:rsidRPr="00087A72">
        <w:t xml:space="preserve">.12 Individuals designated as “halfbreeds” </w:t>
      </w:r>
      <w:r w:rsidRPr="00087A72">
        <w:rPr>
          <w:rStyle w:val="Emphasis"/>
        </w:rPr>
        <w:t>would be excluded from treaties and any related rights and entitlements. The process of distinguishing between “Indians” and “halfbreeds” represented neither kinship lineage nor self-identification; rather, it was arbitrarily inscribed into Indigenous lives, dividing nations and families</w:t>
      </w:r>
      <w:r w:rsidRPr="00087A72">
        <w:t xml:space="preserve">. Individuals assigned “Indian” status were placed on band lists and included in treaties in places where they were signed, while those deemed “halfbreed” were given “scrip”, a certificate entitling them to simple title to a small parcel of land or a small amount of cash.13 The 11 From 1830 to 1857, </w:t>
      </w:r>
      <w:r w:rsidRPr="00087A72">
        <w:rPr>
          <w:rStyle w:val="StyleUnderline"/>
        </w:rPr>
        <w:t>Indian policy attempted to “civilize” the Indigenous population, instill Euro- Enlightenment ideas about private property, and establish self-sustaining agricultural communities through investing in the “infrastructure of ‘civilization’—villages with day schools, churches, European houses and ploughed fields</w:t>
      </w:r>
      <w:r w:rsidRPr="00087A72">
        <w:t xml:space="preserve">” (Milloy 2008, 4). This policy was abandoned with the Act to Encourage Gradual Civilization 1857, which shifted </w:t>
      </w:r>
      <w:r w:rsidRPr="00087A72">
        <w:rPr>
          <w:rStyle w:val="Emphasis"/>
        </w:rPr>
        <w:t>focus to enfranchising individuals and halted investments in Indigenous communities. From 1857 onwards, Indigenous communities were seen as places that would eventually disappear in the wake of full assimilation. 12</w:t>
      </w:r>
      <w:r w:rsidRPr="00087A72">
        <w:t xml:space="preserve"> As a category of the settler state’s racial taxonomy, “halfbreed” is distinct from Métis nations. The</w:t>
      </w:r>
      <w:r w:rsidRPr="00087A72">
        <w:rPr>
          <w:rStyle w:val="Emphasis"/>
        </w:rPr>
        <w:t xml:space="preserve"> Métis identify themselves as a new Aboriginal people that emerged post-contact through intermarriage between Indigenous and settler peoples, from which a distinct culture, traditions, languages, and nationhood emerged (Métis National Council). However, as an administrative concept, “halfbreed” articulates a “mixed” or “thinned out” form of “Indianness” that cannot apprehend the Métis as an Indigenous nation distinct from a “White/Indian”</w:t>
      </w:r>
      <w:r w:rsidRPr="00087A72">
        <w:t xml:space="preserve"> binary. The state’s articulation of </w:t>
      </w:r>
      <w:r w:rsidRPr="00087A72">
        <w:rPr>
          <w:rStyle w:val="StyleUnderline"/>
        </w:rPr>
        <w:t>Métis-as-mixed and thus not fully “Indian” imposed distinctions between Indigenous groups in order to limit fiscal responsibilities and to prevent the formation of political opposition between Indigenous nations. Ultimately the taxonomic distinction between “Indians” and “halfbreeds” governed by racialized hierarchy in service of colonial interests</w:t>
      </w:r>
      <w:r w:rsidRPr="00087A72">
        <w:t xml:space="preserve">. For an analysis of Métis and the question of hybridity or mixedness, see Andersen (2014). 13 Like most DIA policies, this too was inconsistently applied. In many cases, Métis received scrip for land instead of reserves when the numbered treaties were made. However, Métis are not necessarily excluded from treaties and some did sign or adhere to treaties, such as the adhesion of the Half Breeds of Rainy River to Treaty 3. The question of whether Métis can be parties to treaties is still contested. 54  </w:t>
      </w:r>
      <w:r w:rsidRPr="00087A72">
        <w:rPr>
          <w:rStyle w:val="StyleUnderline"/>
        </w:rPr>
        <w:t>federal government considered accepting scrip to be a relinquishment of any right or claim to territory.14 Since 1876, several judicial rulings have decided that for the purposes of the British North America Act (Constitution Act 1867), section 91(24) “Indians” includes Inuit, Métis, and non-status Indians. In 1939, the Supreme Court ruled in Reference Re: Eskimos that the “Eskimo” population—now referred to as Inuit and Inuk peoples— should be included in federal jurisdiction over “Indians”</w:t>
      </w:r>
      <w:r w:rsidRPr="00087A72">
        <w:t xml:space="preserve">. The Constitution Act 1982, section 35 recognizes the Aboriginal treaty rights of Inuit and Métis peoples along with those of “status Indians”. However, federal government’s jurisdiction over Métis and “non-status Indians” was clarified by the Daniels decision in April 2016. In Daniels v. Canada, the Supreme Court granted that Métis and non-status Indians are “Indians” under Section 91(24) of the Constitution “by virtue of the fact that they are all Aboriginal peoples” (Daniels v. Canada, 2016 SCC 12 at para 46). The decisions to include Inuit, Métis, and non-status Indians under section 91(24) identify the federal government as the entity with which claims to land, services, and benefits can be negotiated. While the Indian Act was amended many times between the original codification of “status Indian” in 1876 and the end of WWII, </w:t>
      </w:r>
      <w:r w:rsidRPr="00087A72">
        <w:rPr>
          <w:rStyle w:val="StyleUnderline"/>
        </w:rPr>
        <w:t>the definition of “Indian” was revised in the 1951 Act to Amend the Indian Act.15 The 1951 revision moved from the comparatively general 1876 definition—driven by concepts of blood and reputation—to a more specific and legalistic definition. Rather than hinging on the claim to being a child of “any male person of Indian blood or reputed to belong to an Indian band” (Indian Act 14 Accepting scrip did not secure a land base for Métis peoples. In practice, it divested the Métis of the territories of their birth and turned communally held homestead lands into commercial property. Speculations syndicates working to establish a speculative commercial real estate market in the west actively encouraged people to take scrip over joining treaties through a variety of means ranging from the unsavory to the illegal and violent. For a full discussion of scrip commissions and speculation, see Andersen (2014, 40-43) and Tough (1996). 15 The goal of this revision was to streamline administrative processes within the DIA. When canvassed by policy analysts about desired changes to the Act, many DIA field agents requested clarification on the definitions of “Indian” and terms of registration.</w:t>
      </w:r>
      <w:r w:rsidRPr="00087A72">
        <w:t xml:space="preserve"> As Leslie reports, among field agents “there was a major grievance that went to the very heart of the existing Indian Act and Indian administration, namely the definition of who was to be considered ‘Indian’” (1999, 79). 55  1876, Section 3), the 1951 definition requires tracing lineage through paternal descent to someone with “status” in 1876, to someone who was a band member when a treaty was signed, or someone who appears on a band membership list or general list of “Indians”. Under the terms of the amended definition, the source of one’s “Indianness” no longer rests in the body, but in colonial documents. Of particular interest to this dissertation, the 1951 Act shifts the terms of its definitional work. The 1876 legislation defines what “the term ‘Indian’ means” (Indian Act 1876, Section 3). However, section 11 of the 1951 Act introduces the revised definition of “Indians” by outlining which individuals are “entitled to be registered” (Indian Act 1951, Section 11). </w:t>
      </w:r>
      <w:r w:rsidRPr="00087A72">
        <w:rPr>
          <w:rStyle w:val="StyleUnderline"/>
        </w:rPr>
        <w:t xml:space="preserve">The first condition for registration turns on the documentation of one’s relationship to community via an entitlement to property. Those entitled to registration as an “Indian” to an individual who: on the 26th day of May, 1874, was [...] considered to be entitled to hold, use or enjoy the lands and other immoveable property belonging to or appropriated to the use of the various tribes, bands or bodies of Indians in Canada (Indian Act 1951, Section 11). One’s entitlement to registration, then, turns on the documentation of property and of tribes or bands—both impositions of settler colonial ways of seeing. </w:t>
      </w:r>
      <w:r w:rsidRPr="00087A72">
        <w:t xml:space="preserve">The amended legislation further outlined entitlement to “Indian” registration through band membership and paternal descent. Both iterations of the Act have the effect of restricting status and band membership to certain persons (Leslie 1999, 238); however, the 1951 legislation connects the state’s way of seeing Indigenous peoples (as “Indians”) to bureaucratic practices of documentation (entitlement to registration). As of 1951, to be visible as an “Indian” explicitly requires being visible on paper and in Department of Indian Affairs files. Additionally, the narrowed 1951 definition serves elimination logics by increasing the burden of proof for claiming status and, crucially, by making it harder for women to retain and pass on status. While the 1876 Act contained provisions for revoking status if an “Indian” woman married a non-status individual, such women retained their rights to treaty monies and to distributed band revenues and, in some cases, were able to remain on reserves. The 1951 revisions forced women off of the reserve with a one-time payment from band funds, terminating connections to relations and community—a 56 measure that would reduce Department of Indian Affairs costs (Leslie 1999, 190-1; Palmater 2011, 42-6). In </w:t>
      </w:r>
      <w:r w:rsidRPr="00087A72">
        <w:rPr>
          <w:rStyle w:val="Emphasis"/>
        </w:rPr>
        <w:t>differentially defining “Indian” in relation to gender, the Indian Act rendered the blood of men distinct from the blood of women. The Act not only rendered the “Indian” identities of women contingent on their marital status, but confined the capacity to pass on the “Indian” racial identity to the blood of the father. The effect of the Act’s marriage and inheritance rules created conditions for assimilation grounded in sexism and heteropatriarchal family structures: women had a restricted ability to maintain and pass on their “Indian status” and that restricted ability could only be realized heterosexual family.</w:t>
      </w:r>
      <w:r w:rsidRPr="00087A72">
        <w:t xml:space="preserve"> These marriage policies remained in place until 1985; however, </w:t>
      </w:r>
      <w:r w:rsidRPr="00087A72">
        <w:rPr>
          <w:rStyle w:val="StyleUnderline"/>
        </w:rPr>
        <w:t>contemporary settler colonial definitions of “Indian” identity are still undergirded by gender, as well as race. The effects of gender discrimination at work in Indian Act taxonomy and the disproportionate dispossession of Indigenous women will be discussed further in my analysis of statistical representations of murdered and missing Indigenous women in chapter four of this dissertation. The 1951 definition moves from a bio-cultural concept of an “Indian” as a type of heritable, embodied trait combined with membership in a cultural community to an archival concept, wherein an “Indian” is an individual who can demonstrate descent documented in specific types of paperwork</w:t>
      </w:r>
      <w:r w:rsidRPr="00087A72">
        <w:t xml:space="preserve">. Here, the Indigenous body’s visibility as an “Indian” depends on where and how her “Indianness” has been recorded. As the next chapter’s discussion of registration techniques will demonstrate, the array of paperwork accepted as evidence of one’s entitlement to registration as a “status Indian” is restricted to documents produced by state representatives. However, the </w:t>
      </w:r>
      <w:r w:rsidRPr="00087A72">
        <w:rPr>
          <w:rStyle w:val="StyleUnderline"/>
        </w:rPr>
        <w:t>racialized body defined in the 1876 Act is not fully replaced by the 1951 revision. Given the state’s concern with policing women’s status and the continued role of descent in determining “Indian status”, blood remains in play. The move to an archival concept obscures the continued presence of bio-cultural “Indianness”. In making the visibility of already-raced bodies contingent on paperwork, I read the 1951 definition of “Indian” as a bio-archival racial status—a conception of status amenable to biopolitical governance</w:t>
      </w:r>
      <w:r w:rsidRPr="00087A72">
        <w:t xml:space="preserve">. A direct attempt to dissolve the Indian Act’s racial taxonomies came in the form of the “Statement of the Government of Canada on Indian Policy, 1969”. Colloquially 57 referred to as the 1969 White Paper, the document was written by Jean Chretien, then Minister of Indian Affairs and Northern Development. The White Paper formed the federal government’s proposed response to the Hawthorn Report—a national survey of Indigenous communities in Canada, </w:t>
      </w:r>
      <w:r w:rsidRPr="00087A72">
        <w:rPr>
          <w:rStyle w:val="Emphasis"/>
        </w:rPr>
        <w:t>which responded to the widespread inequality, marginalization, and disenfranchisement of “status Indians” living on reserve communities by describing them as “citizens minus” (Hawthorn 1966, 6). The Hawthorn Report had recommended a shift in Indian policy towards one that would regard to Indigenous peoples as “citizens plus”, possessing political and legal rights in addition to the normal rights and duties of Canadian citizenship (12). However, the White Paper proposed to address inequality by dissolving “Indian status” as a distinct legal status and rendering Indigenous peoples visible only as fully-assimilated</w:t>
      </w:r>
      <w:r w:rsidRPr="00087A72">
        <w:t xml:space="preserve"> Canadian citizens. The White Paper’s proposals were wide-reaching and included the abolishment of all existing legal documents governing the relationship between Indigenous nations and the federal government—including the Indian Act and all treaties—the dismantling of the Ministry of Indian Affairs, the devolution of service provision from to provincial governments, and the conversion of reserve lands into private property. Ultimately, the White Paper sought the “total and immediate integration” of all Indigenous peoples into settler colonial society (Milloy 2008, 17). The White Paper’s proposed erasure of “Indian status” was met with swift and clear rejection from Indigenous political leaders across the country, who rejected the proposal as </w:t>
      </w:r>
      <w:r w:rsidRPr="00087A72">
        <w:rPr>
          <w:rStyle w:val="StyleUnderline"/>
        </w:rPr>
        <w:t>“an extreme act of colonialism, challenging the very roots of Indigenous identity and social organization” (Coates 2008, 7).16 The White Paper was withdrawn in 1970, leaving both the Indian Act and the category of “status Indian” intact today. However, the responses of Indigenous nations to the proposed dissolution made clear that the dissolution of Indian Act racial taxonomies was not a desirable solution to colonial injustice. While the Act is a source of violence and enables the federal government’s ongoing regulation of Indigenous land and life, the elimination of the Act as proposed in the White Paper would have stripped “status 16 Key responses included the “Red Paper”, prepared by Harold Cardinal and the Indian Association of Alberta, and the “Declaration of Indian Rights”</w:t>
      </w:r>
      <w:r w:rsidRPr="00087A72">
        <w:t xml:space="preserve">, prepared by the Union of BC Indian Chiefs. For histories of Indigenous resistance to the White Paper, see Cardinal (1969) and Weaver (1981). 58  Indians” of their already limited legal and political rights and would release the state from its treaty-bound obligations (Coates 2008, 30). Indigenous peoples, thus, find themselves in a double-bind engineered by settler colonial policies. “Indian status” was a frame designed to restrict the visibility of Indigenous life and to encourage the assimilation of Indigenous peoples over time—an “encouragement” that took the form of direct and indirect violence. Despite the violence enabled by the Act and the social, economic, and political restrictions “Indian status” entailed, the dissolution of status would erase the limited visibility of Indigenous life under settler colonial ways of seeing. Further, the White Paper’s proposals maintain the Canadian state’s claimed authority over the visibility and governance of Indigenous lives. </w:t>
      </w:r>
      <w:r w:rsidRPr="00087A72">
        <w:rPr>
          <w:rStyle w:val="StyleUnderline"/>
        </w:rPr>
        <w:t xml:space="preserve">From amending the definition of “status Indian” to proposing its erasure, the Canadian state has continuously arrogated itself the power to define who can be seen as “Indian” and the frames through which they might appear. Similarly, amendments made to the Indian Act under Bill C-31 in 1985 were designed to address sex discrimination under the Act, but also served to reinscribe the federal government’s claimed authority over “Indian status”. Bill C-31 was a belated response by the Department of Indian Affairs and Northern Development to more than two decades of legal challenges to the 1951 Indian Act amendments, which saw women stripped of their status upon marriage to a non-status man. Key cases of Indigenous women’s legal battle against sex discrimination included Mary Two-Axe Earley’s petition to the Royal Commission on the Status of Women in Canada in 1968, Jeanette Lavell and Yvonne Bedard’s 1973 Supreme Court cases, and Sandra Lovelace’s 1974 Supreme Court case (Krosenbrink- Gelissen, 1991; Napoleon 2001; Palmater 2011). While the courts upheld the Act in each of these cases, Lovelace’s 1981 petition to the United Nations human rights committee finally led to the C-31 amendment in 1985. The C-31 rules allowed individuals with one parent who had status prior to 1985 to be reinstated, but these rules retained gender bias. While the grandchildren of men who had married non-status persons prior to 1985 would maintain status, the grandchildren of women who lost status prior to 1985 would not be reinstated. </w:t>
      </w:r>
      <w:r w:rsidRPr="00087A72">
        <w:t xml:space="preserve">As Napoleon has argued, the effect of C-31 was to “shift the burden of discrimination from the Indian woman to her children and grandchildren” (2001, 119). In response to this continued burden borne by the grandchildren of women, Sharon McIvor 59 60 successfully brought suit against the federal government and in 2010 the Bill C-3 was passed to further amend the Indian Act (Palmater 2010). Gender discrimination within the </w:t>
      </w:r>
      <w:r w:rsidRPr="00087A72">
        <w:rPr>
          <w:rStyle w:val="StyleUnderline"/>
        </w:rPr>
        <w:t>Indian Act has been the central issue in each of these women’s battles to have themselves and their descendants recognized as “status Indians”. Despite forcing the Department of Indian Affairs to amend the Act in 1985 and again in 2010, the cases did not fundamentally disrupt the state’s claimed authority over the definition and registration of “status Indians</w:t>
      </w:r>
      <w:r w:rsidRPr="00087A72">
        <w:t xml:space="preserve">”. In theory, the C-31 and C-3 amendments were successes for Indigenous women and their families. In practice, the amendment also caused major strain in communities because, as Simpson explains, it “appeared as a most recent imposition (read by some as being told who was Indian, again) and this iteration of the code reflected a century of colonial impositions, along with a desire for scientific rigour and objectivity” (2007, 73). </w:t>
      </w:r>
      <w:r w:rsidRPr="00087A72">
        <w:rPr>
          <w:rStyle w:val="Emphasis"/>
        </w:rPr>
        <w:t>Ultimately, settler colonial ways of seeing have shifted under the pressure of national and international court decisions, but the Canadian state continues to claim authority over the visibility and governance of Indigenous life. As a response to the so-called “problem” of Indigenous life in expropriated territories, the Indian Act created the means for imagining a frontier free for settlement by transforming Indigenous nations into “populations, to be administered by the state” (Simpson 2014, 21). The categories of the Indian Act, born of imperial logics of civilization and racial hierarchies, transform the Indigenous nations that threaten to undermine settler claims to sovereign authority into an “Indian” population. Rather than many, heterogeneous sovereign Indigenous nations with inherent claims to their lands, the Indian Act taxonomy generates a singular, homogenous “Indian” race of individual bodies that can be absorbed into the settler body politic</w:t>
      </w:r>
      <w:r w:rsidRPr="00087A72">
        <w:t xml:space="preserve">. In producing “Indians” and identifying the various ways they might lose their status and be assimilated into the Canadian population, the Act’s racializing taxonomy is a crucial technique of settler colonization and provides the primary frame for settler colonial ways of seeing. </w:t>
      </w:r>
    </w:p>
    <w:p w:rsidR="00540BEA" w:rsidRPr="00087A72" w:rsidRDefault="00540BEA" w:rsidP="00496C79">
      <w:pPr>
        <w:pStyle w:val="Heading3"/>
      </w:pPr>
      <w:r w:rsidRPr="00087A72">
        <w:t>Link – Magic</w:t>
      </w:r>
    </w:p>
    <w:p w:rsidR="00540BEA" w:rsidRPr="00087A72" w:rsidRDefault="00540BEA" w:rsidP="00540BEA">
      <w:pPr>
        <w:pStyle w:val="Heading4"/>
      </w:pPr>
      <w:r w:rsidRPr="00087A72">
        <w:t>White people playing with magic occludes the ways in which magic and paganism are inherently racialized and gendered categories that white people, in their ability to occupy infinite subjectivity, can pave over in order to refashion themselves anew upon the corpses of Black and Native women.</w:t>
      </w:r>
    </w:p>
    <w:p w:rsidR="00540BEA" w:rsidRPr="00087A72" w:rsidRDefault="00540BEA" w:rsidP="00540BEA">
      <w:r w:rsidRPr="00087A72">
        <w:rPr>
          <w:rStyle w:val="Style13ptBold"/>
        </w:rPr>
        <w:t>Cornum 18</w:t>
      </w:r>
      <w:r w:rsidRPr="00087A72">
        <w:t xml:space="preserve"> (Lou, Diné writer and Editor of the New Inquiry “White Magic” </w:t>
      </w:r>
      <w:hyperlink r:id="rId19" w:history="1">
        <w:r w:rsidRPr="00087A72">
          <w:rPr>
            <w:rStyle w:val="Hyperlink"/>
          </w:rPr>
          <w:t>https://thenewinquiry.com/white-magic/</w:t>
        </w:r>
      </w:hyperlink>
      <w:r w:rsidRPr="00087A72">
        <w:t xml:space="preserve"> DA: 2018-07-06) NIJ</w:t>
      </w:r>
    </w:p>
    <w:p w:rsidR="00540BEA" w:rsidRPr="00087A72" w:rsidRDefault="00540BEA" w:rsidP="00540BEA">
      <w:pPr>
        <w:rPr>
          <w:b/>
          <w:iCs/>
          <w:sz w:val="26"/>
          <w:u w:val="single"/>
        </w:rPr>
      </w:pPr>
      <w:r w:rsidRPr="00087A72">
        <w:rPr>
          <w:sz w:val="12"/>
        </w:rPr>
        <w:t xml:space="preserve">In the mid-17th-century atmosphere in which this “New England folktale” takes place, </w:t>
      </w:r>
      <w:r w:rsidRPr="00087A72">
        <w:rPr>
          <w:rStyle w:val="StyleUnderline"/>
        </w:rPr>
        <w:t>the threat of witches follows from a fear of the Natives and their grounded intimacy with a coveted land yet to be tamed by settlement. This intimacy with land is then projected onto Indigenous forms of sociality and sexuality deemed unruly and un-Christian.</w:t>
      </w:r>
      <w:r w:rsidRPr="00087A72">
        <w:rPr>
          <w:sz w:val="12"/>
        </w:rPr>
        <w:t xml:space="preserve"> Tellingly and expectedly, in The Witch it is the teenage girl of a Puritan family who, in coming into maturity and sexuality, brings witchery into the home. The film’s unexpected performance at the box office—grossing $40.4 million on a budget of $4 million—might in part be attributed to a recent revival in </w:t>
      </w:r>
      <w:r w:rsidRPr="00087A72">
        <w:rPr>
          <w:rStyle w:val="StyleUnderline"/>
        </w:rPr>
        <w:t>America’s interest</w:t>
      </w:r>
      <w:r w:rsidRPr="00087A72">
        <w:rPr>
          <w:sz w:val="12"/>
        </w:rPr>
        <w:t xml:space="preserve"> in witches. This interest, broadcast by crystal-wearing enthusiasts all over various social media and fashion editorials, </w:t>
      </w:r>
      <w:r w:rsidRPr="00087A72">
        <w:rPr>
          <w:rStyle w:val="StyleUnderline"/>
        </w:rPr>
        <w:t>rarely attends</w:t>
      </w:r>
      <w:r w:rsidRPr="00087A72">
        <w:rPr>
          <w:sz w:val="12"/>
        </w:rPr>
        <w:t xml:space="preserve"> with such historical accuracy as The Witch </w:t>
      </w:r>
      <w:r w:rsidRPr="00087A72">
        <w:rPr>
          <w:rStyle w:val="StyleUnderline"/>
        </w:rPr>
        <w:t>to the specter of savagery that witches once promised.</w:t>
      </w:r>
      <w:r w:rsidRPr="00087A72">
        <w:rPr>
          <w:sz w:val="12"/>
        </w:rPr>
        <w:t xml:space="preserve"> How many viewers who delighted in the uninhibited fire dance at the end of the film gave even a second thought to the brief glimpse of Native men at the beginning? </w:t>
      </w:r>
      <w:r w:rsidRPr="00087A72">
        <w:rPr>
          <w:rStyle w:val="StyleUnderline"/>
        </w:rPr>
        <w:t>Though it is the subtext of savagery (ascribed to both Indigenous and African-descendent peoples in the Americas) that animates narratives around witches, white women who take up the mantle of witch magic rarely understand themselves to be engaging in Indian or savage play. The turn to witchcraft as a trend (rather than a practice) is conditioned by white women’s desire to obfuscate the power begotten by their whiteness. The occult is after all definitionally about power that obscures its origin. In the current fashion and fashioning of witches, the historical connections between witches and racialized savages, however sublimated, continues to magnetize the appeal. I am sympathetic to this appeal even as I am suspicious of it; it marks a desire to be contrary to the colonial project, even if it does not always enact it. The current trend in witch infatuation marks an alliance foreclosed. In the early days of America, when accusations of witchcraft were leveled at Indians, Black people, and settlers who strayed from the strict disciplining needed to create a cohesive sovereignty of one dominant nation, it was because witches were a threat.</w:t>
      </w:r>
      <w:r w:rsidRPr="00087A72">
        <w:rPr>
          <w:sz w:val="12"/>
        </w:rPr>
        <w:t xml:space="preserve"> The representations of witches that dominate contemporary American cultural consciousness—the “Surprise, Bitch” meme from American Horror Story, Stevie Nicks, people who talk about healing stones a lot—betray the role witches could have played in undoing the nation. That is not to say the threat of witches to poison the patriarch has completely disappeared. In recent weeks some men have been quick to label the campaigns bringing forth sexual assault and harassment accusations as witch hunts, willfully ignorant that the term refers to a concerted campaign against women. The foolish use of the term has been noted and mocked by women, some of whom have also reappropriated the term to declare themselves the witches doing the hunting (which may very well be what the men were unconsciously getting at in the first place—the feeling of being hunted by witches). </w:t>
      </w:r>
      <w:r w:rsidRPr="00087A72">
        <w:rPr>
          <w:rStyle w:val="StyleUnderline"/>
        </w:rPr>
        <w:t>Actual witch hunts of the past such as the Salem witch trials followed from a fear of Indian women and their role in forms of governance alternative to those of the foundling country. Along with genocidal tactics of sexual violence, early settlers also worked through their fear by projecting it elsewhere. The hypervisibility, and necessarily spectacular aspects, of witch trials against white women were an arena to handle physically and politically the threat of Indigenous societies where women were in power. Beyond the events at Salem</w:t>
      </w:r>
      <w:r w:rsidRPr="00087A72">
        <w:rPr>
          <w:sz w:val="12"/>
        </w:rPr>
        <w:t>—a historical spectacle as formative to America as the Thanksgiving myth—</w:t>
      </w:r>
      <w:r w:rsidRPr="00087A72">
        <w:rPr>
          <w:rStyle w:val="StyleUnderline"/>
        </w:rPr>
        <w:t>unruly women, be they Native, Black, or white, have continuously been posed as savage and placed outside the enclosed boundaries of civilization and nation.</w:t>
      </w:r>
      <w:r w:rsidRPr="00087A72">
        <w:rPr>
          <w:sz w:val="12"/>
        </w:rPr>
        <w:t xml:space="preserve"> In a move toward symbolic enclosure, </w:t>
      </w:r>
      <w:r w:rsidRPr="00087A72">
        <w:rPr>
          <w:rStyle w:val="Emphasis"/>
        </w:rPr>
        <w:t xml:space="preserve">both witches and Indians have been reduced to accessorized signifiers hawked by Urban Outfitters and Forever 21, available for the carefree to adorn themselves with at Coachella and express their pagan predilections for living ever so briefly outside time. </w:t>
      </w:r>
      <w:r w:rsidRPr="00087A72">
        <w:rPr>
          <w:rStyle w:val="StyleUnderline"/>
        </w:rPr>
        <w:t>The work of enclosure is key here: Cultural representations of witches reign in their savagery</w:t>
      </w:r>
      <w:r w:rsidRPr="00087A72">
        <w:rPr>
          <w:sz w:val="12"/>
        </w:rPr>
        <w:t xml:space="preserve"> even as horror movies such as The Witch might give participants a chance to be fearful of it</w:t>
      </w:r>
      <w:r w:rsidRPr="00087A72">
        <w:rPr>
          <w:rStyle w:val="StyleUnderline"/>
        </w:rPr>
        <w:t xml:space="preserve">. Enclosure is also the means by which the nation turns Indigenous land into private property, which then must be defended against subjects construed to be savage. Along with witch, savage, and slut, the accusatory title of heathen is also hurled throughout colonial times at those who stand in the way of a cohesive nation. Derived from the word heath, which can mean uncultivated plain or wild forest, heathen in its first uses in Christian contexts meant someone who not only lacked proper religiosity but also inhabited land in a noncivilized manner. To cast aside the heathen through death, incarceration, or rehabilitation has gone hand in hand with clearing the land to be made into property. </w:t>
      </w:r>
      <w:r w:rsidRPr="00087A72">
        <w:rPr>
          <w:rStyle w:val="Emphasis"/>
        </w:rPr>
        <w:t>Heathen is no longer a category of persecution, but the ideology that there are savages—i.e. Indigenous and Black peoples—with no valid claim to land and life certainly persists. These colonial logics that permit ongoing dispossession and death point to one of the failures of white witches: While they might hex Trump, they do not in any meaningful way extend their lifestyle to stand with those still marked by the history of the heathen.</w:t>
      </w:r>
      <w:r w:rsidRPr="00087A72">
        <w:rPr>
          <w:sz w:val="12"/>
        </w:rPr>
        <w:t xml:space="preserve"> The etymology of heathen helps illuminate an argument put forth by Silvia Federici in her classic feminist text Caliban and the Witch, that </w:t>
      </w:r>
      <w:r w:rsidRPr="00087A72">
        <w:rPr>
          <w:rStyle w:val="StyleUnderline"/>
        </w:rPr>
        <w:t>the American witch hunts were not just terrorist strategies to silence dissent and demand obedience, but were also importantly a strategy of enclosure.</w:t>
      </w:r>
      <w:r w:rsidRPr="00087A72">
        <w:rPr>
          <w:sz w:val="12"/>
        </w:rPr>
        <w:t xml:space="preserve"> Federici’s theorization of primitive accumulation locates the development of capitalism in three linked processes: The coerced reproductive work of European women, the persecution of Indigenous peoples, and the enslavement of Africans. </w:t>
      </w:r>
      <w:r w:rsidRPr="00087A72">
        <w:rPr>
          <w:rStyle w:val="Emphasis"/>
        </w:rPr>
        <w:t xml:space="preserve">While white witches once represented a threat to that reproductive order, they have since been sanitized and permitted, even if at the fringes, into civil society. </w:t>
      </w:r>
      <w:r w:rsidRPr="00087A72">
        <w:rPr>
          <w:rStyle w:val="StyleUnderline"/>
        </w:rPr>
        <w:t>THERE are multiple simultaneous nostalgias at work with the current witch obsession. There’s the nostalgia not only for a romanticized premodern time when earth-based practices, like a life structured around seasonal ceremony, were more possible, but also for the ’90s and its earnest invocation of girl power.</w:t>
      </w:r>
      <w:r w:rsidRPr="00087A72">
        <w:rPr>
          <w:sz w:val="12"/>
        </w:rPr>
        <w:t xml:space="preserve"> First uttered by the punk group Bikini Kill, “girl power”—as a phrase, attitude, and position—was brought to wild heights of popularity by the Spice Girls. It is not surprising that in this atmosphere of celebration a fascination with witches would arise. </w:t>
      </w:r>
      <w:r w:rsidRPr="00087A72">
        <w:rPr>
          <w:rStyle w:val="StyleUnderline"/>
        </w:rPr>
        <w:t>While modern-day witches may seem, at times, aligned with a feminist political critique of capitalist reproduction, the fundamental threat of savagery they could pose to the nation is downplayed in their mainstream and even cult-classic iterations, which tacitly support female empowerment while avoiding the crisis in femininity witches have summoned in their naked fire dances.</w:t>
      </w:r>
      <w:r w:rsidRPr="00087A72">
        <w:rPr>
          <w:sz w:val="12"/>
        </w:rPr>
        <w:t xml:space="preserve"> Of the many witchy movies and TV shows of the ’90s, several have since become millennial classics. The Craft—released in 1996 and centered on a group of four occult-dabbling Catholic schoolgirls—remains the iconic standout of the genre for its ability to brand the female empowerment narrative in the definitive looks of a contemporary coven: black latex, black eyeliner, black chokers. Unfortunately, what begins as a goth feel-good tale of getting revenge on slut-shaming football jerks turns to a jealous girl-on-girl fallout. Released three years earlier than the goth-chic cult classic was the more family-oriented Hocus Pocus, set in Salem, which features Bette Midler playing a genuinely scary and villainous witch but one who is defeated in the end by a teenage boy. Indians are absent from these movies and the lore they invoke. And though there is some passing reference to the violence faced by heathen women of the past, these films are mostly centered on redemptive stories of love: love between friends and sisters, but always more importantly romantic love between men and women. The paragon of pagan chick flicks Practical Magic, for instance, begins in Puritan times with the scene of a witch about to be hung. This witch is feared for her magic and resented for her homewrecking ways. Ancestor to sisters played by Sandra Bullock and Nicole Kidman, the witch puts “a curse on any man who dares love” any of her female descendents. What ensues is a lifelong quest for the sisters to find un-hexed heterosexual romance. At one point they pull off a spell to reanimate Nicole Kidman’s abusive boyfriend with a pentagram made from a can of reddi whip. And in the end, Sandra Bullock’s character overcomes both the persecution of witches as outsiders and the family curse by falling in true love with a cop, once the violent enforcer of order transformed into a benevolent, handsome man. Herein lies one of the more sinister revisions at work in the ’90s movie about witches—the strange women who abandon civilized life to live naked with other women in the woods become straight. </w:t>
      </w:r>
      <w:r w:rsidRPr="00087A72">
        <w:rPr>
          <w:rStyle w:val="StyleUnderline"/>
        </w:rPr>
        <w:t>According to colonial logics, women accused of witchcraft and Indigenous and African-descendent peoples are fundamental threats to the nation state. Their unruly sexualities (and the non-Western societal structures they index) are capable of undoing the binding power of the nuclear family, otherwise known as the power of the father. But the depictions of witches in the ’90s worked hard to repair witches’ reproductive role in the home.</w:t>
      </w:r>
      <w:r w:rsidRPr="00087A72">
        <w:rPr>
          <w:sz w:val="12"/>
        </w:rPr>
        <w:t xml:space="preserve"> Willow, the beloved lesbian witch of Buffy the Vampire Slayer, is the exception whose status as sapphic icon proves the rule. Though it debuted only a few years after The Craft, the TV series Charmed brought witchiness and ’90s nostalgia into the millennium. Drawing on the girl-group model of The Craft, Charmed is about the tribulations of three sisters, which often involve the difficulties of dating-while-Wiccan. In the third-season episode “The Good, the Bad and the Cursed,” one of the witch sisters, Phoebe, upon visiting a ghost town in the West, suddenly feels the literal pain of a Native American man stuck in a “time loop.” The symbolic sympathy between witches and Indians is for a moment rendered material but only so that Phoebe, played by Alyssa Milano, and her older sister Prue, played by Shannen Doherty, can perform a benevolent act of rescue—preventing the man from being killed and bringing him out of the time loop. The witches then succeed in keeping the Native man in his proper place in the past, while they return to the modern world where their domesticated life of pagan ways is allowed. Even more recent is American Horror Story, whose third season, Coven, capitalized on the dual trends of witches and wokeness by tapping into national discussions on continuing racial violence against Black people. The season begins in the torture chamber of a white witch mistress, Madame Delphine LaLaurie, played by Kathy Bates, where the enslaved Black people under her ownership are depicted in gratuitously stylized pain and deprivation. Tiffany King has written that the show perfectly illustrates the fungibility of Black flesh: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 One also gets a similar sense from the how the show’s writers use their Black characters. Marie Laveau, played by Angela Bassett, is both a villain and protagonist throughout the season and references an often erased Black Indigeneity, here indicated by practices of vodou. In a disturbing but all-too-typical narrative device, the unnecessary, gory depiction of Black death operates as plot pivot, dramatic climax, and background horror at different points in the show. </w:t>
      </w:r>
      <w:r w:rsidRPr="00087A72">
        <w:rPr>
          <w:rStyle w:val="StyleUnderline"/>
        </w:rPr>
        <w:t>The associations between Blackness, Indigeneity, and unruly sexuality that inform witchy narratives and the American construction of savagery illuminate the complicated, sometimes paradoxical forms of racialization in the New World.</w:t>
      </w:r>
      <w:r w:rsidRPr="00087A72">
        <w:rPr>
          <w:sz w:val="12"/>
        </w:rPr>
        <w:t xml:space="preserve"> Returning to Federici, the Caliban in her book’s title is a character who has been interpreted and reinterpreted since he first appeared in Shakespeare’s The Tempest. Because Caliban lives on a fictional island that evokes the Caribbean, literary critics such as Chickasaw scholar Jodi Byrd among others have noted a signifying slippage between Caliban as a Black and/or Native American savage. His mother Sycorax is a witch in exile from Algiers, while Caliban is a native to the New World whose name is derived from the word cannibal. This mingling of Africa and the Americas as sources of witchery continues into both the historical and pop cultural accounts of Salem, where an enslaved dark-skinned woman from Barbados, Tituba, was cast as the colony’s original witch, whose evil influence then infected other women and girls. While historians have debated whether Tituba actually had any African ancestors, she has been represented from the time of the Salem witch trials to contemporary times as a Black woman. This is a rare instance in the American cultural canon, and a telling anxiety, of ascribing an Indigeneity, that is a set of place-based non-Western traditions and practices, to Black women. Instead of the vacuum of history that the white settler enforces on the African Native during enslavement—through, among other things, stripping them of their names—their presence becomes a site for a slew of forbidden, dangerous, ancient magic in the context of colonial witch hunts. </w:t>
      </w:r>
      <w:r w:rsidRPr="00087A72">
        <w:rPr>
          <w:rStyle w:val="StyleUnderline"/>
        </w:rPr>
        <w:t>WHILE the ever expanding Western frontier may not be a feature in every witch movie I’ve discussed, in almost all of them the move away from a comfortable home is a precursor for falling into witchcraft. The trope of a perilous journey away from a familiar home illuminates another underlying American tradition that influences the conditions for the production of white witches: the wildly popular and widely circulated captivity narratives that were published from the 17th to 19th century. The stories mostly follow the same plot: A woman traveling to the frontier is captured by hostile and barbaric Natives whose way of life she is eventually seduced by, causing her to hesitate or even refuse to return to white society. The anxious fascination that drove the popular consumption of these narratives was based in the fear of an alliance between white women forgoing the settler project for Indigenous ways of life. The alliance that creates a sense of horror in these narratives is between those who can undo the reproductive necessities of colonial settlement. Reproductive crises, embodied by the savage and be-witching to the white woman, are the specter of captivity narratives of the past and contemporary tales of Wiccan women. The girls in witch-media are not only far from home but also often without a mother.</w:t>
      </w:r>
      <w:r w:rsidRPr="00087A72">
        <w:rPr>
          <w:sz w:val="12"/>
        </w:rPr>
        <w:t xml:space="preserve"> The dead or missing mom trope is a distinctly millennial anxiety that Shaun Scott, author of Millennials and the Moments that Made Us, argues follows from the greater number of women entering the workforce full time. The ascendant figure of the career woman spurs the constantly repeated question: Can women have it all?—a question vaguely evocative of witchy accusations, What are these women capable of? The dead mother Scott points to as marking a millennial anxiety about modern women’s role or lack thereof in the domestic sphere has a corollary in the dead baby that has been the mythical distillation of witchy evil. Witches steal babies, they eat babies, and they cover themselves in babies’ blood. </w:t>
      </w:r>
      <w:r w:rsidRPr="00087A72">
        <w:rPr>
          <w:rStyle w:val="StyleUnderline"/>
        </w:rPr>
        <w:t>Relatedly, Indigenous peoples were figured as cannibals throughout the contact and colonial period throughout the Americas. Their taste for human flesh was but one of the more savage acts that legitimized conquering by refined Europeans, whose cannibalistic episodes could be chalked up to aberrations spurred by the devilish landscape of the frontier. Indian practices and the practices of ambitious women threaten to undo the binding powers of the normal nuclear family, triggering both anxieties and obsessions with the figure of the witch.</w:t>
      </w:r>
      <w:r w:rsidRPr="00087A72">
        <w:rPr>
          <w:sz w:val="12"/>
        </w:rPr>
        <w:t xml:space="preserve"> The taking up of witchiness then makes sense at a time when more and more women may be delaying or opting out of motherhood. The depiction of witches in movies and TV more then seeks to assuage these anxieties by allowing witches to live normal, straight-women lives. </w:t>
      </w:r>
      <w:r w:rsidRPr="00087A72">
        <w:rPr>
          <w:rStyle w:val="StyleUnderline"/>
        </w:rPr>
        <w:t>For Indigenous and Black women, however, the shifting savage signifier has not quite slipped away. It still sticks to racialized bodies that signify other ways of organizing society.</w:t>
      </w:r>
      <w:r w:rsidRPr="00087A72">
        <w:rPr>
          <w:sz w:val="12"/>
        </w:rPr>
        <w:t xml:space="preserve"> Accusations that resonate with the title of heathen are now also hurled at Muslims both in America and abroad. Current projections by white Americans of a Muslim takeover harken back to the reconquista of Spain, a 700-year period when all Jewish and Muslim residents were expelled. The final years of the reconquista, the longest war in world history, overlapped with the colonial conquest of the Americas in the 1500s, and much of the language of savagery and rhetoric of conversion that conquistadors used against Natives had for generations been used by Catholics and other Christians seeking to expand their kingdoms in the name of Christ by violently repressing Islamic society. Islamophobia is not a recent political phenomenon in these lands—it has structured white American consciousness alongside the fear and fascination toward the Indian and African savage. </w:t>
      </w:r>
      <w:r w:rsidRPr="00087A72">
        <w:rPr>
          <w:rStyle w:val="Emphasis"/>
        </w:rPr>
        <w:t>While white women find pagan play empowering, those marked by the history of the heathen know what it is to be hunted. America is not a magical place, but its government can make people disappear.</w:t>
      </w:r>
    </w:p>
    <w:p w:rsidR="00CD7A9B" w:rsidRPr="00087A72" w:rsidRDefault="00CD7A9B" w:rsidP="00CD7A9B">
      <w:pPr>
        <w:pStyle w:val="Heading3"/>
      </w:pPr>
      <w:r w:rsidRPr="00087A72">
        <w:t xml:space="preserve">Link – </w:t>
      </w:r>
      <w:r w:rsidRPr="00087A72">
        <w:rPr>
          <w:i/>
        </w:rPr>
        <w:t>Mestizaje</w:t>
      </w:r>
      <w:r w:rsidRPr="00087A72">
        <w:t xml:space="preserve"> / Inclusion</w:t>
      </w:r>
    </w:p>
    <w:p w:rsidR="00934B8A" w:rsidRPr="00087A72" w:rsidRDefault="00FB18E0" w:rsidP="00934B8A">
      <w:pPr>
        <w:pStyle w:val="Heading4"/>
      </w:pPr>
      <w:r w:rsidRPr="00087A72">
        <w:t>Mestizaje is a genocidal discourse that, beneath a guise of inclusion, ontologizes the Indian as an anachronistic primitive who must be absorbed into the Settler body-politic now re-imagined with Brown skin—completing the Settler’s dream of becoming Indigenous.</w:t>
      </w:r>
      <w:r w:rsidR="00934B8A" w:rsidRPr="00087A72">
        <w:t xml:space="preserve"> </w:t>
      </w:r>
    </w:p>
    <w:p w:rsidR="00934B8A" w:rsidRPr="00087A72" w:rsidRDefault="00934B8A" w:rsidP="00934B8A">
      <w:r w:rsidRPr="00087A72">
        <w:rPr>
          <w:rStyle w:val="Style13ptBold"/>
        </w:rPr>
        <w:t>Chacon 17</w:t>
      </w:r>
      <w:r w:rsidRPr="00087A72">
        <w:t xml:space="preserve"> (Gloria, 2014-2015 Hellman Fellowship Award Recipient, Research Areas:  Indigenous literatures of the Americas; Chican@/Latin@ literary and cultural movements; Central American poetics and politics; US Central Americans; Latin American literary and cultural theories. “Metamestizaje and the narration of political movements from the south” issue 2, pp 182-200)</w:t>
      </w:r>
    </w:p>
    <w:p w:rsidR="00934B8A" w:rsidRPr="00087A72" w:rsidRDefault="00934B8A" w:rsidP="00934B8A">
      <w:pPr>
        <w:rPr>
          <w:sz w:val="12"/>
        </w:rPr>
      </w:pPr>
      <w:r w:rsidRPr="00087A72">
        <w:rPr>
          <w:sz w:val="12"/>
        </w:rPr>
        <w:t xml:space="preserve">Abstract </w:t>
      </w:r>
      <w:r w:rsidRPr="00087A72">
        <w:rPr>
          <w:rStyle w:val="Emphasis"/>
        </w:rPr>
        <w:t>This article analyzes the use of the ‘‘Indian’’ in three Chicana texts involved in romantic couplings that point to what I term as a ‘‘mestizaje’’ natu- ralized in the Southwest that necessitates a ‘‘metamestizaje’’ reading. A naturalized mestizaje allows the writers to interpellate Indian characters or racialized others from the south into the larger Latino family</w:t>
      </w:r>
      <w:r w:rsidRPr="00087A72">
        <w:rPr>
          <w:sz w:val="12"/>
        </w:rPr>
        <w:t xml:space="preserve">. I argue that by doing so, </w:t>
      </w:r>
      <w:r w:rsidRPr="00087A72">
        <w:rPr>
          <w:rStyle w:val="Emphasis"/>
        </w:rPr>
        <w:t>the novelists unwittingly erase Indigenous autonomy, language, and cultural histories, privileging a US brand of mestizo identity popularized in political discourse and cultural productions.</w:t>
      </w:r>
      <w:r w:rsidRPr="00087A72">
        <w:rPr>
          <w:sz w:val="12"/>
        </w:rPr>
        <w:t xml:space="preserve"> Indeed, I conclude that, ultimately, these novels are about Chicano and Latino disenfranchisement and not about solidarity and horizontal relationships with Indigenous communities in the south. This essay offers an analysis of how </w:t>
      </w:r>
      <w:r w:rsidRPr="00087A72">
        <w:rPr>
          <w:rStyle w:val="Emphasis"/>
        </w:rPr>
        <w:t>political and social movements from Mexico and Central America are figured through the trope of the Indian in three Chicana novels</w:t>
      </w:r>
      <w:r w:rsidRPr="00087A72">
        <w:rPr>
          <w:sz w:val="12"/>
        </w:rPr>
        <w:t>. In particular, I focus on the fictionalized romances in Graciela Limo´n’s Erased Faces (</w:t>
      </w:r>
      <w:hyperlink w:anchor="_bookmark29" w:history="1">
        <w:r w:rsidRPr="00087A72">
          <w:rPr>
            <w:rStyle w:val="Hyperlink"/>
            <w:sz w:val="12"/>
          </w:rPr>
          <w:t>2001</w:t>
        </w:r>
      </w:hyperlink>
      <w:r w:rsidRPr="00087A72">
        <w:rPr>
          <w:sz w:val="12"/>
        </w:rPr>
        <w:t>), Ana Castillo’s Sapogonia (</w:t>
      </w:r>
      <w:hyperlink w:anchor="_bookmark16" w:history="1">
        <w:r w:rsidRPr="00087A72">
          <w:rPr>
            <w:rStyle w:val="Hyperlink"/>
            <w:sz w:val="12"/>
          </w:rPr>
          <w:t>1994a</w:t>
        </w:r>
      </w:hyperlink>
      <w:r w:rsidRPr="00087A72">
        <w:rPr>
          <w:sz w:val="12"/>
        </w:rPr>
        <w:t>), and Demetria Martinez’s Mother Tongue (</w:t>
      </w:r>
      <w:hyperlink w:anchor="_bookmark31" w:history="1">
        <w:r w:rsidRPr="00087A72">
          <w:rPr>
            <w:rStyle w:val="Hyperlink"/>
            <w:sz w:val="12"/>
          </w:rPr>
          <w:t>1997</w:t>
        </w:r>
      </w:hyperlink>
      <w:r w:rsidRPr="00087A72">
        <w:rPr>
          <w:sz w:val="12"/>
        </w:rPr>
        <w:t xml:space="preserve">). Collectively, these novels’ characters and their dramas take us beyond romantic racial relations set in the l980s and 1990s. Instead, I </w:t>
      </w:r>
      <w:r w:rsidRPr="00087A72">
        <w:rPr>
          <w:rStyle w:val="Emphasis"/>
        </w:rPr>
        <w:t>propose to show that indigenismo and mestizaje represent two vectors connecting to historical events (i.e., the encounter) and the political ideologies that prescribe the whitening</w:t>
      </w:r>
      <w:r w:rsidRPr="00087A72">
        <w:rPr>
          <w:b/>
          <w:iCs/>
          <w:u w:val="single"/>
        </w:rPr>
        <w:t xml:space="preserve"> </w:t>
      </w:r>
      <w:r w:rsidRPr="00087A72">
        <w:rPr>
          <w:rStyle w:val="Emphasis"/>
        </w:rPr>
        <w:t>of Indians and Blacks in Latin America</w:t>
      </w:r>
      <w:r w:rsidRPr="00087A72">
        <w:rPr>
          <w:sz w:val="12"/>
        </w:rPr>
        <w:t xml:space="preserve"> (mestizaje). </w:t>
      </w:r>
      <w:r w:rsidRPr="00087A72">
        <w:rPr>
          <w:rStyle w:val="Emphasis"/>
        </w:rPr>
        <w:t>Simultaneously, the narratives speak to a US complexity of relations of migration, racial politics, language, and solidarity in the Global South that constitute what I am advancing as ‘‘metames- tizaje.’’</w:t>
      </w:r>
      <w:hyperlink w:anchor="_bookmark0" w:history="1">
        <w:r w:rsidRPr="00087A72">
          <w:rPr>
            <w:rStyle w:val="Emphasis"/>
          </w:rPr>
          <w:t xml:space="preserve">1 </w:t>
        </w:r>
      </w:hyperlink>
      <w:r w:rsidRPr="00087A72">
        <w:rPr>
          <w:rStyle w:val="Emphasis"/>
        </w:rPr>
        <w:t>Metamestizaje is the concept</w:t>
      </w:r>
      <w:r w:rsidRPr="00087A72">
        <w:rPr>
          <w:sz w:val="12"/>
        </w:rPr>
        <w:t xml:space="preserve"> I propose </w:t>
      </w:r>
      <w:r w:rsidRPr="00087A72">
        <w:rPr>
          <w:rStyle w:val="Emphasis"/>
        </w:rPr>
        <w:t>to refer to the need to think beyond this racial discourse as always already at play in the Americas. I am also using it here to think through its difference between the United States and Latin America.</w:t>
      </w:r>
      <w:r w:rsidRPr="00087A72">
        <w:rPr>
          <w:sz w:val="12"/>
        </w:rPr>
        <w:t xml:space="preserve"> In the context of this essay, </w:t>
      </w:r>
      <w:r w:rsidRPr="00087A72">
        <w:rPr>
          <w:rStyle w:val="Emphasis"/>
        </w:rPr>
        <w:t>I also deploy metamestizaje as a commentary on a commentary that readers need to interrogate as a given.</w:t>
      </w:r>
      <w:r w:rsidRPr="00087A72">
        <w:rPr>
          <w:sz w:val="12"/>
        </w:rPr>
        <w:t xml:space="preserve"> It is not that these novels necessarily go beyond mestizaje, but rather that</w:t>
      </w:r>
      <w:r w:rsidRPr="00087A72">
        <w:rPr>
          <w:rStyle w:val="Emphasis"/>
        </w:rPr>
        <w:t>, in their attempts to transgress north/south, queer/straight, Chicano/Indigenous differences, they push the readers toward a metamestizaje</w:t>
      </w:r>
      <w:r w:rsidRPr="00087A72">
        <w:rPr>
          <w:sz w:val="12"/>
        </w:rPr>
        <w:t xml:space="preserve">. The novels’ </w:t>
      </w:r>
      <w:r w:rsidRPr="00087A72">
        <w:rPr>
          <w:rStyle w:val="Emphasis"/>
        </w:rPr>
        <w:t>limitations force readers to contemplate and meditate on those differences</w:t>
      </w:r>
      <w:r w:rsidRPr="00087A72">
        <w:rPr>
          <w:sz w:val="12"/>
        </w:rPr>
        <w:t>. In resonance with Hayden White’s Metahistory (</w:t>
      </w:r>
      <w:hyperlink w:anchor="_bookmark55" w:history="1">
        <w:r w:rsidRPr="00087A72">
          <w:rPr>
            <w:rStyle w:val="Hyperlink"/>
            <w:sz w:val="12"/>
          </w:rPr>
          <w:t>1975</w:t>
        </w:r>
      </w:hyperlink>
      <w:r w:rsidRPr="00087A72">
        <w:rPr>
          <w:sz w:val="12"/>
        </w:rPr>
        <w:t xml:space="preserve">), </w:t>
      </w:r>
      <w:r w:rsidRPr="00087A72">
        <w:rPr>
          <w:rStyle w:val="Emphasis"/>
        </w:rPr>
        <w:t>I see these novels as containing structural elements beyond the stories themselves; in our context, the elements are about uneven power relations in multiple axes</w:t>
      </w:r>
      <w:r w:rsidRPr="00087A72">
        <w:rPr>
          <w:sz w:val="12"/>
        </w:rPr>
        <w:t xml:space="preserve"> (pp. 7–8). Relatedly, </w:t>
      </w:r>
      <w:r w:rsidRPr="00087A72">
        <w:rPr>
          <w:rStyle w:val="Emphasis"/>
        </w:rPr>
        <w:t>the function of indigenismo and mestizaje</w:t>
      </w:r>
      <w:r w:rsidRPr="00087A72">
        <w:rPr>
          <w:sz w:val="12"/>
        </w:rPr>
        <w:t xml:space="preserve"> in these novels </w:t>
      </w:r>
      <w:r w:rsidRPr="00087A72">
        <w:rPr>
          <w:rStyle w:val="Emphasis"/>
        </w:rPr>
        <w:t>serves as a ‘‘metalanguage’’ discursivity</w:t>
      </w:r>
      <w:r w:rsidRPr="00087A72">
        <w:rPr>
          <w:sz w:val="12"/>
        </w:rPr>
        <w:t xml:space="preserve">. Evelyn Brooks Higginbotham deploys </w:t>
      </w:r>
      <w:r w:rsidRPr="00087A72">
        <w:rPr>
          <w:rStyle w:val="Emphasis"/>
        </w:rPr>
        <w:t>‘‘metalanguage’’ as a double discourse, ‘‘serving the voice of black oppression and the voice of black liberation’’</w:t>
      </w:r>
      <w:r w:rsidRPr="00087A72">
        <w:rPr>
          <w:sz w:val="12"/>
        </w:rPr>
        <w:t xml:space="preserve"> (</w:t>
      </w:r>
      <w:hyperlink w:anchor="_bookmark15" w:history="1">
        <w:r w:rsidRPr="00087A72">
          <w:rPr>
            <w:rStyle w:val="Hyperlink"/>
            <w:sz w:val="12"/>
          </w:rPr>
          <w:t>1992</w:t>
        </w:r>
      </w:hyperlink>
      <w:r w:rsidRPr="00087A72">
        <w:rPr>
          <w:sz w:val="12"/>
        </w:rPr>
        <w:t xml:space="preserve">, p. 267). In the novels, </w:t>
      </w:r>
      <w:r w:rsidRPr="00087A72">
        <w:rPr>
          <w:rStyle w:val="Emphasis"/>
        </w:rPr>
        <w:t xml:space="preserve">the explicit engagement with </w:t>
      </w:r>
      <w:r w:rsidRPr="00087A72">
        <w:rPr>
          <w:rStyle w:val="Emphasis"/>
          <w:strike/>
        </w:rPr>
        <w:t>indigenismo</w:t>
      </w:r>
      <w:r w:rsidRPr="00087A72">
        <w:rPr>
          <w:rStyle w:val="Emphasis"/>
        </w:rPr>
        <w:t xml:space="preserve"> and </w:t>
      </w:r>
      <w:r w:rsidRPr="00087A72">
        <w:rPr>
          <w:rStyle w:val="Emphasis"/>
          <w:strike/>
        </w:rPr>
        <w:t>mestizaje</w:t>
      </w:r>
      <w:r w:rsidRPr="00087A72">
        <w:rPr>
          <w:rStyle w:val="Emphasis"/>
        </w:rPr>
        <w:t xml:space="preserve"> works similarly—as both have served to articulate an antiracism struggle in the United States by Chicanos/Latinos, while at the same erasing Native American and Indigenous subjects</w:t>
      </w:r>
      <w:r w:rsidRPr="00087A72">
        <w:rPr>
          <w:sz w:val="12"/>
        </w:rPr>
        <w:t xml:space="preserve">. In Latin America, </w:t>
      </w:r>
      <w:r w:rsidRPr="00087A72">
        <w:rPr>
          <w:rStyle w:val="Emphasis"/>
        </w:rPr>
        <w:t xml:space="preserve">progressive intellectuals espoused indigenismo to shed light on the exploitation of Indigenous peoples by depicting them as perpetual victims. </w:t>
      </w:r>
      <w:r w:rsidRPr="00087A72">
        <w:rPr>
          <w:sz w:val="12"/>
        </w:rPr>
        <w:t>In the novels</w:t>
      </w:r>
      <w:r w:rsidRPr="00087A72">
        <w:rPr>
          <w:rStyle w:val="Emphasis"/>
        </w:rPr>
        <w:t>, the use of mestizaje and indigenist discourses allows</w:t>
      </w:r>
      <w:r w:rsidRPr="00087A72">
        <w:rPr>
          <w:sz w:val="12"/>
        </w:rPr>
        <w:t xml:space="preserve"> the authors </w:t>
      </w:r>
      <w:r w:rsidRPr="00087A72">
        <w:rPr>
          <w:rStyle w:val="Emphasis"/>
        </w:rPr>
        <w:t>to plot social and political conflicts with mixed results because they reflect a metalanguage discourse in the process. In appropriating Latin American indi- genismo, these novels purport to challenge US Whiteness while perpetuating the dominant Latin American narrative of mixing that seeks to annihilate Indigenous peoples in Mesoamerica by absorption</w:t>
      </w:r>
      <w:r w:rsidRPr="00087A72">
        <w:rPr>
          <w:sz w:val="12"/>
        </w:rPr>
        <w:t xml:space="preserve">. Put differently, this essay argues that the </w:t>
      </w:r>
      <w:r w:rsidRPr="00087A72">
        <w:rPr>
          <w:rStyle w:val="Emphasis"/>
        </w:rPr>
        <w:t>novels serve as commentaries on a reified historical mestizaje—assuming cultural and racial mixture,</w:t>
      </w:r>
      <w:r w:rsidRPr="00087A72">
        <w:rPr>
          <w:sz w:val="12"/>
        </w:rPr>
        <w:t xml:space="preserve"> </w:t>
      </w:r>
      <w:r w:rsidRPr="00087A72">
        <w:rPr>
          <w:rStyle w:val="Emphasis"/>
        </w:rPr>
        <w:t>as always</w:t>
      </w:r>
      <w:r w:rsidRPr="00087A72">
        <w:rPr>
          <w:sz w:val="12"/>
        </w:rPr>
        <w:t xml:space="preserve"> already in situ in the Southwest</w:t>
      </w:r>
      <w:r w:rsidRPr="00087A72">
        <w:rPr>
          <w:rStyle w:val="Emphasis"/>
        </w:rPr>
        <w:t>, that does not need to account for Indigenous autonomy or national, linguistic, or cultural difference. Identity or political differences simply become absorbed through mestizaje</w:t>
      </w:r>
      <w:r w:rsidRPr="00087A72">
        <w:rPr>
          <w:sz w:val="12"/>
        </w:rPr>
        <w:t xml:space="preserve">. </w:t>
      </w:r>
      <w:r w:rsidRPr="00087A72">
        <w:rPr>
          <w:rStyle w:val="Emphasis"/>
        </w:rPr>
        <w:t>The novels, then, contribute to a metamestizaje, serving as commentaries built on commentaries of a historical mixing. In this sense, they reproduce</w:t>
      </w:r>
      <w:r w:rsidRPr="00087A72">
        <w:rPr>
          <w:sz w:val="12"/>
        </w:rPr>
        <w:t xml:space="preserve"> what Diana Taylor terms ‘‘</w:t>
      </w:r>
      <w:r w:rsidRPr="00087A72">
        <w:rPr>
          <w:rStyle w:val="Emphasis"/>
        </w:rPr>
        <w:t>scenarios of discovery’’ that become ‘‘predictable, formulaic’’</w:t>
      </w:r>
      <w:r w:rsidRPr="00087A72">
        <w:rPr>
          <w:sz w:val="12"/>
        </w:rPr>
        <w:t xml:space="preserve"> (</w:t>
      </w:r>
      <w:hyperlink w:anchor="_bookmark50" w:history="1">
        <w:r w:rsidRPr="00087A72">
          <w:rPr>
            <w:rStyle w:val="Hyperlink"/>
            <w:sz w:val="12"/>
          </w:rPr>
          <w:t>2003</w:t>
        </w:r>
      </w:hyperlink>
      <w:r w:rsidRPr="00087A72">
        <w:rPr>
          <w:sz w:val="12"/>
        </w:rPr>
        <w:t xml:space="preserve">, p. 13). </w:t>
      </w:r>
      <w:r w:rsidRPr="00087A72">
        <w:rPr>
          <w:rStyle w:val="Emphasis"/>
        </w:rPr>
        <w:t>These</w:t>
      </w:r>
      <w:r w:rsidRPr="00087A72">
        <w:rPr>
          <w:sz w:val="12"/>
        </w:rPr>
        <w:t xml:space="preserve"> three </w:t>
      </w:r>
      <w:r w:rsidRPr="00087A72">
        <w:rPr>
          <w:rStyle w:val="Emphasis"/>
        </w:rPr>
        <w:t xml:space="preserve">novels turn to a racialized discourse—though not always using the same terms </w:t>
      </w:r>
      <w:r w:rsidRPr="00087A72">
        <w:rPr>
          <w:sz w:val="12"/>
        </w:rPr>
        <w:t>with which Taylor describes the participants (i.e., the White male and Brown subjects)—</w:t>
      </w:r>
      <w:r w:rsidRPr="00087A72">
        <w:rPr>
          <w:rStyle w:val="Emphasis"/>
        </w:rPr>
        <w:t xml:space="preserve">that writers deploy to restage the European encounter with Indigenous peoples in the Americas and ideas of racial mixing through romantic </w:t>
      </w:r>
      <w:bookmarkStart w:id="42" w:name="_bookmark0"/>
      <w:bookmarkEnd w:id="42"/>
      <w:r w:rsidRPr="00087A72">
        <w:rPr>
          <w:rStyle w:val="Emphasis"/>
        </w:rPr>
        <w:t>couplings</w:t>
      </w:r>
      <w:r w:rsidRPr="00087A72">
        <w:rPr>
          <w:sz w:val="12"/>
        </w:rPr>
        <w:t>. The writers under examination return to this event represented by the</w:t>
      </w:r>
      <w:r w:rsidRPr="00087A72">
        <w:rPr>
          <w:b/>
          <w:iCs/>
          <w:u w:val="single"/>
        </w:rPr>
        <w:t xml:space="preserve"> </w:t>
      </w:r>
      <w:r w:rsidRPr="00087A72">
        <w:rPr>
          <w:sz w:val="12"/>
        </w:rPr>
        <w:t xml:space="preserve">ultimate historical romance played by Corte´s and La Malinche, but transpose it on to modern day romances—in which the couples involve heterosexual or homosexual unions and, most importantly, present </w:t>
      </w:r>
      <w:r w:rsidRPr="00087A72">
        <w:rPr>
          <w:rStyle w:val="Emphasis"/>
        </w:rPr>
        <w:t>the US mestizo as the character with agency</w:t>
      </w:r>
      <w:r w:rsidRPr="00087A72">
        <w:rPr>
          <w:sz w:val="12"/>
        </w:rPr>
        <w:t xml:space="preserve">. In engaging with the politics of the south, the novelists ascribe an identity to the protagonists that is predicated on an understanding of ‘‘Indianness’’ as a biological identity informed by North American theories about blood quantum and historical miscegenation. </w:t>
      </w:r>
      <w:r w:rsidRPr="00087A72">
        <w:rPr>
          <w:rStyle w:val="Emphasis"/>
        </w:rPr>
        <w:t>Writers subsequently map these ideas on to the characters of the south, reinforcing established racial notions implicit in a mixed-race discourse that allow the authors to interpellate Indigenous subjects into the stories without necessarily knowing their specific nation or language.</w:t>
      </w:r>
      <w:r w:rsidRPr="00087A72">
        <w:rPr>
          <w:sz w:val="12"/>
        </w:rPr>
        <w:t xml:space="preserve"> </w:t>
      </w:r>
      <w:r w:rsidRPr="00087A72">
        <w:rPr>
          <w:rStyle w:val="Emphasis"/>
        </w:rPr>
        <w:t>The romantic couplings of mestizo and Indigenous characters in these novels metaphorically evoke the ‘‘mirror stage’’ in the Lacanian sense, but with the main difference that ‘‘the other’’ in the mirror is also involved in a struggle to assert his or her subjectivity in real life, and ultimately in the world of the stories.</w:t>
      </w:r>
      <w:r w:rsidRPr="00087A72">
        <w:rPr>
          <w:sz w:val="12"/>
        </w:rPr>
        <w:t xml:space="preserve"> The romances fail precisely because it is the US mestizo identity that is privileged in the end of the novels; hence, </w:t>
      </w:r>
      <w:r w:rsidRPr="00087A72">
        <w:rPr>
          <w:rStyle w:val="Emphasis"/>
        </w:rPr>
        <w:t>mestizaje serves to deny Indigenous subjectivity</w:t>
      </w:r>
      <w:r w:rsidRPr="00087A72">
        <w:rPr>
          <w:sz w:val="12"/>
        </w:rPr>
        <w:t xml:space="preserve">. The main goal of this essay is </w:t>
      </w:r>
      <w:r w:rsidRPr="00087A72">
        <w:rPr>
          <w:rStyle w:val="Emphasis"/>
        </w:rPr>
        <w:t>to depict the complex racial, class, ethnic, and sexual relations that structure identities where a mestizo and Indigenous subjectivity may, in a US Chicano/Latino context, seem to operate in a horizontal continuum, while in other contexts, it operates in opposition</w:t>
      </w:r>
      <w:r w:rsidRPr="00087A72">
        <w:rPr>
          <w:sz w:val="12"/>
        </w:rPr>
        <w:t>.</w:t>
      </w:r>
      <w:hyperlink w:anchor="_bookmark1" w:history="1">
        <w:r w:rsidRPr="00087A72">
          <w:rPr>
            <w:rStyle w:val="Hyperlink"/>
            <w:sz w:val="12"/>
          </w:rPr>
          <w:t>2</w:t>
        </w:r>
      </w:hyperlink>
      <w:r w:rsidRPr="00087A72">
        <w:rPr>
          <w:sz w:val="12"/>
        </w:rPr>
        <w:t xml:space="preserve"> Political movements from both Chiapas, Mexico, and Central America coincide temporally and spatially, thus I analyze them together—even if scholars tend to treat them separately.</w:t>
      </w:r>
      <w:hyperlink w:anchor="_bookmark2" w:history="1">
        <w:r w:rsidRPr="00087A72">
          <w:rPr>
            <w:rStyle w:val="Hyperlink"/>
            <w:sz w:val="12"/>
          </w:rPr>
          <w:t xml:space="preserve">3 </w:t>
        </w:r>
      </w:hyperlink>
      <w:r w:rsidRPr="00087A72">
        <w:rPr>
          <w:sz w:val="12"/>
        </w:rPr>
        <w:t xml:space="preserve">I find it productive to examine them together because, tellingly, they function in the novels in similar racialized terms. By emphasizing an Indian phenotype, these novels unwittingly advance a way of thinking of Mesoamerica as a particularly distinct region. In that regard, peoples in Mesoamerica share more commonalities than they do differences, because they ineluctably hail from less White, less urban, and less wealthy centers. However, in the novels, </w:t>
      </w:r>
      <w:r w:rsidRPr="00087A72">
        <w:rPr>
          <w:rStyle w:val="Emphasis"/>
        </w:rPr>
        <w:t>the rich multiplicity of languages and peoples in Mesoamerica becomes homogenized in favor of a generic Indianness.</w:t>
      </w:r>
      <w:r w:rsidRPr="00087A72">
        <w:rPr>
          <w:rStyle w:val="Emphasis"/>
          <w:sz w:val="12"/>
          <w:u w:val="none"/>
        </w:rPr>
        <w:t xml:space="preserve"> </w:t>
      </w:r>
      <w:r w:rsidRPr="00087A72">
        <w:rPr>
          <w:rStyle w:val="Emphasis"/>
        </w:rPr>
        <w:t>This homogenization contrasts with how Indigenous intellectuals animate indigeneity based on the centrality of linguistic diversity, territories, and cultures</w:t>
      </w:r>
      <w:r w:rsidRPr="00087A72">
        <w:rPr>
          <w:sz w:val="12"/>
        </w:rPr>
        <w:t xml:space="preserve">. Strikingly, in these three novels, a Maya can stand in for a Kechua/Kichua and a Nahua for a Mixtec. While the tenets underpinning Indigenous identity claims may be problematized through the realities of immigration, displacement, or intercultural realities, they nonetheless form the basis of an articulated Indigenous difference in Latin America. </w:t>
      </w:r>
      <w:r w:rsidRPr="00087A72">
        <w:rPr>
          <w:rStyle w:val="Emphasis"/>
        </w:rPr>
        <w:t>The authors deploy politics from the south to reenergize their own indigenist discourse, countering Anglo racism in the United States. The racial discourse reproduced in these texts is informed by a consumption of an Indian image removed from any Indigenous agency in Latin America. The marginalized economic and</w:t>
      </w:r>
      <w:bookmarkStart w:id="43" w:name="_bookmark1"/>
      <w:bookmarkStart w:id="44" w:name="_bookmark2"/>
      <w:bookmarkEnd w:id="43"/>
      <w:bookmarkEnd w:id="44"/>
      <w:r w:rsidRPr="00087A72">
        <w:rPr>
          <w:rStyle w:val="Emphasis"/>
          <w:b w:val="0"/>
          <w:iCs w:val="0"/>
          <w:sz w:val="12"/>
          <w:u w:val="none"/>
        </w:rPr>
        <w:t xml:space="preserve"> </w:t>
      </w:r>
      <w:r w:rsidRPr="00087A72">
        <w:rPr>
          <w:rStyle w:val="Emphasis"/>
        </w:rPr>
        <w:t>social status of Chicanos in the United States as mestizos allows them to assume and imagine a horizontal relationship with Indigenous peoples in the south and the north</w:t>
      </w:r>
      <w:r w:rsidRPr="00087A72">
        <w:rPr>
          <w:sz w:val="12"/>
        </w:rPr>
        <w:t xml:space="preserve">, which makes sense when considering the marginal subject position Chicanos/ Latinos occupy in Anglo society. </w:t>
      </w:r>
      <w:r w:rsidRPr="00087A72">
        <w:rPr>
          <w:rStyle w:val="Emphasis"/>
        </w:rPr>
        <w:t>However, the hegemonic use of mestizos as ideal subjects in Latin American nationalist discourses gets deflected in these narratives</w:t>
      </w:r>
      <w:r w:rsidRPr="00087A72">
        <w:rPr>
          <w:sz w:val="12"/>
        </w:rPr>
        <w:t xml:space="preserve">. </w:t>
      </w:r>
      <w:r w:rsidRPr="00087A72">
        <w:rPr>
          <w:rStyle w:val="Emphasis"/>
        </w:rPr>
        <w:t>In Latin America, Indigenous scholars argue that to claim everyone is a mestiza/o or mixed undermines their experience of racism.</w:t>
      </w:r>
      <w:r w:rsidRPr="00087A72">
        <w:rPr>
          <w:sz w:val="12"/>
        </w:rPr>
        <w:t xml:space="preserve"> Predictably, the love stories driving these narratives prove impossible, because it is the Chicano characters, through the relationship with the other from the south, who become empowered, while the Indigenous or the racialized other from the south disappears or dies in the narrative. In Erased Faces, Adriana begins her identity search in the Hopi Reservation, but it is in the south that she finally comes to terms with her identity. In Castillo’s Sapogonia, Max Madrigal serves as Pastora’s mirror, a Chicana from Chicago with Indigenous roots. While he is less interested in his Mayan roots, she embraces her Yaqui ancestor more intently. Nonetheless, once she becomes a full subject through her experience with the other from the south, Max fades away as a character at the end of the novel. In Mother Tongue the Indigenous other from the south, with his ‘‘Mayan cheekbones with hazel eyes,’’ disappears after the Chicana protagonist also comes into her own as a woman and activist, hinting that he may be alive somewhere outside the United States (Maria receives a letter from Canada at the end of the novel). In all of the novels, the romances prove impossible, privileging the survival of the Latino/a characters that will continue the struggle.</w:t>
      </w:r>
    </w:p>
    <w:p w:rsidR="00CD7A9B" w:rsidRPr="00087A72" w:rsidRDefault="00CD7A9B" w:rsidP="00CD7A9B">
      <w:pPr>
        <w:pStyle w:val="Heading4"/>
        <w:rPr>
          <w:rStyle w:val="Style13ptBold"/>
          <w:b/>
        </w:rPr>
      </w:pPr>
      <w:r w:rsidRPr="00087A72">
        <w:rPr>
          <w:rStyle w:val="Style13ptBold"/>
          <w:b/>
          <w:i/>
        </w:rPr>
        <w:t>Mestizaje</w:t>
      </w:r>
      <w:r w:rsidRPr="00087A72">
        <w:rPr>
          <w:rStyle w:val="Style13ptBold"/>
          <w:b/>
        </w:rPr>
        <w:t xml:space="preserve"> is a colonial strategy used to erase indigenous folk or establish them as a part of history any sort of racial integration serves to control and assimilate </w:t>
      </w:r>
    </w:p>
    <w:p w:rsidR="00CD7A9B" w:rsidRPr="00087A72" w:rsidRDefault="00CD7A9B" w:rsidP="00CD7A9B">
      <w:pPr>
        <w:rPr>
          <w:rStyle w:val="Style13ptBold"/>
        </w:rPr>
      </w:pPr>
      <w:r w:rsidRPr="00087A72">
        <w:rPr>
          <w:rStyle w:val="Style13ptBold"/>
        </w:rPr>
        <w:t xml:space="preserve">Speed, 2017 </w:t>
      </w:r>
      <w:r w:rsidRPr="00087A72">
        <w:rPr>
          <w:rStyle w:val="Style13ptBold"/>
          <w:sz w:val="20"/>
          <w:szCs w:val="20"/>
        </w:rPr>
        <w:t xml:space="preserve">(Shannon, Assistant Professor of Anthropology at the University of Texas at Austin, “Structures of Settler Capitalism in Abya Yala”, </w:t>
      </w:r>
      <w:r w:rsidRPr="00087A72">
        <w:rPr>
          <w:rStyle w:val="Style13ptBold"/>
          <w:i/>
          <w:sz w:val="20"/>
          <w:szCs w:val="20"/>
        </w:rPr>
        <w:t xml:space="preserve">American Quarterly, </w:t>
      </w:r>
      <w:r w:rsidRPr="00087A72">
        <w:rPr>
          <w:rStyle w:val="Style13ptBold"/>
          <w:sz w:val="20"/>
          <w:szCs w:val="20"/>
        </w:rPr>
        <w:t>Vol. 69, No. 4, pp. 786-788) [SP]</w:t>
      </w:r>
    </w:p>
    <w:p w:rsidR="00CD7A9B" w:rsidRPr="00087A72" w:rsidRDefault="00CD7A9B" w:rsidP="00CD7A9B">
      <w:pPr>
        <w:rPr>
          <w:sz w:val="16"/>
        </w:rPr>
      </w:pPr>
      <w:r w:rsidRPr="00087A72">
        <w:rPr>
          <w:u w:val="single"/>
        </w:rPr>
        <w:t>Another matter often raised to avoid a common framing of Abya Yala as settler is that processes of racialization, particularly the question of mestizaje (racial mixing) in Latin America, blur the settler–settled divide.</w:t>
      </w:r>
      <w:r w:rsidRPr="00087A72">
        <w:rPr>
          <w:sz w:val="16"/>
        </w:rPr>
        <w:t xml:space="preserve"> To accept this at face value is to drink the Kool-Aid of nation-state hegemonic ideologies, and far more re ection needs to go into the relationship of these processes in the “north” and “south.” Of course, Wolfe raised the distinction between co- lonialism based on land and based on labor to signal a distinction that is more profound: that the underlying logics structuring societies based on different types of colonialism give rise to distinct social relations, forms of oppression, and affective understandings and subjectivities.11 </w:t>
      </w:r>
      <w:r w:rsidRPr="00087A72">
        <w:rPr>
          <w:u w:val="single"/>
        </w:rPr>
        <w:t>In a general sense, in extractive regimes there is an inherent impetus to maintain and control the productive power of a labor force, and thus ongoing subordination operationalizes social relations. In settler regimes concerned with occupying the land, the impetus is to dispossess and eliminate. Destroy to replace</w:t>
      </w:r>
      <w:r w:rsidRPr="00087A72">
        <w:rPr>
          <w:sz w:val="16"/>
        </w:rPr>
        <w:t xml:space="preserve">. Presumably, then, the racial and gender tropes that emerged in support of these projects should have been fundamentally different, and they have been generally understood to be so. </w:t>
      </w:r>
      <w:r w:rsidRPr="00087A72">
        <w:rPr>
          <w:u w:val="single"/>
        </w:rPr>
        <w:t>Yet, when we look at the countries throughout the Americas, what we see instead is a fair bit of similarity in the racialization of indigenous peoples as uncivilized and savage, unfit for modern life and thus doomed to fade into extinction.</w:t>
      </w:r>
      <w:r w:rsidRPr="00087A72">
        <w:rPr>
          <w:sz w:val="16"/>
        </w:rPr>
        <w:t xml:space="preserve"> (Corresponding gender tropes of indigenous women as subordinate and inherently subject to settler violation are equally present throughout the hemisphere.) </w:t>
      </w:r>
      <w:r w:rsidRPr="00087A72">
        <w:rPr>
          <w:u w:val="single"/>
        </w:rPr>
        <w:t>How those tropes have developed and been deployed over distinct histories and landscapes is not uniform, but they nevertheless were directed to similar aims of Native elimination through direct physical or assimilation</w:t>
      </w:r>
      <w:r w:rsidRPr="00087A72">
        <w:rPr>
          <w:sz w:val="16"/>
        </w:rPr>
        <w:t xml:space="preserve">- ist violences, and to the ongoing control of what Lorenzo Veracini tactlessly dubbed “remnant populations.”12However, while the underlying premises of racialization were similar, na- tional ideologies regarding race were (are) distinct, particularly around mis- cegenation. While in the Anglophone Americas widespread racial mixing was downplayed, and understood to eliminate Indianness (in a reverse logic of the one-drop rule), </w:t>
      </w:r>
      <w:r w:rsidRPr="00087A72">
        <w:rPr>
          <w:u w:val="single"/>
        </w:rPr>
        <w:t>in much of Latin America racial mixing, or mestizaje, became the myth of national integration. Mestizaje was a racial ideology consciously put forward by criollo elites seeking to consolidate national identity in newly “independent” states</w:t>
      </w:r>
      <w:r w:rsidRPr="00087A72">
        <w:rPr>
          <w:sz w:val="16"/>
        </w:rPr>
        <w:t xml:space="preserve"> characterized by the presence of large and diverse popula- tions that did not identify with the national polity (e.g., “Mexican” or “Central American”).13 </w:t>
      </w:r>
      <w:r w:rsidRPr="00087A72">
        <w:rPr>
          <w:u w:val="single"/>
        </w:rPr>
        <w:t>The idea of a racial mix of Indian and Spaniard thus became the hegemonic belief that there was one race, rendering indigenous peoples a part of the racial mix and historic past.</w:t>
      </w:r>
      <w:r w:rsidRPr="00087A72">
        <w:rPr>
          <w:sz w:val="16"/>
        </w:rPr>
        <w:t xml:space="preserve"> María Jose na Saldaña-Portillo usefully traces the different racialization processes taking place in Mesoamerica and the United States, highlighting how </w:t>
      </w:r>
      <w:r w:rsidRPr="00087A72">
        <w:rPr>
          <w:u w:val="single"/>
        </w:rPr>
        <w:t>different racial categories served distinct but coordinated colonial ends and, far from describing racial difference, in fact productively constituted</w:t>
      </w:r>
      <w:r w:rsidRPr="00087A72">
        <w:rPr>
          <w:sz w:val="16"/>
        </w:rPr>
        <w:t xml:space="preserve"> it.14 </w:t>
      </w:r>
      <w:r w:rsidRPr="00087A72">
        <w:rPr>
          <w:u w:val="single"/>
        </w:rPr>
        <w:t>While analysts have tended to view mestizaje as something that distinguishes Latin America from the US experience, it should be pointed out that racial mixing as an assimilationist strategy of Native elimina- tion became a force in practice in most Latin American countries at the same time it did in the United States</w:t>
      </w:r>
      <w:r w:rsidRPr="00087A72">
        <w:rPr>
          <w:sz w:val="16"/>
        </w:rPr>
        <w:t>—in the mid-nineteenth century—enjoyed its strongest period in the early part of the twentieth century, and was deployed in strikingly similar ways and directed to the same ends of elimination. The major difference—as Saldaña elucidates</w:t>
      </w:r>
      <w:r w:rsidRPr="00087A72">
        <w:rPr>
          <w:rFonts w:cs="Georgia"/>
          <w:sz w:val="16"/>
        </w:rPr>
        <w:t>—</w:t>
      </w:r>
      <w:r w:rsidRPr="00087A72">
        <w:rPr>
          <w:sz w:val="16"/>
        </w:rPr>
        <w:t xml:space="preserve">was that </w:t>
      </w:r>
      <w:r w:rsidRPr="00087A72">
        <w:rPr>
          <w:u w:val="single"/>
        </w:rPr>
        <w:t>Latin American states discursively retained indigeneity as part of the identity mix (albeit in ways that rendered living Indians a part of the historic past), while in the United States indigeneity was discursively eliminated (by mixing with whites, Indians literally disappeared).</w:t>
      </w:r>
      <w:r w:rsidRPr="00087A72">
        <w:rPr>
          <w:sz w:val="16"/>
        </w:rPr>
        <w:t xml:space="preserve"> This has played out differently in different countries, of course: Mexico is notably different from Guatemala, where settler culture lent itself to a more apartheid regime, leading eventually to a genocide in the later twentieth century. In other countries of Central America, logics and practices of elimination were also at work, both through combinations of the ideology of mestizaje combined with overt killing and repression, as in El Salvador in the 1930s, or mestizaje and geographic isolation, as Afro-descendant and indig- enous groups on the Atlantic Coast were largely shut out of the mestizo state in Honduras, Nicaragua, and Costa Rica. While all of these are generalizations</w:t>
      </w:r>
      <w:r w:rsidRPr="00087A72">
        <w:rPr>
          <w:u w:val="single"/>
        </w:rPr>
        <w:t>, I outline them here to note that these dynamics are quite consistent with those underway in other settler states, including the United States. In Latin America, as elsewhere on the continent, white European settlers invaded, occupied, and stayed. They deployed racial logics that worked to construct indigenous peoples as uncivilized, un t, and inevitably bound to disappear</w:t>
      </w:r>
      <w:r w:rsidRPr="00087A72">
        <w:rPr>
          <w:sz w:val="16"/>
        </w:rPr>
        <w:t xml:space="preserve"> in the face of modern civilization. While national racial discourses dif- fered in signi cant ways, throughout the hemisphere they worked to eliminate the Native from the present, locate Native people in history in particular ways, and manage the present population through ongoing exploitation and dispos- session. Here, there, and everywhere, </w:t>
      </w:r>
      <w:r w:rsidRPr="00087A72">
        <w:rPr>
          <w:u w:val="single"/>
        </w:rPr>
        <w:t>states of the Americas also resorted to violence periodically to further the work of elimination and continued control</w:t>
      </w:r>
      <w:r w:rsidRPr="00087A72">
        <w:rPr>
          <w:sz w:val="16"/>
        </w:rPr>
        <w:t xml:space="preserve">. In my ongoing work I have been concerned with understanding how settler logics structured the frames of reference that continue to de ne the colonial exploitation in these countries and why that is crucial to understand the cur- rent moment and its implications for indigenous peoples. </w:t>
      </w:r>
    </w:p>
    <w:p w:rsidR="00CD7A9B" w:rsidRPr="00087A72" w:rsidRDefault="00CD7A9B" w:rsidP="00CD7A9B">
      <w:pPr>
        <w:pStyle w:val="Heading4"/>
        <w:rPr>
          <w:rStyle w:val="Style13ptBold"/>
          <w:b/>
        </w:rPr>
      </w:pPr>
      <w:r w:rsidRPr="00087A72">
        <w:rPr>
          <w:rStyle w:val="Style13ptBold"/>
          <w:b/>
          <w:i/>
        </w:rPr>
        <w:t xml:space="preserve">Mestizaje </w:t>
      </w:r>
      <w:r w:rsidRPr="00087A72">
        <w:rPr>
          <w:rStyle w:val="Style13ptBold"/>
          <w:b/>
        </w:rPr>
        <w:t xml:space="preserve">erases indigeneity and eliminates indigenous communities by pushing for racial homogenization </w:t>
      </w:r>
    </w:p>
    <w:p w:rsidR="00CD7A9B" w:rsidRPr="00087A72" w:rsidRDefault="00CD7A9B" w:rsidP="00CD7A9B">
      <w:pPr>
        <w:rPr>
          <w:rStyle w:val="Style13ptBold"/>
        </w:rPr>
      </w:pPr>
      <w:r w:rsidRPr="00087A72">
        <w:rPr>
          <w:rStyle w:val="Style13ptBold"/>
        </w:rPr>
        <w:t xml:space="preserve">Castellanos, 2017 </w:t>
      </w:r>
      <w:r w:rsidRPr="00087A72">
        <w:rPr>
          <w:rStyle w:val="Style13ptBold"/>
          <w:sz w:val="20"/>
          <w:szCs w:val="20"/>
        </w:rPr>
        <w:t xml:space="preserve">(M. Bianet, anthropologist and a core faculty member in American Studies at the University of Minnesota College of Liberal arts, “Introduction: Settler Colonialism in Latin America”, </w:t>
      </w:r>
      <w:r w:rsidRPr="00087A72">
        <w:rPr>
          <w:rStyle w:val="Style13ptBold"/>
          <w:i/>
          <w:sz w:val="20"/>
          <w:szCs w:val="20"/>
        </w:rPr>
        <w:t xml:space="preserve">American Quarterly, </w:t>
      </w:r>
      <w:r w:rsidRPr="00087A72">
        <w:rPr>
          <w:rStyle w:val="Style13ptBold"/>
          <w:sz w:val="20"/>
          <w:szCs w:val="20"/>
        </w:rPr>
        <w:t>Vol. 69, No. 4, pp. 778-780) [SP]</w:t>
      </w:r>
    </w:p>
    <w:p w:rsidR="00CD7A9B" w:rsidRPr="00087A72" w:rsidRDefault="00CD7A9B" w:rsidP="00CD7A9B">
      <w:pPr>
        <w:rPr>
          <w:sz w:val="16"/>
        </w:rPr>
      </w:pPr>
      <w:r w:rsidRPr="00087A72">
        <w:rPr>
          <w:u w:val="single"/>
        </w:rPr>
        <w:t>The logics of dispossession and elimination, which are key tenets of a settler colonial model, were not isolated to British imperialism; they were also central to Spanish and Portuguese imperial projects. Efforts to distinguish regimes of colonialism in the Americas by their method of dispossession, as rooted in either land or labor expropriation, ends up reproducing binaries</w:t>
      </w:r>
      <w:r w:rsidRPr="00087A72">
        <w:rPr>
          <w:sz w:val="16"/>
        </w:rPr>
        <w:t xml:space="preserve"> (land/ labor, settler/native, Latinx/Latin American) that mask articulations spanning imperial and colonial regimes.5 The emphasis on binaries risks reproducing a monolithic, self-contained theory of settler colonialism lacking historical and relational specificity, the very project initially challenged by Patrick Wolfe.6 We advance an analytic project that acknowledges the multiple iterations of settler colonial projects that have been instantiated within and beyond postcolonizing societies.7 </w:t>
      </w:r>
      <w:r w:rsidRPr="00087A72">
        <w:rPr>
          <w:u w:val="single"/>
        </w:rPr>
        <w:t>Scholars of Latin America have relied on theories of “coloniality” to account for the production of racialized power as a hegemonic and historical project.8 Coloniality is a cognitive mode of power based on a “new perspective of knowledge within which non-Europe was the past, and because of that inferior, if not always primitive.”9 This approach understands indigeneity in Latin America today as continually shaped by a colonial legacy rooted in racial mixing,</w:t>
      </w:r>
      <w:r w:rsidRPr="00087A72">
        <w:rPr>
          <w:sz w:val="16"/>
        </w:rPr>
        <w:t xml:space="preserve"> rather than indigenous elimination and white settlement, as is the case in the United States. </w:t>
      </w:r>
      <w:r w:rsidRPr="00087A72">
        <w:rPr>
          <w:u w:val="single"/>
        </w:rPr>
        <w:t>Conceived as a nationalist whitening project rooted in hierarchical colonial race relations, mestizaje erases indigeneity by absorbing it into the body politic. At the same time, this concept is contingent on remembering, at times memorializing, the Indian. The Indian is continually hailed throughout Latin America as a way to assert national belonging and thus can never be fully absorbed into the nation, even in the Southern Cone, where the push toward racial homogenization led to the mass elimination of indigenous communities</w:t>
      </w:r>
      <w:r w:rsidRPr="00087A72">
        <w:rPr>
          <w:sz w:val="16"/>
        </w:rPr>
        <w:t xml:space="preserve">.10 As Wolfe notes in the case of Australia, miscegenation led to a policy of absorption and thus elimination.11 </w:t>
      </w:r>
      <w:r w:rsidRPr="00087A72">
        <w:rPr>
          <w:u w:val="single"/>
        </w:rPr>
        <w:t>We propose that policies of mestizaje in Latin America have led to a similar outcome, where mestizos become settlers or where indigenous Latinx in the United States become settlers. As a model for theorizing indigeneity, coloniality does not fully capture the racial entanglements and the strategies of elimination and dispossession that began under colonialism and have continued under neoliberal regimes and global capital</w:t>
      </w:r>
      <w:r w:rsidRPr="00087A72">
        <w:rPr>
          <w:sz w:val="16"/>
        </w:rPr>
        <w:t xml:space="preserve">. </w:t>
      </w:r>
      <w:r w:rsidRPr="00087A72">
        <w:rPr>
          <w:u w:val="single"/>
        </w:rPr>
        <w:t>To challenge the “brute binary division” of models of coloniality, scholars like Lisa Lowe and Evelyn Nakano Glenn propose a comparative and relational model that illuminates colonialism’s spatial and temporal projects.</w:t>
      </w:r>
      <w:r w:rsidRPr="00087A72">
        <w:rPr>
          <w:sz w:val="16"/>
        </w:rPr>
        <w:t xml:space="preserve">12 Settler Colonialism in Latin America | 779 Cognizant of the diverse experiences and histories that have shaped indigenous communities in the Americas, the essays connect these distinctive geographies, histories, and intimacies by identifying and historicizing settler colonial projects in Mexico, Guatemala, Honduras, and the United States. It is not possible here to attend to the multiplicity of experiences and nations that make up Latin America. To acknowledge this shortcoming, we build on recent scholarship that highlights the complex racial and structural logics that have shaped the idea of Latin America and its relationship to the United States.13 </w:t>
      </w:r>
      <w:r w:rsidRPr="00087A72">
        <w:rPr>
          <w:u w:val="single"/>
        </w:rPr>
        <w:t>We acknowledge the spatial and racial projects that have rendered the Indian and the indio as incommensurable figures, even as they become increasingly entangled through racial capital and neoliberal projects.14 We further interrogate the relationship between whiteness and settler societies by looking at indigenous Mexican migration to the United States.</w:t>
      </w:r>
      <w:r w:rsidRPr="00087A72">
        <w:rPr>
          <w:sz w:val="16"/>
        </w:rPr>
        <w:t xml:space="preserve"> In their essay, Lourdes Gutiérrez Nájera and Korinta Maldonado consider how indigenous migration disrupts recent discussions of migrants as “settlers.” To challenge the settler–native binary, they examine Zapotec migrants who have settled on Tongva land (now present-day Los Angeles) and on Yakama land in the state of Washington. Following Shona Jackson, we are not concerned with molding settler colonial theory to fit a particular space. Instead, we trace the “technologies of settler belonging and their ability to be refashioned and redeployed” in Latin America.15 We identify these structures, technologies, and practices to outline the settler colonial logics pervasive in Latin America. In her essay, Shannon Speed (Chickasaw) suggests that indigenous dispossession in the Americas is an outcome of labor expropriation and land dispossession. Speed calls for a reevaluation of this distinctive form of settler colonialism and its relationship to neoliberal capitalism hemispherically. In their essay, Juan Castro (Maya Chalchiteko) and Manuela Picq read the archive in search of the legal tools used to justify indigenous dispossession at four crucial moments in Guatemalan history. Through a historical analysis of indigenous land dispossession in Guatemala, they disclose a process of ongoing occupation. In his essay, Christopher Loperena interrogates the extractivist policies in Honduras that have resulted in the death of indigenous leaders, most recently of Berta Cáceras. He argues that this violence represents a racialized dimension of settler colonial dispossession and frontier making. We also recognize the limits of settler colonialism in the Latin American context, especially in dealing with the violence engendered by politics and regime changes intended to benefit indigenous peoples. In his essay, Baron 780 | American Quarterly Pineda examines how settler colonial structures make it (im)possible to seek redress for injustices committed against indigenous communities in Latin America. Focusing on Pan-American activism at the UN Permanent Forum, Pineda highlights the exclusionary limits of a settler colonial model based on sovereignty that cannot account for Latin American indigenous activists whose claims to self-determination are based on models of autonomy. </w:t>
      </w:r>
      <w:r w:rsidRPr="00087A72">
        <w:rPr>
          <w:u w:val="single"/>
        </w:rPr>
        <w:t>The contributors provide alternative ways to read indigenous dispossession and extermination that traces settler colonial logics and its diverse iterations in Latin America. In so doing, we advance a hemispheric approach to indigenous studies that brings indigenous perspectives from Latin America into conversation with critiques of settler colonialism in the Anglophone world.</w:t>
      </w:r>
      <w:r w:rsidRPr="00087A72">
        <w:rPr>
          <w:sz w:val="16"/>
        </w:rPr>
        <w:t>16</w:t>
      </w:r>
    </w:p>
    <w:p w:rsidR="007F2DDD" w:rsidRPr="00087A72" w:rsidRDefault="007F2DDD" w:rsidP="00496C79">
      <w:pPr>
        <w:pStyle w:val="Heading3"/>
      </w:pPr>
      <w:r w:rsidRPr="00087A72">
        <w:t>Link – Migrant Workers</w:t>
      </w:r>
    </w:p>
    <w:p w:rsidR="007F2DDD" w:rsidRPr="00087A72" w:rsidRDefault="007F2DDD" w:rsidP="007F2DDD">
      <w:pPr>
        <w:pStyle w:val="Heading4"/>
      </w:pPr>
      <w:r w:rsidRPr="00087A72">
        <w:t>Changed power relations complicate relationships between workers on stolen land. Traces of indigeneity reinforces the racialized immigrant subject as the economically preferred citizen within the settler state.</w:t>
      </w:r>
    </w:p>
    <w:p w:rsidR="007F2DDD" w:rsidRPr="00087A72" w:rsidRDefault="007F2DDD" w:rsidP="007F2DDD">
      <w:r w:rsidRPr="00087A72">
        <w:rPr>
          <w:b/>
          <w:bCs/>
        </w:rPr>
        <w:t xml:space="preserve">Upadhyay 16 </w:t>
      </w:r>
      <w:r w:rsidRPr="00087A72">
        <w:t>(Nishant, Assistant Professor in Women's and Gender Studies at University of Massachusetts Dartmouth, Ph.D. in Graduate Program in Social and Political Thought at York University, South Asian</w:t>
      </w:r>
      <w:r w:rsidRPr="00087A72">
        <w:rPr>
          <w:i/>
        </w:rPr>
        <w:t xml:space="preserve"> “We’ll Sail Like Columbus”: Race, Indigeneity, Settler Colonialism, and the Making of South Asian Diasporas in Canada.</w:t>
      </w:r>
      <w:r w:rsidRPr="00087A72">
        <w:t xml:space="preserve"> pp. 269-279) IA</w:t>
      </w:r>
    </w:p>
    <w:p w:rsidR="007F2DDD" w:rsidRPr="00087A72" w:rsidRDefault="007F2DDD" w:rsidP="007F2DDD">
      <w:pPr>
        <w:rPr>
          <w:sz w:val="12"/>
        </w:rPr>
      </w:pPr>
      <w:r w:rsidRPr="00087A72">
        <w:rPr>
          <w:sz w:val="12"/>
        </w:rPr>
        <w:t xml:space="preserve">In Vancouver I spoke to Punjabis who had come to Canada in the 1960s-70s from different rural parts of the Punjab, India. The late ‘60s and early ‘70s saw an increased and steady migration of South Asians to the region as a result of thriving forestry and fishery industries. Some of these migrants settled in the Lower Mainland, while many others were scattered across Central B.C., Northern B.C.33 and Vancouver Island.34 I spoke to six men who worked in lumber mills35 and six women who worked in fish canneries.36 Some had lands back home and many did not. Like my respondents in Fort McMurray, everyone I spoke to in Vancouver is jat (upper caste amongst Sikhs) and in heterosexual endogamic marriages. But unlike the Fort McMurray respondents, the Vancouver respondents are not necessarily as privileged and upwardly mobile. There are stark differences in the experiences of the communities in Vancouver and Fort McMurray. </w:t>
      </w:r>
      <w:r w:rsidRPr="00087A72">
        <w:rPr>
          <w:b/>
          <w:iCs/>
          <w:u w:val="single"/>
        </w:rPr>
        <w:t>Working class jobs enabled everyday proximity to the Native-other and perhaps a more complex and nuanced understanding of each other.</w:t>
      </w:r>
      <w:r w:rsidRPr="00087A72">
        <w:rPr>
          <w:sz w:val="12"/>
        </w:rPr>
        <w:t xml:space="preserve"> For the Vancouver respondents, </w:t>
      </w:r>
      <w:r w:rsidRPr="00087A72">
        <w:rPr>
          <w:u w:val="single"/>
        </w:rPr>
        <w:t>this proximity produced a different sense of belonging to Canada as many knew more intimately that they were on stolen Native lands.</w:t>
      </w:r>
      <w:r w:rsidRPr="00087A72">
        <w:rPr>
          <w:sz w:val="12"/>
        </w:rPr>
        <w:t xml:space="preserve"> Historically, </w:t>
      </w:r>
      <w:r w:rsidRPr="00087A72">
        <w:rPr>
          <w:u w:val="single"/>
        </w:rPr>
        <w:t>in the early twentieth century many Sikhs on the west coast called Indigenous peoples taae ke (a Punjabi term used to refer to the family of the elder uncle) as a respect for Indigenous peoples and a recognition of colonial and racial proximities.</w:t>
      </w:r>
      <w:r w:rsidRPr="00087A72">
        <w:rPr>
          <w:sz w:val="12"/>
        </w:rPr>
        <w:t xml:space="preserve"> In my conversations with South Asians in Vancouver, I realized taae ke is not a word used now to refer Indigenous peoples. However, historically it was used widely across B.C. Gurpreet Singh, a journalist based out of Vancouver, adds: ... many old Indo Canadian immigrants used to refer to the aboriginals as Taae Ke, an expression in Punjabi that means elderly uncle’s family. Those people saw a connection between themselves and the so-called "Red Indians,” However, as time progressed, hostilities started to grow between the two groups. </w:t>
      </w:r>
      <w:r w:rsidRPr="00087A72">
        <w:rPr>
          <w:u w:val="single"/>
        </w:rPr>
        <w:t>Some Indo Canadians who gradually became rich and joined the elite club began belittling the Taae Ke.</w:t>
      </w:r>
      <w:r w:rsidRPr="00087A72">
        <w:rPr>
          <w:sz w:val="12"/>
        </w:rPr>
        <w:t xml:space="preserve"> (“In Solidarity with Taae Ke”) I note the usage of taae ke to illustrate the pernicious continuities and intimacies between South Asians and Indigenous peoples in Canada. </w:t>
      </w:r>
      <w:r w:rsidRPr="00087A72">
        <w:rPr>
          <w:u w:val="single"/>
        </w:rPr>
        <w:t>The decline in the usage of the term, as Singh notes, demonstrates the growing conflicts between the two communities, and the changed power relations and complicities of South Asians on stolen lands.</w:t>
      </w:r>
      <w:r w:rsidRPr="00087A72">
        <w:rPr>
          <w:sz w:val="12"/>
        </w:rPr>
        <w:t xml:space="preserve"> </w:t>
      </w:r>
      <w:r w:rsidRPr="00087A72">
        <w:rPr>
          <w:sz w:val="8"/>
        </w:rPr>
        <w:t>Racial tensions, fights, and multicultural performativity The early ‘70s in B.C. was rife with class and racial violence, from verbal abuses to physical fights, between South Asians and the locals—often over “stealing jobs.”37 South Asians were made scapegoats for the economic crises in Canada.38 As South Asian migration to the region increased, South Asians were being blamed for taking away jobs from the locals—whites as well as Indigenous peoples. Before the influx of South Asian migrants, Indigenous and white men worked in the lumber mills. Since there was an abundance of work and shortage of labour, these men were able to find work on the basis of their own needs—which included flexible working hours and days. However, with the influx of Punjabi men, the flexibility was lost for Indigenous and white workers. As the mill owners employed workers on a first-come-first-work basis, Punjabis diligently found more work than their Indigenous and white counterparts. Naturally this change in conditions triggered resentment between communities, which would often result in fights. For example, in June 1971 a “wild brawl” broke out between 30 South Asian and white youths in Quesnel.39 According to the civic heads and South Asian spokesperson, the root of the problem was the “job situation.” The Vancouver Sun reported: East Indians have arrived in ever-increasing numbers in the past few years to find work. Employers who have hired them on a first-come-first-served basis found them diligent and reliable. Even the more bigoted agree that when an East Indian gets on a payroll, he does his very best to stay. This has caused resentment primarily among young unskilled workers who see their bread and butter, the menial jobs, going to people they neither understand nor care to get to know. In many case the most resentful are the young whites - “hotheads” - who work for a few days or weeks, then disappear on a binge. When these “hotheads” come back drunk, they often find their jobs filled by East Indians. (“East Indians Accused”) Tensions had escalated so high that South Asians were afraid to go out alone. Pulp mill worker Virenar Manhas, the first South Asian to move to Prince George, told the newspaper: “In the 13 years I have lived here, I have never thought twice about going out alone say, for a beer. But recently, after the events in Quesnel, I sense more tension in the air, I would prefer to go out for a drink only with a friend” (“East Indians Accused”). These fights took place in beer parlors, streets, malls, and mills. South Asians were often called “Hindu,” “Paki,” “bloodsuckers,” “trash,” “turban-heads,” “snake charmers,” “sandniggers,” and “camel-jockeys.” These racial slurs often were accompanied with phrases like: “Go back home.” Racial tensions throughout the ‘70s continued to be explained as aftermaths of economic crises. In 1977, The Vancouver Sun quoted Dr. Don Dutton, “an expert on racial discrimination,” arguing that there is ample research that shows racial discrimination increases during times of economic recession (“Of WASPs, Recession”). This reliance on economic conditions as a cause for racial tensions effaced the complexity and permanence of racism in Vancouver and across British Columbia. Processes of racism were, as they continue to be, more intersectional than they are understood as. As much as these conflicts and fights were about racism and xenophobia, they were also about existing sexual desires, amongst other things. An article in The Vancouver Sun, at the time of Quesnel conflict, quoted George Klassen, a sawmill worker from Saskatoon: “They come here and take our jobs, and try to make out they are better than we white people. Just the way they look at our women, you know what they are thinking. All my friends think the same way I do. We would do anything to get rid of them” (“East Indians Face Violence”). Gurpreet’s story, at the beginning of the chapter, addressed such reasons for racial tensions and fights as well. Gurpreet and others reflected on how Punjabi men would stare at Native women in public spaces and get into fights with Native men. I explore these sexual proximities and colonial intimacies between Punjabi and Native peoples further in Chapter 4. As noted above, quite often these fights were between Punjabis and local Indigenous men. One respondent, Sohan Singh, who worked in a saw mill in northern B.C., recounted similar events: Sometimes there were [fights]. Teeth would be broken. Eyes were gashed up with the bottles. Faces would be bruised up. We used to go to bars up till 1972 in Terrace. We would go and drink up till 10-11 in the night. They [Indigenous peoples] would come as well and drink. And everyone would drink together. Once there was some fight in the beer parlor. Some East Indian people fought with the Native Indian people. It was very bad. Some say they made the first move. Some said they just didn’t like us. They were drunk and got agitated. After that we never went back. After that we had no social life outside the house. We would socialize only at home with our own people or with white friends40 in home only. From 1972 I have not seen any bar. At the beginning of the chapter, I narrated how two men—one Indigenous and another white— racially attacked Gurpreet Singh. Similarly, many of the other respondents talked about how they were attacked by or got into fights with Indigenous men. Many mentioned how fights were common in the mills, stores and beer parlors. Paul Binning,41 founder of Paar Club, a bhangra group comprised of boys and young men (based out of Vancouver), narrated similar incidences. His group was asked to perform in Fort St. James in the early ‘70s. There were tensions between South Asians and Native peoples in the town around “job stealing.” Instead of fighting back, the Punjabi community decided to culturally engage with the Natives.42 They asked Paar Club to perform in town and “show the community that they were something else other than just workers in the lumber mills.” Once the group reached town, they were prevented from entering by a group of young Native men. Binning recounted: Natives were pissed off why they got us there. There were already many people there and they didn’t want us to be there as well. We got enough of us there. When we got into the apartment they wouldn’t let us out. There was a lot of tension there. And then the police finally came. They came with big guns. They shot in the air just to keep people off. There was that much tension there. When we got to the arena and started dancing there, they wouldn’t let us out of the dressing room. You know there were a lot of them. We were pretty afraid being young and not being in our territory. Then the audiences came we made it out. When we started performing – when we started the dhol (drums) and everything else, lot of them saw how it was basically what they do. So they got into it. And they really started enjoying the dance part of it. In those days we used to perform for 18-20 minutes continuously. By the time we finished the whole town was into it. It was a big arena. Everyone was there. And when we finished, the guys from the back kept saying ‘more more.’ One of our guys thought they were calling us bore. So he started saying you’re bore. And everything started again. They all got up and wanted to come fight. Nothing really happened but just the experience of that—it was something that we can never really forget. We wanted to do something. We stood up to the ground. We told whom we were, why we are here, we want to be part of this culture, this country. The story exposes the workings of multiculturalism and racial-cultural exchange from grassroots, as the group deployed bhangra as a political and cultural tool to foster friendly relations with Indigenous peoples. Unlike the contemporary recognition and celebration of bhangra by the state, for South Asian groups in the ‘80s bhangra was a way to seek recognition and build peace with other marginalized communities. However, the story also demonstrates the complications and contradictions of racial proximities, tensions, and belonging. The story shows how Punjabis legitimately thought of themselves as Canadians and wanted to demonstrate their Canadianness through multicultural performativity. Bhangra was deployed both as gestures of solidarity and as overtures of superiority. The incident illustrates the multiple layers of racial violence within settler societies. Steady Workers and Indian-Others In my interviews, Punjabi workers in the mills and canneries often described themselves as “steady workers”—which was as much of a self-identification as it was an othering of the Native workers as not “steady” enough.43 This discourse was used to construct South Asians as better labourers than Indigenous workers—by both South Asian workers and their white employers. In her study of Punjabis in northern B.C., Kamala E. Nayar demonstrates this reputability of Punjabis: During the Great Depression of the 1930s, for example, when the Hillcrest Lumber Company was close to bankruptcy, Punjabis continued to work, without pay, in order to keep the mill in operation. When the industry picked up, the owner, Carleton Stone, was so grateful to the Punjabi workers for their hard effort that he began to favor Punjabis when hiring. In due course, Punjabis gained the reputation as hardworking labour in the forestry industry. It was precisely for that reason that Sohen Singh Gill preferred to hire Punjabis to work at his lumber mills, including Prince Rupert Sawmills. Two of the Sohen Singh Gill’s former workers explained: “Sohen Gill preferred hiring Punjabi men because they were hardworking even though now (in the 2000s) our reputation may have changed with us drinking. But, at that time, the First Nations and white people were considered as less reliable. The First Nations people were not that reliable because after working a couple of weeks they would disappear once they received their pay cheques.” (148-49) By default, the “better” worker is inextricably linked to the “better” citizen.</w:t>
      </w:r>
      <w:r w:rsidRPr="00087A72">
        <w:rPr>
          <w:sz w:val="12"/>
        </w:rPr>
        <w:t xml:space="preserve"> </w:t>
      </w:r>
      <w:r w:rsidRPr="00087A72">
        <w:rPr>
          <w:u w:val="single"/>
        </w:rPr>
        <w:t>According to a respondent, Nirmal, who worked as a mechanic in a saw mill in Prince Rupert: There used to be a lot of Native workers there before but not many after [we moved]. They started taking holidays, as they were not steady workers. Once they would get paid they would never come back. They would waste it all in alcohol. Many of them were very good but they were not meant for steady work ... you would know how they are once they drink they don’t care. They won’t remember if they have to go to work tomorrow or not. They are still like this now. Everything is paid for them through welfare.</w:t>
      </w:r>
      <w:r w:rsidRPr="00087A72">
        <w:rPr>
          <w:sz w:val="12"/>
        </w:rPr>
        <w:t xml:space="preserve"> When they’re getting the welfare then what do they need to work for? The government also keeps giving them welfare. And the government will keep giving them. Such is the state of affairs. Government had to give them work but they would not be steady. They would not work like us though. They don’t think like us – we need to work; we need to earn to survive. They wouldn’t think about job and life. They didn’t have motivations like our people. Similarly, another respondent, Mahinder, who retired as a sawmill union leader in Vancouver, noted: Everything is free for them – including no matter what people want to do in the university. But these people won’t even do Grade 12. They start drinking early as kids. So drinking only happens and no one is interested in education. In Terrace, every year when kids would graduate, you would never find Natives kids graduating. No one would graduate. They are not steady enough like us. </w:t>
      </w:r>
      <w:r w:rsidRPr="00087A72">
        <w:rPr>
          <w:u w:val="single"/>
        </w:rPr>
        <w:t>Through such discursive methods Punjabis self-constructed themselves as more reliable and hence more desirable and employable than Indigenous workers; probably the employers constructed Punjabi workers similarly. Home ownership was also central in these tensions. Punjabis, similar to most other immigrant communities, valued home ownership, as it was a marker of stability and prosperity in a new country. Subsequently, Native peoples saw this as signs of settlement on Native lands, making Punjabi workers akin to white settlers (Nayar 198-99).</w:t>
      </w:r>
      <w:r w:rsidRPr="00087A72">
        <w:rPr>
          <w:sz w:val="12"/>
        </w:rPr>
        <w:t xml:space="preserve"> In Chapter 4, I noted a similar comparison that Sara draws between Parminder and her sister’s white abusive partner. Apprehensive of starting a relationship with Parminder, a non-Native person (Punjabi), because of her sister’s experiences with a non-Native person (white), Sara draws the comparison. </w:t>
      </w:r>
      <w:r w:rsidRPr="00087A72">
        <w:rPr>
          <w:u w:val="single"/>
        </w:rPr>
        <w:t>This is a critical comparison that many Indigenous peoples make. It points to the fact for Indigenous peoples, racialized peoples, like white settlers, are on Indigenous lands, and complicit in their colonization.</w:t>
      </w:r>
      <w:r w:rsidRPr="00087A72">
        <w:rPr>
          <w:sz w:val="12"/>
        </w:rPr>
        <w:t xml:space="preserve"> Even as I argue against deploying “settlers of colour” for racialized peoples, these comparisons point to the inherent colonial and racial structures in the making of the Canadian settler state. This power hierarchy and relationality is, thus, important to theorize. My exploration of South Asian complicities foregrounds this relationality. On the question of Indigenous labour, Nayar offers an alternative explanation to work patterns of Indigenous peoples in the sawmills. She quotes a Haida Nation member: I worked at Prince Rupert Sawmills from 1966 to 1967 ... My uncle and cousin were working there as well. There may have been about twenty First Nations working there out of about a hundred people ... During the summer, lumber mills slow down because of forest fires. Many First Nations would work in the mill during the winter and then go back to their main line of work in the fisheries during the summer. First Nations were transient with the lumber mills. It was subsidiary work. First Nations people really worked in the fisheries. (149) Nayar counters the narrative that Indigenous workers were lazy and unreliable by demonstrating that their labouring priorities were different. Further, Nayar notes that the arrival of Punjabis coincided with improved wages and working conditions and advancement in technology in the lumber and canning industries (154). She claims that “First Nations have long held the notion that other people—foreigners and ‘newcomers’—had come to ‘steal’ their jobs, an understandable sentiment given the rivalry between the First Nations and the ‘white man’ over land and resources” (152). Nayar’s work contributes to the literature on Punjabis in Canada; however, her analysis is not attentive to the complications of these colonial-capitalist intimacies and renders these proximities linear and reductive. While there was discrimination from Indigenous peoples towards South Asians, the materialities and affectivities of these interactions were much more complex. I argue that </w:t>
      </w:r>
      <w:r w:rsidRPr="00087A72">
        <w:rPr>
          <w:u w:val="single"/>
        </w:rPr>
        <w:t>it was not just the “fear” of stealing jobs that made Indigenous peoples hostile towards Punjabis. Rather, hostility was rooted in deeper anger, rage, and frustration with the settler-colonial practices that kept Indigenous peoples marginalized, excluded, and colonized. In her work, Nayar talks about the processes of colonialism and racism that Indigenous nations continue to survive and struggle against.</w:t>
      </w:r>
      <w:r w:rsidRPr="00087A72">
        <w:rPr>
          <w:sz w:val="12"/>
        </w:rPr>
        <w:t xml:space="preserve"> While Nayar is cognizant of violences in the analysis of Native- South Asian relations, she does not critically engage with settler colonial processes to understand the material realities of Indigenous communities and the complicities of South Asians in these violences. Throughout the text, Nayar offers multiple examples of discrimination from Native peoples. The complexities and complicities of South Asian diasporic formation in northern B.C. are not duly addressed in her work. In my work, I draw from her research to illustrate these complexities and complicities. Past and ongoing violent colonial processes have enabled Punjabi migrants to maintain a higher socio-economic status than Indigenous workers in the 1970s. </w:t>
      </w:r>
      <w:r w:rsidRPr="00087A72">
        <w:rPr>
          <w:u w:val="single"/>
        </w:rPr>
        <w:t>The figure of the “steady worker” is constructed through sexist, racist, classist, and ableist underpinnings. More importantly</w:t>
      </w:r>
      <w:r w:rsidRPr="00087A72">
        <w:rPr>
          <w:b/>
          <w:iCs/>
          <w:u w:val="single"/>
        </w:rPr>
        <w:t>, the steady worker is produced as steady through the making of the Native-other as unsteady.</w:t>
      </w:r>
      <w:r w:rsidRPr="00087A72">
        <w:rPr>
          <w:u w:val="single"/>
        </w:rPr>
        <w:t xml:space="preserve"> Thus, the Native-other becomes the unmodel-other. Nayar notes how many Punjabis did not want to be called “Indians” because of the term’s negative association with Indigenous peoples; they didn’t want to be mistaken as Indigenous (183). This rejection perpetuated Indigenous peoples’ position as “third-class” and maintained stereotypical images </w:t>
      </w:r>
      <w:r w:rsidRPr="00087A72">
        <w:rPr>
          <w:sz w:val="12"/>
        </w:rPr>
        <w:t xml:space="preserve">(191). Similarly, Paul Binning also observed: “It is a fact that Punjabi people up to now never liked the Natives. They thought that the Natives were nothing. They always looked down at them.” To reiterate, </w:t>
      </w:r>
      <w:r w:rsidRPr="00087A72">
        <w:rPr>
          <w:u w:val="single"/>
        </w:rPr>
        <w:t>these traces of indigeneity reinforced the racialized immigrant subject as the economically preferred citizen within the settler state. It was this reputation that was an underlying cause of tension between South Asians and Indigenous peoples, with the latter often blaming South Asians for stealing their jobs.</w:t>
      </w:r>
      <w:r w:rsidRPr="00087A72">
        <w:rPr>
          <w:sz w:val="12"/>
        </w:rPr>
        <w:t xml:space="preserve"> In analyzing the relationships of South Asian women workers in the canneries with their Indigenous co-workers I found more spaces of mutual respect, exchange, and solidarity. In the next section, I discuss Punjabi women’s experiences working in the canneries. </w:t>
      </w:r>
    </w:p>
    <w:p w:rsidR="007F2DDD" w:rsidRPr="00087A72" w:rsidRDefault="007F2DDD" w:rsidP="007F2DDD"/>
    <w:p w:rsidR="000273B7" w:rsidRPr="00087A72" w:rsidRDefault="000273B7" w:rsidP="00496C79">
      <w:pPr>
        <w:pStyle w:val="Heading3"/>
      </w:pPr>
      <w:r w:rsidRPr="00087A72">
        <w:t>Link – Mobility</w:t>
      </w:r>
    </w:p>
    <w:p w:rsidR="000273B7" w:rsidRPr="00087A72" w:rsidRDefault="000273B7" w:rsidP="000273B7">
      <w:pPr>
        <w:pStyle w:val="Heading4"/>
      </w:pPr>
      <w:r w:rsidRPr="00087A72">
        <w:t>The capacity for mobility—at both the geospatial and sociolibidinal level—is the terrain of the Settler which invests in mobility as its ontological capacity par excellence. However, every path the Settler wanders down is an Indian burial ground—the condition of possibility for the metaphysics of mobility.</w:t>
      </w:r>
    </w:p>
    <w:p w:rsidR="000273B7" w:rsidRPr="00087A72" w:rsidRDefault="000273B7" w:rsidP="000273B7">
      <w:r w:rsidRPr="00087A72">
        <w:rPr>
          <w:rStyle w:val="Style13ptBold"/>
        </w:rPr>
        <w:t>Wilderson 10</w:t>
      </w:r>
      <w:r w:rsidRPr="00087A72">
        <w:t xml:space="preserve"> (Frank, Full Professor of Drama and African American studies at the University of California, Irvine </w:t>
      </w:r>
      <w:r w:rsidRPr="00087A72">
        <w:rPr>
          <w:i/>
        </w:rPr>
        <w:t>Red, White, and Black: Cinema and the Structure of U.S. Antagonisms</w:t>
      </w:r>
      <w:r w:rsidRPr="00087A72">
        <w:t xml:space="preserve"> pp. 153-155) NIJ</w:t>
      </w:r>
    </w:p>
    <w:p w:rsidR="000273B7" w:rsidRPr="00087A72" w:rsidRDefault="000273B7" w:rsidP="000273B7">
      <w:pPr>
        <w:rPr>
          <w:sz w:val="12"/>
        </w:rPr>
      </w:pPr>
      <w:r w:rsidRPr="00087A72">
        <w:rPr>
          <w:sz w:val="12"/>
        </w:rPr>
        <w:t xml:space="preserve">The films of Chris Eyre (Smoke Signals and Skins) are among the most socially engaged and politically emphatic films on the cinematic landscape of the forty-eight contiguous states (whether Red, White, or Black). He is also acknowledged as the most widely distributed Native American director working today. Despite his films’ plotline variations, they are noted for the attention they pay—whether humorously, sullenly, sardonically, or enraged—to the intractable dichotomy between civil society and the “rez” (the reservation). </w:t>
      </w:r>
      <w:r w:rsidRPr="00087A72">
        <w:rPr>
          <w:rStyle w:val="StyleUnderline"/>
        </w:rPr>
        <w:t xml:space="preserve">In Smoke Signals, two Native women who live on the reservation drive their car only in reverse, never forward. They sip Coca-Cola, their recent substitute for beer, as they drive, in reverse, through the reservation’s mise en scène of poverty. </w:t>
      </w:r>
      <w:r w:rsidRPr="00087A72">
        <w:rPr>
          <w:rStyle w:val="Emphasis"/>
        </w:rPr>
        <w:t>This is interesting for what it signifies with respect to how genocide re-territorializes space and how the reservation is a space beyond civil society.</w:t>
      </w:r>
      <w:r w:rsidRPr="00087A72">
        <w:rPr>
          <w:rStyle w:val="StyleUnderline"/>
        </w:rPr>
        <w:t xml:space="preserve"> If the automobile is one of the Settler’s most emblematic icons of mobility and progress, and one of his/her most profound and egoic monuments, then two Native women driving backward in this icon of mobility, across the cartography of terra nullius (the reservation), is a cinematic moment that compels the spectator to meditate, albeit humorously, on the antagonism between the “somewhere” of civil society—that place where cars drive forward as opposed to in reverse—and the “nowhere” of the reservation. The American automobile is so malleable and transpositional within the multitude of narrative combinations of Settler cinema that it can animate the pleasures of both White masculinity</w:t>
      </w:r>
      <w:r w:rsidRPr="00087A72">
        <w:rPr>
          <w:sz w:val="12"/>
        </w:rPr>
        <w:t xml:space="preserve">, which Kaja Silverman refers to as the “coherence of the male ego” (63), </w:t>
      </w:r>
      <w:r w:rsidRPr="00087A72">
        <w:rPr>
          <w:rStyle w:val="StyleUnderline"/>
        </w:rPr>
        <w:t>as well as White feminist gestures of resistance to that consolidation</w:t>
      </w:r>
      <w:r w:rsidRPr="00087A72">
        <w:rPr>
          <w:sz w:val="12"/>
        </w:rPr>
        <w:t xml:space="preserve">, as the most cursory comparison of “male” and “female” road films like Fear and Loathing in Las Vegas and Thelma and Louise, respectively, will bear out. </w:t>
      </w:r>
      <w:r w:rsidRPr="00087A72">
        <w:rPr>
          <w:rStyle w:val="StyleUnderline"/>
        </w:rPr>
        <w:t xml:space="preserve">In Chris Eyre’s Smoke Signals, however, the American automobile is reconfigured as a medium, not of civic aggrandizement, but as a lens through which “Savage” ontology can be illuminated and through which (tangentially) the Settler is reconfigured from a subject of agency into an object, a specimen of the “Savage” gaze. This occurs despite the Settler’s actual absence from the film during the reservation-driving-backwards-scenes. </w:t>
      </w:r>
      <w:r w:rsidRPr="00087A72">
        <w:rPr>
          <w:sz w:val="12"/>
        </w:rPr>
        <w:t xml:space="preserve">The (absent) Settler becomes an object of the “Savage” gaze due to the fact that, </w:t>
      </w:r>
      <w:r w:rsidRPr="00087A72">
        <w:rPr>
          <w:rStyle w:val="StyleUnderline"/>
        </w:rPr>
        <w:t>in Smoke Signals, the American automobile</w:t>
      </w:r>
      <w:r w:rsidRPr="00087A72">
        <w:rPr>
          <w:sz w:val="12"/>
        </w:rPr>
        <w:t xml:space="preserve">, with woman from the reservation behind the wheel, is disabled. It </w:t>
      </w:r>
      <w:r w:rsidRPr="00087A72">
        <w:rPr>
          <w:rStyle w:val="StyleUnderline"/>
        </w:rPr>
        <w:t>can signify neither access to, nor mobility across, civil society’s plenitude of promises and discontents. The American automobile is now the “rez” automobile, and as such cannot be pressed into service of an ensemble of questions elaborated by questions of “citizenship,” “freedom,” “autonomy,” or “sexual prowess and/or attraction”—it cannot secure, for the “Savage,” agency within civil society’s touchstones of cohesion.</w:t>
      </w:r>
      <w:r w:rsidRPr="00087A72">
        <w:rPr>
          <w:sz w:val="12"/>
        </w:rPr>
        <w:t xml:space="preserve"> Since this is the case, Smoke Signals stands the icon on its head, makes light of it, and in so doing turns a “Savage” gaze upon the ethics of civil society and its “settled” subjects. </w:t>
      </w:r>
      <w:r w:rsidRPr="00087A72">
        <w:rPr>
          <w:rStyle w:val="StyleUnderline"/>
        </w:rPr>
        <w:t xml:space="preserve">In Smoke Signals the automobile exhibits the raw absurdity of “mobility” as an element constituent of ontology on the reservation: </w:t>
      </w:r>
      <w:r w:rsidRPr="00087A72">
        <w:rPr>
          <w:rStyle w:val="Emphasis"/>
        </w:rPr>
        <w:t>how, indeed, is it possible for the dead to move?</w:t>
      </w:r>
      <w:r w:rsidRPr="00087A72">
        <w:rPr>
          <w:rStyle w:val="StyleUnderline"/>
        </w:rPr>
        <w:t xml:space="preserve"> Where, one could ask, are the dead able to go? If civic “mobility” reveals its absurdity (a car moving backwards across a barren plain) within the constraints of the rez, then </w:t>
      </w:r>
      <w:r w:rsidRPr="00087A72">
        <w:rPr>
          <w:rStyle w:val="Emphasis"/>
        </w:rPr>
        <w:t>“mobility” is ethically bankrupt</w:t>
      </w:r>
      <w:r w:rsidRPr="00087A72">
        <w:rPr>
          <w:rStyle w:val="StyleUnderline"/>
        </w:rPr>
        <w:t>—and so is the Settler in her/his elaboration via its attendant dilemmas. What begins to unfold is an understanding of how the relationship between, on the one hand, two Native women and, on the other hand, two women within civil society</w:t>
      </w:r>
      <w:r w:rsidRPr="00087A72">
        <w:rPr>
          <w:sz w:val="12"/>
        </w:rPr>
        <w:t xml:space="preserve">, my example of Thelma and Louise, </w:t>
      </w:r>
      <w:r w:rsidRPr="00087A72">
        <w:rPr>
          <w:rStyle w:val="StyleUnderline"/>
        </w:rPr>
        <w:t>is an antagonistic relationship rather than a conflictual one. This is because the American automobile</w:t>
      </w:r>
      <w:r w:rsidRPr="00087A72">
        <w:rPr>
          <w:sz w:val="12"/>
        </w:rPr>
        <w:t xml:space="preserve"> in Thelma and Louise </w:t>
      </w:r>
      <w:r w:rsidRPr="00087A72">
        <w:rPr>
          <w:rStyle w:val="StyleUnderline"/>
        </w:rPr>
        <w:t>simultaneously symbolizes the myriad of conflicts that White face within civil society and also carries them forward, thus symbolizing their mobility within civil society—it complicates the push/pull of civic contrariness that Settlers are so fond of calling “change.”</w:t>
      </w:r>
      <w:r w:rsidRPr="00087A72">
        <w:rPr>
          <w:sz w:val="12"/>
        </w:rPr>
        <w:t xml:space="preserve"> In other words, the automobile can be imagined as that which allows Thelma and Louise to struggle with and negotiate their symbolic value within the libidinal economy of civil society, despite the fact that their characters die, physically, at the end of the film. </w:t>
      </w:r>
      <w:r w:rsidRPr="00087A72">
        <w:rPr>
          <w:rStyle w:val="StyleUnderline"/>
        </w:rPr>
        <w:t xml:space="preserve">But a genocided “Savage” cannot negotiate her symbolic value within White civil society precisely because </w:t>
      </w:r>
      <w:r w:rsidRPr="00087A72">
        <w:rPr>
          <w:rStyle w:val="Emphasis"/>
        </w:rPr>
        <w:t>her death was/is one of the preconditions from which value can be contested, negotiated, and/or hierarchized in the first ontological instance.</w:t>
      </w:r>
      <w:r w:rsidRPr="00087A72">
        <w:rPr>
          <w:sz w:val="12"/>
        </w:rPr>
        <w:t xml:space="preserve"> In Smoke Signals, </w:t>
      </w:r>
      <w:r w:rsidRPr="00087A72">
        <w:rPr>
          <w:rStyle w:val="StyleUnderline"/>
        </w:rPr>
        <w:t>the automobile cannot assist the Native women in their negotiation of life as it does White women in Settler cinema because the automobile would have to first bring the two Native women back to life, before it could assist them in their negotiation of life. This,</w:t>
      </w:r>
      <w:r w:rsidRPr="00087A72">
        <w:rPr>
          <w:sz w:val="12"/>
        </w:rPr>
        <w:t xml:space="preserve"> as I have just indicated</w:t>
      </w:r>
      <w:r w:rsidRPr="00087A72">
        <w:rPr>
          <w:rStyle w:val="StyleUnderline"/>
        </w:rPr>
        <w:t xml:space="preserve">, is impossible because the automobile’s symbolic capacity within civil society is, a priori, dependent upon these two Native women’s death. </w:t>
      </w:r>
      <w:r w:rsidRPr="00087A72">
        <w:rPr>
          <w:sz w:val="12"/>
        </w:rPr>
        <w:t>Chris Eyre’s Smoke Signals looks upon this condition with light humor, but the implications are deadly serious.</w:t>
      </w:r>
    </w:p>
    <w:p w:rsidR="00E06E0C" w:rsidRPr="00087A72" w:rsidRDefault="00E06E0C" w:rsidP="00496C79">
      <w:pPr>
        <w:pStyle w:val="Heading3"/>
      </w:pPr>
      <w:r w:rsidRPr="00087A72">
        <w:t>Link – Model Minority</w:t>
      </w:r>
    </w:p>
    <w:p w:rsidR="00E06E0C" w:rsidRPr="00087A72" w:rsidRDefault="00E06E0C" w:rsidP="00E06E0C">
      <w:pPr>
        <w:pStyle w:val="Heading4"/>
      </w:pPr>
      <w:r w:rsidRPr="00087A72">
        <w:t>Society conceptualizes itself through a white-lens. In an effort to distance themselves from indigenous peoples and traces of Indianness, a centering of whiteness is enacted by the “model minority”.</w:t>
      </w:r>
    </w:p>
    <w:p w:rsidR="00E06E0C" w:rsidRPr="00087A72" w:rsidRDefault="00E06E0C" w:rsidP="00E06E0C">
      <w:r w:rsidRPr="00087A72">
        <w:rPr>
          <w:b/>
          <w:bCs/>
        </w:rPr>
        <w:t xml:space="preserve">Upadhyay 16 </w:t>
      </w:r>
      <w:r w:rsidRPr="00087A72">
        <w:t>(Nishant, Assistant Professor in Women's and Gender Studies at University of Massachusetts Dartmouth, Ph.D. in Graduate Program in Social and Political Thought at York University, South Asian</w:t>
      </w:r>
      <w:r w:rsidRPr="00087A72">
        <w:rPr>
          <w:i/>
        </w:rPr>
        <w:t xml:space="preserve"> “We’ll Sail Like Columbus”: Race, Indigeneity, Settler Colonialism, and the Making of South Asian Diasporas in Canada.</w:t>
      </w:r>
      <w:r w:rsidRPr="00087A72">
        <w:t xml:space="preserve"> pp. 264-266) IA</w:t>
      </w:r>
    </w:p>
    <w:p w:rsidR="00E06E0C" w:rsidRPr="00087A72" w:rsidRDefault="00E06E0C" w:rsidP="00E06E0C">
      <w:pPr>
        <w:rPr>
          <w:sz w:val="12"/>
        </w:rPr>
      </w:pPr>
      <w:r w:rsidRPr="00087A72">
        <w:rPr>
          <w:u w:val="single"/>
        </w:rPr>
        <w:t>Erasing Indigenous presence from the frontier city of Fort McMurray also renders Indigenous peoples as rural, dependent on nature, and not adaptable to urban environments</w:t>
      </w:r>
      <w:r w:rsidRPr="00087A72">
        <w:rPr>
          <w:sz w:val="12"/>
        </w:rPr>
        <w:t xml:space="preserve">—in other words, uncivilized.24 For example, Kritika mentioned how Indigenous peoples from Fort McKay25 are “not exposed to the town life because you need to explain that this is what is happening. They’re not in the position to understand what is happening. In that case it is pretty sad.”26 </w:t>
      </w:r>
      <w:r w:rsidRPr="00087A72">
        <w:rPr>
          <w:u w:val="single"/>
        </w:rPr>
        <w:t>Respondents (re)produced many such racist stereotypes about Indigenous peoples, and including the state- sanctioned categorizations of Indigenous peoples as lazy, alcoholics, drug-addicts, homeless, uneducated, unemployed, welfare dependent, and not able to understand their own positions and conditions. Indigenous peoples, as Ramesh pointed out, are “homeless and unemployed.</w:t>
      </w:r>
      <w:r w:rsidRPr="00087A72">
        <w:rPr>
          <w:sz w:val="12"/>
        </w:rPr>
        <w:t xml:space="preserve"> They’re not into higher end jobs and studying. They’re also a little bit drugs oriented. Yeah that’s what I have heard about them and seen ... </w:t>
      </w:r>
      <w:r w:rsidRPr="00087A72">
        <w:rPr>
          <w:u w:val="single"/>
        </w:rPr>
        <w:t>They are on those parts of the social frameworks</w:t>
      </w:r>
      <w:r w:rsidRPr="00087A72">
        <w:rPr>
          <w:sz w:val="12"/>
        </w:rPr>
        <w:t xml:space="preserve">.” For Kritika: “it’s not just the guys, but the saddest part is that I have even seen women doing the same [drugs and drinking].” Some respondents shared their experiences of engaging with Native colleagues but with paternalistic overtones. For instance, Sonam, who works as a Human Resource Manager in an oil company, mentioned how she has to be careful around her Native colleagues, as “they’re a little sensitive. You cannot say anything about Natives—so you have to be more careful talking to them.”27 Kabir understood Indigenous peoples’ sensitivity towards stereotyping and racism as “too much of a defensive. </w:t>
      </w:r>
      <w:r w:rsidRPr="00087A72">
        <w:rPr>
          <w:b/>
          <w:iCs/>
          <w:u w:val="single"/>
        </w:rPr>
        <w:t>They always feel themselves as vulnerable.</w:t>
      </w:r>
      <w:r w:rsidRPr="00087A72">
        <w:rPr>
          <w:sz w:val="12"/>
        </w:rPr>
        <w:t xml:space="preserve"> When you say something they just feel offended.” It should be noted that most respondents commented how they have had no or very little interaction with Indigenous peoples, or have never seen them in the city. Most of them encountered Indigenous people through their school textbooks,28 or their children’s textbooks,29 through the Canadian citizenship guide,30 news, filling out forms,31 or through Western films. Thus, </w:t>
      </w:r>
      <w:r w:rsidRPr="00087A72">
        <w:rPr>
          <w:u w:val="single"/>
        </w:rPr>
        <w:t>effacing racialized structures of power and privilege, respondents conceptualized themselves through a white-lens. Through these traces of Indianness, my respondents see themselves much closer to white peoples than to Indigenous peoples, thereby becoming the “model minority” as compared to the unmodel-other.</w:t>
      </w:r>
      <w:r w:rsidRPr="00087A72">
        <w:rPr>
          <w:sz w:val="12"/>
        </w:rPr>
        <w:t xml:space="preserve"> </w:t>
      </w:r>
      <w:r w:rsidRPr="00087A72">
        <w:rPr>
          <w:b/>
          <w:iCs/>
          <w:u w:val="single"/>
        </w:rPr>
        <w:t>Centering whiteness further invisibilizes Indigenous peoples.</w:t>
      </w:r>
      <w:r w:rsidRPr="00087A72">
        <w:rPr>
          <w:sz w:val="12"/>
        </w:rPr>
        <w:t xml:space="preserve"> All the negative stereotypes and racist perceptions that my respondents (re)produced are derived from the hegemonic ideologies of the racist settler colonial state. From ideas of “incapable labour” to “profiteering Indigenous businesses” to “welfare Indians,” the state produces and maintains settler ideologies to legitimize its ongoing occupation of stolen lands. </w:t>
      </w:r>
    </w:p>
    <w:p w:rsidR="00E06E0C" w:rsidRPr="00087A72" w:rsidRDefault="00E06E0C" w:rsidP="00E06E0C"/>
    <w:p w:rsidR="00CD7A9B" w:rsidRPr="00087A72" w:rsidRDefault="00CD7A9B" w:rsidP="00CD7A9B">
      <w:pPr>
        <w:pStyle w:val="Heading3"/>
      </w:pPr>
      <w:r w:rsidRPr="00087A72">
        <w:t xml:space="preserve">Link – Multiculturalism </w:t>
      </w:r>
    </w:p>
    <w:p w:rsidR="00792F86" w:rsidRPr="00087A72" w:rsidRDefault="00792F86" w:rsidP="00792F86">
      <w:pPr>
        <w:pStyle w:val="Heading4"/>
      </w:pPr>
      <w:r w:rsidRPr="00087A72">
        <w:t>Calls to multiculturalism further the indigenizing of the settler, erasing the existence of the native</w:t>
      </w:r>
    </w:p>
    <w:p w:rsidR="00792F86" w:rsidRPr="00087A72" w:rsidRDefault="00792F86" w:rsidP="00792F86">
      <w:r w:rsidRPr="00087A72">
        <w:rPr>
          <w:rStyle w:val="Style13ptBold"/>
        </w:rPr>
        <w:t>Lovell 7</w:t>
      </w:r>
      <w:r w:rsidRPr="00087A72">
        <w:t xml:space="preserve"> (Melissa, PhD Candidate and Political Science Discipline @ Research School of Social Sciences of Australian National University, “Settler Colonialism, Multiculturalism and the Politics of Postcolonial Identity,” </w:t>
      </w:r>
      <w:r w:rsidRPr="00087A72">
        <w:rPr>
          <w:i/>
        </w:rPr>
        <w:t>APSA Conference</w:t>
      </w:r>
      <w:r w:rsidRPr="00087A72">
        <w:t>, pp. 7-10)//vikas</w:t>
      </w:r>
    </w:p>
    <w:p w:rsidR="00792F86" w:rsidRPr="00087A72" w:rsidRDefault="00792F86" w:rsidP="00792F86">
      <w:pPr>
        <w:rPr>
          <w:sz w:val="10"/>
        </w:rPr>
      </w:pPr>
      <w:r w:rsidRPr="00087A72">
        <w:rPr>
          <w:b/>
          <w:u w:val="single"/>
        </w:rPr>
        <w:t>Multicultural ideologies of national identity sought to provide a different narrative of the ‘natural’ progression or development of the</w:t>
      </w:r>
      <w:r w:rsidRPr="00087A72">
        <w:rPr>
          <w:sz w:val="10"/>
        </w:rPr>
        <w:t xml:space="preserve"> Australian </w:t>
      </w:r>
      <w:r w:rsidRPr="00087A72">
        <w:rPr>
          <w:b/>
          <w:u w:val="single"/>
        </w:rPr>
        <w:t>state</w:t>
      </w:r>
      <w:r w:rsidRPr="00087A72">
        <w:rPr>
          <w:sz w:val="10"/>
        </w:rPr>
        <w:t xml:space="preserve">. They also attempted to reveal the often invisible assumptions of settler colonial ideologies of national identity as inequitable and unsuitable to a modern nation. Whereas settler colonial ideologies of national identity have generally been held unconsciously (no one self-identifies as a settler colonist), </w:t>
      </w:r>
      <w:r w:rsidRPr="00087A72">
        <w:rPr>
          <w:b/>
          <w:u w:val="single"/>
        </w:rPr>
        <w:t>multicultural ideas and policies were consciously supported, elaborated on and argued for by political elites and a wider policy community</w:t>
      </w:r>
      <w:r w:rsidRPr="00087A72">
        <w:rPr>
          <w:sz w:val="10"/>
        </w:rPr>
        <w:t xml:space="preserve">. In this paper </w:t>
      </w:r>
      <w:r w:rsidRPr="00087A72">
        <w:rPr>
          <w:b/>
          <w:u w:val="single"/>
        </w:rPr>
        <w:t>I conceive of multicultural ideology in a broad sense to include pluralistic attitudes towards Aboriginal citizens as well as attitudes towards nonwhite</w:t>
      </w:r>
      <w:r w:rsidRPr="00087A72">
        <w:rPr>
          <w:sz w:val="10"/>
        </w:rPr>
        <w:t xml:space="preserve">/non-British </w:t>
      </w:r>
      <w:r w:rsidRPr="00087A72">
        <w:rPr>
          <w:b/>
          <w:u w:val="single"/>
        </w:rPr>
        <w:t>migrants</w:t>
      </w:r>
      <w:r w:rsidRPr="00087A72">
        <w:rPr>
          <w:sz w:val="10"/>
        </w:rPr>
        <w:t xml:space="preserve">. An alternative approach to this paper would have been to explore the influence of discourses of Aboriginal self-determination and reconciliation. However I believe that </w:t>
      </w:r>
      <w:r w:rsidRPr="00087A72">
        <w:rPr>
          <w:b/>
          <w:u w:val="single"/>
        </w:rPr>
        <w:t>multicultural ideologies have been more influential in</w:t>
      </w:r>
      <w:r w:rsidRPr="00087A72">
        <w:rPr>
          <w:sz w:val="10"/>
        </w:rPr>
        <w:t xml:space="preserve"> the Australian situation and have come the closest to </w:t>
      </w:r>
      <w:r w:rsidRPr="00087A72">
        <w:rPr>
          <w:b/>
          <w:u w:val="single"/>
        </w:rPr>
        <w:t>displacing settler colonial forms of ideology and national identity.</w:t>
      </w:r>
      <w:r w:rsidRPr="00087A72">
        <w:rPr>
          <w:sz w:val="10"/>
        </w:rPr>
        <w:t xml:space="preserve"> Moreover, </w:t>
      </w:r>
      <w:r w:rsidRPr="00087A72">
        <w:rPr>
          <w:b/>
          <w:u w:val="single"/>
        </w:rPr>
        <w:t>multicultural ideologies have frequently collapsed the rights of indigenous</w:t>
      </w:r>
      <w:r w:rsidRPr="00087A72">
        <w:rPr>
          <w:sz w:val="10"/>
        </w:rPr>
        <w:t xml:space="preserve"> and migrant Australians </w:t>
      </w:r>
      <w:r w:rsidRPr="00087A72">
        <w:rPr>
          <w:b/>
          <w:u w:val="single"/>
        </w:rPr>
        <w:t>into a general multicultural category and so it is sensible to use the concept in this way.</w:t>
      </w:r>
      <w:r w:rsidRPr="00087A72">
        <w:rPr>
          <w:sz w:val="10"/>
        </w:rPr>
        <w:t xml:space="preserve"> The development of multiculturalism as an ideology of national identity occurred in the context of changing norms in Australian society during the twentieth century. Australian policy in the first half of the twentieth century expected both Aboriginal people and immigrants to assimilate and take on the language, culture and religion of the British settler population. These ‘White Australia’ policies were a reflection of an ideological commitment to the development of a mono-racial national community (Collins 2000, 307-308; Evans 2004, 106-111). In the 1960s and 1970s Australia started to move away from a racially based conception of national identity and began incrementally dismantling White Australia policies. The removal of the Dictation Test from the Migration Act in 1958 was an early indication that restricting immigrants on the base of race and culture was becoming officially unacceptable. Moreover, important </w:t>
      </w:r>
      <w:r w:rsidRPr="00087A72">
        <w:rPr>
          <w:b/>
          <w:u w:val="single"/>
        </w:rPr>
        <w:t>anti-discrimination laws</w:t>
      </w:r>
      <w:r w:rsidRPr="00087A72">
        <w:rPr>
          <w:sz w:val="10"/>
        </w:rPr>
        <w:t xml:space="preserve"> came into operation. The first of these was in South Australia in 1966 and a federal Racial Discrimination Act made discrimination on racial grounds illegal in 1975 (Jupp 1989, 278-281). These developments and many others </w:t>
      </w:r>
      <w:r w:rsidRPr="00087A72">
        <w:rPr>
          <w:b/>
          <w:u w:val="single"/>
        </w:rPr>
        <w:t>responded to a changing cultural demographic but also demonstrated a changing normative vision for</w:t>
      </w:r>
      <w:r w:rsidRPr="00087A72">
        <w:rPr>
          <w:sz w:val="10"/>
        </w:rPr>
        <w:t xml:space="preserve"> Australian </w:t>
      </w:r>
      <w:r w:rsidRPr="00087A72">
        <w:rPr>
          <w:b/>
          <w:u w:val="single"/>
        </w:rPr>
        <w:t>society and identity.</w:t>
      </w:r>
      <w:r w:rsidRPr="00087A72">
        <w:rPr>
          <w:sz w:val="10"/>
        </w:rPr>
        <w:t xml:space="preserve"> Many of the policies of White Australia could be said to have already been dismantled well before multiculturalism became a prominent ideology of national identity. The civic rights movements of African-Americans in the United States and indigenous people in Australia may have been important vehicles for this important shift away from racially based policies. In Australia, indigenous people led concerted campaigns for civil and indigenous rights. A successful referendum in 1967 resolved to count indigenous people in the national census and provide the Liberal federal government (rather than state governments) with the ability to enact laws for indigenous people (Stokes 1997, 164-167). Other successes for civil rights included the award of equal wages for aboriginal pastoralists in the Northern Territory in 1968 and the 1978 Land Rights Act in the Northern Territory. Across the second half of the twentieth century the Australian population shifted from a predominantly white British population to a population which includes significant non-British minorities. Australian census data demonstrates this demographic shift. In 1947 10% of Australians were born overseas but by 2005 this figure had risen to twenty four per cent. Most of these migrants emigrated from the United Kingdom and New Zealand but Italy, China, Vietnam, India and the Philippines are the next most common countries of birth (Australian Bureau of Statistics 2007). It was </w:t>
      </w:r>
      <w:r w:rsidRPr="00087A72">
        <w:rPr>
          <w:b/>
          <w:u w:val="single"/>
        </w:rPr>
        <w:t>in the context of these major demographic and policy shifts that multicultural ideologies of national identity became significant. Multicultural ideologies of national identity are based on a belief that a diverse collation of cultural identities</w:t>
      </w:r>
      <w:r w:rsidRPr="00087A72">
        <w:rPr>
          <w:sz w:val="10"/>
        </w:rPr>
        <w:t xml:space="preserve"> was </w:t>
      </w:r>
      <w:r w:rsidRPr="00087A72">
        <w:rPr>
          <w:b/>
          <w:u w:val="single"/>
        </w:rPr>
        <w:t>beneficial to the</w:t>
      </w:r>
      <w:r w:rsidRPr="00087A72">
        <w:rPr>
          <w:sz w:val="10"/>
        </w:rPr>
        <w:t xml:space="preserve"> Australian </w:t>
      </w:r>
      <w:r w:rsidRPr="00087A72">
        <w:rPr>
          <w:b/>
          <w:u w:val="single"/>
        </w:rPr>
        <w:t>nation and that shared liberal democratic values</w:t>
      </w:r>
      <w:r w:rsidRPr="00087A72">
        <w:rPr>
          <w:sz w:val="10"/>
        </w:rPr>
        <w:t xml:space="preserve"> were </w:t>
      </w:r>
      <w:r w:rsidRPr="00087A72">
        <w:rPr>
          <w:b/>
          <w:u w:val="single"/>
        </w:rPr>
        <w:t xml:space="preserve">sufficient to provide a sense of shared Australian identity. </w:t>
      </w:r>
      <w:r w:rsidRPr="00087A72">
        <w:rPr>
          <w:rStyle w:val="Emphasis"/>
        </w:rPr>
        <w:t>Multiculturalism stated</w:t>
      </w:r>
      <w:r w:rsidRPr="00087A72">
        <w:rPr>
          <w:b/>
          <w:u w:val="single"/>
        </w:rPr>
        <w:t xml:space="preserve"> </w:t>
      </w:r>
      <w:r w:rsidRPr="00087A72">
        <w:rPr>
          <w:sz w:val="10"/>
        </w:rPr>
        <w:t xml:space="preserve">that </w:t>
      </w:r>
      <w:r w:rsidRPr="00087A72">
        <w:rPr>
          <w:rStyle w:val="Emphasis"/>
        </w:rPr>
        <w:t xml:space="preserve">cultural diversity was an asset to a democratic nation and </w:t>
      </w:r>
      <w:r w:rsidRPr="00087A72">
        <w:rPr>
          <w:sz w:val="10"/>
        </w:rPr>
        <w:t xml:space="preserve">that </w:t>
      </w:r>
      <w:r w:rsidRPr="00087A72">
        <w:rPr>
          <w:rStyle w:val="Emphasis"/>
        </w:rPr>
        <w:t>government policy needed to address</w:t>
      </w:r>
      <w:r w:rsidRPr="00087A72">
        <w:rPr>
          <w:sz w:val="10"/>
        </w:rPr>
        <w:t xml:space="preserve"> the linguistic and cultural needs of </w:t>
      </w:r>
      <w:r w:rsidRPr="00087A72">
        <w:rPr>
          <w:rStyle w:val="Emphasis"/>
        </w:rPr>
        <w:t>migrant citizens on equity grounds</w:t>
      </w:r>
      <w:r w:rsidRPr="00087A72">
        <w:rPr>
          <w:sz w:val="10"/>
        </w:rPr>
        <w:t xml:space="preserve"> (Lopez 2000, 3; Jupp 1989, 1). The vision of multiculturalism as a national identity and a face to present to the rest of the world was most strongly the programme of the Labor Party during the governments of Bob Hawke and Paul Keating. In 1987, during the government of Prime Minister Hawke, both an Advisory Council on Multicultural Affairs and an Office for Multicultural Affairs were established (Jupp 1989, 278-281). In 1989 the Hawke government published an official statement of its support for multiculturalism in its National Agenda for a Multicultural Australia. An important aspect of this report was that official multiculturalism was considered a necessary response to the cultural diversity of Australian society (Office of Multicultural Affairs 1989, 1-5). In accordance with a more pluralistic account of contemporary Australian identities, multicultural ideologies resulted in narratives of history which sought to emphasise the contributions of people from many backgrounds to building the Australian nation. The study of history has become heavily politicised as settler colonial narratives of peaceful settlement challenge – and are challenged by – multicultural histories of British migrants, non-British migrants and indigenous people. In recent decades historians have sought to document the survival of indigenous identities and cultures and have considered the adaptability and survival techniques of aboriginal people (Veracini 2006; Robbins 2007, 316-319). Much of the historical scholarship has been aimed at expanding the scope of historical experiences which are considered Australian and therefore have formed part of a multicultural politics. The idea of liberal democracy was important to both settler colonial and multicultural ideologies of national identity but in very different ways. As I mentioned above, </w:t>
      </w:r>
      <w:r w:rsidRPr="00087A72">
        <w:rPr>
          <w:rStyle w:val="Emphasis"/>
        </w:rPr>
        <w:t>settler colonial ideologies considered liberal democracy to be an example of progress and a further example of how settler</w:t>
      </w:r>
      <w:r w:rsidRPr="00087A72">
        <w:rPr>
          <w:sz w:val="10"/>
        </w:rPr>
        <w:t xml:space="preserve"> Australia </w:t>
      </w:r>
      <w:r w:rsidRPr="00087A72">
        <w:rPr>
          <w:rStyle w:val="Emphasis"/>
        </w:rPr>
        <w:t>was more civilised than indigenous</w:t>
      </w:r>
      <w:r w:rsidRPr="00087A72">
        <w:rPr>
          <w:sz w:val="10"/>
        </w:rPr>
        <w:t xml:space="preserve"> Australia. In contrast, </w:t>
      </w:r>
      <w:r w:rsidRPr="00087A72">
        <w:rPr>
          <w:b/>
          <w:u w:val="single"/>
        </w:rPr>
        <w:t xml:space="preserve">liberal democracy in the context of multicultural ideologies was a sort of basic standard for the cooperation of people of diverse backgrounds and cultures </w:t>
      </w:r>
      <w:r w:rsidRPr="00087A72">
        <w:rPr>
          <w:sz w:val="10"/>
        </w:rPr>
        <w:t xml:space="preserve">(Soutphommasane 2005, 402). The Prime Minister Paul Keating argued, for example, that Australians were committed to “… democracy, freedom, justice, fairness, our love of the land and our best institutions and traditions”. However, “we should resist the temptation to say that one individual or group has a monopoly on these things” (Keating 1993). Liberal democracy was considered to be a widely applicable set of values for Australian political interaction but not the preserve of British Australians. Multicultural ideologies of national identity had a number of implications for policy. Obviously immigration and migrant support policies were a key aspect of multiculturalism but there were also implications for foreign affairs and trade policy. Part of the vision of multicultural nationalism was for Australia to take its place in the Asia Pacific region. In one speech, for example, Prime Minister Bob Hawke emphasised the increasing role of Australia as part of Asia. He argued that assertions that “Australia’s future lies in Asia” had become common place but that finding Australia’s “true place in Asia” would be one Australia’s most important challenges (Hawke 1988, 3). Prime Minister Keating continued this vision of Australia’s future when he acted as a driving force for the establishment of the Asia-Pacific Economic Cooperation Forum (APEC) in the early 1990s (National Archives of Australia 2007). The multicultural vision for Australian society was, therefore, a vision of pluralism and cultural diversity as the catalyst for economic growth and more intimate relations with Australia’s Asia-Pacific neighbours. </w:t>
      </w:r>
      <w:r w:rsidRPr="00087A72">
        <w:rPr>
          <w:b/>
          <w:u w:val="single"/>
        </w:rPr>
        <w:t>Multicultural ideologies created</w:t>
      </w:r>
      <w:r w:rsidRPr="00087A72">
        <w:rPr>
          <w:sz w:val="10"/>
        </w:rPr>
        <w:t xml:space="preserve"> both </w:t>
      </w:r>
      <w:r w:rsidRPr="00087A72">
        <w:rPr>
          <w:b/>
          <w:u w:val="single"/>
        </w:rPr>
        <w:t>possibilities and limitations for</w:t>
      </w:r>
      <w:r w:rsidRPr="00087A72">
        <w:rPr>
          <w:sz w:val="10"/>
        </w:rPr>
        <w:t xml:space="preserve"> the </w:t>
      </w:r>
      <w:r w:rsidRPr="00087A72">
        <w:rPr>
          <w:b/>
          <w:u w:val="single"/>
        </w:rPr>
        <w:t>dismantling of settler colonial institutions in society and government.</w:t>
      </w:r>
      <w:r w:rsidRPr="00087A72">
        <w:rPr>
          <w:sz w:val="10"/>
        </w:rPr>
        <w:t xml:space="preserve"> The </w:t>
      </w:r>
      <w:r w:rsidRPr="00087A72">
        <w:rPr>
          <w:rStyle w:val="Emphasis"/>
        </w:rPr>
        <w:t>advantage of multicultural politics is that indigenous and migrant viewpoints, histories and ideas became more acceptable as part of</w:t>
      </w:r>
      <w:r w:rsidRPr="00087A72">
        <w:rPr>
          <w:sz w:val="10"/>
        </w:rPr>
        <w:t xml:space="preserve"> Australian </w:t>
      </w:r>
      <w:r w:rsidRPr="00087A72">
        <w:rPr>
          <w:rStyle w:val="Emphasis"/>
        </w:rPr>
        <w:t>political discourse.</w:t>
      </w:r>
      <w:r w:rsidRPr="00087A72">
        <w:rPr>
          <w:sz w:val="10"/>
        </w:rPr>
        <w:t xml:space="preserve"> The disadvantage, however, is that while the Keating and Hawke governments supported policies of indigenous self-determination the progress on these issues was slow. The political will may have existed. Prime Minister Keating’s famous Redfern speech argued that it was …reasonable to say that if we can build a prosperous and remarkably harmonious multicultural society in Australia, surely we can find just solutions to the problems which beset the first Australians – the people to whom the most injustice was done” (Keating 1992). But the politics of land rights, treaty and reparation for colonial policy seemed to be a greater challenge than expected and impeded by economic rationalist members of the Hawke-Keating ministries (see Foley 2007). The ability of multiculturalism to address indigenous concerns depends on the degree to which notions of multicultural pluralism accept difference from the dominant culture. The practice of multiculturalism tends to privilege the settler culture and this is reflected in the structure of the society and political system (Seth 2001, 73-77). This is not to say that multiculturalism could not, in theory, address these issues. Canadian liberal Will Kymlicka, for example, has theorised about the need for special rights for indigenous and minority groups to provide equal protection for their freedoms in nation-building Western states (2004, 10-13). The politics of multiculturalism in the Australian situation is constrained by the circumstances of the settler colonial state and may not fulfil the full potential of multicultural theory. Just as settler colonial ideologies of national identity seek to normalise key settler beliefs and narratives, multicultural ideologies sought to institutionalise multicultural visions of national identity. Towards the end of the Keating Labor government the original proponents of multicultural policy were advocating that the term be phased out of official use for varying reasons. These reasons ranged from a concern with the awkwardness and pompousness of multiculturalism as a term, to the belief that multiculturalism was such a success that policy was no longer required (Galligan and Roberts 2003, 10). At least in part, the calls for a name change were based on attempts to rid multiculturalism of its elitist connotations and institutionalise its values in Australian policy communities and society.</w:t>
      </w:r>
    </w:p>
    <w:p w:rsidR="00CD7A9B" w:rsidRPr="00087A72" w:rsidRDefault="00CD7A9B" w:rsidP="00CD7A9B">
      <w:pPr>
        <w:pStyle w:val="Heading4"/>
        <w:rPr>
          <w:rStyle w:val="Style13ptBold"/>
          <w:b/>
        </w:rPr>
      </w:pPr>
      <w:r w:rsidRPr="00087A72">
        <w:rPr>
          <w:rStyle w:val="Style13ptBold"/>
          <w:b/>
        </w:rPr>
        <w:t>Multiculturalism, and the population of former indigenous lands by new immigrants serves to erase the history of indigenous folk that lived there</w:t>
      </w:r>
    </w:p>
    <w:p w:rsidR="00CD7A9B" w:rsidRPr="00087A72" w:rsidRDefault="00CD7A9B" w:rsidP="00CD7A9B">
      <w:pPr>
        <w:rPr>
          <w:rStyle w:val="Style13ptBold"/>
        </w:rPr>
      </w:pPr>
      <w:r w:rsidRPr="00087A72">
        <w:rPr>
          <w:rStyle w:val="Style13ptBold"/>
        </w:rPr>
        <w:t xml:space="preserve">Nájera &amp; Maldonado, 2017 </w:t>
      </w:r>
      <w:r w:rsidRPr="00087A72">
        <w:rPr>
          <w:rStyle w:val="Style13ptBold"/>
          <w:sz w:val="20"/>
          <w:szCs w:val="20"/>
        </w:rPr>
        <w:t xml:space="preserve">(Lourdes Gutiérrez, Assistant Professor of Anthropology at Drake College of Arts and Sciences, B.A. in Ethnology from the National School of Anthropology and History, Mexico City, M.A. in Rural Development from the Metropolitan Autonomous University, Mexico City, PhD in Anthropology from the University of Texas, Austin, “Transnational Settler Colonial Formations and Global Capital: A Consideration of Indigenous Mexican Migrants”, </w:t>
      </w:r>
      <w:r w:rsidRPr="00087A72">
        <w:rPr>
          <w:rStyle w:val="Style13ptBold"/>
          <w:i/>
          <w:sz w:val="20"/>
          <w:szCs w:val="20"/>
        </w:rPr>
        <w:t xml:space="preserve">American Quarterly, </w:t>
      </w:r>
      <w:r w:rsidRPr="00087A72">
        <w:rPr>
          <w:rStyle w:val="Style13ptBold"/>
          <w:sz w:val="20"/>
          <w:szCs w:val="20"/>
        </w:rPr>
        <w:t>Vol. 69, No. 4, pp.813-815) [SP]</w:t>
      </w:r>
    </w:p>
    <w:p w:rsidR="00CD7A9B" w:rsidRPr="00087A72" w:rsidRDefault="00CD7A9B" w:rsidP="00CD7A9B">
      <w:pPr>
        <w:rPr>
          <w:u w:val="single"/>
        </w:rPr>
      </w:pPr>
      <w:r w:rsidRPr="00087A72">
        <w:rPr>
          <w:u w:val="single"/>
        </w:rPr>
        <w:t>Transcommunal Indigeneity and Multicultural Erasures Numerous works engage with the question of the reproduction of settler colonialism and the location of migrant communities within these contexts. For example, scholars studying the Hawaiian case argue that all migrants, even those with less economic power or pushed out by US colonial/empire endeavors in their own countries, are settlers</w:t>
      </w:r>
      <w:r w:rsidRPr="00087A72">
        <w:rPr>
          <w:sz w:val="16"/>
        </w:rPr>
        <w:t xml:space="preserve">.23 Migrant attempts to gain economic and political power by asserting “local” identities become complicit with settler colonialism by subordinating Hawaiian claims to their rightful homeland. </w:t>
      </w:r>
      <w:r w:rsidRPr="00087A72">
        <w:rPr>
          <w:u w:val="single"/>
        </w:rPr>
        <w:t>Im- migrant communities’ political agency can bolster a colonial system initiated by White settlers</w:t>
      </w:r>
      <w:r w:rsidRPr="00087A72">
        <w:rPr>
          <w:sz w:val="16"/>
        </w:rPr>
        <w:t xml:space="preserve">.24 The case of Zapotec Indigenous peoples living in Los Angeles provides insight to the ways in which they, like other “settlers of color”25 or “brown settlers,” perpetuate dispossession. Drawing on Aikau’s notion of “alternative contact narrative,” we show how </w:t>
      </w:r>
      <w:r w:rsidRPr="00087A72">
        <w:rPr>
          <w:u w:val="single"/>
        </w:rPr>
        <w:t>Indigenous Mexicans simultaneously perpetu- ate Native dispossession in the United States as they lay roots and reconstruct transnational forms of indigeneity. Consequently, any understanding of In- digenous Mexican migrants as settlers must examine the relationship between settler colonial processes and indigeneity</w:t>
      </w:r>
      <w:r w:rsidRPr="00087A72">
        <w:rPr>
          <w:sz w:val="16"/>
        </w:rPr>
        <w:t xml:space="preserve">, as argued by Aikau.26 The opening vignette provides an opportunity to begin this examination. Los Angeles today is recognized as a place marked by a large presence of Indigenous Mexicans, the majority hailing from the state of Oaxaca. Mixtecs, Zapotecs, and Mixes constitute three of the most prominent linguistic and cultural groups. Zapotecs constitute the largest group of urban residents in Los Angeles, representing Oaxaca’s main regional distributions—sierra norte, valles centrales, and isthmus. The communities representing the sierra form the largest enclave in Los Angeles. </w:t>
      </w:r>
      <w:r w:rsidRPr="00087A72">
        <w:rPr>
          <w:u w:val="single"/>
        </w:rPr>
        <w:t>Zapotecs have left an indelible mark on the city, transforming neighborhoods into town and regional specific enclaves (e.g., valley Zapotecs in West Los Angeles versus sierra Zapotecs in Koreatown) and contributing to the growing presence of restaurants (e.g., La Guelaguetza, La Zapoteca, Sierra Juárez) and stores</w:t>
      </w:r>
      <w:r w:rsidRPr="00087A72">
        <w:rPr>
          <w:sz w:val="16"/>
        </w:rPr>
        <w:t xml:space="preserve"> (e.g., La Mayordomia). Equally important are the numerous cultural groups representing hometown and regional brass bands, basketball teams, and dance groups. Zapotecs participate in collective celebrations commemorating patron saints, life-cycle events, and pan-ethnic festivities like guelaguetza. </w:t>
      </w:r>
      <w:r w:rsidRPr="00087A72">
        <w:rPr>
          <w:u w:val="single"/>
        </w:rPr>
        <w:t>Not surprisingly, Oaxacans have transformed Los Angeles into a rich cultural space referred to as Oaxacalifornia. This re-envisioning of Los Angeles, and the broader state of California, as a space where Zapotecs can experience their culture, traditions, and cosmogony signals the continued importance of place in reconceptualizing indigeneity within this transnational space</w:t>
      </w:r>
      <w:r w:rsidRPr="00087A72">
        <w:rPr>
          <w:sz w:val="16"/>
        </w:rPr>
        <w:t xml:space="preserve">. Yet we suggest that the reconfiguration of Oaxacalifornia spanning Zapotec indigeneity between natal homes and Los Angeles via webs of social relations and cultural practices reproduces settler colonial logics of erasure and dispossession. </w:t>
      </w:r>
      <w:r w:rsidRPr="00087A72">
        <w:rPr>
          <w:u w:val="single"/>
        </w:rPr>
        <w:t>In part, this erasure is achieved through US national practices of multiculturalism, but it is further reinforced by broader nationalist projects of assimilation and manifest destiny.</w:t>
      </w:r>
      <w:r w:rsidRPr="00087A72">
        <w:rPr>
          <w:sz w:val="16"/>
        </w:rPr>
        <w:t xml:space="preserve"> </w:t>
      </w:r>
      <w:r w:rsidRPr="00087A72">
        <w:rPr>
          <w:u w:val="single"/>
        </w:rPr>
        <w:t>Numerous postcolonial scholars are critical of multiculturalism and the contemporary politics of recognition for reinforcing, rather than transform- ing, structures of colonial domination in relations between settler states and Indigenous communities</w:t>
      </w:r>
      <w:r w:rsidRPr="00087A72">
        <w:rPr>
          <w:sz w:val="16"/>
        </w:rPr>
        <w:t xml:space="preserve">. </w:t>
      </w:r>
      <w:r w:rsidRPr="00087A72">
        <w:rPr>
          <w:u w:val="single"/>
        </w:rPr>
        <w:t>While Dean Saranillio stresses white supremacy as integral to logics of multiculturalism, Jonathan Okamura points to the systemic economic inequality within multicultural regimes. Other scholars further suggest that a distorted vision of Hawai‘i as a model of racial harmony and multiculturalism is often based on a common perception of a shared “local” identity among its residents that frames Native Hawaiians as “one more racial minority,” ostensibly eliminating Native rights to land, resources, and sover- eignty.</w:t>
      </w:r>
      <w:r w:rsidRPr="00087A72">
        <w:rPr>
          <w:sz w:val="16"/>
        </w:rPr>
        <w:t>27 In the case of Los Angeles, Zapotec migrants are incorporated into California’s multicultural landscape through the city’s public recognition. In August 2014 the Los Angeles Public Library held a cultural event, “Welcome to Oaxacalifornia, Oaxaqueños in the Global City of L.A.,</w:t>
      </w:r>
      <w:r w:rsidRPr="00087A72">
        <w:rPr>
          <w:rFonts w:cs="Georgia"/>
          <w:sz w:val="16"/>
        </w:rPr>
        <w:t>”</w:t>
      </w:r>
      <w:r w:rsidRPr="00087A72">
        <w:rPr>
          <w:sz w:val="16"/>
        </w:rPr>
        <w:t xml:space="preserve"> that integrated multiple generations of Oaxacans through music and dance, a pop-up photo exhibit, and speaker panels.28 </w:t>
      </w:r>
      <w:r w:rsidRPr="00087A72">
        <w:rPr>
          <w:u w:val="single"/>
        </w:rPr>
        <w:t>This type of recognition accentuates folkloric aspects of Oaxacan cultures that render them acceptable within a framework of assimilation. Recognition of Los Angeles as Oaxacan obscures Native people on whose land immigrants have settled.</w:t>
      </w:r>
      <w:r w:rsidRPr="00087A72">
        <w:rPr>
          <w:sz w:val="16"/>
        </w:rPr>
        <w:t xml:space="preserve"> While Los Angeles residents increasingly rec- ognize and celebrate Oaxacans by taking part in cultural events and festivities sponsored by the city, many people remain unaware that Los Angeles is “the second most Indigenous populated city in the country, with around 54,000 people who self identify as Native. When displaced Latin American and Pacific Island Indigenous peoples are considered, LA has the largest population of Transnational Settler Colonial Formations and Global Capital | 815 Indigenous peoples in the entire country.”29 </w:t>
      </w:r>
      <w:r w:rsidRPr="00087A72">
        <w:rPr>
          <w:u w:val="single"/>
        </w:rPr>
        <w:t>The truth is, Native Californian populations—most noticeably, Tongva, Chumash, Tataviam—remain invis- ible in the Angeleno imaginary. “Replacement narratives” reflected in the Los Angeles Public Library’s Cornwell murals have erased their histories and, more important, so have nationalist narratives of multiculturalism that celebrate the latest wave of Oaxacan migrants as part of the city’s landscape. Beyond multicultural policies, manifest destiny and historical erasure have been used to dispossess Tongva from their lands as much today as in the past</w:t>
      </w:r>
      <w:r w:rsidRPr="00087A72">
        <w:rPr>
          <w:sz w:val="16"/>
        </w:rPr>
        <w:t xml:space="preserve">. Again, Cornwell’s mural relies on images of Natives as subservient people relegated to the past. The most prominent images of Native people (over twenty-five across several panels) are visible in the mural depicting the “mission” period, dependent on Indigenous labor. Only three are visible in the last mural depicting Americanization and progress. What accounts for such a narrative? Here we enter a more complete rendering of Native triple colonization and continual dispossession of land and resources that contributes to their invisibility. </w:t>
      </w:r>
      <w:r w:rsidRPr="00087A72">
        <w:rPr>
          <w:u w:val="single"/>
        </w:rPr>
        <w:t>For Native peoples in California, dispossession began in the eighteenth century with Spanish colonization followed by extermination campaigns during the gold rush. In the 1900s Native Californians who had survived were subjected to forced relocations and boarding school education to assimilate them to “American” society. Yet through all these campaigns to erase them, Native people survived and continue to fight for their sovereignty.</w:t>
      </w:r>
      <w:r w:rsidRPr="00087A72">
        <w:rPr>
          <w:sz w:val="16"/>
        </w:rPr>
        <w:t xml:space="preserve"> Tongva peoples, on whose lands the urban center was built, are at the forefront of struggles for recognition, protection of sacred sites and lands, and resources. The Public Library’s decision to invite a Oaxacan art collective builds on this colonial history of erasure, dispossession, and replacement. Inadver- tently, Indigenous Mexicans in the city, unaware of California’s history of Native dispossession and the Tongva enduring presence in the city, partake in symbolic erasures. </w:t>
      </w:r>
      <w:r w:rsidRPr="00087A72">
        <w:rPr>
          <w:u w:val="single"/>
        </w:rPr>
        <w:t>In part, this is accomplished through their own claims of transcommunal belonging contingent on transformational practices of space that incorporate Los Angeles into their sphere of relations between Oaxaca and California. While Indigenous Mexicans themselves are targets of erasure within their country of origin and are forced to move by neoliberal policies that seek to dispossess them of their lands and resources, in Los Angeles they nevertheless participate in settler logics of Tongva elimination through their complicity with the city’s multicultural agenda.</w:t>
      </w:r>
    </w:p>
    <w:p w:rsidR="00CD7A9B" w:rsidRPr="00087A72" w:rsidRDefault="00CD7A9B" w:rsidP="00CD7A9B"/>
    <w:p w:rsidR="00D66B35" w:rsidRPr="00087A72" w:rsidRDefault="00D66B35" w:rsidP="00496C79">
      <w:pPr>
        <w:pStyle w:val="Heading3"/>
      </w:pPr>
      <w:r w:rsidRPr="00087A72">
        <w:t>Link – “Nation of Immigrants”</w:t>
      </w:r>
    </w:p>
    <w:p w:rsidR="00D66B35" w:rsidRPr="00087A72" w:rsidRDefault="00D66B35" w:rsidP="00D66B35">
      <w:pPr>
        <w:pStyle w:val="Heading4"/>
      </w:pPr>
      <w:r w:rsidRPr="00087A72">
        <w:t>The historical narrative of the “nation of immigrants” equates the white immigration with the struggle of black people and obscures the US practice of colonization. The lefts failure to grasp with their privileged settler class that propogates such fictions just replicates the settler colonial logics of state-building. Only a framework of decolonization can dismantle these systems of oppression.</w:t>
      </w:r>
    </w:p>
    <w:p w:rsidR="00D66B35" w:rsidRPr="00087A72" w:rsidRDefault="00D66B35" w:rsidP="00D66B35">
      <w:r w:rsidRPr="00087A72">
        <w:rPr>
          <w:b/>
        </w:rPr>
        <w:t>FORTIER 15</w:t>
      </w:r>
      <w:r w:rsidRPr="00087A72">
        <w:t xml:space="preserve"> </w:t>
      </w:r>
      <w:r w:rsidRPr="00087A72">
        <w:rPr>
          <w:sz w:val="16"/>
        </w:rPr>
        <w:t>(CRAIG, “UNSETTLING MOVEMENTS: DECOLONIZING NON-INDIGENOUS RADICAL STRUGGLES IN SETTLER COLONIAL STATES.” Pp 86-89squirms)</w:t>
      </w:r>
    </w:p>
    <w:p w:rsidR="00D66B35" w:rsidRPr="00087A72" w:rsidRDefault="00D66B35" w:rsidP="00D66B35">
      <w:pPr>
        <w:ind w:left="-5" w:right="34"/>
        <w:rPr>
          <w:b/>
          <w:iCs/>
          <w:sz w:val="26"/>
          <w:u w:val="single"/>
        </w:rPr>
      </w:pPr>
      <w:r w:rsidRPr="00087A72">
        <w:rPr>
          <w:rStyle w:val="Emphasis"/>
        </w:rPr>
        <w:t>The emergence of the white settler as a social class is central to the history of left struggles</w:t>
      </w:r>
      <w:r w:rsidRPr="00087A72">
        <w:rPr>
          <w:sz w:val="16"/>
        </w:rPr>
        <w:t xml:space="preserve"> for political gains and political power within the settler state. Since </w:t>
      </w:r>
      <w:r w:rsidRPr="00087A72">
        <w:rPr>
          <w:rStyle w:val="Emphasis"/>
        </w:rPr>
        <w:t xml:space="preserve">these struggles have tended to replicate the settler-colonial logics of state-building foundational to maintaining the structures of colonialism </w:t>
      </w:r>
      <w:r w:rsidRPr="00087A72">
        <w:rPr>
          <w:sz w:val="16"/>
        </w:rPr>
        <w:t xml:space="preserve">the revolutionary potential of left social movements in Canada and the United States have been significantly blunted. </w:t>
      </w:r>
      <w:r w:rsidRPr="00087A72">
        <w:rPr>
          <w:rStyle w:val="Emphasis"/>
        </w:rPr>
        <w:t>Even when these movements have given legitimate attention to the inherently oppressive nature of racism</w:t>
      </w:r>
      <w:r w:rsidRPr="00087A72">
        <w:rPr>
          <w:sz w:val="16"/>
        </w:rPr>
        <w:t xml:space="preserve"> (and this too is extremely rare</w:t>
      </w:r>
      <w:r w:rsidRPr="00087A72">
        <w:rPr>
          <w:rStyle w:val="Emphasis"/>
          <w:b w:val="0"/>
          <w:sz w:val="16"/>
          <w:u w:val="none"/>
        </w:rPr>
        <w:t>),</w:t>
      </w:r>
      <w:r w:rsidRPr="00087A72">
        <w:rPr>
          <w:rStyle w:val="Emphasis"/>
        </w:rPr>
        <w:t xml:space="preserve"> left social movements have struggled to escape the pervasive logics leading to isolation, antagonism, and instrumentalism in their relationships with Indigenous peoples.</w:t>
      </w:r>
      <w:r w:rsidRPr="00087A72">
        <w:rPr>
          <w:sz w:val="16"/>
        </w:rPr>
        <w:t xml:space="preserve"> </w:t>
      </w:r>
      <w:r w:rsidRPr="00087A72">
        <w:rPr>
          <w:rStyle w:val="Emphasis"/>
        </w:rPr>
        <w:t>One of the ways that the white left has sought to resolve this contradiction</w:t>
      </w:r>
      <w:r w:rsidRPr="00087A72">
        <w:rPr>
          <w:sz w:val="16"/>
        </w:rPr>
        <w:t xml:space="preserve"> without actually engaging in meaningful and material transformation in its political </w:t>
      </w:r>
      <w:r w:rsidRPr="00087A72">
        <w:rPr>
          <w:rStyle w:val="Emphasis"/>
        </w:rPr>
        <w:t>practice is through a historical narrative that equates white immigration with the struggles of Black people and people of colour to find home and belonging on these lands</w:t>
      </w:r>
      <w:r w:rsidRPr="00087A72">
        <w:rPr>
          <w:sz w:val="16"/>
        </w:rPr>
        <w:t>. As Dunbar-Ortiz (2014) notes, “[</w:t>
      </w:r>
      <w:r w:rsidRPr="00087A72">
        <w:rPr>
          <w:rStyle w:val="Emphasis"/>
        </w:rPr>
        <w:t>T]he revised [multicultural] narrative produced the ‘nation of immigrants’ framework, which obscures the US practice of colonization, merging settler colonialism with immigration to metropolitan centres during and after the industrial revolution”</w:t>
      </w:r>
      <w:r w:rsidRPr="00087A72">
        <w:rPr>
          <w:sz w:val="16"/>
        </w:rPr>
        <w:t xml:space="preserve"> (13). </w:t>
      </w:r>
      <w:r w:rsidRPr="00087A72">
        <w:rPr>
          <w:rStyle w:val="Emphasis"/>
        </w:rPr>
        <w:t>This narrative</w:t>
      </w:r>
      <w:r w:rsidRPr="00087A72">
        <w:rPr>
          <w:sz w:val="16"/>
        </w:rPr>
        <w:t xml:space="preserve">, suggests Dunbar-Ortiz, is not wrong or deficient in its important contributions of historical facts and details about struggles against capitalism, racism, and the ruling elite, but </w:t>
      </w:r>
      <w:r w:rsidRPr="00087A72">
        <w:rPr>
          <w:rStyle w:val="Emphasis"/>
        </w:rPr>
        <w:t>is fundamentally flawed in its essence. By erasing the presence of Indigenous, Black, and other people of colour’s struggles, these histories produce the possibility of a distinct American (or Canadian) radical tradition and eliminate the significant contradictions within the organized left with respect to its broad support of the settler colonial project</w:t>
      </w:r>
      <w:r w:rsidRPr="00087A72">
        <w:rPr>
          <w:sz w:val="16"/>
        </w:rPr>
        <w:t xml:space="preserve">. As Jafri (2013) argues, “settler/colonial desire is integral to the construction of settler subjectivities, to settler narratives, and to the project of erasure underlying the indigenizing efforts of settler projects” (79). Rather than deal with the challenges and contradictions produced by the structures of white supremacy and settler colonialism, the project of erasure reimagines left social movements as domestic or indigenized struggles. In other words, </w:t>
      </w:r>
      <w:r w:rsidRPr="00087A72">
        <w:rPr>
          <w:rStyle w:val="Emphasis"/>
        </w:rPr>
        <w:t xml:space="preserve">the white left sees itself as a national body seeking to reclaim American democracy (Graeber 2013; Olson 2014) or some form of reconciliation (Asch 2014) rather than dismantle the structures of white supremacy, heteropatriarchy, and settler colonialism that underlie the capitalist project in settler states </w:t>
      </w:r>
      <w:r w:rsidRPr="00087A72">
        <w:rPr>
          <w:sz w:val="16"/>
        </w:rPr>
        <w:t>like Canada and the United States. It is important to make explicit the ways in which the radical left has historically abandoned (at best) and actively participated in the ongoing dispossession of Indigenous peoples from their territories. This was a recurrent theme in my interviews. For instance, when I interviewed members of the Maypop Collective, an environmental justice group in Philadelphia, Zein Nakhoda cautioned: [F]or me [decolonization] is both a responsibility to history, which means understanding the history of colonization, the history of the country that I grew up in, and events, places, groups of people, genocides, forced displacements, cultural violence, land seizure, and to understand our responsibility to that history [...] The movement continues through now and there are people who continue those ongoing struggles and the legacies are ongoing. It is also important to articulate that Indigenous struggles against colonialism should have clear resonance with non-Indigenous anti-authoritarian movements. As Dixon (2014) correctly points out, “More than any other lineage of resistance in North America</w:t>
      </w:r>
      <w:r w:rsidRPr="00087A72">
        <w:rPr>
          <w:rStyle w:val="Emphasis"/>
        </w:rPr>
        <w:t xml:space="preserve">, Indigenous struggles for self-determination have consistently challenged the territorial control of nation-states, offered a living alternative to private property, and foregrounded colonialism as an ongoing system of domination” (25). Although there are many examples of non-Indigenous struggles (labour movements, early anarchists, anti- imperialists, abolitionists) that have contributed to this anti-authoritarian history, the dissonance arising from a lack of engagement in relationship building, solidarity, and support for Indigenous resistance is ever-present. </w:t>
      </w:r>
      <w:r w:rsidRPr="00087A72">
        <w:rPr>
          <w:sz w:val="16"/>
        </w:rPr>
        <w:t xml:space="preserve">In fact, a number of the organizers that I spoke to in my interviews discussed how their experience of supporting Indigenous struggles outside of Canada and the United States (i.e. Palestinians, Zapatistas, Aymara, among others) forced them to contend with the need to ground anti-authoritarian politics in a decolonizing framework </w:t>
      </w:r>
      <w:r w:rsidRPr="00087A72">
        <w:rPr>
          <w:i/>
          <w:sz w:val="16"/>
        </w:rPr>
        <w:t xml:space="preserve">within the settler states they called home. </w:t>
      </w:r>
      <w:r w:rsidRPr="00087A72">
        <w:rPr>
          <w:sz w:val="16"/>
        </w:rPr>
        <w:t xml:space="preserve">For instance, Judy Rebick a long time anti-racist feminist and Indigenous solidarity organizer in Toronto described how it was not until she engaged in solidarity work in Bolivia that she realized the importance of Indigenous anti- colonial struggles back in Canada. Judy recounts: I’d been involved in supporting Indigenous struggles for years and years but it wasn’t until I went to Bolivia that I started to get a real feeling for how much we had to learn from Indigenous people. Like really had to learn. I felt their leadership was going to become central to solving the problems of the world…They were saying things that were so challenging to my ideas and yet here they were making a revolution, a real revolution. And I couldn’t understand what they were saying, so I had to really start thinking about it and understanding. Judy’s story is common among white settlers in the organized left </w:t>
      </w:r>
      <w:r w:rsidRPr="00087A72">
        <w:rPr>
          <w:rStyle w:val="Emphasis"/>
        </w:rPr>
        <w:t xml:space="preserve">– Indigenous struggles (as well as Black and people of colour struggles) remain largely illegible or indecipherable within the confines of their political ideologies. To understand one’s complicity in the settler colonial project means being open to radically transforming the ideologies, practices, and goals that drive left social movements in Canada and the United States. By developing sustained and long-term relationships with Indigenous sovereignty struggles and breaking from the politics of assimilation and liberal recognition that underlie the settler colonial project, non-Indigenous anti-authoritarians have started to consider the importance of centralizing decolonization within our movements. </w:t>
      </w:r>
    </w:p>
    <w:p w:rsidR="00E06E0C" w:rsidRPr="00087A72" w:rsidRDefault="00E06E0C" w:rsidP="00496C79">
      <w:pPr>
        <w:pStyle w:val="Heading3"/>
      </w:pPr>
      <w:r w:rsidRPr="00087A72">
        <w:t>Link – Neoliberalism/Industry</w:t>
      </w:r>
    </w:p>
    <w:p w:rsidR="00E06E0C" w:rsidRPr="00087A72" w:rsidRDefault="00E06E0C" w:rsidP="00E06E0C">
      <w:pPr>
        <w:pStyle w:val="Heading4"/>
      </w:pPr>
      <w:r w:rsidRPr="00087A72">
        <w:t>Neoliberal logic within the tar sands industry illustrates the deep and violent methods through which Indigenous peoples have been excluded from the perks of the booming industry on their traditional lands displaced because of the industry.</w:t>
      </w:r>
    </w:p>
    <w:p w:rsidR="00E06E0C" w:rsidRPr="00087A72" w:rsidRDefault="00E06E0C" w:rsidP="00E06E0C">
      <w:r w:rsidRPr="00087A72">
        <w:rPr>
          <w:b/>
          <w:bCs/>
        </w:rPr>
        <w:t xml:space="preserve">Upadhyay 16 </w:t>
      </w:r>
      <w:r w:rsidRPr="00087A72">
        <w:t>(Nishant, Assistant Professor in Women's and Gender Studies at University of Massachusetts Dartmouth, Ph.D. in Graduate Program in Social and Political Thought at York University, South Asian</w:t>
      </w:r>
      <w:r w:rsidRPr="00087A72">
        <w:rPr>
          <w:i/>
        </w:rPr>
        <w:t xml:space="preserve"> “We’ll Sail Like Columbus”: Race, Indigeneity, Settler Colonialism, and the Making of South Asian Diasporas in Canada.</w:t>
      </w:r>
      <w:r w:rsidRPr="00087A72">
        <w:t xml:space="preserve"> pp. 260-263) IA</w:t>
      </w:r>
    </w:p>
    <w:p w:rsidR="00E06E0C" w:rsidRPr="00087A72" w:rsidRDefault="00E06E0C" w:rsidP="00E06E0C">
      <w:pPr>
        <w:rPr>
          <w:u w:val="single"/>
        </w:rPr>
      </w:pPr>
      <w:r w:rsidRPr="00087A72">
        <w:rPr>
          <w:sz w:val="12"/>
        </w:rPr>
        <w:t xml:space="preserve">My respondents constructed </w:t>
      </w:r>
      <w:r w:rsidRPr="00087A72">
        <w:rPr>
          <w:u w:val="single"/>
        </w:rPr>
        <w:t>meritocracy as deracialized and degendered</w:t>
      </w:r>
      <w:r w:rsidRPr="00087A72">
        <w:rPr>
          <w:sz w:val="12"/>
        </w:rPr>
        <w:t xml:space="preserve">. These logics </w:t>
      </w:r>
      <w:r w:rsidRPr="00087A72">
        <w:rPr>
          <w:u w:val="single"/>
        </w:rPr>
        <w:t>invariably maintain settler colonialism by effacing gendered and racial technologies and violences of the settler state</w:t>
      </w:r>
      <w:r w:rsidRPr="00087A72">
        <w:rPr>
          <w:sz w:val="12"/>
        </w:rPr>
        <w:t xml:space="preserve">. Here I build upon that analysis to understand </w:t>
      </w:r>
      <w:r w:rsidRPr="00087A72">
        <w:rPr>
          <w:u w:val="single"/>
        </w:rPr>
        <w:t>racialized and gendered regimes of labour within settler colonial modalities.</w:t>
      </w:r>
      <w:r w:rsidRPr="00087A72">
        <w:rPr>
          <w:sz w:val="12"/>
        </w:rPr>
        <w:t xml:space="preserve"> In addition to a denial of racism, </w:t>
      </w:r>
      <w:r w:rsidRPr="00087A72">
        <w:rPr>
          <w:u w:val="single"/>
        </w:rPr>
        <w:t xml:space="preserve">deracialized logic also works to deny ongoing processes of settler colonialism and simultaneously effaces Indigenous peoples by mobilizing anti-Native racist discourses. </w:t>
      </w:r>
      <w:r w:rsidRPr="00087A72">
        <w:rPr>
          <w:sz w:val="12"/>
        </w:rPr>
        <w:t xml:space="preserve">One of the major myths productive of settler colonialism, as noted above, is </w:t>
      </w:r>
      <w:r w:rsidRPr="00087A72">
        <w:rPr>
          <w:u w:val="single"/>
        </w:rPr>
        <w:t>the myth of terranullism</w:t>
      </w:r>
      <w:r w:rsidRPr="00087A72">
        <w:rPr>
          <w:sz w:val="12"/>
        </w:rPr>
        <w:t xml:space="preserve">. </w:t>
      </w:r>
      <w:r w:rsidRPr="00087A72">
        <w:rPr>
          <w:u w:val="single"/>
        </w:rPr>
        <w:t xml:space="preserve">Most of the respondents </w:t>
      </w:r>
      <w:r w:rsidRPr="00087A72">
        <w:rPr>
          <w:b/>
          <w:iCs/>
          <w:u w:val="single"/>
        </w:rPr>
        <w:t>reproduced the same myths about the tar sands being on empty unoccupied free lands.</w:t>
      </w:r>
      <w:r w:rsidRPr="00087A72">
        <w:rPr>
          <w:sz w:val="12"/>
        </w:rPr>
        <w:t xml:space="preserve"> As Kabir, South Asian oil engineer in Fort McMurray, pointed out: </w:t>
      </w:r>
      <w:r w:rsidRPr="00087A72">
        <w:rPr>
          <w:u w:val="single"/>
        </w:rPr>
        <w:t>“for some reason we don’t see them [Indigenous peoples].”</w:t>
      </w:r>
      <w:r w:rsidRPr="00087A72">
        <w:rPr>
          <w:sz w:val="12"/>
        </w:rPr>
        <w:t xml:space="preserve"> His </w:t>
      </w:r>
      <w:r w:rsidRPr="00087A72">
        <w:rPr>
          <w:u w:val="single"/>
        </w:rPr>
        <w:t xml:space="preserve">casual comment demonstrates the ease of erasures of Mikisew Cree peoples, Athabasca Chipewyan peoples, Fort McKay peoples, Chipewyan Prairie Dene peoples, Fort McMurray No. 468 First Nation, and more than six Métis communities in the region. </w:t>
      </w:r>
      <w:r w:rsidRPr="00087A72">
        <w:rPr>
          <w:b/>
          <w:iCs/>
          <w:u w:val="single"/>
        </w:rPr>
        <w:t>Indigenous peoples and communities are also structurally excluded and invisibilized in the workplaces</w:t>
      </w:r>
      <w:r w:rsidRPr="00087A72">
        <w:rPr>
          <w:u w:val="single"/>
        </w:rPr>
        <w:t>.</w:t>
      </w:r>
      <w:r w:rsidRPr="00087A72">
        <w:rPr>
          <w:sz w:val="12"/>
        </w:rPr>
        <w:t xml:space="preserve"> Ritesh, an IT specialist in Fort McMurray, reflected on why he did not have Indigenous colleagues: </w:t>
      </w:r>
      <w:r w:rsidRPr="00087A72">
        <w:rPr>
          <w:u w:val="single"/>
        </w:rPr>
        <w:t>“maybe just because of the cosmopolitan culture of the workplace [with a chuckle]—</w:t>
      </w:r>
      <w:r w:rsidRPr="00087A72">
        <w:rPr>
          <w:b/>
          <w:iCs/>
          <w:u w:val="single"/>
        </w:rPr>
        <w:t>it’s much more civilized area in the office.”</w:t>
      </w:r>
      <w:r w:rsidRPr="00087A72">
        <w:rPr>
          <w:sz w:val="12"/>
        </w:rPr>
        <w:t xml:space="preserve"> Ramesh, works on pollution reduction technologies in the tar sands extraction, commented that “typically the ones I have seen [are] on the streets or in trades—I have not seen in the office people with those kinds of features.” </w:t>
      </w:r>
      <w:r w:rsidRPr="00087A72">
        <w:rPr>
          <w:u w:val="single"/>
        </w:rPr>
        <w:t xml:space="preserve">This invisibilization is both a structural and a colonial construct. </w:t>
      </w:r>
      <w:r w:rsidRPr="00087A72">
        <w:rPr>
          <w:sz w:val="12"/>
        </w:rPr>
        <w:t xml:space="preserve">While the petro-economy has been “welcoming” of skilled racialized migrants and their labour, the same cannot be said for Indigenous peoples.21 </w:t>
      </w:r>
      <w:r w:rsidRPr="00087A72">
        <w:rPr>
          <w:u w:val="single"/>
        </w:rPr>
        <w:t>Increased oil production within the last decade has failed to see a corresponding increase in the participation of Indigenous peoples in the tar sands economy</w:t>
      </w:r>
      <w:r w:rsidRPr="00087A72">
        <w:rPr>
          <w:sz w:val="12"/>
        </w:rPr>
        <w:t xml:space="preserve">.22 Indigenous workers in Wood Buffalo23 are disproportionately employed in blue-collar jobs as compared to non-Indigenous workers. Alison Taylor and Tracy Friedel argue that this is precarious work as “it is often related to the construction phase of projects with limited opportunities for training and no benefits, pension, or job security” (826). Elsewhere, Friedel and Taylor further assert that </w:t>
      </w:r>
      <w:r w:rsidRPr="00087A72">
        <w:rPr>
          <w:b/>
          <w:iCs/>
          <w:u w:val="single"/>
        </w:rPr>
        <w:t>these exclusionary structures rely on the colonial construct of Indigenous peoples as “inherently deficient with respect to labour,”</w:t>
      </w:r>
      <w:r w:rsidRPr="00087A72">
        <w:rPr>
          <w:sz w:val="12"/>
        </w:rPr>
        <w:t xml:space="preserve"> (30) </w:t>
      </w:r>
      <w:r w:rsidRPr="00087A72">
        <w:rPr>
          <w:b/>
          <w:iCs/>
          <w:u w:val="single"/>
        </w:rPr>
        <w:t>and “incapable in an economic sense”</w:t>
      </w:r>
      <w:r w:rsidRPr="00087A72">
        <w:rPr>
          <w:sz w:val="12"/>
        </w:rPr>
        <w:t xml:space="preserve"> (42). </w:t>
      </w:r>
      <w:r w:rsidRPr="00087A72">
        <w:rPr>
          <w:u w:val="single"/>
        </w:rPr>
        <w:t>Many respondents reproduced such narratives by highlighting the growing presence of South Asians in workplaces. They proudly claimed that management perceived South Asians as more hard working, responsible and serious employees than workers from other racial groups.</w:t>
      </w:r>
      <w:r w:rsidRPr="00087A72">
        <w:rPr>
          <w:sz w:val="12"/>
        </w:rPr>
        <w:t xml:space="preserve"> Kabir argued: “[We] have good work ethics. If racism exists, then it is benefitting us. Because we kept our good image to the management.” Further he asserted: “Now we are seeing so many getting promoted as managers and directors ... We’re putting up quite a good image in the management. We [have made] our own contributions to the company.” </w:t>
      </w:r>
      <w:r w:rsidRPr="00087A72">
        <w:rPr>
          <w:u w:val="single"/>
        </w:rPr>
        <w:t>Discursive constructs of of “good worker” demonstrate how South Asians claim to be productive workers in the industry, and how these tools subsequently maintain the status quo by excluding Indigenous peoples</w:t>
      </w:r>
      <w:r w:rsidRPr="00087A72">
        <w:rPr>
          <w:sz w:val="12"/>
        </w:rPr>
        <w:t xml:space="preserve">. Examining labour market development policy discourses in the tar sands, Friedel and Taylor point the limitations of the social inclusion discourses when it comes to Indigenous peoples. They </w:t>
      </w:r>
      <w:r w:rsidRPr="00087A72">
        <w:rPr>
          <w:u w:val="single"/>
        </w:rPr>
        <w:t>critique any special social programs catered towards an Indigenous workforce as the programs “ignore[s] the decades-long paternalistic policy making and structural exclusion that marks Indigenous–state relations, [and] effectively lay[s] the blame for historic legacies of racism at the door of Indigenous individuals and collectives” (30). These policies and programs obscure colonial and racist histories as well as neoliberal structures of power and violence.</w:t>
      </w:r>
      <w:r w:rsidRPr="00087A72">
        <w:rPr>
          <w:sz w:val="12"/>
        </w:rPr>
        <w:t xml:space="preserve"> Taylor and Friedel argue that these policies have pushed to create Indigenous people as “better” market-citizens and suppressed any “alternative forms of education and training (as well as alternative forms of production and consumption, e.g. harvesting and self-sustaining activities)” (822). Thus, </w:t>
      </w:r>
      <w:r w:rsidRPr="00087A72">
        <w:rPr>
          <w:u w:val="single"/>
        </w:rPr>
        <w:t>any social assistance programs that the state and economy offer to the Indigenous workforce are inherently tied to the colonial and capitalist motives of the state</w:t>
      </w:r>
      <w:r w:rsidRPr="00087A72">
        <w:rPr>
          <w:sz w:val="12"/>
        </w:rPr>
        <w:t xml:space="preserve">. Some Native peoples in Fort McMurray run their own businesses, including public- private partnerships. This was a contentious issue for some respondents. Kritika, a teller at a Canadian bank in Fort McMurray, noted: “But I have seen many business people, business owners. Whoever has a little bit of knowledge about what they do runs the show. They own the company and mint money.” However, Friedel and Taylor point out that </w:t>
      </w:r>
      <w:r w:rsidRPr="00087A72">
        <w:rPr>
          <w:u w:val="single"/>
        </w:rPr>
        <w:t>attempts of the state and the tar sands industry to seek partnerships with Indigenous peoples are “situated within a broader set of colonial relations, Western liberalism, and globalization, the language of which constructs First Nation and Métis peoples as perennially having lacked means of production (and also systems of governance)”</w:t>
      </w:r>
      <w:r w:rsidRPr="00087A72">
        <w:rPr>
          <w:sz w:val="12"/>
        </w:rPr>
        <w:t xml:space="preserve"> (33). Thus, </w:t>
      </w:r>
      <w:r w:rsidRPr="00087A72">
        <w:rPr>
          <w:u w:val="single"/>
        </w:rPr>
        <w:t>even if Indigenous businesses are making profits from the system, their participation is still within the colonial and neoliberal realms of oppression and exclusion</w:t>
      </w:r>
      <w:r w:rsidRPr="00087A72">
        <w:rPr>
          <w:sz w:val="12"/>
        </w:rPr>
        <w:t xml:space="preserve">. Isabel Altamirano-Jiménez argues that </w:t>
      </w:r>
      <w:r w:rsidRPr="00087A72">
        <w:rPr>
          <w:u w:val="single"/>
        </w:rPr>
        <w:t>as part of neoliberal structures Indigenous peoples are “encouraged to throw away the yoke of internal colonialism by becoming successful entrepreneurs in the global economy”</w:t>
      </w:r>
      <w:r w:rsidRPr="00087A72">
        <w:rPr>
          <w:sz w:val="12"/>
        </w:rPr>
        <w:t xml:space="preserve"> (“North American First Peoples”354). She further warns that </w:t>
      </w:r>
      <w:r w:rsidRPr="00087A72">
        <w:rPr>
          <w:b/>
          <w:iCs/>
          <w:u w:val="single"/>
        </w:rPr>
        <w:t>while neoliberalism may use the rhetoric of cultural recognition, when “market logic and cultural sensitivity clash the market logic prevails</w:t>
      </w:r>
      <w:r w:rsidRPr="00087A72">
        <w:rPr>
          <w:sz w:val="12"/>
        </w:rPr>
        <w:t xml:space="preserve">” (354). All oil companies claim to be working in partnership with their Indigenous neighbors. Suncor, in it’s “Report on Sustainability 2013,” claims: Many of Suncor's operations are located on or near the traditional lands of Aboriginal Peoples. We know our operations have an impact on the environment and the communities where we operate ... Responsible development takes into account Aboriginal issues and concerns about the effects, positive and negative, of energy development. People and communities affected by Suncor's activities should have the opportunity to benefit from energy development through: employment, business development, education, training, and community investment. (n.pag.) For Friedel </w:t>
      </w:r>
      <w:r w:rsidRPr="00087A72">
        <w:rPr>
          <w:u w:val="single"/>
        </w:rPr>
        <w:t>the primary intent of these “partnerships” is “not widespread improvement in the social and economic realities for Indigenous peoples, but instead the promotion of an image of corporate social responsibility</w:t>
      </w:r>
      <w:r w:rsidRPr="00087A72">
        <w:rPr>
          <w:sz w:val="12"/>
        </w:rPr>
        <w:t xml:space="preserve">” (241). Friedel argues: Through </w:t>
      </w:r>
      <w:r w:rsidRPr="00087A72">
        <w:rPr>
          <w:u w:val="single"/>
        </w:rPr>
        <w:t>a contemporary narrative of ‘partnership’, the corporation takes up the role of benevolent Mounties in the nineteenth century ... the corporation becomes a contemporary go- between in the context of First Nations–government relations.</w:t>
      </w:r>
      <w:r w:rsidRPr="00087A72">
        <w:rPr>
          <w:sz w:val="12"/>
        </w:rPr>
        <w:t xml:space="preserve"> Thus, in the ‘development’ of the twenty-first- century Canadian west, a new chapter in the story of Canadian nationalism begins and </w:t>
      </w:r>
      <w:r w:rsidRPr="00087A72">
        <w:rPr>
          <w:u w:val="single"/>
        </w:rPr>
        <w:t>it is the corporation charged with guiding, tolerating, and protecting ‘grateful’ Aboriginal people</w:t>
      </w:r>
      <w:r w:rsidRPr="00087A72">
        <w:rPr>
          <w:sz w:val="12"/>
        </w:rPr>
        <w:t xml:space="preserve">. (241) Following Friedel’s arguments, I argue that </w:t>
      </w:r>
      <w:r w:rsidRPr="00087A72">
        <w:rPr>
          <w:b/>
          <w:iCs/>
          <w:u w:val="single"/>
        </w:rPr>
        <w:t>the introduction of Indigenous participation in tar sands economies obscures the colonial and neoliberal structures that work to dispossess them</w:t>
      </w:r>
      <w:r w:rsidRPr="00087A72">
        <w:rPr>
          <w:u w:val="single"/>
        </w:rPr>
        <w:t xml:space="preserve">. Moreover, </w:t>
      </w:r>
      <w:r w:rsidRPr="00087A72">
        <w:rPr>
          <w:b/>
          <w:iCs/>
          <w:u w:val="single"/>
        </w:rPr>
        <w:t>the emphasis on neoliberal participation of Indigenous peoples in tar sands will be unsettled if tar sands companies take Indigenous self-determination seriously and ethically</w:t>
      </w:r>
      <w:r w:rsidRPr="00087A72">
        <w:rPr>
          <w:u w:val="single"/>
        </w:rPr>
        <w:t xml:space="preserve">. </w:t>
      </w:r>
      <w:r w:rsidRPr="00087A72">
        <w:rPr>
          <w:b/>
          <w:iCs/>
          <w:u w:val="single"/>
        </w:rPr>
        <w:t>Even if neoliberal inclusion within the tar sands economy may have given (temporary) access to jobs and resources to some Indigenous peoples, in the long run, with Indigenous calls for environment justice and decolonization such inclusion is short-lived</w:t>
      </w:r>
      <w:r w:rsidRPr="00087A72">
        <w:rPr>
          <w:u w:val="single"/>
        </w:rPr>
        <w:t xml:space="preserve"> and against Indigenous sovereignty. </w:t>
      </w:r>
    </w:p>
    <w:p w:rsidR="00E06E0C" w:rsidRPr="00087A72" w:rsidRDefault="00E06E0C" w:rsidP="00E06E0C"/>
    <w:p w:rsidR="00792F86" w:rsidRPr="00087A72" w:rsidRDefault="00792F86" w:rsidP="00496C79">
      <w:pPr>
        <w:pStyle w:val="Heading3"/>
      </w:pPr>
      <w:r w:rsidRPr="00087A72">
        <w:t>Link – No Borders</w:t>
      </w:r>
    </w:p>
    <w:p w:rsidR="00792F86" w:rsidRPr="00087A72" w:rsidRDefault="00792F86" w:rsidP="00792F86">
      <w:pPr>
        <w:pStyle w:val="Heading4"/>
      </w:pPr>
      <w:r w:rsidRPr="00087A72">
        <w:t>Attempts at fluidity of subjectivity and/or land is complicit are the lexicon of Western imperialism – authorizing the asportation of the native</w:t>
      </w:r>
    </w:p>
    <w:p w:rsidR="00792F86" w:rsidRPr="00087A72" w:rsidRDefault="00792F86" w:rsidP="00792F86">
      <w:r w:rsidRPr="00087A72">
        <w:rPr>
          <w:rStyle w:val="Style13ptBold"/>
        </w:rPr>
        <w:t>Grande 2K</w:t>
      </w:r>
      <w:r w:rsidRPr="00087A72">
        <w:t xml:space="preserve"> (</w:t>
      </w:r>
      <w:r w:rsidRPr="00087A72">
        <w:rPr>
          <w:rStyle w:val="Style13ptBold"/>
          <w:rFonts w:cstheme="minorHAnsi"/>
          <w:b w:val="0"/>
          <w:sz w:val="22"/>
        </w:rPr>
        <w:t xml:space="preserve">Sandy, Associate Professor of Education at UConnecticut, “American Indian geographies of identity and power: At the crossroads of indigena and mestizaje,” </w:t>
      </w:r>
      <w:r w:rsidRPr="00087A72">
        <w:rPr>
          <w:rStyle w:val="Style13ptBold"/>
          <w:rFonts w:cstheme="minorHAnsi"/>
          <w:b w:val="0"/>
          <w:i/>
          <w:sz w:val="22"/>
        </w:rPr>
        <w:t>Harvard Education Review</w:t>
      </w:r>
      <w:r w:rsidRPr="00087A72">
        <w:rPr>
          <w:rStyle w:val="Style13ptBold"/>
          <w:rFonts w:cstheme="minorHAnsi"/>
          <w:b w:val="0"/>
          <w:sz w:val="22"/>
        </w:rPr>
        <w:t>, Issue Number, No. 4, pp. 492-493)//vikas</w:t>
      </w:r>
    </w:p>
    <w:p w:rsidR="00792F86" w:rsidRPr="00087A72" w:rsidRDefault="00792F86" w:rsidP="00792F86">
      <w:pPr>
        <w:rPr>
          <w:rFonts w:cstheme="minorHAnsi"/>
          <w:sz w:val="14"/>
        </w:rPr>
      </w:pPr>
      <w:r w:rsidRPr="00087A72">
        <w:rPr>
          <w:rFonts w:cstheme="minorHAnsi"/>
          <w:sz w:val="14"/>
        </w:rPr>
        <w:t xml:space="preserve">Discussion </w:t>
      </w:r>
      <w:r w:rsidRPr="00087A72">
        <w:rPr>
          <w:rStyle w:val="Emphasis"/>
        </w:rPr>
        <w:t>The forces of identity appropriation, cultural encroachment, and corporate commodification pressure American Indian communities to employ essetialist tactics and construct relatively fixed notions of identity</w:t>
      </w:r>
      <w:r w:rsidRPr="00087A72">
        <w:rPr>
          <w:rStyle w:val="StyleUnderline"/>
          <w:rFonts w:cstheme="minorHAnsi"/>
        </w:rPr>
        <w:t xml:space="preserve">, and to render the concepts of fluidity and transgression highly problematic. </w:t>
      </w:r>
      <w:r w:rsidRPr="00087A72">
        <w:rPr>
          <w:rFonts w:cstheme="minorHAnsi"/>
          <w:sz w:val="14"/>
        </w:rPr>
        <w:t xml:space="preserve">It is evident from the examples above that the notion of fluid boundaries has never worked to the advantage of Indigenous peoples: </w:t>
      </w:r>
      <w:r w:rsidRPr="00087A72">
        <w:rPr>
          <w:rStyle w:val="StyleUnderline"/>
          <w:rFonts w:cstheme="minorHAnsi"/>
        </w:rPr>
        <w:t>federal agencies have invoked the language of fluid or unstable identities as the rationale for disman-tling the structures of tribal life and creating greater dependency on the U.S. government</w:t>
      </w:r>
      <w:r w:rsidRPr="00087A72">
        <w:rPr>
          <w:rFonts w:cstheme="minorHAnsi"/>
          <w:sz w:val="14"/>
        </w:rPr>
        <w:t xml:space="preserve">; Whitestream </w:t>
      </w:r>
      <w:r w:rsidRPr="00087A72">
        <w:rPr>
          <w:sz w:val="14"/>
        </w:rPr>
        <w:t xml:space="preserve">America has seized its message to declare open season on Indians, thereby appropriating Native lands, culture, spiritual practices. history, and literature; and Whitestream academics have now eployed the language of </w:t>
      </w:r>
      <w:r w:rsidRPr="00087A72">
        <w:rPr>
          <w:rStyle w:val="StyleUnderline"/>
          <w:rFonts w:cstheme="minorHAnsi"/>
        </w:rPr>
        <w:t>postmodern fluidity to unwittingly transmute centu-ries of war between Indigenous peoples and their respective nation-states into a "genetic and cultural dialogue"</w:t>
      </w:r>
      <w:r w:rsidRPr="00087A72">
        <w:rPr>
          <w:rFonts w:cstheme="minorHAnsi"/>
          <w:sz w:val="14"/>
        </w:rPr>
        <w:t xml:space="preserve"> (Valle &amp;Torres, 1995, p. 141). </w:t>
      </w:r>
      <w:r w:rsidRPr="00087A72">
        <w:rPr>
          <w:rStyle w:val="StyleUnderline"/>
          <w:rFonts w:cstheme="minorHAnsi"/>
        </w:rPr>
        <w:t>Thus, in spite of its aspirations to social justice, the notion of a new cultural democ-racy based on the ideal of mestizaje represents a rather ominous threat to American Indian communities.</w:t>
      </w:r>
      <w:r w:rsidRPr="00087A72">
        <w:rPr>
          <w:rFonts w:cstheme="minorHAnsi"/>
          <w:sz w:val="14"/>
        </w:rPr>
        <w:t xml:space="preserve"> In addition, </w:t>
      </w:r>
      <w:r w:rsidRPr="00087A72">
        <w:rPr>
          <w:rStyle w:val="StyleUnderline"/>
          <w:rFonts w:cstheme="minorHAnsi"/>
        </w:rPr>
        <w:t>the undercurrent of fluidity and sense of displacedness that permeates</w:t>
      </w:r>
      <w:r w:rsidRPr="00087A72">
        <w:rPr>
          <w:rFonts w:cstheme="minorHAnsi"/>
          <w:sz w:val="14"/>
        </w:rPr>
        <w:t xml:space="preserve">, if not defines, </w:t>
      </w:r>
      <w:r w:rsidRPr="00087A72">
        <w:rPr>
          <w:rStyle w:val="StyleUnderline"/>
          <w:rFonts w:cstheme="minorHAnsi"/>
        </w:rPr>
        <w:t>mestizaje runs contrary to American Indian sensi-bilities of connection to place, land, and the Earth itself.</w:t>
      </w:r>
      <w:r w:rsidRPr="00087A72">
        <w:rPr>
          <w:rFonts w:cstheme="minorHAnsi"/>
          <w:sz w:val="14"/>
        </w:rPr>
        <w:t xml:space="preserve"> Consider, for exam-ple, the following statement on the nature of critical subjectivity by Peter Mc-Laren: </w:t>
      </w:r>
      <w:r w:rsidRPr="00087A72">
        <w:rPr>
          <w:rStyle w:val="Emphasis"/>
        </w:rPr>
        <w:t>The struggle for critical subjectivity is the struggle to occupy a space of hope</w:t>
      </w:r>
      <w:r w:rsidRPr="00087A72">
        <w:rPr>
          <w:rFonts w:cstheme="minorHAnsi"/>
          <w:sz w:val="14"/>
        </w:rPr>
        <w:t xml:space="preserve"> — a liminal space, an intimation of the anti-structure, of </w:t>
      </w:r>
      <w:r w:rsidRPr="00087A72">
        <w:rPr>
          <w:rStyle w:val="StyleUnderline"/>
          <w:rFonts w:cstheme="minorHAnsi"/>
        </w:rPr>
        <w:t>what lives in the in-between zone of undecidedability — in which one can work toward a praxis of redemp-tion.... A sense of atopy has always been with me, a resplendent placelessness, a feeling of living in germinal formlessness</w:t>
      </w:r>
      <w:r w:rsidRPr="00087A72">
        <w:rPr>
          <w:rFonts w:cstheme="minorHAnsi"/>
          <w:sz w:val="14"/>
        </w:rPr>
        <w:t xml:space="preserve">.... I cannot find words to express what this border identity means to me. All I have are what Georgres Bastille (1988) calls mots glissants (slippery words). (1997, pp. 18-14) McLaren speaks passionately and directly about the crisis of modern society and the need for a "praxis of redemption." As he perceives it, </w:t>
      </w:r>
      <w:r w:rsidRPr="00087A72">
        <w:rPr>
          <w:rStyle w:val="StyleUnderline"/>
          <w:rFonts w:cstheme="minorHAnsi"/>
        </w:rPr>
        <w:t>the very possi-bility of redemption is situated in our willingness not only to accept but to flourish in the "liminal" spaces, border identities, and postcolonial hybrid-ities that are inherent in postmodern life and subjectivity.</w:t>
      </w:r>
      <w:r w:rsidRPr="00087A72">
        <w:rPr>
          <w:rFonts w:cstheme="minorHAnsi"/>
          <w:sz w:val="14"/>
        </w:rPr>
        <w:t xml:space="preserve"> In fact, McLaren perceives the fostering of a "resplendent placelessness" itself as the gateway to a more just, democratic society. While American Indian intellectuals also seek to embrace the notion of transcendent subjectivities, they seek a notion of transcendence that remains rooted in historical place and the sacred connection to land. Consider, for example, the following commentary by Deloria (1992) on the centrality of place and land in the construction of American Indian subjectivity: </w:t>
      </w:r>
      <w:r w:rsidRPr="00087A72">
        <w:rPr>
          <w:rStyle w:val="Emphasis"/>
          <w:rFonts w:cstheme="minorHAnsi"/>
        </w:rPr>
        <w:t>Recognizing the sacredness of lands on which previous generations have lived and died is the foundation of all other sentiment.</w:t>
      </w:r>
      <w:r w:rsidRPr="00087A72">
        <w:rPr>
          <w:rFonts w:cstheme="minorHAnsi"/>
          <w:sz w:val="14"/>
        </w:rPr>
        <w:t xml:space="preserve"> </w:t>
      </w:r>
      <w:r w:rsidRPr="00087A72">
        <w:rPr>
          <w:rStyle w:val="StyleUnderline"/>
          <w:rFonts w:cstheme="minorHAnsi"/>
        </w:rPr>
        <w:t>Instead of denying this di-mension of our emotional lives, we should be setting aside additional places that have transcendent meaning.</w:t>
      </w:r>
      <w:r w:rsidRPr="00087A72">
        <w:rPr>
          <w:rFonts w:cstheme="minorHAnsi"/>
          <w:sz w:val="14"/>
        </w:rPr>
        <w:t xml:space="preserve"> Sacred sites that higher spiritual powers have chosen for manifestation enable us to focus our concerns on the specific form of our lives.... </w:t>
      </w:r>
      <w:r w:rsidRPr="00087A72">
        <w:rPr>
          <w:rStyle w:val="StyleUnderline"/>
          <w:rFonts w:cstheme="minorHAnsi"/>
        </w:rPr>
        <w:t xml:space="preserve">Sacred places are the foundation of all other beliefs and prac-tices because they represent the presence of the sacred in our lives. </w:t>
      </w:r>
      <w:r w:rsidRPr="00087A72">
        <w:rPr>
          <w:rFonts w:cstheme="minorHAnsi"/>
          <w:sz w:val="14"/>
        </w:rPr>
        <w:t xml:space="preserve">They prop-erly inform us that we arc not larger than nature and that we have responsibili-ties to the rest of the natural world that transcend our own personal desires and wishes. This lesson must be learned by each generation. (pp. 278, 281) </w:t>
      </w:r>
      <w:r w:rsidRPr="00087A72">
        <w:rPr>
          <w:rStyle w:val="Emphasis"/>
        </w:rPr>
        <w:t>Gross misunderstanding of this connection between American Indian subjectivity and land,</w:t>
      </w:r>
      <w:r w:rsidRPr="00087A72">
        <w:rPr>
          <w:rFonts w:cstheme="minorHAnsi"/>
          <w:sz w:val="14"/>
        </w:rPr>
        <w:t xml:space="preserve"> and, more importantly, </w:t>
      </w:r>
      <w:r w:rsidRPr="00087A72">
        <w:rPr>
          <w:rStyle w:val="StyleUnderline"/>
          <w:rFonts w:cstheme="minorHAnsi"/>
        </w:rPr>
        <w:t>between sovereignty and land has been the source of numerous injustices in Indian country</w:t>
      </w:r>
      <w:r w:rsidRPr="00087A72">
        <w:rPr>
          <w:rFonts w:cstheme="minorHAnsi"/>
          <w:sz w:val="14"/>
        </w:rPr>
        <w:t xml:space="preserve">. For instance, I be-lieve there was little understanding on the part of government officials that passage of the Indian Religious Freedom Act (1978) would open a Pandora's box of discord over land, setting up an intractable conflict between property rights and religious freedom. American Indians, on the other hand, viewed the act as a invitation to return to their sacred sites, several of which were on government lands and were being damaged by commercial use. As a result, a flurry of lawsuits alleging mismanagement and destruction of sacred sites was filed by numerous tribes. </w:t>
      </w:r>
      <w:r w:rsidRPr="00087A72">
        <w:rPr>
          <w:rStyle w:val="StyleUnderline"/>
          <w:rFonts w:cstheme="minorHAnsi"/>
        </w:rPr>
        <w:t xml:space="preserve">Similarly, corporations, tourists, and even rock climbers filed suits accusing land managers of unlawfully restricting access CO public places by implementing policies that violate the constitutional separa-tion between church and state. </w:t>
      </w:r>
      <w:r w:rsidRPr="00087A72">
        <w:rPr>
          <w:rFonts w:cstheme="minorHAnsi"/>
          <w:sz w:val="14"/>
        </w:rPr>
        <w:t xml:space="preserve">All of this is to point out that the critical pro-ject of mestizaje continues to operate on the same assumption made by the U.S. government in this instance, that in a democratic society, human subjec-tivity — and liberation for that matter — is conceived of as inherently rights-based as opposed to land-based. To be fair, </w:t>
      </w:r>
      <w:r w:rsidRPr="00087A72">
        <w:rPr>
          <w:rStyle w:val="Emphasis"/>
          <w:rFonts w:cstheme="minorHAnsi"/>
        </w:rPr>
        <w:t>I believe that both American Indian intellectuals and critical theorists share a similar vision — a time, place. and space free of the compulsions of Whitestream, global capitalism and the racism, sexism, classism, and xenophobia it engenders. But where critical scholars ground their vision in Western conceptions of democracy and justice that presume a "liberated" self.</w:t>
      </w:r>
      <w:r w:rsidRPr="00087A72">
        <w:rPr>
          <w:rFonts w:cstheme="minorHAnsi"/>
          <w:sz w:val="14"/>
        </w:rPr>
        <w:t xml:space="preserve"> </w:t>
      </w:r>
      <w:r w:rsidRPr="00087A72">
        <w:rPr>
          <w:rStyle w:val="StyleUnderline"/>
          <w:rFonts w:cstheme="minorHAnsi"/>
        </w:rPr>
        <w:t>American Indian intellectuals ground their vision in conceptions of sov-ereignty that presume a sacred connection to place and land.</w:t>
      </w:r>
      <w:r w:rsidRPr="00087A72">
        <w:rPr>
          <w:rFonts w:cstheme="minorHAnsi"/>
          <w:sz w:val="14"/>
        </w:rPr>
        <w:t xml:space="preserve"> Thus, to a large degree, </w:t>
      </w:r>
      <w:r w:rsidRPr="00087A72">
        <w:rPr>
          <w:rStyle w:val="Emphasis"/>
          <w:rFonts w:cstheme="minorHAnsi"/>
        </w:rPr>
        <w:t>the seemingly liberatory constructs of fluidity, mobility, and trangression are</w:t>
      </w:r>
      <w:r w:rsidRPr="00087A72">
        <w:rPr>
          <w:rFonts w:cstheme="minorHAnsi"/>
          <w:sz w:val="14"/>
        </w:rPr>
        <w:t xml:space="preserve"> perceived </w:t>
      </w:r>
      <w:r w:rsidRPr="00087A72">
        <w:rPr>
          <w:rStyle w:val="Emphasis"/>
          <w:rFonts w:cstheme="minorHAnsi"/>
        </w:rPr>
        <w:t>not only</w:t>
      </w:r>
      <w:r w:rsidRPr="00087A72">
        <w:rPr>
          <w:rFonts w:cstheme="minorHAnsi"/>
          <w:sz w:val="14"/>
        </w:rPr>
        <w:t xml:space="preserve"> as </w:t>
      </w:r>
      <w:r w:rsidRPr="00087A72">
        <w:rPr>
          <w:rStyle w:val="Emphasis"/>
          <w:rFonts w:cstheme="minorHAnsi"/>
        </w:rPr>
        <w:t xml:space="preserve">the language of critical subjectivity, but </w:t>
      </w:r>
      <w:r w:rsidRPr="00087A72">
        <w:rPr>
          <w:rFonts w:cstheme="minorHAnsi"/>
          <w:sz w:val="14"/>
        </w:rPr>
        <w:t xml:space="preserve">also as </w:t>
      </w:r>
      <w:r w:rsidRPr="00087A72">
        <w:rPr>
          <w:rStyle w:val="Emphasis"/>
          <w:rFonts w:cstheme="minorHAnsi"/>
        </w:rPr>
        <w:t>part of the fundamental lexicon of Western imperialism.</w:t>
      </w:r>
      <w:r w:rsidRPr="00087A72">
        <w:rPr>
          <w:rFonts w:cstheme="minorHAnsi"/>
          <w:sz w:val="14"/>
        </w:rPr>
        <w:t xml:space="preserve"> Deloria (1999) writes: </w:t>
      </w:r>
      <w:r w:rsidRPr="00087A72">
        <w:rPr>
          <w:rStyle w:val="StyleUnderline"/>
          <w:rFonts w:cstheme="minorHAnsi"/>
        </w:rPr>
        <w:t>Although the loss of land must be seen as a political and economic disaster of the first magnitude, the real exile of the tribes occurred with the d6struction of ceremonial life</w:t>
      </w:r>
      <w:r w:rsidRPr="00087A72">
        <w:rPr>
          <w:rFonts w:cstheme="minorHAnsi"/>
          <w:sz w:val="14"/>
        </w:rPr>
        <w:t xml:space="preserve"> (associated with the loss of land) and the failure or inability of white society to offer a sensible and cohesive alternative to the traditions which Indians remembered. People became disoriented with respect to the world in which they lived. </w:t>
      </w:r>
      <w:r w:rsidRPr="00087A72">
        <w:rPr>
          <w:rStyle w:val="StyleUnderline"/>
          <w:rFonts w:cstheme="minorHAnsi"/>
        </w:rPr>
        <w:t>They could not practice their old ways, and the new ways which they were expected to learn were in a constant state of change because they were not a cohesive view of the world but simply adjustments which whites were making to the technology they had invented.</w:t>
      </w:r>
      <w:r w:rsidRPr="00087A72">
        <w:rPr>
          <w:rFonts w:cstheme="minorHAnsi"/>
          <w:sz w:val="14"/>
        </w:rPr>
        <w:t xml:space="preserve"> (p. 247). In summary, </w:t>
      </w:r>
      <w:r w:rsidRPr="00087A72">
        <w:rPr>
          <w:rStyle w:val="StyleUnderline"/>
          <w:rFonts w:cstheme="minorHAnsi"/>
        </w:rPr>
        <w:t xml:space="preserve">insofar as </w:t>
      </w:r>
      <w:r w:rsidRPr="00087A72">
        <w:rPr>
          <w:rStyle w:val="Emphasis"/>
        </w:rPr>
        <w:t>American Indian identities continue to be defined and shaped in interdependence with place</w:t>
      </w:r>
      <w:r w:rsidRPr="00087A72">
        <w:rPr>
          <w:rStyle w:val="StyleUnderline"/>
          <w:rFonts w:cstheme="minorHAnsi"/>
        </w:rPr>
        <w:t xml:space="preserve">, the </w:t>
      </w:r>
      <w:r w:rsidRPr="00087A72">
        <w:rPr>
          <w:rStyle w:val="Emphasis"/>
        </w:rPr>
        <w:t>transgressive</w:t>
      </w:r>
      <w:r w:rsidRPr="00087A72">
        <w:rPr>
          <w:rFonts w:cstheme="minorHAnsi"/>
          <w:sz w:val="14"/>
        </w:rPr>
        <w:t xml:space="preserve"> mestizaje </w:t>
      </w:r>
      <w:r w:rsidRPr="00087A72">
        <w:rPr>
          <w:rStyle w:val="Emphasis"/>
        </w:rPr>
        <w:t>functions as a potentially homogenizing force that presumes</w:t>
      </w:r>
      <w:r w:rsidRPr="00087A72">
        <w:rPr>
          <w:rStyle w:val="StyleUnderline"/>
          <w:rFonts w:cstheme="minorHAnsi"/>
        </w:rPr>
        <w:t xml:space="preserve"> the </w:t>
      </w:r>
      <w:r w:rsidRPr="00087A72">
        <w:rPr>
          <w:rStyle w:val="Emphasis"/>
        </w:rPr>
        <w:t>continued exile of tribal peoples and</w:t>
      </w:r>
      <w:r w:rsidRPr="00087A72">
        <w:rPr>
          <w:rStyle w:val="StyleUnderline"/>
          <w:rFonts w:cstheme="minorHAnsi"/>
        </w:rPr>
        <w:t xml:space="preserve"> their </w:t>
      </w:r>
      <w:r w:rsidRPr="00087A72">
        <w:rPr>
          <w:rStyle w:val="Emphasis"/>
        </w:rPr>
        <w:t>enduring absorption into the American "democratic" Whitestream.</w:t>
      </w:r>
      <w:r w:rsidRPr="00087A72">
        <w:rPr>
          <w:rFonts w:cstheme="minorHAnsi"/>
          <w:sz w:val="14"/>
        </w:rPr>
        <w:t xml:space="preserve"> The notion of mestizaje as absorption is particularly problematic for the Indigenous peoples of Central and South America, where the myth of the mestizaje (belief that the continent's original cultures and inhabitants no longer exist) has been used for centuries to force the in-tegration of Indigenous communities into the national mestizo model (Van Cott, 1994). According to Rodolfo Stavenhagen (1992), the myth of mestiza-je has provided the ideological pretext for numerous South American gov-ernmental laws and policies expressly designed to strengthen the nation-state through incorporation of all "non-national" (read "Indigenous") ele-ments into the mainstream. Thus, what Valle and Torres (1995) previously describe as "the continent's unfinished business of cultural hybridization" (p. 141), Indigenous peoples view as the continents' long and bloody battle to absorb their existence into the master narrative of the mestizo. While critical scholars do construct a very different kind of democratic solidarity that disrupts the sociopolitical and economic hegemony of the dominant culture around a transformed notion of mestizaje (one committed to the destabilization of the isolationist narratives of nationalism and cul-tural chauvinism), </w:t>
      </w:r>
      <w:r w:rsidRPr="00087A72">
        <w:rPr>
          <w:rStyle w:val="StyleUnderline"/>
          <w:rFonts w:cstheme="minorHAnsi"/>
        </w:rPr>
        <w:t>I argue that any liberatory project that does not begin with a clear understanding of the difference of American lndianness will</w:t>
      </w:r>
      <w:r w:rsidRPr="00087A72">
        <w:rPr>
          <w:rFonts w:cstheme="minorHAnsi"/>
          <w:sz w:val="14"/>
        </w:rPr>
        <w:t xml:space="preserve">, in the end, </w:t>
      </w:r>
      <w:r w:rsidRPr="00087A72">
        <w:rPr>
          <w:rStyle w:val="StyleUnderline"/>
          <w:rFonts w:cstheme="minorHAnsi"/>
        </w:rPr>
        <w:t>work to undermine tribal life</w:t>
      </w:r>
      <w:r w:rsidRPr="00087A72">
        <w:rPr>
          <w:rFonts w:cstheme="minorHAnsi"/>
          <w:sz w:val="14"/>
        </w:rPr>
        <w:t xml:space="preserve">. </w:t>
      </w:r>
      <w:r w:rsidRPr="00087A72">
        <w:rPr>
          <w:rStyle w:val="StyleUnderline"/>
          <w:rFonts w:cstheme="minorHAnsi"/>
        </w:rPr>
        <w:t xml:space="preserve">Moreover, there is a potential danger that the ostensibly "new" cultural democracy based upon the radical </w:t>
      </w:r>
      <w:r w:rsidRPr="00087A72">
        <w:rPr>
          <w:rFonts w:cstheme="minorHAnsi"/>
          <w:sz w:val="14"/>
        </w:rPr>
        <w:t xml:space="preserve">mes-tizaje </w:t>
      </w:r>
      <w:r w:rsidRPr="00087A72">
        <w:rPr>
          <w:rStyle w:val="StyleUnderline"/>
          <w:rFonts w:cstheme="minorHAnsi"/>
        </w:rPr>
        <w:t>will continue to mute tribal differences and erase distinctive Indian identities</w:t>
      </w:r>
      <w:r w:rsidRPr="00087A72">
        <w:rPr>
          <w:rFonts w:cstheme="minorHAnsi"/>
          <w:sz w:val="14"/>
        </w:rPr>
        <w:t xml:space="preserve">. Therefore, as </w:t>
      </w:r>
      <w:r w:rsidRPr="00087A72">
        <w:rPr>
          <w:rStyle w:val="Emphasis"/>
          <w:rFonts w:cstheme="minorHAnsi"/>
        </w:rPr>
        <w:t>the physical and metaphysical borders of the post-modern world become increasingly fluid, the desire of American Indian communities to protect geographic borders and employ "essentialist" tactics also increases. Though such tactics may be viewed by critical scholars as highly problematic, they are viewed by American Indian intellectuals as a last line of defense against the steady erosion of tribal culture, political sover-eignty, Native resources, and Native lands.</w:t>
      </w:r>
      <w:r w:rsidRPr="00087A72">
        <w:rPr>
          <w:rFonts w:cstheme="minorHAnsi"/>
          <w:sz w:val="14"/>
        </w:rPr>
        <w:t xml:space="preserve"> The tensions described above indicate the dire need for an Indigenous, revolutionary theory that maintains the distinctiveness of American Indians as tribal peoples of sovereign nations (border patrolling) and also encour-ages the building of coalitions and political solidarity (border crossing). In contrast to critical scholars McLaren and Kris Gutierrez (1997), </w:t>
      </w:r>
      <w:r w:rsidRPr="00087A72">
        <w:rPr>
          <w:rStyle w:val="StyleUnderline"/>
          <w:rFonts w:cstheme="minorHAnsi"/>
        </w:rPr>
        <w:t>who admon-ish educators to develop a concept of unity and difference as political mobili-zation rather than cultural authenticity</w:t>
      </w:r>
      <w:r w:rsidRPr="00087A72">
        <w:rPr>
          <w:rFonts w:cstheme="minorHAnsi"/>
          <w:sz w:val="14"/>
        </w:rPr>
        <w:t xml:space="preserve">, I urge American Indian intellectuals to develop a language that operates at the crossroads of unity and difference and defines this space in terms of political mobilization and cultural authen-ticity, thus expressing both the interdependence and distinctiveness of tribal peoples. </w:t>
      </w:r>
    </w:p>
    <w:p w:rsidR="00091D3F" w:rsidRPr="00087A72" w:rsidRDefault="00091D3F" w:rsidP="00496C79">
      <w:pPr>
        <w:pStyle w:val="Heading3"/>
      </w:pPr>
      <w:r w:rsidRPr="00087A72">
        <w:t>Link – Nuclear Family</w:t>
      </w:r>
    </w:p>
    <w:p w:rsidR="00091D3F" w:rsidRPr="00087A72" w:rsidRDefault="00091D3F" w:rsidP="00091D3F">
      <w:pPr>
        <w:pStyle w:val="Heading4"/>
        <w:rPr>
          <w:rStyle w:val="Style13ptBold"/>
        </w:rPr>
      </w:pPr>
      <w:r w:rsidRPr="00087A72">
        <w:t xml:space="preserve">Settler colonialism forcibly assimilated Natives by making them adopt heteropatriarchal nuclear households, eradicating the culture of equality amongst the Native culture thus further glorifying colonialist ideology                                                                                          Glenn 15 </w:t>
      </w:r>
      <w:r w:rsidRPr="00087A72">
        <w:rPr>
          <w:rStyle w:val="Style13ptBold"/>
        </w:rPr>
        <w:t xml:space="preserve">(Evelyn Nakano, Professor of Gender &amp; Women's Studies and of Ethnic Studies at the University of California, Berkeley “Settler Colonialism as Structure: A Framework for Comparative Studies of U.S. Race and Gender Formation” </w:t>
      </w:r>
      <w:r w:rsidRPr="00087A72">
        <w:rPr>
          <w:rStyle w:val="Style13ptBold"/>
          <w:i/>
        </w:rPr>
        <w:t>Sociology of Race and Ethnicity</w:t>
      </w:r>
      <w:r w:rsidRPr="00087A72">
        <w:rPr>
          <w:rStyle w:val="Style13ptBold"/>
        </w:rPr>
        <w:t xml:space="preserve"> vol. 1 pp. 55-61^*)</w:t>
      </w:r>
    </w:p>
    <w:p w:rsidR="00091D3F" w:rsidRPr="00087A72" w:rsidRDefault="00091D3F" w:rsidP="00091D3F">
      <w:r w:rsidRPr="00087A72">
        <w:rPr>
          <w:u w:val="single"/>
        </w:rPr>
        <w:t>Near the end of Indian armed resistance in the West in the 1880s, federal Indian policy turned decisively toward assimilation, or as it was often dubbed, “Americanization.” The aim was to phase out Indian treaty rights and other special statuses so as to absorb indigenous peoples into settler society</w:t>
      </w:r>
      <w:r w:rsidRPr="00087A72">
        <w:t xml:space="preserve">. </w:t>
      </w:r>
      <w:r w:rsidRPr="00087A72">
        <w:rPr>
          <w:sz w:val="18"/>
        </w:rPr>
        <w:t xml:space="preserve">The twin prongs of Indian assimilation policy were land allotments and education. Under the Dawes Act of 1887, the federal government divided tribal land into individual allotments. Heads of households were entitled to 160 acres, single individuals to 60 acres, and those under 18 to 40 acres (Debos 1973). </w:t>
      </w:r>
      <w:r w:rsidRPr="00087A72">
        <w:rPr>
          <w:u w:val="single"/>
        </w:rPr>
        <w:t>By allotting larger holdings to heads of households, the program was designed to encourage the formation of heteropatriarchal nuclear households.</w:t>
      </w:r>
      <w:r w:rsidRPr="00087A72">
        <w:t xml:space="preserve"> </w:t>
      </w:r>
      <w:r w:rsidRPr="00087A72">
        <w:rPr>
          <w:u w:val="single"/>
        </w:rPr>
        <w:t>Simultaneously, settlers conceived of themselves as more advanced and evolved, bringers of progress and enlightenment to the wilderness. Masculine whiteness thus became central to settler identity, a status closely tied to ownership of property and political sovereignty. The latter in turn articulated with heteropatriarchy, which rendered white manhood supreme with respect to control over property and self-rule. This entailed settler wives being denied an independent legal identity; instead, her identity was merged into that of her husband, and her property and labor were under his control. Further, it was presumed that “heteropatriarchal nuclear-domestic arrangements, in which the [white] father is both protector and leader should serve as the model for social arrangements of the state and its institutions</w:t>
      </w:r>
      <w:r w:rsidRPr="00087A72">
        <w:t xml:space="preserve">” </w:t>
      </w:r>
      <w:r w:rsidRPr="00087A72">
        <w:rPr>
          <w:sz w:val="18"/>
        </w:rPr>
        <w:t>(Arvin, Tuck, and Morrill 2013:13). Settlers may initially identify with the imperial power and submit to its rule, but over time their interactions with indigenes and experiences in the colony set them apart from the population in the metropole</w:t>
      </w:r>
      <w:r w:rsidRPr="00087A72">
        <w:t xml:space="preserve">. </w:t>
      </w:r>
      <w:r w:rsidRPr="00087A72">
        <w:rPr>
          <w:u w:val="single"/>
        </w:rPr>
        <w:t xml:space="preserve">American settlers attached their identity to the land itself, to the mythologized common experience of settlement, and often to the shared goal of self-government. Frontiersmen and women became symbols of what it meant to be American. </w:t>
      </w:r>
      <w:r w:rsidRPr="00087A72">
        <w:rPr>
          <w:sz w:val="18"/>
        </w:rPr>
        <w:t xml:space="preserve">This new identity helped to bridge differences of class, ethnicity, and nationality that might otherwise have divided them. Thus, there was greater equality among the settlers than existed at the time among inhabitants of the metropole. European immigrants to the United States who moved west to take advantage of inexpensive frontier lands were quickly granted American citizenship rights and considered equals among their peers in matters of local government. Some settlers also appropriated indigenous symbols, attributes, and skills, as in the case of American frontiersmen who wore buckskin and cowboys, range-riders, and backwoodsmen who adopted native trapping, hunting, and riding techniques. Turner’s ([1893] 1920:4) essay refers to frontiersmen discarding train travel for traveling by birch canoes, wearing hunting shirts and moccasins, planting Indian corn, and even shouting war cries and taking scalps in “orthodox Indian fashion.” Of course, the vast majority of white Americans did not actually ride canoes or wear buckskin. </w:t>
      </w:r>
      <w:r w:rsidRPr="00087A72">
        <w:rPr>
          <w:u w:val="single"/>
        </w:rPr>
        <w:t>This family-based colonization in combination with its rural character proved to be advantageous, enabling “a steady westward migration towards the agricultural frontier as the threat of Indian attack diminished” Settler ideology also defined appropriate gender relations within the settler family and community, variously using Indian, black, and “others” as negative foils. White settler society understood extreme gender differentiation as a mark of civilization and thus attempted to shape white womanhood toward domesticity and dependency. Importantly, white women were viewed as needing to be protected by white men, particularly from the dangers posed by the primitive or perverse male sexuality of Natives, slaves, and exogenous others. Thus, for example, lurid tales of Indian capture of white women and their rescue by white soldiers circulated widely in settler culture. Meanwhile, Indian, black, and exogenous women were viewed variously as shameless, docile, alluring, or unfeminine because they did “men’s work.” Settler colonialism also had different effects on men and women from subjugated groups as shown in several instances discussed in the main text. For example, it was mentioned that Indian women were more likely to be enslaved, while adult Indian men were more likely to be killed. Relatedly, Indian women were also more likely to be brought into settler households to be sex slaves and domestic servants</w:t>
      </w:r>
      <w:r w:rsidRPr="00087A72">
        <w:t xml:space="preserve">. </w:t>
      </w:r>
      <w:r w:rsidRPr="00087A72">
        <w:rPr>
          <w:sz w:val="18"/>
        </w:rPr>
        <w:t>As for the Chinese, although male laborers were eventually subject to exclusion, women had been legally excluded earlier and more stringently on the assumption that all Chinese women attempting to enter were prostitutes. In contrast, Mexican women were sometimes viewed more favorably than Mexican men and were thought to be appropriate wives for Anglo men. As for enslaved blacks, women were subjected to gender-specific violence such as rape but not exempted from the same kinds of physical punishment and heavy field labor to which slave men were subjected. I will now briefly consider the implications of the present analysis in relation to anti-racist politics. Given that many different groups have been victimized by racial violence, exclusion, and dehumanization, coalitions among racialized minorities are desirable and necessary. I suggest that coalitions are best built by recognizing the specific histories of racialized minorities other than our own. Our understandings ideally should reckon with (a) commonalities, (b) relations and connections, and (c) differences. All of these are highlighted by this settler colonial analysis. Many commonalities have emerged from the case analyses, including experiences of genocide and terrorism that have been inflicted, justified, and “forgotten” or deemphasized by settler society. Also having emerged are relations/connections in the experiences of different groups that complicate their positionality vis-àvis one another. Thus, for example, the analysis might lead us to ask whether and in what ways racialized minorities might position themselves in relation to the territorial dispossession of Native Americans. Finally, some significant differences have emerged; for example, only blacks were subjected to chattel slavery, which is a condition of social death and subjection by slave law that even those who worked under conditions of extreme coercion did not share.</w:t>
      </w:r>
    </w:p>
    <w:p w:rsidR="00C72150" w:rsidRPr="00087A72" w:rsidRDefault="00C72150" w:rsidP="00496C79">
      <w:pPr>
        <w:pStyle w:val="Heading3"/>
      </w:pPr>
      <w:r w:rsidRPr="00087A72">
        <w:t>Link – Reason</w:t>
      </w:r>
    </w:p>
    <w:p w:rsidR="00C72150" w:rsidRPr="00087A72" w:rsidRDefault="00FB18E0" w:rsidP="00C72150">
      <w:pPr>
        <w:pStyle w:val="Heading4"/>
      </w:pPr>
      <w:r w:rsidRPr="00087A72">
        <w:t>Reason defines itself in contradistinction to the Indian as the absolute zero-point of non-reason located within the state of nature become corporeal.</w:t>
      </w:r>
      <w:r w:rsidR="00C72150" w:rsidRPr="00087A72">
        <w:t xml:space="preserve"> </w:t>
      </w:r>
    </w:p>
    <w:p w:rsidR="00C72150" w:rsidRPr="00087A72" w:rsidRDefault="00C72150" w:rsidP="00C72150">
      <w:r w:rsidRPr="00087A72">
        <w:rPr>
          <w:rStyle w:val="Style13ptBold"/>
        </w:rPr>
        <w:t xml:space="preserve">Saldaña Portillo 16 </w:t>
      </w:r>
      <w:r w:rsidRPr="00087A72">
        <w:t xml:space="preserve">(María Josefina Saldaña- Portillo Ph.D. in Modern Thought and Literature, Stanford University B.A. in English Literature, Yale University) [“INDIAN GIVEN Racial Geographies across Mexico and the United States] </w:t>
      </w:r>
    </w:p>
    <w:p w:rsidR="00C72150" w:rsidRPr="00087A72" w:rsidRDefault="00C72150" w:rsidP="00C72150">
      <w:pPr>
        <w:rPr>
          <w:sz w:val="12"/>
        </w:rPr>
      </w:pPr>
      <w:r w:rsidRPr="00087A72">
        <w:rPr>
          <w:sz w:val="12"/>
        </w:rPr>
        <w:t xml:space="preserve">After Sepúlveda’s protagonist Demócrates has </w:t>
      </w:r>
      <w:r w:rsidRPr="00087A72">
        <w:rPr>
          <w:rStyle w:val="StyleUnderline"/>
        </w:rPr>
        <w:t>enumerated the recognized causes for war based on “natural and divine law” (punishment for injuries inflicted by persons or nations, self- defense, justice for the weak)</w:t>
      </w:r>
      <w:r w:rsidRPr="00087A72">
        <w:rPr>
          <w:sz w:val="12"/>
        </w:rPr>
        <w:t>, he insists on another “</w:t>
      </w:r>
      <w:r w:rsidRPr="00087A72">
        <w:rPr>
          <w:rStyle w:val="StyleUnderline"/>
        </w:rPr>
        <w:t>less clear and less frequented” but no less legitimate cause</w:t>
      </w:r>
      <w:r w:rsidRPr="00087A72">
        <w:rPr>
          <w:sz w:val="12"/>
        </w:rPr>
        <w:t xml:space="preserve">.10 “The greatest philosophers” all agreed on the justice of </w:t>
      </w:r>
      <w:r w:rsidRPr="00087A72">
        <w:rPr>
          <w:rStyle w:val="StyleUnderline"/>
        </w:rPr>
        <w:t>“subjugating by force of arms, when no other road is possible, those who due to their natural condition should obey others, and yet reject their [i.e., Spain’s] rule”</w:t>
      </w:r>
      <w:r w:rsidRPr="00087A72">
        <w:rPr>
          <w:sz w:val="12"/>
        </w:rPr>
        <w:t xml:space="preserve"> (Demócrates II, 289). The student Leopoldo expresses surprise at this “extraordinary” opinion, so outside the bounds of common sense (común sentir de los hombres) and asks Demócrates </w:t>
      </w:r>
      <w:r w:rsidRPr="00087A72">
        <w:rPr>
          <w:rStyle w:val="StyleUnderline"/>
        </w:rPr>
        <w:t>not only who would be born under such an unfortunate star as to be by nature condemned to servitude, but if all the learned councils of jurists (jurisconsulatas) jest “when they teach that all men are initially born free, and that slavery was introduced against nature” (290). Demócrates assures Leopoldo that these jurists deliberate with “seriousness” and “prudence.” And yet, not having passed through the “threshold of philosophy,” when these jurists speak of slavery they speak of an artificial condition that is imposed by the superiority of force (fuerza mayor) or by civil right or law (derecho civil). When philosophers speak of slavery, they refer to the “inherent slowness of understanding and to inhumane and barbarous customs” (291).11 Slavery is thus transformed from a condition imposed on a person from the outside to a condition emerging from within a people.</w:t>
      </w:r>
      <w:r w:rsidRPr="00087A72">
        <w:rPr>
          <w:sz w:val="12"/>
        </w:rPr>
        <w:t xml:space="preserve"> </w:t>
      </w:r>
      <w:r w:rsidRPr="00087A72">
        <w:rPr>
          <w:rStyle w:val="StyleUnderline"/>
        </w:rPr>
        <w:t>As the dialogue progresses, Demócrates often makes the former (the inhumane custom of slavery) into a condition of the latter (slavery as the consequence of incompetent understanding).</w:t>
      </w:r>
      <w:r w:rsidRPr="00087A72">
        <w:rPr>
          <w:sz w:val="12"/>
        </w:rPr>
        <w:t xml:space="preserve"> Idolatry, “</w:t>
      </w:r>
      <w:r w:rsidRPr="00087A72">
        <w:rPr>
          <w:rStyle w:val="StyleUnderline"/>
        </w:rPr>
        <w:t xml:space="preserve">nefarious lust,” and a rudeness or indolence of the mind are strung together in evident relation </w:t>
      </w:r>
      <w:r w:rsidRPr="00087A72">
        <w:rPr>
          <w:sz w:val="12"/>
        </w:rPr>
        <w:t xml:space="preserve">for Sepúlveda (315, 317, 319, 323).12 </w:t>
      </w:r>
      <w:r w:rsidRPr="00087A72">
        <w:rPr>
          <w:rStyle w:val="StyleUnderline"/>
        </w:rPr>
        <w:t>And thus we see an insidious reversal.</w:t>
      </w:r>
      <w:r w:rsidRPr="00087A72">
        <w:rPr>
          <w:sz w:val="12"/>
        </w:rPr>
        <w:t xml:space="preserve"> Reasonable people are not barbarous because of their customs (i.e., nonbelief); rather their customs are barbarous because of their impaired reason. </w:t>
      </w:r>
      <w:r w:rsidRPr="00087A72">
        <w:rPr>
          <w:rStyle w:val="StyleUnderline"/>
        </w:rPr>
        <w:t>For Aristotle, all men and women possessed rationality, as this was a universal condition of humanity</w:t>
      </w:r>
      <w:r w:rsidRPr="00087A72">
        <w:rPr>
          <w:sz w:val="12"/>
        </w:rPr>
        <w:t xml:space="preserve">. </w:t>
      </w:r>
      <w:r w:rsidRPr="00087A72">
        <w:rPr>
          <w:rStyle w:val="StyleUnderline"/>
        </w:rPr>
        <w:t xml:space="preserve">Women and natural slaves possessed inferior reason because they lacked the capacity for deliberation and decisiveness. </w:t>
      </w:r>
      <w:r w:rsidRPr="00087A72">
        <w:rPr>
          <w:sz w:val="12"/>
        </w:rPr>
        <w:t xml:space="preserve">In what is perhaps the most notorious passage from Demócrates II, Sepúlveda begins by miming Aristotle’s position: It is certain and without doubt, as affirmed by intelligent/discerning authors, that it is just and natural for wise, esteemed, and humane men to have dominion over those who are not so. . . . You can well understand, Leopoldo, if you know the customs and manners of different peoples, </w:t>
      </w:r>
      <w:r w:rsidRPr="00087A72">
        <w:rPr>
          <w:rStyle w:val="StyleUnderline"/>
        </w:rPr>
        <w:t>that the Spanish have a perfect right to rule these barbarians of the New World and the adjacent islands, who in wisdom, skill, virtues, and humanity are as inferior to the</w:t>
      </w:r>
      <w:r w:rsidRPr="00087A72">
        <w:rPr>
          <w:sz w:val="12"/>
        </w:rPr>
        <w:t xml:space="preserve"> </w:t>
      </w:r>
      <w:r w:rsidRPr="00087A72">
        <w:rPr>
          <w:rStyle w:val="StyleUnderline"/>
        </w:rPr>
        <w:t>Spanish as children to adults, or women to men, for there exists between the two as great a difference as between savage and cruel races and the most merciful, between the most intemperate and the moderate and temperate and, I am on the verge of saying, between monkeys and men.</w:t>
      </w:r>
      <w:r w:rsidRPr="00087A72">
        <w:rPr>
          <w:sz w:val="12"/>
        </w:rPr>
        <w:t xml:space="preserve"> (305) </w:t>
      </w:r>
      <w:r w:rsidRPr="00087A72">
        <w:rPr>
          <w:rStyle w:val="StyleUnderline"/>
        </w:rPr>
        <w:t>As in Aristotle</w:t>
      </w:r>
      <w:r w:rsidRPr="00087A72">
        <w:rPr>
          <w:sz w:val="12"/>
        </w:rPr>
        <w:t xml:space="preserve">, “wise” men enjoy dominion over those whose intellectual capacity is “inferior,” and consequently, in this analogy, indigenous people are to Spaniards as children are to adults, and women are to men. But Sepúlveda goes further than Aristotle, </w:t>
      </w:r>
      <w:r w:rsidRPr="00087A72">
        <w:rPr>
          <w:rStyle w:val="StyleUnderline"/>
        </w:rPr>
        <w:t>for indigenous people’s reason was so</w:t>
      </w:r>
      <w:r w:rsidRPr="00087A72">
        <w:rPr>
          <w:sz w:val="12"/>
        </w:rPr>
        <w:t xml:space="preserve"> </w:t>
      </w:r>
      <w:r w:rsidRPr="00087A72">
        <w:rPr>
          <w:rStyle w:val="StyleUnderline"/>
        </w:rPr>
        <w:t>“intemperate,” so imperfect, so “torpid,” as to place them in close proximity to beasts. Demo crates broaches this boundary between humanity and animality through simile and analogy, in direct contradiction</w:t>
      </w:r>
      <w:r w:rsidRPr="00087A72">
        <w:rPr>
          <w:sz w:val="12"/>
        </w:rPr>
        <w:t xml:space="preserve"> to the Sublimis Deus. Sepúlveda was on the verge of </w:t>
      </w:r>
      <w:r w:rsidRPr="00087A72">
        <w:rPr>
          <w:rStyle w:val="StyleUnderline"/>
        </w:rPr>
        <w:t>saying that Indians were on the verge of being beasts</w:t>
      </w:r>
      <w:r w:rsidRPr="00087A72">
        <w:rPr>
          <w:sz w:val="12"/>
        </w:rPr>
        <w:t xml:space="preserve">. Simile saved Sepúlveda from committing heresy against the papal bull, but in his rhetorical turn of phrase, we bear witness with Sepúlveda to a category of the Indian that was still epistemologically in flux. </w:t>
      </w:r>
      <w:r w:rsidRPr="00087A72">
        <w:rPr>
          <w:rStyle w:val="StyleUnderline"/>
        </w:rPr>
        <w:t xml:space="preserve">What was the nature of this thing- being Indian, and did this nature permit Indian labor to become the property of others? </w:t>
      </w:r>
      <w:r w:rsidRPr="00087A72">
        <w:rPr>
          <w:sz w:val="12"/>
        </w:rPr>
        <w:t xml:space="preserve">For Sepúlveda </w:t>
      </w:r>
      <w:r w:rsidRPr="00087A72">
        <w:rPr>
          <w:rStyle w:val="StyleUnderline"/>
        </w:rPr>
        <w:t>the answer was undoubtedly yes, not only because Indians were pagan infidels, but, more significantly, because their impaired reason made them natural slaves,</w:t>
      </w:r>
      <w:r w:rsidRPr="00087A72">
        <w:rPr>
          <w:sz w:val="12"/>
        </w:rPr>
        <w:t xml:space="preserve"> </w:t>
      </w:r>
      <w:r w:rsidRPr="00087A72">
        <w:rPr>
          <w:rStyle w:val="StyleUnderline"/>
        </w:rPr>
        <w:t>placing them in proximity to beasts of burden.</w:t>
      </w:r>
      <w:r w:rsidRPr="00087A72">
        <w:rPr>
          <w:sz w:val="12"/>
        </w:rPr>
        <w:t xml:space="preserve"> Importantly for Sepúlveda, </w:t>
      </w:r>
      <w:r w:rsidRPr="00087A72">
        <w:rPr>
          <w:rStyle w:val="StyleUnderline"/>
        </w:rPr>
        <w:t>the indigenous people, as natural slaves, received the greater benefit from their enslavement by the Spaniards: “It would be a great good for those depraved, barbarous, and impious ones to obey those who are good, who are humane and observe the true faith, so that through their laws, council, and communion, they might be returned to humanity and piety, which would be to the great benefit of Christian charity”</w:t>
      </w:r>
      <w:r w:rsidRPr="00087A72">
        <w:rPr>
          <w:sz w:val="12"/>
        </w:rPr>
        <w:t xml:space="preserve"> (325). Indigenous people are restored (redujesen) to their own humanity through Christian enslavement. Thus </w:t>
      </w:r>
      <w:r w:rsidRPr="00087A72">
        <w:rPr>
          <w:rStyle w:val="StyleUnderline"/>
        </w:rPr>
        <w:t>it was</w:t>
      </w:r>
      <w:r w:rsidRPr="00087A72">
        <w:rPr>
          <w:sz w:val="12"/>
        </w:rPr>
        <w:t xml:space="preserve"> not merely the</w:t>
      </w:r>
      <w:r w:rsidRPr="00087A72">
        <w:rPr>
          <w:rStyle w:val="StyleUnderline"/>
        </w:rPr>
        <w:t xml:space="preserve"> savage and cruel nature of the Indian human that associated him with beasts and infidels</w:t>
      </w:r>
      <w:r w:rsidRPr="00087A72">
        <w:rPr>
          <w:sz w:val="12"/>
        </w:rPr>
        <w:t>. Rather, repeatedly for Sepúlveda, it was the Indians’ nefarious torpidity that required the Spaniards to conquer them through just war and to reduce them to a condition of servitude that would facilitate their conversion to a more rational humanity. Both natural law and biblical law required it.</w:t>
      </w:r>
    </w:p>
    <w:p w:rsidR="00496C79" w:rsidRPr="00087A72" w:rsidRDefault="00496C79" w:rsidP="00496C79">
      <w:pPr>
        <w:pStyle w:val="Heading3"/>
      </w:pPr>
      <w:r w:rsidRPr="00087A72">
        <w:t>Link – Refugees</w:t>
      </w:r>
    </w:p>
    <w:p w:rsidR="00496C79" w:rsidRPr="00087A72" w:rsidRDefault="00496C79" w:rsidP="00496C79">
      <w:pPr>
        <w:pStyle w:val="Heading4"/>
      </w:pPr>
      <w:r w:rsidRPr="00087A72">
        <w:t xml:space="preserve">The coloniality of migration is an analytical framework of the racial structures of settler colonialism. The categorization of refugees of different statuses and hierarchies is reminiscent of the settler state. </w:t>
      </w:r>
    </w:p>
    <w:p w:rsidR="00496C79" w:rsidRPr="00087A72" w:rsidRDefault="00496C79" w:rsidP="00496C79">
      <w:r w:rsidRPr="00087A72">
        <w:rPr>
          <w:b/>
          <w:bCs/>
        </w:rPr>
        <w:t xml:space="preserve">Rodriguez 18 </w:t>
      </w:r>
      <w:r w:rsidRPr="00087A72">
        <w:t>(Encarnación, Professor of Sociology, Managing Director of Master’s Program Society and Modern Cultures “The Coloniality of Migration and the Refugee Crisis” Canada’s Journal on Refugees Volume 34, No.1, pp. 16-20) OD</w:t>
      </w:r>
    </w:p>
    <w:p w:rsidR="00496C79" w:rsidRPr="00087A72" w:rsidRDefault="00496C79" w:rsidP="00496C79">
      <w:pPr>
        <w:rPr>
          <w:b/>
          <w:iCs/>
          <w:u w:val="single"/>
        </w:rPr>
      </w:pPr>
      <w:r w:rsidRPr="00087A72">
        <w:rPr>
          <w:sz w:val="12"/>
        </w:rPr>
        <w:t xml:space="preserve">This article departs from the discussion by Stephen Castles on the migration-asylum nexus by focusing on the political and cultural effects of the summer of immigration in 2015. It argues for a conceptualization of the asylum-migration nexus within the framework of Anibal Quijano’s “colo- niality of power” by developing the analytical framework of the “coloniality of migration.” Through the analytical framework of the “coloniality of migration” the connection between racial capitalism and the asylum-migration nexus is explored. It does so by first focusing on the economic and political links between asylum and migration, and how both constitute each other. On these grounds, it discusses how asylum and migration policies produce hierarchical categories of migrants and refugees, producing a nomencla- ture drawing on an imaginary reminiscent of the oriental- ist and racialized practices of European colonialism and imperialism. In a second step, it focuses on migration and asylum policies as inherent to a logic of racialization of the workforce. It does so by first exploring the racial coding of immigration policies within the context of settler colonial- ism and transatlantic White European migration to the Américas and Oceania in the nineteenth and twentieth centuries, and second, by discussing migration policies in post-1945 Western Europe. Dtion dans l’Europe de l’Ouest de l’après-1945. uring August and September 2015 the media con- stantly replayed images of refugees traversing the Balkan route to Austria, Germany, Denmark, Sweden, Finland, and Norway. This migration was initially met with hospitality through Willkommenskultur (welcome culture). </w:t>
      </w:r>
      <w:r w:rsidRPr="00087A72">
        <w:rPr>
          <w:u w:val="single"/>
        </w:rPr>
        <w:t xml:space="preserve">However, this had changed by autumn 2015 when right-wing populists and nationalists blamed Merkel’s gov- ernment for allowing European societies to be “over-run” by Muslim refugees from “archaic” societies. </w:t>
      </w:r>
      <w:r w:rsidRPr="00087A72">
        <w:rPr>
          <w:sz w:val="12"/>
        </w:rPr>
        <w:t xml:space="preserve">This is exemplified in reports of New Year’s Eve in Cologne 2015/16, when North African and Muslim men were accused of sexual assaults and attacks, portrayed in the media as mainly targeting white German women in the main train station.2 </w:t>
      </w:r>
      <w:r w:rsidRPr="00087A72">
        <w:rPr>
          <w:u w:val="single"/>
        </w:rPr>
        <w:t>This reactivated the dichotomy of civilization and barbarity, constructing black and brown racialized masculinities as “premodern,” lacking control over their sexuality and having a patriarchal, misogynist mindset.</w:t>
      </w:r>
      <w:r w:rsidRPr="00087A72">
        <w:rPr>
          <w:sz w:val="12"/>
        </w:rPr>
        <w:t xml:space="preserve"> In political talk shows, experts reiter- ated that the problem was the poor adjustment of these men to the ruling “normative gender order.” </w:t>
      </w:r>
      <w:r w:rsidRPr="00087A72">
        <w:rPr>
          <w:u w:val="single"/>
        </w:rPr>
        <w:t>Their presence was interpreted by right-wing populists as a threat to Occidental civility.</w:t>
      </w:r>
      <w:r w:rsidRPr="00087A72">
        <w:rPr>
          <w:sz w:val="12"/>
        </w:rPr>
        <w:t xml:space="preserve"> Politicians reacted quickly to these accusations. On July 7, 2016, the law governing sexual offences was amended to state that a sexual offence takes place when a woman’s non-consent (“no means no”) is not respected and when sexual attacks and harassment are committed by a group of men. This law could be understood as a slight achievement in the struggle against sexual violence. But the underlying racism, in particular anti-Muslim racism, which accelerated its passing, deserves some attention. The New Year’s Eve Event 2015/16 initiated a turning point in “the conjuncture of racism” in Europe. The 2015 summer of migration transformed into a “refugee crisis.” </w:t>
      </w:r>
      <w:r w:rsidRPr="00087A72">
        <w:rPr>
          <w:u w:val="single"/>
        </w:rPr>
        <w:t>The arrival of people seeking shelter in Europe started</w:t>
      </w:r>
      <w:r w:rsidRPr="00087A72">
        <w:rPr>
          <w:sz w:val="12"/>
        </w:rPr>
        <w:t xml:space="preserve"> to be publicly debated in media and politics as a “crisis,” a destabilization of the social norms, and a rupture in the social order. The wealthy European countries—Sweden, Finland, Germany, and Austria—that took the biggest share of the 1.5 million people fleeing the war zones in the Middle East and Africa are not experiencing economic crisis. However, the arrival of those fleeing wars and political conflicts in the Middle East and Africa produced a “crisis” in the normative white national population. As Suvi Keskinen4 discusses, in Finland this is rather </w:t>
      </w:r>
      <w:r w:rsidRPr="00087A72">
        <w:rPr>
          <w:u w:val="single"/>
        </w:rPr>
        <w:t>a “crisis” of “white hegemony” played out by the reshuffling of “white neonationalist femininities” and the underlying hegemonic reconstitution of their masculine counterparts.</w:t>
      </w:r>
      <w:r w:rsidRPr="00087A72">
        <w:rPr>
          <w:sz w:val="12"/>
        </w:rPr>
        <w:t xml:space="preserve">5 Thus, the rhetoric of crisis is constructed on an ideological level. Hall et al.6 discuss the significant role played by the media in establishing the hegemony of Thatcher’s authoritarian populism in late-1970s Britain. </w:t>
      </w:r>
      <w:r w:rsidRPr="00087A72">
        <w:rPr>
          <w:u w:val="single"/>
        </w:rPr>
        <w:t>Hall et al. identified the media construction of Black Caribbean men as “muggers” as a strategy to establish a national consensus for the Conserva- tive government through the incessant fabrication of news on black men attacking white people on the street.</w:t>
      </w:r>
      <w:r w:rsidRPr="00087A72">
        <w:rPr>
          <w:sz w:val="12"/>
        </w:rPr>
        <w:t xml:space="preserve"> This consensus was achieved by mobilizing racism. This media spectacle reiterated the British Empire’s colonial vocabulary of racialization within the metropole and diverted atten- tion from Thatcher’s dismantling of the welfare state, as well as the transformation causing mass unemployment and decreasing household incomes among the working and middle classes. Instead, </w:t>
      </w:r>
      <w:r w:rsidRPr="00087A72">
        <w:rPr>
          <w:u w:val="single"/>
        </w:rPr>
        <w:t xml:space="preserve">the media </w:t>
      </w:r>
      <w:r w:rsidRPr="00087A72">
        <w:rPr>
          <w:sz w:val="12"/>
        </w:rPr>
        <w:t xml:space="preserve">spectacle </w:t>
      </w:r>
      <w:r w:rsidRPr="00087A72">
        <w:rPr>
          <w:u w:val="single"/>
        </w:rPr>
        <w:t>contributed to the fabrication of an outsider to the nation to whom social and economic deprivation as well as feelings of individual insecurity were attributed</w:t>
      </w:r>
      <w:r w:rsidRPr="00087A72">
        <w:rPr>
          <w:sz w:val="12"/>
        </w:rPr>
        <w:t xml:space="preserve">. Thus, the media were </w:t>
      </w:r>
      <w:r w:rsidRPr="00087A72">
        <w:rPr>
          <w:u w:val="single"/>
        </w:rPr>
        <w:t>key actors in the formation of a</w:t>
      </w:r>
      <w:r w:rsidRPr="00087A72">
        <w:rPr>
          <w:sz w:val="12"/>
        </w:rPr>
        <w:t xml:space="preserve"> hegemonic bloc supporting Thatcher’s </w:t>
      </w:r>
      <w:r w:rsidRPr="00087A72">
        <w:rPr>
          <w:u w:val="single"/>
        </w:rPr>
        <w:t>authoritarian populism</w:t>
      </w:r>
      <w:r w:rsidRPr="00087A72">
        <w:rPr>
          <w:sz w:val="12"/>
        </w:rPr>
        <w:t xml:space="preserve">. On the basis of his analysis of the political status quo, Hall7 developed his analysis of the spe- cific conjuncture and contingency of racism. The spectacle of the black man as mugger produced an affective connec- tion between the population and the government by </w:t>
      </w:r>
      <w:r w:rsidRPr="00087A72">
        <w:rPr>
          <w:b/>
          <w:iCs/>
          <w:u w:val="single"/>
        </w:rPr>
        <w:t>creating “moral panic.”</w:t>
      </w:r>
      <w:r w:rsidRPr="00087A72">
        <w:rPr>
          <w:sz w:val="12"/>
        </w:rPr>
        <w:t xml:space="preserve"> At the same time, the moral panic </w:t>
      </w:r>
      <w:r w:rsidRPr="00087A72">
        <w:rPr>
          <w:b/>
          <w:iCs/>
          <w:u w:val="single"/>
        </w:rPr>
        <w:t>fuelled the government responses to this “crisis” with the introduction of police “stop and search” and racial profiling.</w:t>
      </w:r>
      <w:r w:rsidRPr="00087A72">
        <w:rPr>
          <w:sz w:val="12"/>
        </w:rPr>
        <w:t xml:space="preserve"> This con- nection between media representation, affective connec- tions, and ideological negotiations represented a contingent moment of the specific conjuncture of racism, orchestrated by a variety of actors representing a range of convergent and divergent financial, economic, and political interests. In the case of the production of the “refugee crisis” through media images, we have a similar convergence of media, affect, and politics. As I will develop here, the rhetoric involved in the production of the “refugee crisis” resurfaces within a specific conjuncture of racism in Europe. As I will argue, </w:t>
      </w:r>
      <w:r w:rsidRPr="00087A72">
        <w:rPr>
          <w:u w:val="single"/>
        </w:rPr>
        <w:t>within this conjuncture colonial legacies of the construc- tion of the racialized Other are reactivated and wrapped in a racist vocabulary, drawing on a racist imaginary jcombined with new forms of governing the racialized Other through migration control</w:t>
      </w:r>
      <w:r w:rsidRPr="00087A72">
        <w:rPr>
          <w:sz w:val="12"/>
        </w:rPr>
        <w:t xml:space="preserve">. The analysis of the media and political spectacle of the “refugee crisis” requires that we consider it as an articulation of a contingency of a specific conjuncture of racism in Europe, particularly in Germany. I argue here that contemporary racism in Europe, particu- larly in Germany, is articulated by the trope of the “refugee” and the media’s conjuring up of the “refugee crisis” in public and political debates. </w:t>
      </w:r>
      <w:r w:rsidRPr="00087A72">
        <w:rPr>
          <w:u w:val="single"/>
        </w:rPr>
        <w:t>The “refugee crisis” is symptomatic of what Stephen Castles8 has coined the “asylum-migration nexus” and operates within the logic of what I will call the coloniality of migration following Anibal Quijano’s9 “colo- niality of power.”</w:t>
      </w:r>
      <w:r w:rsidRPr="00087A72">
        <w:rPr>
          <w:sz w:val="12"/>
        </w:rPr>
        <w:t xml:space="preserve"> In the discussion that follows, I situate the asylum-migration nexus at the juncture of the coloniality of power and racial capitalism.10 I then extend the analyti- cal framework of the coloniality of migration by exploring settler colonialism, transatlantic white European migration, and the racial coding of immigration policies in former colonies in the Americas and Oceania in the nineteenth and twentieth centuries, as well as migration policies in post-1945 Western Europe. The article concludes by looking at </w:t>
      </w:r>
      <w:r w:rsidRPr="00087A72">
        <w:rPr>
          <w:b/>
          <w:iCs/>
          <w:u w:val="single"/>
        </w:rPr>
        <w:t>the value of the coloniality of migration as an analytical framework for the analysis of the present conjuncture of racism</w:t>
      </w:r>
      <w:r w:rsidRPr="00087A72">
        <w:rPr>
          <w:sz w:val="12"/>
        </w:rPr>
        <w:t xml:space="preserve">. Contingency: The “Refugee Crisis” and the Migration-Asylum Nexus By autumn 2015 there were incessant complaints about the “waves of refugees invading” Europe, and in particular Ger- many, in populist and social media. The “refugee crisis” was constructed as the result of lack of management by a govern- ment with no regard for the burden caused by uncontrolled migration on state welfare and social housing provision, whilst “refugees” were constructed as a threat to social cohe- sion. Structural inequalities were presented as resulting from the arrival of refugees and conflated with racist fantasies of Überfremdung (foreignization), a fantasy of loss of national identity and culture based on one people, race, ethnicity, religion, and language. Thus in German elections in Septem- ber 2017 these sentiments resulted in an increase in votes for the right-wing populist party and the strengthening of right- wing populist positions in the conservative party, in parts of the Social Democrats and die Linke. </w:t>
      </w:r>
      <w:r w:rsidRPr="00087A72">
        <w:rPr>
          <w:u w:val="single"/>
        </w:rPr>
        <w:t>The right-wing populist position exposed amnesia about</w:t>
      </w:r>
      <w:r w:rsidRPr="00087A72">
        <w:rPr>
          <w:sz w:val="12"/>
        </w:rPr>
        <w:t xml:space="preserve"> inter-European histories of incessant migrations and (anti-) hegemonic struggles and </w:t>
      </w:r>
      <w:r w:rsidRPr="00087A72">
        <w:rPr>
          <w:u w:val="single"/>
        </w:rPr>
        <w:t>Europe’s history of colonialism, slavery, imperialism, settler colonialism, and transatlantic migration</w:t>
      </w:r>
      <w:r w:rsidRPr="00087A72">
        <w:rPr>
          <w:sz w:val="12"/>
        </w:rPr>
        <w:t xml:space="preserve">. Within the narrative of a monocultural/ethnic/ racial/lingual nation, contemporary refugees—for example, Afghans, Somalis, Sudanese, and Syrians—seem to have no historical connection with Europe. However, these countries were colonized by European nations or have been subjected to European imperial powers. Currently, European coun- tries take part in international negotiations on global trade and development in the countries that are home to Europe’s refugees. European countries also participate in interna- tional political and military conflicts as well as in peace negotiations. However, </w:t>
      </w:r>
      <w:r w:rsidRPr="00087A72">
        <w:rPr>
          <w:u w:val="single"/>
        </w:rPr>
        <w:t>the perception of refugees as a “crisis</w:t>
      </w:r>
      <w:r w:rsidRPr="00087A72">
        <w:rPr>
          <w:sz w:val="12"/>
        </w:rPr>
        <w:t xml:space="preserve">” in European media and political debates </w:t>
      </w:r>
      <w:r w:rsidRPr="00087A72">
        <w:rPr>
          <w:u w:val="single"/>
        </w:rPr>
        <w:t>accentuates the refugee presence as a rupture in everyday life</w:t>
      </w:r>
      <w:r w:rsidRPr="00087A72">
        <w:rPr>
          <w:sz w:val="12"/>
        </w:rPr>
        <w:t xml:space="preserve">. This perception is accompanied by images of refugees arriv- ing in Europe. Hyperbolic figures became “facts” mobilized in media and political debates on the capacity of an over- burdened Europe to receive refugees. This legitimized their deportation and border closures. A close look at the statistics of organizations such as the UNHCR paints a different picture of Europe being “overburdened,” because </w:t>
      </w:r>
      <w:r w:rsidRPr="00087A72">
        <w:rPr>
          <w:u w:val="single"/>
        </w:rPr>
        <w:t xml:space="preserve">the countries that receive the largest numbers of refugees are not in Europe, but in Africa and Asia. </w:t>
      </w:r>
      <w:r w:rsidRPr="00087A72">
        <w:rPr>
          <w:sz w:val="12"/>
        </w:rPr>
        <w:t xml:space="preserve">These countries are Ethiopia, Uganda, Iran, Lebanon, Pakistan, and Turkey.11 UNHCR statistics from 201612 show that the countries receiving the largest numbers of “per- sons of concern”13 in Europe were Germany (1.27 million) and Sweden (349,303).14 In relation to the total population of these countries—Germany 82.67 million and Sweden 10 million15— “refugee” numbers are a tiny percentage. These figures dem- onstrate that the contemporary debates on the need to control the entry and settlement of “refugees” are not substantiated by facts. Rather they are sustained by “moral panic”16 fabricated on the basis of racist fantasies about a constructed inferior, animalistic, racialized Other. As already mentioned in the introduction, Hall et al. discuss the construction of the racial- ized Other by analyzing the media spectacle of black bodies as routinized images in daily news and media outlets. This media representation is presented as “factual news.” Yet, as Hall et al. show, </w:t>
      </w:r>
      <w:r w:rsidRPr="00087A72">
        <w:rPr>
          <w:u w:val="single"/>
        </w:rPr>
        <w:t>the media’s visual and textual vocabulary is not neutral, but is embedded in historical genealogies of representation, fuelled by political and financial interests</w:t>
      </w:r>
      <w:r w:rsidRPr="00087A72">
        <w:rPr>
          <w:sz w:val="12"/>
        </w:rPr>
        <w:t xml:space="preserve">. In late 1970s Britain, as Hall et al. demonstrate, the nation underwent a political transformation, resulting in the shrinking of the welfare state and the introduction of cuts to state ownership and public services. This period of transition from the welfare state to the liberal state is the hallmark of Margaret Thatcher’s govern- ment. As Hall et al. state, as already mentioned, conservative tabloids such as the Sun or the Mirror did not draw attention to this political change which harmed the working- and middle- class population. Instead, these tabloids constructed a new fear of black Caribbean men, which they portrayed as “muggers.” Hall et al.’s analysis shows that </w:t>
      </w:r>
      <w:r w:rsidRPr="00087A72">
        <w:rPr>
          <w:u w:val="single"/>
        </w:rPr>
        <w:t>the media representation of “the black Caribbean man” functioned as a “floating signifier” for all kinds of racial fantasies, articulated through the sexual and existential fears and anxieties of the white population</w:t>
      </w:r>
      <w:r w:rsidRPr="00087A72">
        <w:rPr>
          <w:sz w:val="12"/>
        </w:rPr>
        <w:t xml:space="preserve">. The state’s response to this spectacle of racist angst was the introduction of measures to increase social control through policing and racial profiling. The media representation of “mugging” contributed to the social reproduction of a matrix of racist differentiation by forging an analogy between crime and racialized black and brown masculinities. Through the racist conservative media Thatcher garnered support to popularize her law-and-order society model by channelling people’s anxi- eties and fears towards a racist matrix of thinking the exterior- ity to the nation. The cooperation between politics and media resulted in the building of a hegemonic bloc that re-actualized racism in contemporary British society. In contemporary Europe, the “refugee” has become the “floating signifier.” Thus within the media rhetoric of the “refugee crisis,” </w:t>
      </w:r>
      <w:r w:rsidRPr="00087A72">
        <w:rPr>
          <w:b/>
          <w:iCs/>
          <w:u w:val="single"/>
        </w:rPr>
        <w:t>the signifier of the “refugee” works as a “floating signifier” repre- senting the anxieties and fears of what the media conceived as the majority of the population, regularly imagined as white, German, abled, cis-gendered, national bodies</w:t>
      </w:r>
      <w:r w:rsidRPr="00087A72">
        <w:rPr>
          <w:sz w:val="12"/>
        </w:rPr>
        <w:t xml:space="preserve">. These </w:t>
      </w:r>
      <w:r w:rsidRPr="00087A72">
        <w:rPr>
          <w:u w:val="single"/>
        </w:rPr>
        <w:t>anxieties and fears</w:t>
      </w:r>
      <w:r w:rsidRPr="00087A72">
        <w:rPr>
          <w:sz w:val="12"/>
        </w:rPr>
        <w:t xml:space="preserve"> of the presumed population </w:t>
      </w:r>
      <w:r w:rsidRPr="00087A72">
        <w:rPr>
          <w:u w:val="single"/>
        </w:rPr>
        <w:t>are projected onto an imagined racialized Other</w:t>
      </w:r>
      <w:r w:rsidRPr="00087A72">
        <w:rPr>
          <w:sz w:val="12"/>
        </w:rPr>
        <w:t>. Further, the link of the “refugee” with “crisis” points to the idea of rupture and singularity. As Myrto Tsilimpounidi17 notes</w:t>
      </w:r>
      <w:r w:rsidRPr="00087A72">
        <w:rPr>
          <w:u w:val="single"/>
        </w:rPr>
        <w:t>, “crisis”</w:t>
      </w:r>
      <w:r w:rsidRPr="00087A72">
        <w:rPr>
          <w:sz w:val="12"/>
        </w:rPr>
        <w:t xml:space="preserve"> can be perceived </w:t>
      </w:r>
      <w:r w:rsidRPr="00087A72">
        <w:rPr>
          <w:u w:val="single"/>
        </w:rPr>
        <w:t>as a “perpetual frame-breaking moment that dismantles the certainties and normative narratives of nation, sovereignty, social bonds and belonging for people on the ground</w:t>
      </w:r>
      <w:r w:rsidRPr="00087A72">
        <w:rPr>
          <w:sz w:val="12"/>
        </w:rPr>
        <w:t xml:space="preserve">.” “Cri- sis” involves financial, economic, or political life in dominant media and political discourses, but also defines </w:t>
      </w:r>
      <w:r w:rsidRPr="00087A72">
        <w:rPr>
          <w:b/>
          <w:iCs/>
          <w:u w:val="single"/>
        </w:rPr>
        <w:t>a “state of being”</w:t>
      </w:r>
      <w:r w:rsidRPr="00087A72">
        <w:rPr>
          <w:sz w:val="12"/>
        </w:rPr>
        <w:t xml:space="preserve"> in society that results out of </w:t>
      </w:r>
      <w:r w:rsidRPr="00087A72">
        <w:rPr>
          <w:b/>
          <w:iCs/>
          <w:u w:val="single"/>
        </w:rPr>
        <w:t>a “deep political and social sense of uncertainty, precarity, and dispossession.”</w:t>
      </w:r>
      <w:r w:rsidRPr="00087A72">
        <w:rPr>
          <w:sz w:val="12"/>
        </w:rPr>
        <w:t xml:space="preserve">18 Linked to refugees, the media and political rhetoric on “crisis” illustrates the continuation of the coloniality of power. The vilification of the refugee as sexual perpetrator, poten- tial terrorist, and destroyer of Western democratic values and beliefs signals a political shift. This shift is reflected in the vocabulary used to describe in cultural, social, legal, and polit- ical terms the living situation of people fleeing their countries due to political persecution,19 war, and other political conflicts. In the 1970s, Chileans, Argentinians, and Uruguayans were recognized as exiles in the United Kingdom, Germany, France, and Spain.20 Today, the term exile has almost disappeared from public discourse and has been replaced by asylum poli- cies and discourses on “bogus asylum seekers.” These policies and discourses are characterized by a perspective on asylum that undermines the entitlement to sanctuary for persons flee- ing from violence and persecution. Further, seeking asylum is conceived as being related to unique national or regional circumstances, unrelated to an entangled history of global exploitation, imperial oppression, and capitalist expansion. As Stephen Castles21 argues, the distinction between asy- lum as coercion and migration as choice disregards the fact that migratory movements are driven by global conflicts, wars, political interests, and economic dynamics. The financial cri- sis in 2007/8, and the wars in Afghanistan, Iraq, and Syria are forcing people to leave the destruction of their homes, neigh- bourhoods, villages, towns, and cities. Thus, the assumption that migration is economic, voluntary, and, as such, not the result of conditions that force people to migrate, overlooks the global entanglements in which migration occurs. </w:t>
      </w:r>
      <w:r w:rsidRPr="00087A72">
        <w:rPr>
          <w:u w:val="single"/>
        </w:rPr>
        <w:t>When people migrate</w:t>
      </w:r>
      <w:r w:rsidRPr="00087A72">
        <w:rPr>
          <w:sz w:val="12"/>
        </w:rPr>
        <w:t xml:space="preserve"> because of poverty, unemployment, and dep- rivation, these societal conditions are connected to political constellations, </w:t>
      </w:r>
      <w:r w:rsidRPr="00087A72">
        <w:rPr>
          <w:u w:val="single"/>
        </w:rPr>
        <w:t xml:space="preserve">very often tied to the exercise of power by authoritarian regimes. </w:t>
      </w:r>
      <w:r w:rsidRPr="00087A72">
        <w:rPr>
          <w:sz w:val="12"/>
        </w:rPr>
        <w:t xml:space="preserve">Thus political or religious persecution might interact with economic deprivation and vice versa. The analysis by Castles of the “asylum-migration nexus” addresses the correlation between asylum and migration. This correla- tion has been forged further through the increasing restric- tions imposed on the right to asylum since the 1990s within the EU. Asylum has become synonymous with “economic migration” because there is an assumption that asylum appli- cations are being made by potential low-waged migrant work- ers looking for employment in Europe. Since the Tampere European Council meeting in October 1999 and its confirmation through The Hague Program in 2004, the European Commission has been creating common principles and measures for migration and asylum regula- tions. In October 2008 the European Parliament adopted the European Immigration and Asylum Pact establish common asylum and migration policies within the EU on four levels: 1. through cooperation with the countries of origin and transit in the form of development aid; 2. a common European asylum system, in terms of the Geneva Convention and obligations of member states under international treaties; 3. integration policies; and 4. a systematic approach to the management of transna- tional migration movements. These goals are achieved through a joint visa policy; cooperation and exchange of information within a com- mon data bank; and the creation in 2005 of FRONTEX, a common European border patrol. The EU’s aim is to create “common asylum procedures and a uniform status for those who are granted asylum or subsidiary protection, as well as strengthening practical cooperation between national asylum administrations and the external dimension of asylum.”22 The “external dimension of asylum” is linked to the relationship between migration policies and develop- ment aid. In “Asylum: An Integrated Approach to Protection across the EU,” the EU provides financial support to “third countries,” which are transit countries for refugees and migrants heading to Europe. This affects “transit countries,” such as Morocco, which receives funding for the control of its borders to Europe, detention camps, and information training for immigrants. Thus “transit countries” are them- selves becoming countries of immigration as the increasing hurdles in crossing the EU border force people to remain in these countries. Migration has been inextricably connected to asylum through these developments and the recent approach to refugees in Europe. The link between migra- tion and asylum has been politicized by the erosion of the humanitarian aspect of asylum; the tightening of migration restrictions; and the economic demand for labour migration. Migration is politically regulated through asylum, much as the latter is increasingly being regulated by labour migration demands. This is the asylum-migration nexus, which has been reinforced through increasing securitization since 9/11. Antonio Negri’s23 analysis of war as an integrative princi- ple in the formation of the social order (guerra ordinativa24) is more relevant than ever. War has become integrated into the everyday social order through the development of the rhetoric of war outside of physical war zones.25 As such, the rhetoric of war is not just “the continuation of politics by other means; it becomes the fundamental aspect of politics and legitimation.”26 The asylum-migration nexus serves this politics of legitimation in three ways. First, it manages the collateral damage and victims of global war and conflicts. Second, it secures borders when asylum seekers are increas- ingly treated as invaders. Third, its differentiation of causes, patterns, and trajectories of persecution and escape under- mine the ethical legitimation of asylum as a humanitarian resource. Within this context, the definition of countries as “safe countries” or “countries of persecution” depends increasingly on global political conjunctures and national or European political and economic interests. </w:t>
      </w:r>
      <w:r w:rsidRPr="00087A72">
        <w:rPr>
          <w:u w:val="single"/>
        </w:rPr>
        <w:t xml:space="preserve">The </w:t>
      </w:r>
      <w:r w:rsidRPr="00087A72">
        <w:rPr>
          <w:b/>
          <w:iCs/>
          <w:u w:val="single"/>
        </w:rPr>
        <w:t>categorization of refugees</w:t>
      </w:r>
      <w:r w:rsidRPr="00087A72">
        <w:rPr>
          <w:u w:val="single"/>
        </w:rPr>
        <w:t xml:space="preserve"> into different statuses attached to the process of application and recognition of asylum produces a hierarchical order</w:t>
      </w:r>
      <w:r w:rsidRPr="00087A72">
        <w:rPr>
          <w:sz w:val="12"/>
        </w:rPr>
        <w:t xml:space="preserve">, a nomenclature </w:t>
      </w:r>
      <w:r w:rsidRPr="00087A72">
        <w:rPr>
          <w:b/>
          <w:iCs/>
          <w:u w:val="single"/>
        </w:rPr>
        <w:t>reminiscent of the orientalist and racialized practices of European colonialism and imperialism</w:t>
      </w:r>
      <w:r w:rsidRPr="00087A72">
        <w:rPr>
          <w:sz w:val="12"/>
        </w:rPr>
        <w:t xml:space="preserve">. Asylum is ruled by the governance of migration based on a range of economic interests and cultural dynamics rooted in the history of the production of the racialized Other.27 As Quijano28 asserts, European nation-states were established on the basis of </w:t>
      </w:r>
      <w:r w:rsidRPr="00087A72">
        <w:rPr>
          <w:u w:val="single"/>
        </w:rPr>
        <w:t>a racial classification system</w:t>
      </w:r>
      <w:r w:rsidRPr="00087A72">
        <w:rPr>
          <w:sz w:val="12"/>
        </w:rPr>
        <w:t xml:space="preserve">. Since the nineteenth century, this system </w:t>
      </w:r>
      <w:r w:rsidRPr="00087A72">
        <w:rPr>
          <w:u w:val="single"/>
        </w:rPr>
        <w:t>has been further developed through migration regulation and control</w:t>
      </w:r>
      <w:r w:rsidRPr="00087A72">
        <w:rPr>
          <w:sz w:val="12"/>
        </w:rPr>
        <w:t xml:space="preserve">. From their introduction, migration policies were coded through a racist nomenclature in former European colonies in North, Central, and South America and the Caribbean in the late nineteenth century and in Oceania and South Africa in the twentieth century. </w:t>
      </w:r>
      <w:r w:rsidRPr="00087A72">
        <w:rPr>
          <w:b/>
          <w:iCs/>
          <w:u w:val="single"/>
        </w:rPr>
        <w:t xml:space="preserve">As such, migration policies as devices operating within the logic of coloniality have racializing effects. </w:t>
      </w:r>
    </w:p>
    <w:p w:rsidR="00496C79" w:rsidRPr="00087A72" w:rsidRDefault="00496C79" w:rsidP="00496C79"/>
    <w:p w:rsidR="005562CD" w:rsidRPr="00087A72" w:rsidRDefault="005562CD" w:rsidP="00E06E0C">
      <w:pPr>
        <w:pStyle w:val="Heading3"/>
      </w:pPr>
      <w:r w:rsidRPr="00087A72">
        <w:t>Link – Property</w:t>
      </w:r>
    </w:p>
    <w:p w:rsidR="00FB18E0" w:rsidRPr="00087A72" w:rsidRDefault="00FB18E0" w:rsidP="00FB18E0">
      <w:pPr>
        <w:pStyle w:val="Heading4"/>
      </w:pPr>
      <w:r w:rsidRPr="00087A72">
        <w:t>Property is a settler colonial technology that produces itself through the death of the Indian—a metaphysical “Indian burial ground” which can make the concept of ownership coherent.</w:t>
      </w:r>
    </w:p>
    <w:p w:rsidR="005562CD" w:rsidRPr="00087A72" w:rsidRDefault="005562CD" w:rsidP="005562CD">
      <w:r w:rsidRPr="00087A72">
        <w:rPr>
          <w:rStyle w:val="Style13ptBold"/>
        </w:rPr>
        <w:t xml:space="preserve">Seawright 2014 </w:t>
      </w:r>
      <w:r w:rsidRPr="00087A72">
        <w:t xml:space="preserve">(Gardner doctoral candidate in the Education, Culture, and Society department at the University of Utah, and will graduate in May 2018. His studies focus on the everyday presence of whiteness within educational spaces, as well as the possibilities of challenging this reality “Settler Traditions of Place: Making Explicit the Epistemological Legacy of White Supremacy and Settler Colonialism for Place-Based Education” </w:t>
      </w:r>
      <w:r w:rsidRPr="00087A72">
        <w:rPr>
          <w:i/>
        </w:rPr>
        <w:t>A Journal of the American Educational Studies Association</w:t>
      </w:r>
      <w:r w:rsidRPr="00087A72">
        <w:t>. 50:6, 554-572, pp.565-569)</w:t>
      </w:r>
    </w:p>
    <w:p w:rsidR="005562CD" w:rsidRPr="00087A72" w:rsidRDefault="005562CD" w:rsidP="005562CD">
      <w:pPr>
        <w:rPr>
          <w:sz w:val="8"/>
        </w:rPr>
      </w:pPr>
      <w:r w:rsidRPr="00087A72">
        <w:rPr>
          <w:sz w:val="8"/>
        </w:rPr>
        <w:t xml:space="preserve">John Locke and the Racial Cultivation of Self and Place </w:t>
      </w:r>
      <w:r w:rsidRPr="00087A72">
        <w:rPr>
          <w:rStyle w:val="StyleUnderline"/>
        </w:rPr>
        <w:t>There are ontological implications embedded in place</w:t>
      </w:r>
      <w:r w:rsidRPr="00087A72">
        <w:rPr>
          <w:sz w:val="8"/>
        </w:rPr>
        <w:t>. How individuals understand themselves and their relation to the social world is dependent on their perception of the socioecological world and the interpretations of place available to them according to their operant epistemology</w:t>
      </w:r>
      <w:r w:rsidRPr="00087A72">
        <w:rPr>
          <w:rStyle w:val="StyleUnderline"/>
        </w:rPr>
        <w:t>. Settler society’s knowledge system provides a vision of an ideal actor rooted in a “rational” drive to appropriate nature, accumulate property, and cultivate</w:t>
      </w:r>
      <w:r w:rsidRPr="00087A72">
        <w:rPr>
          <w:sz w:val="8"/>
        </w:rPr>
        <w:t xml:space="preserve">. The epistemic outline of the ideal white-settler actor can be seen in the founding principles of the herrenvolk ethic (Mills 1998). The founding principle is simple as it is derived from the commonly held </w:t>
      </w:r>
      <w:r w:rsidRPr="00087A72">
        <w:rPr>
          <w:rStyle w:val="StyleUnderline"/>
        </w:rPr>
        <w:t>presumption in the United States that all persons are created equal, but an unspoken caveat is maintained in the maxim that some folks who have been racially marked and gendered as inferior beings do not have access to the full personhood needed to be accorded in the agreement</w:t>
      </w:r>
      <w:r w:rsidRPr="00087A72">
        <w:rPr>
          <w:sz w:val="8"/>
        </w:rPr>
        <w:t xml:space="preserve"> (Mills 1998, 152). The work of John </w:t>
      </w:r>
      <w:r w:rsidRPr="00087A72">
        <w:rPr>
          <w:rStyle w:val="StyleUnderline"/>
        </w:rPr>
        <w:t>Locke is an exemplar of the driving moral ethic of the West, as it is representative of the common liberal and moral/political culture that is foundational to the philosophy and epistemology of the Western world</w:t>
      </w:r>
      <w:r w:rsidRPr="00087A72">
        <w:rPr>
          <w:sz w:val="8"/>
        </w:rPr>
        <w:t xml:space="preserve"> (Harris 1995; Mills 1997, 1998; Pateman and Mills 2007). Locke’s philosophy centers on concepts of </w:t>
      </w:r>
      <w:r w:rsidRPr="00087A72">
        <w:rPr>
          <w:rStyle w:val="StyleUnderline"/>
        </w:rPr>
        <w:t>individualism, self-ownership, property, state of nature, freedom, and rationality; all of which presuppose a reciprocating relationship among “civilized” members of society.</w:t>
      </w:r>
      <w:r w:rsidRPr="00087A72">
        <w:rPr>
          <w:sz w:val="8"/>
        </w:rPr>
        <w:t xml:space="preserve"> According to Locke (1690/1952) </w:t>
      </w:r>
      <w:r w:rsidRPr="00087A72">
        <w:rPr>
          <w:rStyle w:val="StyleUnderline"/>
        </w:rPr>
        <w:t xml:space="preserve">all men are equal unless “the lord and master of them all, by any manifest declaration of his will, set one above another, and confer on him by an evident and clear appointment an undoubted right to dominion and sovereignty” (4). To pinpoint the white male supremacy embedded in this </w:t>
      </w:r>
      <w:r w:rsidRPr="00087A72">
        <w:rPr>
          <w:sz w:val="8"/>
        </w:rPr>
        <w:t>567</w:t>
      </w:r>
      <w:r w:rsidRPr="00087A72">
        <w:rPr>
          <w:rStyle w:val="StyleUnderline"/>
        </w:rPr>
        <w:t xml:space="preserve"> eugenic</w:t>
      </w:r>
      <w:r w:rsidRPr="00087A72">
        <w:rPr>
          <w:sz w:val="8"/>
        </w:rPr>
        <w:t xml:space="preserve"> </w:t>
      </w:r>
      <w:r w:rsidRPr="00087A72">
        <w:rPr>
          <w:rStyle w:val="StyleUnderline"/>
        </w:rPr>
        <w:t>conception of equality, personhood and labor must be explicated</w:t>
      </w:r>
      <w:r w:rsidRPr="00087A72">
        <w:rPr>
          <w:sz w:val="8"/>
        </w:rPr>
        <w:t xml:space="preserve">. Among those marked as equals (white men), it is considered that </w:t>
      </w:r>
      <w:r w:rsidRPr="00087A72">
        <w:rPr>
          <w:rStyle w:val="StyleUnderline"/>
        </w:rPr>
        <w:t>“every man has a property in his person; this nobody has any right to but himself”</w:t>
      </w:r>
      <w:r w:rsidRPr="00087A72">
        <w:rPr>
          <w:sz w:val="8"/>
        </w:rPr>
        <w:t xml:space="preserve"> (Locke, 1690/1952, 17). </w:t>
      </w:r>
      <w:r w:rsidRPr="00087A72">
        <w:rPr>
          <w:rStyle w:val="StyleUnderline"/>
        </w:rPr>
        <w:t>Embodied property—the capacity to own one’s self and labor-power—is the essential propert</w:t>
      </w:r>
      <w:r w:rsidRPr="00087A72">
        <w:rPr>
          <w:sz w:val="8"/>
        </w:rPr>
        <w:t xml:space="preserve">y. </w:t>
      </w:r>
      <w:r w:rsidRPr="00087A72">
        <w:rPr>
          <w:rStyle w:val="StyleUnderline"/>
        </w:rPr>
        <w:t>Through the property of self (i.e., labor) one appropriates additional property</w:t>
      </w:r>
      <w:r w:rsidRPr="00087A72">
        <w:rPr>
          <w:sz w:val="8"/>
        </w:rPr>
        <w:t xml:space="preserve">. Lockean labor theory suggests that self-ownership is constituted by one’s ability to labor, and the use of one’s labor to gather, till, harvest, sow, chop down, etc., merges labor with nature and creates an extension of one’s property. In line with the “laws of nature” presented by John Locke, </w:t>
      </w:r>
      <w:r w:rsidRPr="00087A72">
        <w:rPr>
          <w:rStyle w:val="StyleUnderline"/>
        </w:rPr>
        <w:t>full persons are bound to respect fundamental freedom of other full persons—“we must consider what state all men are naturally in, and that is a state of perfect freedom to order their actions and dispose of their possessions and persons as they think fit, within the bounds of the law of nature, without asking leave or depending upon the will of any other man</w:t>
      </w:r>
      <w:r w:rsidRPr="00087A72">
        <w:rPr>
          <w:sz w:val="8"/>
        </w:rPr>
        <w:t>” (Locke, 1690/1952, 4). Based on this understanding, the</w:t>
      </w:r>
      <w:r w:rsidRPr="00087A72">
        <w:rPr>
          <w:rStyle w:val="StyleUnderline"/>
        </w:rPr>
        <w:t xml:space="preserve"> African slave trade and settler colonization in the Americas could only have been undertaken based on the socially fabricated assumption that African, Indigenous, and other peoples of color were indeed “inferior creatures” </w:t>
      </w:r>
      <w:r w:rsidRPr="00087A72">
        <w:rPr>
          <w:sz w:val="8"/>
        </w:rPr>
        <w:t xml:space="preserve">(6). The foundational essay by Cheryl Harris (1995) explicates the fundamental principle behind this position, that </w:t>
      </w:r>
      <w:r w:rsidRPr="00087A72">
        <w:rPr>
          <w:rStyle w:val="StyleUnderline"/>
        </w:rPr>
        <w:t xml:space="preserve">whiteness is property and in contrast to the lack of embodied property found in non-whiteness. </w:t>
      </w:r>
      <w:r w:rsidRPr="00087A72">
        <w:rPr>
          <w:sz w:val="8"/>
        </w:rPr>
        <w:t>This indicates that when Locke (1690/1952) says, “</w:t>
      </w:r>
      <w:r w:rsidRPr="00087A72">
        <w:rPr>
          <w:rStyle w:val="StyleUnderline"/>
        </w:rPr>
        <w:t>every man has a property in his person</w:t>
      </w:r>
      <w:r w:rsidRPr="00087A72">
        <w:rPr>
          <w:sz w:val="8"/>
        </w:rPr>
        <w:t xml:space="preserve">,” he is operating from a particular racialized and gendered conception of personhood (17). </w:t>
      </w:r>
      <w:r w:rsidRPr="00087A72">
        <w:rPr>
          <w:rStyle w:val="StyleUnderline"/>
        </w:rPr>
        <w:t>The Lockean person is a “self-owning, natureappropriating, rights-bearing being,” so the absence of property fixed to nonwhiteness ultimately equates to non-personhood, thus positioning folks of color into the realm of nature and all things potentially appropriable (</w:t>
      </w:r>
      <w:r w:rsidRPr="00087A72">
        <w:rPr>
          <w:sz w:val="8"/>
        </w:rPr>
        <w:t>Mills 1998, 154). According to Locke (1690/1952), “</w:t>
      </w:r>
      <w:r w:rsidRPr="00087A72">
        <w:rPr>
          <w:rStyle w:val="StyleUnderline"/>
        </w:rPr>
        <w:t>God gave the world to men in common; but since he gave it to them for their benefit and the greatest conveniences of life they were capable to draw from it, it cannot be supposed he meant it should always remain common and uncultivated</w:t>
      </w:r>
      <w:r w:rsidRPr="00087A72">
        <w:rPr>
          <w:sz w:val="8"/>
        </w:rPr>
        <w:t xml:space="preserve">. He gave it to the use of the industrious and rational—and labor was to be his title to it” (20; emphasis added). The freedom of the Lockean man is both rooted in and has helped formulate liberal capitalistic principles—in his “natural state” man has the right to dispose of (trade) his possessions (his property, including his own labor power and all things appropriated through his labor power) only bound by the laws of nature without being impeded by the will of any other man (Locke, 1690/1952, 4). </w:t>
      </w:r>
      <w:r w:rsidRPr="00087A72">
        <w:rPr>
          <w:rStyle w:val="StyleUnderline"/>
        </w:rPr>
        <w:t>The laws of nature informing Locke’s work are predicated on the assumption that the rational actor is predisposed toward the industrious appropriation of nature, meaning that the rational social actor, in his natural state, will endeavor to accumulate and cultivate property</w:t>
      </w:r>
      <w:r w:rsidRPr="00087A72">
        <w:rPr>
          <w:sz w:val="8"/>
        </w:rPr>
        <w:t xml:space="preserve">. Pursuit of property is accompanied by the need to cultivate, to instill one’s labor into the property. The Lockean sense of nature </w:t>
      </w:r>
      <w:r w:rsidRPr="00087A72">
        <w:rPr>
          <w:rStyle w:val="StyleUnderline"/>
        </w:rPr>
        <w:t xml:space="preserve">considers land to be “almost worthless,” because “it is labor then, which puts the greatest part of the value upon land” </w:t>
      </w:r>
      <w:r w:rsidRPr="00087A72">
        <w:rPr>
          <w:sz w:val="8"/>
        </w:rPr>
        <w:t xml:space="preserve">(Locke, 1690/1952, 26). Man is situated as superior to nature carrying, 568 within the only potential worth for the natural world. </w:t>
      </w:r>
      <w:r w:rsidRPr="00087A72">
        <w:rPr>
          <w:rStyle w:val="StyleUnderline"/>
        </w:rPr>
        <w:t>This scenario elevates men to a status of dominion over the entire ecological world and all inferior beings</w:t>
      </w:r>
      <w:r w:rsidRPr="00087A72">
        <w:rPr>
          <w:sz w:val="8"/>
        </w:rPr>
        <w:t xml:space="preserve"> (</w:t>
      </w:r>
      <w:r w:rsidRPr="00087A72">
        <w:rPr>
          <w:rStyle w:val="StyleUnderline"/>
        </w:rPr>
        <w:t>which, horrifically, includes communities of color and women, as well as all more-than human animals).</w:t>
      </w:r>
      <w:r w:rsidRPr="00087A72">
        <w:rPr>
          <w:sz w:val="8"/>
        </w:rPr>
        <w:t xml:space="preserve"> The desire of men to actualize this potential dominion results in a social understanding in which white propertied male individuals must utilize their “industrious talents” </w:t>
      </w:r>
      <w:r w:rsidRPr="00087A72">
        <w:rPr>
          <w:rStyle w:val="StyleUnderline"/>
        </w:rPr>
        <w:t xml:space="preserve">to accumulate private property to become “rational” men of substance </w:t>
      </w:r>
      <w:r w:rsidRPr="00087A72">
        <w:rPr>
          <w:sz w:val="8"/>
        </w:rPr>
        <w:t>(Mills 1998, 154). T</w:t>
      </w:r>
      <w:r w:rsidRPr="00087A72">
        <w:rPr>
          <w:rStyle w:val="StyleUnderline"/>
        </w:rPr>
        <w:t>he sense-of-self produced by this ethic is imbued with this desire to not only accumulate property but to cultivate, alter, and commodify the natural world. Contained within the limits of the natural world and potential property are non-white, female, and animal bodies, which links the racialized conception of personhood and a white ontology with white male supremacy and the rampant exploitation of the natural world.</w:t>
      </w:r>
      <w:r w:rsidRPr="00087A72">
        <w:rPr>
          <w:sz w:val="8"/>
        </w:rPr>
        <w:t xml:space="preserve"> Historically, of course, Lockeanism of this Herrenvolk, racialized kind has </w:t>
      </w:r>
      <w:r w:rsidRPr="00087A72">
        <w:rPr>
          <w:rStyle w:val="StyleUnderline"/>
        </w:rPr>
        <w:t>justified both native American expropriation and African slavery</w:t>
      </w:r>
      <w:r w:rsidRPr="00087A72">
        <w:rPr>
          <w:sz w:val="8"/>
        </w:rPr>
        <w:t>, giving rise to a white moral consciousness accustomed to full or partial ownership first of nonwhite land and bodies and later of differential opportunities vis-a-vis nonwhites, with baseline ` expectations constructed accordingly. The Europeans who conquered and settled the continent represented aboriginal economies as virtually nonexistent, an assessment that gave rise to the notion of a New World arising ex nihilo through the labor of the [whites]. (Mills 1998, 162, emphasis in original</w:t>
      </w:r>
      <w:r w:rsidRPr="00087A72">
        <w:t xml:space="preserve">) </w:t>
      </w:r>
      <w:r w:rsidRPr="00087A72">
        <w:rPr>
          <w:rStyle w:val="StyleUnderline"/>
        </w:rPr>
        <w:t>Whites are given personhood within this system; non-whites are labeled as non or subpersons</w:t>
      </w:r>
      <w:r w:rsidRPr="00087A72">
        <w:rPr>
          <w:sz w:val="8"/>
        </w:rPr>
        <w:t xml:space="preserve">. Within the white settler epistemology, </w:t>
      </w:r>
      <w:r w:rsidRPr="00087A72">
        <w:rPr>
          <w:rStyle w:val="StyleUnderline"/>
        </w:rPr>
        <w:t>a person’s state of being and identity is correlated with exercising power over (appropriating and cultivating) the Earth and those marked as inferior.</w:t>
      </w:r>
      <w:r w:rsidRPr="00087A72">
        <w:rPr>
          <w:sz w:val="8"/>
        </w:rPr>
        <w:t xml:space="preserve"> This means that </w:t>
      </w:r>
      <w:r w:rsidRPr="00087A72">
        <w:rPr>
          <w:rStyle w:val="StyleUnderline"/>
        </w:rPr>
        <w:t>within this structure of white supremacy, any individual actor operationalizing this epistemology, in line with normalized differential opportunities, are encouraged to aggressively exploit non-white bodies and the natural world</w:t>
      </w:r>
      <w:r w:rsidRPr="00087A72">
        <w:rPr>
          <w:sz w:val="8"/>
        </w:rPr>
        <w:t xml:space="preserve">, because doing so is rational and the pathway to fully realizing the extent of one’s personhood. Consider this in relation to the example cited previously of settler actors aggressively pursuing Indigenous plants, seeds, and knowledges for purpose of genetic engineering and the mass accumulation of profit. </w:t>
      </w:r>
      <w:r w:rsidRPr="00087A72">
        <w:rPr>
          <w:rStyle w:val="StyleUnderline"/>
        </w:rPr>
        <w:t>Although the overt and crude manifestations of white supremacy have been diminished, the system continuously evolves and is codified in discreet and nuanced ways that reinscribe a racially predetermined social hierarchy</w:t>
      </w:r>
      <w:r w:rsidRPr="00087A72">
        <w:rPr>
          <w:sz w:val="8"/>
        </w:rPr>
        <w:t xml:space="preserve">. Although the means of white supremacy have changed, </w:t>
      </w:r>
      <w:r w:rsidRPr="00087A72">
        <w:rPr>
          <w:rStyle w:val="StyleUnderline"/>
        </w:rPr>
        <w:t>the end remains the same</w:t>
      </w:r>
      <w:r w:rsidRPr="00087A72">
        <w:rPr>
          <w:sz w:val="8"/>
        </w:rPr>
        <w:t xml:space="preserve">, and the foundational epistemology and ethic justifying the racial order are still in their required position. </w:t>
      </w:r>
      <w:r w:rsidRPr="00087A72">
        <w:rPr>
          <w:rStyle w:val="StyleUnderline"/>
        </w:rPr>
        <w:t>The drive to accumulate property and extract wealth from places and people remains central to becoming a successful person within the Western</w:t>
      </w:r>
      <w:r w:rsidRPr="00087A72">
        <w:rPr>
          <w:sz w:val="8"/>
        </w:rPr>
        <w:t xml:space="preserve"> imaginary. Locke’s property-based ethic is foundational to Western epistemologies and the settler-colonial project in the Americas. The resulting epistemological praxis 569 of settler society produces a white supremacist ontology that is dependent on a particular conception of place. </w:t>
      </w:r>
      <w:r w:rsidRPr="00087A72">
        <w:rPr>
          <w:rStyle w:val="StyleUnderline"/>
        </w:rPr>
        <w:t>The ideal white actor’s sense of being is entangled with a conception of place established upon ideas of self-cultivation, capital extraction, and accumulation</w:t>
      </w:r>
      <w:r w:rsidRPr="00087A72">
        <w:rPr>
          <w:sz w:val="8"/>
        </w:rPr>
        <w:t xml:space="preserve">. </w:t>
      </w:r>
      <w:r w:rsidRPr="00087A72">
        <w:rPr>
          <w:rStyle w:val="StyleUnderline"/>
        </w:rPr>
        <w:t>The predefined white settler sense of place is capitalistic, anthropocentric, heteropatriarchal and white supremacist in nature.</w:t>
      </w:r>
    </w:p>
    <w:p w:rsidR="00C72150" w:rsidRPr="00087A72" w:rsidRDefault="00C72150" w:rsidP="00E06E0C">
      <w:pPr>
        <w:pStyle w:val="Heading3"/>
      </w:pPr>
      <w:r w:rsidRPr="00087A72">
        <w:t>Link – Queer Rights</w:t>
      </w:r>
    </w:p>
    <w:p w:rsidR="00C72150" w:rsidRPr="00087A72" w:rsidRDefault="00C72150" w:rsidP="00C72150">
      <w:pPr>
        <w:pStyle w:val="Heading4"/>
      </w:pPr>
      <w:r w:rsidRPr="00087A72">
        <w:t>The legal forms of queer recognition perpetuates and normalizes the right, freedoms, and opportunities for each citizen-subject. Diversity is used to uphold whiteness and Indigenous and people of colour have to prove that they are “queer enough”.</w:t>
      </w:r>
    </w:p>
    <w:p w:rsidR="00C72150" w:rsidRPr="00087A72" w:rsidRDefault="00C72150" w:rsidP="00C72150">
      <w:r w:rsidRPr="00087A72">
        <w:rPr>
          <w:b/>
          <w:bCs/>
        </w:rPr>
        <w:t>Greensmith 18</w:t>
      </w:r>
      <w:r w:rsidRPr="00087A72">
        <w:t xml:space="preserve"> [Cameron, Professor in the Human Services department at Kennesaw State University, “Desiring Diversity: The Limits of White Settler Multiculturalism in Queer Organizations” </w:t>
      </w:r>
      <w:r w:rsidRPr="00087A72">
        <w:rPr>
          <w:i/>
          <w:iCs/>
        </w:rPr>
        <w:t>Studies in Ethnicity and Nationalism</w:t>
      </w:r>
      <w:r w:rsidRPr="00087A72">
        <w:t xml:space="preserve"> Issue 1, No. 18, PP 61-63]</w:t>
      </w:r>
    </w:p>
    <w:p w:rsidR="00C72150" w:rsidRPr="00087A72" w:rsidRDefault="00C72150" w:rsidP="00C72150">
      <w:pPr>
        <w:rPr>
          <w:sz w:val="12"/>
        </w:rPr>
      </w:pPr>
      <w:r w:rsidRPr="00087A72">
        <w:rPr>
          <w:sz w:val="12"/>
        </w:rPr>
        <w:t xml:space="preserve">Returning to Fitz Gerald and Rayter (2012), they indicate that </w:t>
      </w:r>
      <w:r w:rsidRPr="00087A72">
        <w:rPr>
          <w:u w:val="single"/>
        </w:rPr>
        <w:t>the recognition of gays and lesbians within discourses of multiculturalism can foster a sense of inclusion and belonging. This understanding of inclusion is widely connected to the Civil Marriage Act, which in 2005 legalized same-sex marriage in Canada. Despite the many enduring oppressions that queer and trans people experience, same-sex marriage is typically evoked as the cornerstone of inclusive queer politics in Canada.</w:t>
      </w:r>
      <w:r w:rsidRPr="00087A72">
        <w:rPr>
          <w:sz w:val="12"/>
        </w:rPr>
        <w:t xml:space="preserve"> However, as David Eng (2010) contended, </w:t>
      </w:r>
      <w:r w:rsidRPr="00087A72">
        <w:rPr>
          <w:u w:val="single"/>
        </w:rPr>
        <w:t>within mainstream queer politics, racial differences are routinely denied — meaning that race itself becomes erased in the processes and practices that foster individual freedom and merit within the nation-state.</w:t>
      </w:r>
      <w:r w:rsidRPr="00087A72">
        <w:rPr>
          <w:sz w:val="12"/>
        </w:rPr>
        <w:t xml:space="preserve"> This has consequences for those who identify as Indigenous and/or of colour. </w:t>
      </w:r>
      <w:r w:rsidRPr="00087A72">
        <w:rPr>
          <w:u w:val="single"/>
        </w:rPr>
        <w:t>Queer liberalism — the ‘contemporary confluence of the political and economic spheres that forms the basis for liberal inclusion of particular gay and lesbian U.S.</w:t>
      </w:r>
      <w:r w:rsidRPr="00087A72">
        <w:rPr>
          <w:sz w:val="12"/>
        </w:rPr>
        <w:t xml:space="preserve"> [and Canadian] </w:t>
      </w:r>
      <w:r w:rsidRPr="00087A72">
        <w:rPr>
          <w:u w:val="single"/>
        </w:rPr>
        <w:t xml:space="preserve">citizen-subjects petitioning for rights and recognition before the law’ </w:t>
      </w:r>
      <w:r w:rsidRPr="00087A72">
        <w:rPr>
          <w:sz w:val="12"/>
        </w:rPr>
        <w:t xml:space="preserve">(Eng 2010:3) — </w:t>
      </w:r>
      <w:r w:rsidRPr="00087A72">
        <w:rPr>
          <w:u w:val="single"/>
        </w:rPr>
        <w:t>has transformed queer movements and politics, causing them to rely heavily on state forms of recognition</w:t>
      </w:r>
      <w:r w:rsidRPr="00087A72">
        <w:rPr>
          <w:sz w:val="12"/>
        </w:rPr>
        <w:t xml:space="preserve"> (e.g. gay and lesbian citizens can adopt children and serve openly in the Canadian military). </w:t>
      </w:r>
      <w:r w:rsidRPr="00087A72">
        <w:rPr>
          <w:u w:val="single"/>
        </w:rPr>
        <w:t>These legal forms of queer recognition</w:t>
      </w:r>
      <w:r w:rsidRPr="00087A72">
        <w:rPr>
          <w:sz w:val="12"/>
        </w:rPr>
        <w:t xml:space="preserve">, deeply tied to the politics of recognition (Ahmed 2000; Coulthard 2007; Fraser 2000; Povinelli 2002), </w:t>
      </w:r>
      <w:r w:rsidRPr="00087A72">
        <w:rPr>
          <w:u w:val="single"/>
        </w:rPr>
        <w:t>are amplified by white settler multiculturalism, in that this multiculturalism perpetuates and normalizes the neoliberal understanding that each citizen-subject has the same rights, freedoms, and opportunities, and, moreover, should invest in and maintain a commitment to the nation-state</w:t>
      </w:r>
      <w:r w:rsidRPr="00087A72">
        <w:rPr>
          <w:sz w:val="12"/>
        </w:rPr>
        <w:t xml:space="preserve"> (Eng 2010; Reddy 2011). As Chandin Reddy (2011:39) argued, ‘to seek full inclusion within the modern state … will do little to change the conditions by which legitimate violence continues to be naturalized’. </w:t>
      </w:r>
      <w:r w:rsidRPr="00087A72">
        <w:rPr>
          <w:u w:val="single"/>
        </w:rPr>
        <w:t>Consequently, the discursive and material realities of white settler multiculturalism are utilized to erase the powerful structural inequalities used to conflate queerness with whiteness, continuing the phenomenon that ‘queer is a white thing’</w:t>
      </w:r>
      <w:r w:rsidRPr="00087A72">
        <w:rPr>
          <w:sz w:val="12"/>
        </w:rPr>
        <w:t xml:space="preserve"> (Muñoz 1999:9). Contemporary ‘queer communities’ in Canada are not immune from such processes even as they invest in and desire diversity. </w:t>
      </w:r>
      <w:r w:rsidRPr="00087A72">
        <w:rPr>
          <w:u w:val="single"/>
        </w:rPr>
        <w:t>Diversity here is used as a way of upholding whiteness: Indigenous peoples and people of colour are always having to prove that they are queer enough. The idea of one’s queerness needing to be justified fits within Jasbir Puar’s</w:t>
      </w:r>
      <w:r w:rsidRPr="00087A72">
        <w:rPr>
          <w:sz w:val="12"/>
        </w:rPr>
        <w:t xml:space="preserve"> (2007:xii) </w:t>
      </w:r>
      <w:r w:rsidRPr="00087A72">
        <w:rPr>
          <w:u w:val="single"/>
        </w:rPr>
        <w:t>theorization of the politics of recognition, whereby queer politics is based upon the concept of sustaining difference.</w:t>
      </w:r>
      <w:r w:rsidRPr="00087A72">
        <w:rPr>
          <w:sz w:val="12"/>
        </w:rPr>
        <w:t xml:space="preserve"> To be queer must: entail that certain … homosexual, gay, and queer bodies may be temporary recipients of the ‘measures of benevolence’ that are afforded by liberal discourses of multicultural tolerance and diversity. This benevolence toward sexual others is contingent upon ever-narrowing parameters of white racial privilege, consumption, capabilities, gender and kinship normativity, and bodily integrity. </w:t>
      </w:r>
      <w:r w:rsidRPr="00087A72">
        <w:rPr>
          <w:u w:val="single"/>
        </w:rPr>
        <w:t>The nature of multiculturalism’s prerequisite for diversity within such evocations of Canadian queer politics has moved ideological and discursive frameworks towards inclusion</w:t>
      </w:r>
      <w:r w:rsidRPr="00087A72">
        <w:rPr>
          <w:sz w:val="12"/>
        </w:rPr>
        <w:t xml:space="preserve"> — founded upon a ‘politics of colorblindness’ (Eng 2010:x). Thus, </w:t>
      </w:r>
      <w:r w:rsidRPr="00087A72">
        <w:rPr>
          <w:u w:val="single"/>
        </w:rPr>
        <w:t>to be included under the queer rubric requires that folks marked with difference rid themselves of their differences or assimilate so that they become legible as queer. This mimics the larger multicultural ideologies that minimize white racism and settler colonialism and create a unified queer community.</w:t>
      </w:r>
      <w:r w:rsidRPr="00087A72">
        <w:rPr>
          <w:sz w:val="12"/>
        </w:rPr>
        <w:t xml:space="preserve"> A look at specific examples within the Canadian queer imaginary helps bring out this point. </w:t>
      </w:r>
      <w:r w:rsidRPr="00087A72">
        <w:rPr>
          <w:u w:val="single"/>
        </w:rPr>
        <w:t>Pride Toronto, a large not-for-profit organization, organizes a yearly weekend long parade with related events that coincide with thematics aimed at unifying often-divergent LGBTQ communities.</w:t>
      </w:r>
      <w:r w:rsidRPr="00087A72">
        <w:rPr>
          <w:sz w:val="12"/>
        </w:rPr>
        <w:t xml:space="preserve"> Despite this intention to create and foster inclusion and acceptance, many queer and trans people of colour, as well as queer, trans, and 2-Spirited Indigenous people, typically find Pride Toronto incredibly isolating and unsafe. Giwa and I (Giwa and Greensmith 2012) have noted that Pride festivals and events attempt to showcase LGBTQ communities in the best possible light, whereby any racism experienced is often downplayed. Moreover, as Giwa and I (Greensmith and Giwa 2013) have articulated, </w:t>
      </w:r>
      <w:r w:rsidRPr="00087A72">
        <w:rPr>
          <w:u w:val="single"/>
        </w:rPr>
        <w:t>Pride Toronto’s festivals and events not only reproduce racism, but also settler colonialism, through the erasure of the 2-Spirited presence and the eroticization of Indigeneity. 2-Spirit peoples’ everyday life is impacted by settler homonationalism, since they continue to ‘experience a degree of racism that is reminiscent of heteropatriarchal society’</w:t>
      </w:r>
      <w:r w:rsidRPr="00087A72">
        <w:rPr>
          <w:sz w:val="12"/>
        </w:rPr>
        <w:t xml:space="preserve"> (Wolfe 2013:16). </w:t>
      </w:r>
      <w:r w:rsidRPr="00087A72">
        <w:rPr>
          <w:u w:val="single"/>
        </w:rPr>
        <w:t>The persistence of settler colonialism within Pride Toronto is exemplified in</w:t>
      </w:r>
      <w:r w:rsidRPr="00087A72">
        <w:rPr>
          <w:sz w:val="12"/>
        </w:rPr>
        <w:t xml:space="preserve"> Raven’s (a research participant) story of </w:t>
      </w:r>
      <w:r w:rsidRPr="00087A72">
        <w:rPr>
          <w:u w:val="single"/>
        </w:rPr>
        <w:t>an underwear contest, whereby the sexy presence of Indigeneity was relocated to a headdress, thereby perpetuating stereotypical representations that work to enable Indigenous dispossession</w:t>
      </w:r>
      <w:r w:rsidRPr="00087A72">
        <w:rPr>
          <w:sz w:val="12"/>
        </w:rPr>
        <w:t xml:space="preserve"> (Greensmith and Giwa, 2013). In the summer of 2016, </w:t>
      </w:r>
      <w:r w:rsidRPr="00087A72">
        <w:rPr>
          <w:u w:val="single"/>
        </w:rPr>
        <w:t>#BlackLivesMatterToronto stopped the Sunday parade to hold a teach-in to address the overt and covert ways anti-black racism is entrenched within Pride Toronto</w:t>
      </w:r>
      <w:r w:rsidRPr="00087A72">
        <w:rPr>
          <w:sz w:val="12"/>
        </w:rPr>
        <w:t xml:space="preserve"> (e.g. the defunding of Blockorama and the heightened presence of Toronto police at the parade), </w:t>
      </w:r>
      <w:r w:rsidRPr="00087A72">
        <w:rPr>
          <w:u w:val="single"/>
        </w:rPr>
        <w:t>and in Toronto’s queer and trans communities.</w:t>
      </w:r>
      <w:r w:rsidRPr="00087A72">
        <w:rPr>
          <w:sz w:val="12"/>
        </w:rPr>
        <w:t xml:space="preserve"> These examples from Pride festivals and events provide a glimpse into the ways queer movements and politics in Canada are messy and temporally specific, and into how the embedded racial and settler colonial power relations can be exposed.</w:t>
      </w:r>
    </w:p>
    <w:p w:rsidR="00540BEA" w:rsidRPr="00087A72" w:rsidRDefault="00540BEA" w:rsidP="00E06E0C">
      <w:pPr>
        <w:pStyle w:val="Heading3"/>
      </w:pPr>
      <w:r w:rsidRPr="00087A72">
        <w:t>Link – Queer Theory</w:t>
      </w:r>
    </w:p>
    <w:p w:rsidR="002E63E3" w:rsidRPr="00087A72" w:rsidRDefault="002E63E3" w:rsidP="002E63E3">
      <w:pPr>
        <w:pStyle w:val="Heading4"/>
      </w:pPr>
      <w:r w:rsidRPr="00087A72">
        <w:t>Queerness is predicated on a settler homonormative subjectivity that posits the “ideal” queer body as the white queer settler. This precludes the existence of the two-spirited indigenous body, locking the indigenous body into the violent heteronormative binary</w:t>
      </w:r>
    </w:p>
    <w:p w:rsidR="002E63E3" w:rsidRPr="00087A72" w:rsidRDefault="002E63E3" w:rsidP="002E63E3">
      <w:pPr>
        <w:spacing w:after="297"/>
        <w:ind w:left="-15" w:right="33"/>
        <w:rPr>
          <w:rFonts w:eastAsia="Calibri"/>
          <w:sz w:val="16"/>
        </w:rPr>
      </w:pPr>
      <w:r w:rsidRPr="00087A72">
        <w:rPr>
          <w:rFonts w:eastAsia="Calibri"/>
          <w:b/>
        </w:rPr>
        <w:t>Greensmith and Giwa 13</w:t>
      </w:r>
      <w:r w:rsidRPr="00087A72">
        <w:rPr>
          <w:rFonts w:eastAsia="Calibri"/>
        </w:rPr>
        <w:t xml:space="preserve"> </w:t>
      </w:r>
      <w:r w:rsidRPr="00087A72">
        <w:rPr>
          <w:rFonts w:eastAsia="Calibri"/>
          <w:sz w:val="16"/>
        </w:rPr>
        <w:t>(</w:t>
      </w:r>
      <w:r w:rsidRPr="00087A72">
        <w:rPr>
          <w:rStyle w:val="nlmstring-name"/>
          <w:rFonts w:eastAsiaTheme="majorEastAsia"/>
          <w:color w:val="000000"/>
          <w:sz w:val="16"/>
          <w:szCs w:val="18"/>
        </w:rPr>
        <w:t>Cameron Greensmith</w:t>
      </w:r>
      <w:r w:rsidRPr="00087A72">
        <w:rPr>
          <w:color w:val="000000"/>
          <w:sz w:val="16"/>
          <w:szCs w:val="18"/>
        </w:rPr>
        <w:t xml:space="preserve"> and </w:t>
      </w:r>
      <w:r w:rsidRPr="00087A72">
        <w:rPr>
          <w:rStyle w:val="nlmstring-name"/>
          <w:rFonts w:eastAsiaTheme="majorEastAsia"/>
          <w:color w:val="000000"/>
          <w:sz w:val="16"/>
          <w:szCs w:val="18"/>
        </w:rPr>
        <w:t>Sulaimon Giwa</w:t>
      </w:r>
      <w:r w:rsidRPr="00087A72">
        <w:rPr>
          <w:color w:val="000000"/>
          <w:sz w:val="16"/>
          <w:szCs w:val="18"/>
        </w:rPr>
        <w:t xml:space="preserve"> (</w:t>
      </w:r>
      <w:r w:rsidRPr="00087A72">
        <w:rPr>
          <w:i/>
          <w:iCs/>
          <w:color w:val="000000"/>
          <w:sz w:val="16"/>
          <w:szCs w:val="18"/>
        </w:rPr>
        <w:t>2013</w:t>
      </w:r>
      <w:r w:rsidRPr="00087A72">
        <w:rPr>
          <w:color w:val="000000"/>
          <w:sz w:val="16"/>
          <w:szCs w:val="18"/>
        </w:rPr>
        <w:t>) Challenging Settler Colonialism in Contemporary Queer Politics: Settler Homonationalism, Pride Toronto, and Two-Spirit Subjectivities. American Indian Culture and Research Journal: 2013, Vol. 37, No. 2, pp. 129-148.squirms)</w:t>
      </w:r>
      <w:r w:rsidRPr="00087A72">
        <w:rPr>
          <w:rFonts w:eastAsia="Calibri"/>
          <w:sz w:val="16"/>
        </w:rPr>
        <w:t xml:space="preserve"> </w:t>
      </w:r>
      <w:bookmarkStart w:id="45" w:name="_Hlk518559317"/>
    </w:p>
    <w:p w:rsidR="002E63E3" w:rsidRPr="00087A72" w:rsidRDefault="002E63E3" w:rsidP="002E63E3">
      <w:pPr>
        <w:spacing w:after="297"/>
        <w:ind w:left="-15" w:right="33"/>
        <w:rPr>
          <w:sz w:val="16"/>
        </w:rPr>
      </w:pPr>
      <w:r w:rsidRPr="00087A72">
        <w:rPr>
          <w:b/>
          <w:u w:val="single"/>
        </w:rPr>
        <w:t>Settler homonationalism offers a theoretical framework for unsettling the production of normalized citizen-subjects within disruptions of heteronormativity.</w:t>
      </w:r>
      <w:r w:rsidRPr="00087A72">
        <w:rPr>
          <w:sz w:val="16"/>
        </w:rPr>
        <w:t xml:space="preserve"> </w:t>
      </w:r>
      <w:r w:rsidRPr="00087A72">
        <w:rPr>
          <w:b/>
          <w:u w:val="single"/>
        </w:rPr>
        <w:t>Heteronormativity is defined as the expectations, demands, and constraints produced when heterosexuality is taken for granted and normalized within a society or culture.</w:t>
      </w:r>
      <w:r w:rsidRPr="00087A72">
        <w:rPr>
          <w:sz w:val="16"/>
          <w:vertAlign w:val="superscript"/>
        </w:rPr>
        <w:t>42</w:t>
      </w:r>
      <w:r w:rsidRPr="00087A72">
        <w:rPr>
          <w:sz w:val="16"/>
        </w:rPr>
        <w:t xml:space="preserve"> Typically, Queer and Trans peoples attend Pride Toronto to interrupt heteronormativity—with overt, highly sexual, and very political statements of Queer and Trans identities—by bringing awareness to LGBTTIQQ2S diversity. </w:t>
      </w:r>
      <w:r w:rsidRPr="00087A72">
        <w:rPr>
          <w:b/>
          <w:u w:val="single"/>
        </w:rPr>
        <w:t>While diverse LGBTTIQQ2S communities in Toronto are showcased through the disruption of heteronormativity, they typically reinforce and normalize homonormativity. Lisa Duggan argues that homonormativity “upholds and sustains [heteronormativity] while promising the possibility of a demobilized gay constituency and privatized, depoliticized gay culture anchored in domesticity and consumption.”</w:t>
      </w:r>
      <w:r w:rsidRPr="00087A72">
        <w:rPr>
          <w:u w:val="single"/>
          <w:vertAlign w:val="superscript"/>
        </w:rPr>
        <w:t>43</w:t>
      </w:r>
      <w:r w:rsidRPr="00087A72">
        <w:rPr>
          <w:sz w:val="16"/>
        </w:rPr>
        <w:t xml:space="preserve"> Under the guise of neoliberalism, homonormativity produces and reproduces White gay and lesbian subjectivities. </w:t>
      </w:r>
      <w:r w:rsidRPr="00087A72">
        <w:rPr>
          <w:b/>
          <w:u w:val="single"/>
        </w:rPr>
        <w:t>Dismantling homonormativity brings attention to interlocking identities within queerness, where some</w:t>
      </w:r>
      <w:r w:rsidRPr="00087A72">
        <w:rPr>
          <w:i/>
          <w:u w:val="single"/>
        </w:rPr>
        <w:t xml:space="preserve"> </w:t>
      </w:r>
      <w:r w:rsidRPr="00087A72">
        <w:rPr>
          <w:b/>
          <w:u w:val="single"/>
        </w:rPr>
        <w:t xml:space="preserve">(mostly White) LGBTTIQQ2S identified peoples are afforded privilege (sexual, economic, racial, national, gendered, etc.). </w:t>
      </w:r>
      <w:r w:rsidRPr="00087A72">
        <w:rPr>
          <w:sz w:val="16"/>
        </w:rPr>
        <w:t>In settler-colonial Australia, Mark Markwel engaged with the hegemonic gay-male participation in Mardi Gras festivals and argued that “full participation in the festival is an expensive undertaking, especially when coupled with the costs of outfits; body treatments such as waxing, tanning, gym training, hairstyling, and party drugs; and, for tourists, accommodation and transportation costs.”</w:t>
      </w:r>
      <w:r w:rsidRPr="00087A72">
        <w:rPr>
          <w:sz w:val="16"/>
          <w:vertAlign w:val="superscript"/>
        </w:rPr>
        <w:t>44</w:t>
      </w:r>
      <w:r w:rsidRPr="00087A72">
        <w:rPr>
          <w:sz w:val="16"/>
        </w:rPr>
        <w:t xml:space="preserve"> </w:t>
      </w:r>
      <w:r w:rsidRPr="00087A72">
        <w:rPr>
          <w:b/>
          <w:u w:val="single"/>
        </w:rPr>
        <w:t>This perception of a normalized Pride participant obscures LGBTTIQQ2S peoples who live in poverty, are homeless, or are unable to participate for economic reasons.</w:t>
      </w:r>
      <w:r w:rsidRPr="00087A72">
        <w:rPr>
          <w:u w:val="single"/>
          <w:vertAlign w:val="superscript"/>
        </w:rPr>
        <w:t>45</w:t>
      </w:r>
      <w:r w:rsidRPr="00087A72">
        <w:rPr>
          <w:b/>
          <w:u w:val="single"/>
        </w:rPr>
        <w:t xml:space="preserve"> In this and other ways, Pride festivals produce homonormativity, masking and excluding already-marginalized representations of gendered and sexual difference</w:t>
      </w:r>
      <w:r w:rsidRPr="00087A72">
        <w:rPr>
          <w:sz w:val="16"/>
        </w:rPr>
        <w:t xml:space="preserve">. Pride festivals continue to be marketed as political, even as they are premised on the ability to consume. </w:t>
      </w:r>
      <w:r w:rsidRPr="00087A72">
        <w:rPr>
          <w:b/>
          <w:u w:val="single"/>
        </w:rPr>
        <w:t>The normalized Queer identity marketed by and within Pride festivals can itself be understood as homonormative. Jasbir Puar pushes Duggan’s use of homonormativity as it connects to the biopolitics of queerness,</w:t>
      </w:r>
      <w:r w:rsidRPr="00087A72">
        <w:rPr>
          <w:u w:val="single"/>
          <w:vertAlign w:val="superscript"/>
        </w:rPr>
        <w:t>46</w:t>
      </w:r>
      <w:r w:rsidRPr="00087A72">
        <w:rPr>
          <w:b/>
          <w:u w:val="single"/>
        </w:rPr>
        <w:t xml:space="preserve"> arguing that queerness is normalized within a neoliberal privatization of affect through its pandering for state and market recognition, its limited focus on rights, and its focus on same-but-different normalcy practices.</w:t>
      </w:r>
      <w:r w:rsidRPr="00087A72">
        <w:rPr>
          <w:u w:val="single"/>
          <w:vertAlign w:val="superscript"/>
        </w:rPr>
        <w:t>47</w:t>
      </w:r>
      <w:r w:rsidRPr="00087A72">
        <w:rPr>
          <w:b/>
          <w:u w:val="single"/>
        </w:rPr>
        <w:t xml:space="preserve"> Puar further posits that homonormativity is essential to the development of homonationalism</w:t>
      </w:r>
      <w:r w:rsidRPr="00087A72">
        <w:rPr>
          <w:sz w:val="16"/>
        </w:rPr>
        <w:t>.</w:t>
      </w:r>
      <w:r w:rsidRPr="00087A72">
        <w:rPr>
          <w:sz w:val="16"/>
          <w:vertAlign w:val="superscript"/>
        </w:rPr>
        <w:t>48</w:t>
      </w:r>
      <w:r w:rsidRPr="00087A72">
        <w:rPr>
          <w:sz w:val="16"/>
        </w:rPr>
        <w:t xml:space="preserve"> </w:t>
      </w:r>
      <w:r w:rsidRPr="00087A72">
        <w:rPr>
          <w:b/>
          <w:u w:val="single"/>
        </w:rPr>
        <w:t>Homonationalism requires Queers to be complicit in nationalistic projects that renounce and enact violence upon racialized and colonized peoples.</w:t>
      </w:r>
      <w:r w:rsidRPr="00087A72">
        <w:rPr>
          <w:u w:val="single"/>
          <w:vertAlign w:val="superscript"/>
        </w:rPr>
        <w:t>49</w:t>
      </w:r>
      <w:r w:rsidRPr="00087A72">
        <w:rPr>
          <w:b/>
          <w:u w:val="single"/>
        </w:rPr>
        <w:t xml:space="preserve"> The normalization of sexual subjects evokes the biopolitics of homonationalism: racialized subjects are excluded from White articulations of queerness and are simultaneously made Queer (monstrous, feminized, and abnormal).</w:t>
      </w:r>
      <w:r w:rsidRPr="00087A72">
        <w:rPr>
          <w:u w:val="single"/>
          <w:vertAlign w:val="superscript"/>
        </w:rPr>
        <w:t>50</w:t>
      </w:r>
      <w:r w:rsidRPr="00087A72">
        <w:rPr>
          <w:b/>
          <w:u w:val="single"/>
        </w:rPr>
        <w:t xml:space="preserve"> Homonationalism becomes a theoretical and activist tool because Queer citizen-subjects are implicated and complicit in projects of nationalism that deploy Whiteness as normal and natural</w:t>
      </w:r>
      <w:r w:rsidRPr="00087A72">
        <w:rPr>
          <w:sz w:val="16"/>
        </w:rPr>
        <w:t xml:space="preserve">. </w:t>
      </w:r>
      <w:r w:rsidRPr="00087A72">
        <w:rPr>
          <w:b/>
          <w:u w:val="single"/>
        </w:rPr>
        <w:t>Morgensen utilizes Puar’s homonationalism to take into account the biopolitics of settler colonialism that erases Indigenous peoples from the contemporary landscape and from settler sexuality.</w:t>
      </w:r>
      <w:r w:rsidRPr="00087A72">
        <w:rPr>
          <w:u w:val="single"/>
          <w:vertAlign w:val="superscript"/>
        </w:rPr>
        <w:t>51</w:t>
      </w:r>
      <w:r w:rsidRPr="00087A72">
        <w:rPr>
          <w:sz w:val="16"/>
        </w:rPr>
        <w:t xml:space="preserve"> Morgensen asserts that settler homonationalism is “an effect of U.S. [Q]ueer modernities forming amid the conquest of Native peoples and the settling of land.”</w:t>
      </w:r>
      <w:r w:rsidRPr="00087A72">
        <w:rPr>
          <w:sz w:val="16"/>
          <w:vertAlign w:val="superscript"/>
        </w:rPr>
        <w:t>52</w:t>
      </w:r>
      <w:r w:rsidRPr="00087A72">
        <w:rPr>
          <w:sz w:val="16"/>
        </w:rPr>
        <w:t xml:space="preserve"> The settler subject is entangled with the Queer subject, which typically pins queerness onto the bodies of non-Natives.</w:t>
      </w:r>
      <w:r w:rsidRPr="00087A72">
        <w:rPr>
          <w:sz w:val="16"/>
          <w:vertAlign w:val="superscript"/>
        </w:rPr>
        <w:t>53</w:t>
      </w:r>
      <w:r w:rsidRPr="00087A72">
        <w:rPr>
          <w:sz w:val="16"/>
        </w:rPr>
        <w:t xml:space="preserve"> </w:t>
      </w:r>
      <w:r w:rsidRPr="00087A72">
        <w:rPr>
          <w:b/>
          <w:u w:val="single"/>
        </w:rPr>
        <w:t>Settler homonationalism, moreover, is produced within contemporary Queer politics when Queer subjects are created “as agents of the violence of the settler state.”</w:t>
      </w:r>
      <w:r w:rsidRPr="00087A72">
        <w:rPr>
          <w:sz w:val="16"/>
          <w:vertAlign w:val="superscript"/>
        </w:rPr>
        <w:t>54</w:t>
      </w:r>
      <w:r w:rsidRPr="00087A72">
        <w:rPr>
          <w:sz w:val="16"/>
        </w:rPr>
        <w:t xml:space="preserve"> Morgensen implicates modern </w:t>
      </w:r>
      <w:r w:rsidRPr="00087A72">
        <w:rPr>
          <w:b/>
          <w:u w:val="single"/>
        </w:rPr>
        <w:t>Queer politics in a US context as repudiating Indigenous sovereignty and self-determination through modalities of neoliberalism and Queer settler liberation</w:t>
      </w:r>
      <w:r w:rsidRPr="00087A72">
        <w:rPr>
          <w:sz w:val="16"/>
        </w:rPr>
        <w:t>.</w:t>
      </w:r>
      <w:r w:rsidRPr="00087A72">
        <w:rPr>
          <w:sz w:val="16"/>
          <w:vertAlign w:val="superscript"/>
        </w:rPr>
        <w:t>55</w:t>
      </w:r>
      <w:r w:rsidRPr="00087A72">
        <w:rPr>
          <w:sz w:val="16"/>
        </w:rPr>
        <w:t xml:space="preserve"> Pride Toronto’s Queer politics are typically entrenched in neoliberal consumption practices, in which </w:t>
      </w:r>
      <w:r w:rsidRPr="00087A72">
        <w:rPr>
          <w:rStyle w:val="Emphasis"/>
        </w:rPr>
        <w:t>modalities of Queer inclusion reify settler homonationalism by disavowing Indigenous gendered and sexual differences, divergent modalities of sovereignty, and Indigenous decolonization</w:t>
      </w:r>
      <w:r w:rsidRPr="00087A72">
        <w:rPr>
          <w:sz w:val="16"/>
        </w:rPr>
        <w:t xml:space="preserve">. </w:t>
      </w:r>
      <w:bookmarkEnd w:id="45"/>
    </w:p>
    <w:p w:rsidR="002E63E3" w:rsidRPr="00087A72" w:rsidRDefault="002E63E3" w:rsidP="002E63E3">
      <w:pPr>
        <w:pStyle w:val="Heading4"/>
        <w:rPr>
          <w:rStyle w:val="Emphasis"/>
          <w:b/>
          <w:iCs/>
          <w:szCs w:val="26"/>
          <w:u w:val="none"/>
        </w:rPr>
      </w:pPr>
      <w:r w:rsidRPr="00087A72">
        <w:rPr>
          <w:rStyle w:val="Emphasis"/>
          <w:b/>
          <w:szCs w:val="26"/>
          <w:u w:val="none"/>
        </w:rPr>
        <w:t>The homonationalist advocacy is founded on the binary solidarity that precludes the existence of the colonized queer body. The will to integrate indigeneity into the large homonationalist identity culminates in violent eroticization and fetishization which ultimately erases the very existence of the native all together.</w:t>
      </w:r>
    </w:p>
    <w:p w:rsidR="002E63E3" w:rsidRPr="00087A72" w:rsidRDefault="002E63E3" w:rsidP="002E63E3">
      <w:pPr>
        <w:rPr>
          <w:rFonts w:eastAsia="Calibri" w:cstheme="minorHAnsi"/>
          <w:sz w:val="16"/>
          <w:szCs w:val="16"/>
        </w:rPr>
      </w:pPr>
      <w:r w:rsidRPr="00087A72">
        <w:rPr>
          <w:rFonts w:eastAsia="Calibri"/>
          <w:b/>
        </w:rPr>
        <w:t>Greensmith and Giwa 13</w:t>
      </w:r>
      <w:r w:rsidRPr="00087A72">
        <w:rPr>
          <w:rFonts w:eastAsia="Calibri"/>
        </w:rPr>
        <w:t xml:space="preserve"> </w:t>
      </w:r>
      <w:r w:rsidRPr="00087A72">
        <w:rPr>
          <w:rFonts w:eastAsia="Calibri" w:cstheme="minorHAnsi"/>
          <w:sz w:val="16"/>
          <w:szCs w:val="16"/>
        </w:rPr>
        <w:t>(</w:t>
      </w:r>
      <w:r w:rsidRPr="00087A72">
        <w:rPr>
          <w:rStyle w:val="nlmstring-name"/>
          <w:rFonts w:eastAsiaTheme="majorEastAsia" w:cstheme="minorHAnsi"/>
          <w:color w:val="000000"/>
          <w:sz w:val="16"/>
          <w:szCs w:val="16"/>
        </w:rPr>
        <w:t>Cameron Greensmith</w:t>
      </w:r>
      <w:r w:rsidRPr="00087A72">
        <w:rPr>
          <w:rFonts w:cstheme="minorHAnsi"/>
          <w:color w:val="000000"/>
          <w:sz w:val="16"/>
          <w:szCs w:val="16"/>
        </w:rPr>
        <w:t xml:space="preserve"> and </w:t>
      </w:r>
      <w:r w:rsidRPr="00087A72">
        <w:rPr>
          <w:rStyle w:val="nlmstring-name"/>
          <w:rFonts w:eastAsiaTheme="majorEastAsia" w:cstheme="minorHAnsi"/>
          <w:color w:val="000000"/>
          <w:sz w:val="16"/>
          <w:szCs w:val="16"/>
        </w:rPr>
        <w:t>Sulaimon Giwa</w:t>
      </w:r>
      <w:r w:rsidRPr="00087A72">
        <w:rPr>
          <w:rFonts w:cstheme="minorHAnsi"/>
          <w:color w:val="000000"/>
          <w:sz w:val="16"/>
          <w:szCs w:val="16"/>
        </w:rPr>
        <w:t xml:space="preserve"> (</w:t>
      </w:r>
      <w:r w:rsidRPr="00087A72">
        <w:rPr>
          <w:rFonts w:cstheme="minorHAnsi"/>
          <w:i/>
          <w:iCs/>
          <w:color w:val="000000"/>
          <w:sz w:val="16"/>
          <w:szCs w:val="16"/>
        </w:rPr>
        <w:t>2013</w:t>
      </w:r>
      <w:r w:rsidRPr="00087A72">
        <w:rPr>
          <w:rFonts w:cstheme="minorHAnsi"/>
          <w:color w:val="000000"/>
          <w:sz w:val="16"/>
          <w:szCs w:val="16"/>
        </w:rPr>
        <w:t>) Challenging Settler Colonialism in Contemporary Queer Politics: Settler Homonationalism, Pride Toronto, and Two-Spirit Subjectivities. American Indian Culture and Research Journal: 2013, Vol. 37, No. 2, pp. 129-148.squirms)</w:t>
      </w:r>
    </w:p>
    <w:p w:rsidR="002E63E3" w:rsidRPr="00087A72" w:rsidRDefault="002E63E3" w:rsidP="002E63E3">
      <w:pPr>
        <w:ind w:left="-15" w:right="33"/>
        <w:rPr>
          <w:sz w:val="16"/>
        </w:rPr>
      </w:pPr>
      <w:r w:rsidRPr="00087A72">
        <w:rPr>
          <w:sz w:val="16"/>
        </w:rPr>
        <w:t>Currently, in settler colonial or Queer studies scholarship in North America, there is a paucity of work that theorizes the activism undertaken by Indigenous Queer, feminist, and Two-Spirited peoples.</w:t>
      </w:r>
      <w:r w:rsidRPr="00087A72">
        <w:rPr>
          <w:sz w:val="16"/>
          <w:vertAlign w:val="superscript"/>
        </w:rPr>
        <w:t>76</w:t>
      </w:r>
      <w:r w:rsidRPr="00087A72">
        <w:rPr>
          <w:sz w:val="16"/>
        </w:rPr>
        <w:t xml:space="preserve"> Implications for this research project include calling attention to the activism and agency employed by Two-Spirited people to disrupt settler colonialism and settler homonationalism in Canada. Meyer-Cook and Labelle speak to the Two-Spirit activism (similar to 2-Spirits) that exists in Montreal, where support services serve to strengthen the Indigenous community.</w:t>
      </w:r>
      <w:r w:rsidRPr="00087A72">
        <w:rPr>
          <w:sz w:val="16"/>
          <w:vertAlign w:val="superscript"/>
        </w:rPr>
        <w:t>77</w:t>
      </w:r>
      <w:r w:rsidRPr="00087A72">
        <w:rPr>
          <w:sz w:val="16"/>
        </w:rPr>
        <w:t xml:space="preserve"> As these authors argue, “With few Two-Spirit people knowing where and how to gain access to ‘Two-Spirit friendly’ Elders, role models, healthy lifestyles alternatives and inclusive cultural spaces, many ‘fall through the cracks’ and end up on city streets, living in poverty with poorer health and with greater risk of becoming lost and in pain.”</w:t>
      </w:r>
      <w:r w:rsidRPr="00087A72">
        <w:rPr>
          <w:sz w:val="16"/>
          <w:vertAlign w:val="superscript"/>
        </w:rPr>
        <w:t>78</w:t>
      </w:r>
      <w:r w:rsidRPr="00087A72">
        <w:rPr>
          <w:sz w:val="16"/>
        </w:rPr>
        <w:t xml:space="preserve"> Research participants in the current study suggested that 2-Spirits</w:t>
      </w:r>
      <w:r w:rsidRPr="00087A72">
        <w:rPr>
          <w:i/>
          <w:sz w:val="16"/>
        </w:rPr>
        <w:t xml:space="preserve"> </w:t>
      </w:r>
      <w:r w:rsidRPr="00087A72">
        <w:rPr>
          <w:sz w:val="16"/>
        </w:rPr>
        <w:t>continues to be the only</w:t>
      </w:r>
      <w:r w:rsidRPr="00087A72">
        <w:rPr>
          <w:i/>
          <w:sz w:val="16"/>
        </w:rPr>
        <w:t xml:space="preserve"> </w:t>
      </w:r>
      <w:r w:rsidRPr="00087A72">
        <w:rPr>
          <w:sz w:val="16"/>
        </w:rPr>
        <w:t xml:space="preserve">community agency that organizes the float and representations of two-spiritedness in Pride Toronto; however, they also spoke to feelings of connectedness and inclusion within the Two-Spirit community—even as dominant representations within the Pride parade are of White gays and lesbians. Even with the inclusion created by 2-Spirits, </w:t>
      </w:r>
      <w:r w:rsidRPr="00087A72">
        <w:rPr>
          <w:rStyle w:val="Emphasis"/>
        </w:rPr>
        <w:t>representations of two-spiritedness become constrained by settler homonationalism.</w:t>
      </w:r>
      <w:r w:rsidRPr="00087A72">
        <w:rPr>
          <w:sz w:val="16"/>
        </w:rPr>
        <w:t xml:space="preserve"> The prevalent representations of twospiritedness become easily accessible identity markers that enable Pride Toronto voyeurs to understand Two-Spirited peoples as Indigenous. However</w:t>
      </w:r>
      <w:r w:rsidRPr="00087A72">
        <w:rPr>
          <w:rStyle w:val="Emphasis"/>
        </w:rPr>
        <w:t>, even as Two-Spirited people are making space for indigeneity, they have particular constraints as to what representations they can evoke</w:t>
      </w:r>
      <w:r w:rsidRPr="00087A72">
        <w:rPr>
          <w:sz w:val="16"/>
        </w:rPr>
        <w:t xml:space="preserve">. Thus, activist spaces exist, and Two-Spirited people have found a place to represent two-spiritedness within settler-colonial constraints. Within Pride Toronto, </w:t>
      </w:r>
      <w:r w:rsidRPr="00087A72">
        <w:rPr>
          <w:rStyle w:val="Emphasis"/>
        </w:rPr>
        <w:t>Indigenous gendered and sexual differences are Othered through their eroticization. As bell hooks argues, “One desires ‘a bit of the Other’ to enhance the blank landscape of Whiteness.”</w:t>
      </w:r>
      <w:r w:rsidRPr="00087A72">
        <w:rPr>
          <w:rStyle w:val="Emphasis"/>
          <w:b w:val="0"/>
          <w:sz w:val="16"/>
          <w:u w:val="none"/>
        </w:rPr>
        <w:t>79</w:t>
      </w:r>
      <w:r w:rsidRPr="00087A72">
        <w:rPr>
          <w:rStyle w:val="Emphasis"/>
        </w:rPr>
        <w:t xml:space="preserve"> By adding cultural references of Indigenous peoples into camp-like or trivial displays of queerness, all differences among those who attend and participate in Pride Toronto become sexy</w:t>
      </w:r>
      <w:r w:rsidRPr="00087A72">
        <w:rPr>
          <w:sz w:val="16"/>
        </w:rPr>
        <w:t xml:space="preserve">. When settlers put Indigenous difference on display, such difference becomes racist and colonial in the nescient attempt to be inclusive. As Richard Fung states, </w:t>
      </w:r>
      <w:r w:rsidRPr="00087A72">
        <w:rPr>
          <w:rStyle w:val="Emphasis"/>
        </w:rPr>
        <w:t>“If we look at [the] commercial gay sexual representation</w:t>
      </w:r>
      <w:r w:rsidRPr="00087A72">
        <w:rPr>
          <w:sz w:val="16"/>
        </w:rPr>
        <w:t>, it appears that the antiracist movements have had little impact</w:t>
      </w:r>
      <w:r w:rsidRPr="00087A72">
        <w:rPr>
          <w:rStyle w:val="Emphasis"/>
        </w:rPr>
        <w:t>: the images of men and male beauty are still of White men and White male beauty.”</w:t>
      </w:r>
      <w:r w:rsidRPr="00087A72">
        <w:rPr>
          <w:sz w:val="16"/>
          <w:vertAlign w:val="superscript"/>
        </w:rPr>
        <w:t>80</w:t>
      </w:r>
      <w:r w:rsidRPr="00087A72">
        <w:rPr>
          <w:sz w:val="16"/>
        </w:rPr>
        <w:t xml:space="preserve"> Regardless of the intent behind the underwear contest, then—whether it was an attempt to emulate the campy nature of the Village People by representing the different characters, or whether the intent was to make indigeneity sexy—</w:t>
      </w:r>
      <w:r w:rsidRPr="00087A72">
        <w:rPr>
          <w:rStyle w:val="Emphasis"/>
        </w:rPr>
        <w:t xml:space="preserve">the outcome was a perpetual reenactment of racism, cultural appropriation, and settler colonialism. </w:t>
      </w:r>
      <w:r w:rsidRPr="00087A72">
        <w:rPr>
          <w:sz w:val="16"/>
        </w:rPr>
        <w:t>Similarly, Thawer, a gay-identified racialized Muslim, spoke to the ways in which one of Toronto’s White drag queens, Donnarama,</w:t>
      </w:r>
      <w:r w:rsidRPr="00087A72">
        <w:rPr>
          <w:i/>
          <w:sz w:val="16"/>
        </w:rPr>
        <w:t xml:space="preserve"> </w:t>
      </w:r>
      <w:r w:rsidRPr="00087A72">
        <w:rPr>
          <w:sz w:val="16"/>
        </w:rPr>
        <w:t>reproduced hate, xenophobia, and racism in one of her drag performances.</w:t>
      </w:r>
      <w:r w:rsidRPr="00087A72">
        <w:rPr>
          <w:sz w:val="16"/>
          <w:vertAlign w:val="superscript"/>
        </w:rPr>
        <w:t>81</w:t>
      </w:r>
      <w:r w:rsidRPr="00087A72">
        <w:rPr>
          <w:sz w:val="16"/>
        </w:rPr>
        <w:t xml:space="preserve"> Donnarama used Otherness and racism— “a burka, a bindi . . . and a set of bombs attached to her abdomen. . . . There was some actual fire on stage, coupled with gestures . . . that mirrored gun violence and recurring explosions”—within her drag performance to push the boundaries and get a laugh from the audience.</w:t>
      </w:r>
      <w:r w:rsidRPr="00087A72">
        <w:rPr>
          <w:sz w:val="16"/>
          <w:vertAlign w:val="superscript"/>
        </w:rPr>
        <w:t>82</w:t>
      </w:r>
      <w:r w:rsidRPr="00087A72">
        <w:rPr>
          <w:sz w:val="16"/>
        </w:rPr>
        <w:t xml:space="preserve"> Although the contexts and histories of violence and (settler) colonialism are different for Indigenous peoples and Queer Muslims, this display offers another example of how White Queer and Trans community members in Toronto continue to reify racism and settler colonialism. </w:t>
      </w:r>
      <w:r w:rsidRPr="00087A72">
        <w:rPr>
          <w:rStyle w:val="Emphasis"/>
        </w:rPr>
        <w:t>When they do not question or consider the impact of their actions on racialized or colonized peoples, White Queers are complicit in sustaining settler colonialism. The inclusion of Indigenous or Muslim stereotypes in drag performances at a local bar on Church Street and an underwear contest during Pride Toronto demands interrogation as incidents that reproduce and perpetuate settler-colonial dominance.</w:t>
      </w:r>
      <w:r w:rsidRPr="00087A72">
        <w:rPr>
          <w:sz w:val="16"/>
        </w:rPr>
        <w:t xml:space="preserve"> Correspondingly, Wolf experienced sexual violence while attending Pride Toronto. </w:t>
      </w:r>
      <w:r w:rsidRPr="00087A72">
        <w:rPr>
          <w:rStyle w:val="Emphasis"/>
        </w:rPr>
        <w:t>Wolf ’s body became eroticized as an object for White gay settlers to consume. Wolf experienced unwanted groping and touching from White gay settlers who believe they can engage with and be sexual toward whomever they want.</w:t>
      </w:r>
      <w:r w:rsidRPr="00087A72">
        <w:rPr>
          <w:sz w:val="16"/>
        </w:rPr>
        <w:t xml:space="preserve"> As hooks articulates, </w:t>
      </w:r>
      <w:r w:rsidRPr="00087A72">
        <w:rPr>
          <w:rStyle w:val="Emphasis"/>
        </w:rPr>
        <w:t>“The commodification of difference promotes paradigms of consumption wherein whatever difference the Other inhabits is eradicated, via exchange, by a consumer cannibalism that not only displaces the Other but denies the significance of that Other’s history through a process of decontextualization</w:t>
      </w:r>
      <w:r w:rsidRPr="00087A72">
        <w:rPr>
          <w:sz w:val="16"/>
        </w:rPr>
        <w:t>.”</w:t>
      </w:r>
      <w:r w:rsidRPr="00087A72">
        <w:rPr>
          <w:sz w:val="16"/>
          <w:vertAlign w:val="superscript"/>
        </w:rPr>
        <w:t>83</w:t>
      </w:r>
      <w:r w:rsidRPr="00087A72">
        <w:rPr>
          <w:sz w:val="16"/>
        </w:rPr>
        <w:t xml:space="preserve"> Within Pride Toronto, </w:t>
      </w:r>
      <w:r w:rsidRPr="00087A72">
        <w:rPr>
          <w:rStyle w:val="Emphasis"/>
        </w:rPr>
        <w:t>Indigenous peoples become sexualized objects for the consumptive pleasure of settlers; indeed, the pleasure experienced by settlers in contemporary Queer spaces is further manifested through Indigenous erasure. Grizzly Bear’s presence in a restaurant during Pride acted as a disruption to concepts of who should or should not be Queer. To correct this disruption, the waiter normalized genocide to ensure that Grizzly Bear would understand her rightful place in Canadian (Queer) culture. By bringing attention to settler colonialism and the violence that Indigenous peoples continue to experience, Grizzly Bear disturbed the dominant Queer settler narratives of belonging in Canada</w:t>
      </w:r>
      <w:r w:rsidRPr="00087A72">
        <w:rPr>
          <w:sz w:val="16"/>
        </w:rPr>
        <w:t xml:space="preserve">. Thus, </w:t>
      </w:r>
      <w:r w:rsidRPr="00087A72">
        <w:rPr>
          <w:rStyle w:val="Emphasis"/>
        </w:rPr>
        <w:t xml:space="preserve">the only natural correction to such a disturbance is to reproduce the violence of settler colonialism in the name of settler Queer solidarity. In this way, settler homonationalism requires eroticizing and simultaneously erasing Indigenous peoples in order to sustain settler colonialism. </w:t>
      </w:r>
      <w:r w:rsidRPr="00087A72">
        <w:rPr>
          <w:rFonts w:eastAsia="Calibri"/>
          <w:sz w:val="16"/>
        </w:rPr>
        <w:t>conclusIon</w:t>
      </w:r>
      <w:r w:rsidRPr="00087A72">
        <w:rPr>
          <w:sz w:val="16"/>
        </w:rPr>
        <w:t xml:space="preserve"> The lived experiences of seven self-identified Two-Spirited Indigenous people attending and participating in Pride Toronto make clear that </w:t>
      </w:r>
      <w:r w:rsidRPr="00087A72">
        <w:rPr>
          <w:rStyle w:val="Emphasis"/>
        </w:rPr>
        <w:t>settler colonialism exists to sustain and normalize contemporary Queer politics</w:t>
      </w:r>
      <w:r w:rsidRPr="00087A72">
        <w:rPr>
          <w:sz w:val="16"/>
        </w:rPr>
        <w:t xml:space="preserve"> within Canada</w:t>
      </w:r>
      <w:r w:rsidRPr="00087A72">
        <w:rPr>
          <w:rStyle w:val="Emphasis"/>
        </w:rPr>
        <w:t xml:space="preserve">. Heteronormativity and heteropatriarchy—the logics of settler colonialism—continue to constrain the lives of Indigenous peoples.84 This research has implicated contemporary Queer politics in perpetuating the conditions for settler colonialism to continue within Pride Toronto. </w:t>
      </w:r>
      <w:r w:rsidRPr="00087A72">
        <w:rPr>
          <w:sz w:val="16"/>
        </w:rPr>
        <w:t xml:space="preserve">Implications for this research are fourfold. First, </w:t>
      </w:r>
      <w:r w:rsidRPr="00087A72">
        <w:rPr>
          <w:rStyle w:val="Emphasis"/>
        </w:rPr>
        <w:t>settler homonationalism clearly exists to sustain and normalize White-normed contemporary Queer politics. In doing so, Two-Spirited people mobilize Two-Spirit as a gendered and sexually diverse identity that centralizes connections to Indigenous culture. Second, contemporary Queer politics within Pride Toronto homogenize the vast differences among LGBTTIQQ2S peoples, creating a uniform image of who belongs in the Queer community. Third, regardless of the settler homonationalism invading Pride Toronto’s contemporary Queer politics, Two-Spirited peoples are engaging in decolonial resistance and social change. These activist endeavors aim to unsettle the contemporary Queer settler politics that reify the violence Indigenous peoples continue to experience in Canada by normalizing state-sanctioned forms of queerness. Lastly, settler homonationalism exists within Pride Toronto’s contemporary Queer politics to erase indigeneity from contemporary settler sexual and gendered identities. Within this erasure, Two-Spirited people experience considerable oppression in the form of racism, sexism, and genocide</w:t>
      </w:r>
      <w:r w:rsidRPr="00087A72">
        <w:rPr>
          <w:sz w:val="16"/>
        </w:rPr>
        <w:t xml:space="preserve">. The experiences of the research participants provide another framework with which to engage with and trouble contemporary Queer settler politics steeped within White supremacy and settler colonialism. Findings from this study call attention to the divergent layers of inclusion and exclusion experienced by Two-Spirited peoples attending Pride Toronto. No longer should the responsibility for decolonizing contemporary Queer politics be placed on the shoulders of Two-Spirited Indigenous peoples. Instead, </w:t>
      </w:r>
      <w:r w:rsidRPr="00087A72">
        <w:rPr>
          <w:rStyle w:val="Emphasis"/>
        </w:rPr>
        <w:t>non-Indigenous Queers must take seriously their settler privilege and/or complicity (albeit divergent, depending on one’s social location) as reifying settler colonialism. Non-Indigenous Queers must engage with their complicity in settler colonialism and move beyond simple articulations of who is and who is not a settler. Only then will Pride Toronto become a site in which Queer solidarity activism can occur with Two-Spirit peoples (similar to QuAIA) and thus unsettle the normalization and privileging of settler homonationalism.</w:t>
      </w:r>
      <w:r w:rsidRPr="00087A72">
        <w:rPr>
          <w:sz w:val="16"/>
        </w:rPr>
        <w:t xml:space="preserve"> Findings suggest that </w:t>
      </w:r>
      <w:r w:rsidRPr="00087A72">
        <w:rPr>
          <w:rStyle w:val="Emphasis"/>
        </w:rPr>
        <w:t>Queer settlers must move beyond a place of guilt that is typically demobilizing; instead, Queer settlers must turn their settler complicity into action</w:t>
      </w:r>
      <w:r w:rsidRPr="00087A72">
        <w:rPr>
          <w:sz w:val="16"/>
        </w:rPr>
        <w:t>.</w:t>
      </w:r>
      <w:r w:rsidRPr="00087A72">
        <w:rPr>
          <w:sz w:val="16"/>
          <w:vertAlign w:val="superscript"/>
        </w:rPr>
        <w:t>85</w:t>
      </w:r>
      <w:r w:rsidRPr="00087A72">
        <w:rPr>
          <w:sz w:val="16"/>
        </w:rPr>
        <w:t xml:space="preserve"> What better place from which to disrupt settler-colonial modalities of queerness than the confines of Pride Toronto? </w:t>
      </w:r>
      <w:r w:rsidRPr="00087A72">
        <w:rPr>
          <w:rStyle w:val="Emphasis"/>
        </w:rPr>
        <w:t>Queers can use the political and activist space of Pride Toronto to foster coalitions between non-Indigenous Queers (of color, diasporic, and White) and Indigenous peoples, in the hope that settler homonationalism can manifest and be scrutinized</w:t>
      </w:r>
      <w:r w:rsidRPr="00087A72">
        <w:rPr>
          <w:sz w:val="16"/>
        </w:rPr>
        <w:t>. Thus, we offer here some recommendations for Queer settler solidarity within Queer activist spaces by urging non-Indigenous peoples to (1) engage in dialogue surrounding Indigenous decolonization, settler responsibility, and the land in Canada, and (2) turn Queer settler complicity into action by understanding their own relationship to settler-colonial dominance and reparations of land in Canada. In doing so, non-Indigenous Queers can start to take responsibility for settler colonialism by addressing the longstanding injustices and broken treaties that have privileged settler colonialism in the ongoing eradication and assimilation of Indigenous gendered and sexual differences.</w:t>
      </w:r>
    </w:p>
    <w:p w:rsidR="00254E93" w:rsidRPr="00087A72" w:rsidRDefault="00254E93" w:rsidP="00E06E0C">
      <w:pPr>
        <w:pStyle w:val="Heading3"/>
      </w:pPr>
      <w:r w:rsidRPr="00087A72">
        <w:t>Link – Semiotics</w:t>
      </w:r>
    </w:p>
    <w:p w:rsidR="00254E93" w:rsidRPr="00087A72" w:rsidRDefault="00E82B76" w:rsidP="00254E93">
      <w:pPr>
        <w:pStyle w:val="Heading4"/>
      </w:pPr>
      <w:r w:rsidRPr="00087A72">
        <w:t>The drive to signifiy—loss, gains, stories—reinvests in a metaphysics of humanism which must necessarily foreclose the anti-semiotics of genocide which annihilate meaning.</w:t>
      </w:r>
    </w:p>
    <w:p w:rsidR="00254E93" w:rsidRPr="00087A72" w:rsidRDefault="00254E93" w:rsidP="00254E93">
      <w:r w:rsidRPr="00087A72">
        <w:rPr>
          <w:rStyle w:val="Style13ptBold"/>
        </w:rPr>
        <w:t>Wilderson 10</w:t>
      </w:r>
      <w:r w:rsidRPr="00087A72">
        <w:t xml:space="preserve"> (Frank, Full Professor of Drama and African American studies at the University of California, Irvine </w:t>
      </w:r>
      <w:r w:rsidRPr="00087A72">
        <w:rPr>
          <w:i/>
        </w:rPr>
        <w:t>Red, White, and Black: Cinema and the Structure of U.S. Antagonisms</w:t>
      </w:r>
      <w:r w:rsidRPr="00087A72">
        <w:t xml:space="preserve"> pp. 193-195) NIJ</w:t>
      </w:r>
    </w:p>
    <w:p w:rsidR="00254E93" w:rsidRPr="00087A72" w:rsidRDefault="00254E93" w:rsidP="00254E93">
      <w:pPr>
        <w:rPr>
          <w:sz w:val="12"/>
        </w:rPr>
      </w:pPr>
      <w:r w:rsidRPr="00087A72">
        <w:rPr>
          <w:rStyle w:val="StyleUnderline"/>
        </w:rPr>
        <w:t xml:space="preserve">In no more than three short years, from 1891-1894, the press, as exemplary of the enunciatory apparatus of civil society, began its transition from an open assumption of civic desire, “why not annihilation….exterminate all remaining Indians” </w:t>
      </w:r>
      <w:r w:rsidRPr="00087A72">
        <w:rPr>
          <w:sz w:val="12"/>
        </w:rPr>
        <w:t xml:space="preserve">(the Aberdeen Saturday Pioneer), </w:t>
      </w:r>
      <w:r w:rsidRPr="00087A72">
        <w:rPr>
          <w:rStyle w:val="StyleUnderline"/>
        </w:rPr>
        <w:t>to a monumentalization of hegemony, “an absolute triumph for [civil society] without the spilling of a single drop of blood”</w:t>
      </w:r>
      <w:r w:rsidRPr="00087A72">
        <w:rPr>
          <w:sz w:val="12"/>
        </w:rPr>
        <w:t xml:space="preserve"> (the New York Herald). What is of note in all of this is the fact that cinema, Edison’s Sioux Ghost Dance, is pivotal to this conjunctural recomposition of civil society’s self-presentation. Cinema is vital to an imaginary which seeks to widen, exponentially, the distance between civil society’s grammatical structure and the actual words it is willing to use to describe itself—the vast distance between clearing as noun and clearing as verb. </w:t>
      </w:r>
      <w:r w:rsidRPr="00087A72">
        <w:rPr>
          <w:rStyle w:val="StyleUnderline"/>
        </w:rPr>
        <w:t>This is a necessary recomposition, or more precisely disavowal, for it allows the human subject of civil society</w:t>
      </w:r>
      <w:r w:rsidRPr="00087A72">
        <w:rPr>
          <w:sz w:val="12"/>
        </w:rPr>
        <w:t>—the Asian American anchorwoman and the White cameraman upon whom Mogie’s sardonic gaze is fixed—</w:t>
      </w:r>
      <w:r w:rsidRPr="00087A72">
        <w:rPr>
          <w:rStyle w:val="StyleUnderline"/>
        </w:rPr>
        <w:t>to console themselves with the illusion that the structure of the relation between themselves and the “Savage” is forged by the force of hegemony and not the force of genocide.</w:t>
      </w:r>
      <w:r w:rsidRPr="00087A72">
        <w:rPr>
          <w:sz w:val="12"/>
        </w:rPr>
        <w:t xml:space="preserve"> Again, one hundred years after the New York Herald’s tilt from genocide toward hegemony, at the other end of the 20 th century, </w:t>
      </w:r>
      <w:r w:rsidRPr="00087A72">
        <w:rPr>
          <w:rStyle w:val="StyleUnderline"/>
        </w:rPr>
        <w:t>White radicals’ and progressives’ faith that such generic principles and practices as access to institutionality, full disclosure, fairness and accuracy in reporting are pivotal to meditation on, and mediation for, social change has never been stronger.</w:t>
      </w:r>
      <w:r w:rsidRPr="00087A72">
        <w:rPr>
          <w:sz w:val="12"/>
        </w:rPr>
        <w:t xml:space="preserve"> The surgical gaze of Mogie Yellow Lodge shreds this faith in the essential nature of hegemony into thin strips of ridicule. Hegemony remains essential to the idiom of power between, for example, the Asian American anchorwoman and the White cameraman; lxxv and the film, through Mogie and the formalism that accrues to him, understands this; but this understanding is akin to an insult: “Send me a big woman. A fat woman!” And through the gaze, Mogie will not allow the spectator the cultural solace of mapping hegemony, as an idiom of power onto the Settler (human)/“Savage” relation—until, that is, Rudy’s presence reasserts itself and makes amends. </w:t>
      </w:r>
      <w:r w:rsidRPr="00087A72">
        <w:rPr>
          <w:rStyle w:val="StyleUnderline"/>
        </w:rPr>
        <w:t>Today the US is no longer self-consciously fascistic but instead self-consciously democratic. Clearing is completely disavowed as a verb.</w:t>
      </w:r>
      <w:r w:rsidRPr="00087A72">
        <w:rPr>
          <w:sz w:val="12"/>
        </w:rPr>
        <w:t xml:space="preserve"> Instead, clearing as a noun makes itself known through the narrative of sovereign gain, civil society and its external threat (the “Savage”). The imaginary of “Savage” positionality more often than not articulates (dialogues) with this Settler imaginary. In other words, the “Savage” narrative of sovereignty (Rudy’s plot points in the film) is dialogic with the Settler narrative of sovereignty (the Western’s genuflection to Little Baby Civil Society). The narratives are disparate at the level of manifest content, but dependent rhetorically upon the same semiotics of gain and loss. </w:t>
      </w:r>
      <w:r w:rsidRPr="00087A72">
        <w:rPr>
          <w:rStyle w:val="StyleUnderline"/>
        </w:rPr>
        <w:t xml:space="preserve">Thus, even the “Savage’s” semiotics of sovereign loss fortifies and extends the interlocutory life of the Settler’s disavowal of clearing as a verb. Ironically, they work hand-in-hand to crowd out the ensemble of questions, and thus the ethical dilemmas, of genocide’s ontological imperatives. </w:t>
      </w:r>
      <w:r w:rsidRPr="00087A72">
        <w:rPr>
          <w:rStyle w:val="Emphasis"/>
        </w:rPr>
        <w:t>A semiotics of loss cannot be reconciled with a semiotics of genocide (provided genocide could even be apprehended through a semiotics, and there is no evidence that it can) because semiotics implies the possibility of narrative; and narrative implies the possibility of both a subject of speech and a speaking subject. Genocide, however, has no speaking subject; as such it has no narrative.</w:t>
      </w:r>
      <w:r w:rsidRPr="00087A72">
        <w:rPr>
          <w:sz w:val="12"/>
        </w:rPr>
        <w:t xml:space="preserve"> It can only be apprehended by way of a narrative about something that it is not—such as sovereignty. (This is why a number of Jewish holocaust films end up—or begin—in Israel: the impossible semiotics of genocide must be compensated for by way of a gesture of coherence, even if that coherence distracts the spectator from the topic at hand.) No single film could represent the clearing of a hemisphere. And no hemisphere, let alone a country, could maintain egoic consolidation of its psychic coordinates under the weight of the number and kind of films that it would take to even attempt to represent the clearing as a verb. </w:t>
      </w:r>
      <w:r w:rsidRPr="00087A72">
        <w:rPr>
          <w:rStyle w:val="Emphasis"/>
        </w:rPr>
        <w:t>Though it is precisely the impossible “narrative” of genocide that positions the “Savage,” ensembles of questions that could elaborate more or less coherent ethical dilemmas regarding genocide—even if a coherent story of genocide could not be told—are often managed, constrained, marginalized</w:t>
      </w:r>
      <w:r w:rsidRPr="00087A72">
        <w:rPr>
          <w:sz w:val="12"/>
        </w:rPr>
        <w:t>, are disavowed within political discourse, meta-commentaries on ontology, and the cinema of Native Americans. Skins’ simultaneous elaboration of and uneasiness with Mogie Yellow Lodge is emblematic of how this management, constraint, marginalization, and disavowal are rendered cinematically.</w:t>
      </w:r>
    </w:p>
    <w:p w:rsidR="000273B7" w:rsidRPr="00087A72" w:rsidRDefault="000273B7" w:rsidP="00E06E0C">
      <w:pPr>
        <w:pStyle w:val="Heading3"/>
      </w:pPr>
      <w:r w:rsidRPr="00087A72">
        <w:t>Link – Settler Society</w:t>
      </w:r>
    </w:p>
    <w:p w:rsidR="000273B7" w:rsidRPr="00087A72" w:rsidRDefault="000273B7" w:rsidP="000273B7">
      <w:pPr>
        <w:pStyle w:val="Heading4"/>
      </w:pPr>
      <w:r w:rsidRPr="00087A72">
        <w:t xml:space="preserve">The metaphysics of the Native disarticulates the world of the Settler—destroying all concepts of governance, industry, and Being. </w:t>
      </w:r>
    </w:p>
    <w:p w:rsidR="000273B7" w:rsidRPr="00087A72" w:rsidRDefault="000273B7" w:rsidP="000273B7">
      <w:r w:rsidRPr="00087A72">
        <w:rPr>
          <w:rStyle w:val="Style13ptBold"/>
        </w:rPr>
        <w:t>Wilderson 10</w:t>
      </w:r>
      <w:r w:rsidRPr="00087A72">
        <w:t xml:space="preserve"> (Frank, Full Professor of Drama and African American studies at the University of California, Irvine </w:t>
      </w:r>
      <w:r w:rsidRPr="00087A72">
        <w:rPr>
          <w:i/>
        </w:rPr>
        <w:t>Red, White, and Black: Cinema and the Structure of U.S. Antagonisms</w:t>
      </w:r>
      <w:r w:rsidRPr="00087A72">
        <w:t xml:space="preserve"> pp. 164-168) NIJ</w:t>
      </w:r>
    </w:p>
    <w:p w:rsidR="000273B7" w:rsidRPr="00087A72" w:rsidRDefault="000273B7" w:rsidP="000273B7">
      <w:pPr>
        <w:rPr>
          <w:sz w:val="12"/>
        </w:rPr>
      </w:pPr>
      <w:r w:rsidRPr="00087A72">
        <w:rPr>
          <w:rStyle w:val="Emphasis"/>
        </w:rPr>
        <w:t>All of the meta-commentators on “Savage” ontology attribute the destabilization of energy (power) in the universe to the coming of the</w:t>
      </w:r>
      <w:r w:rsidRPr="00087A72">
        <w:rPr>
          <w:sz w:val="12"/>
        </w:rPr>
        <w:t xml:space="preserve"> haole (Trask 1993), the destroyer (Silko 1991: 760), or the predator (Churchill 1997, 249): the White, the </w:t>
      </w:r>
      <w:r w:rsidRPr="00087A72">
        <w:rPr>
          <w:rStyle w:val="Emphasis"/>
        </w:rPr>
        <w:t>Settler.</w:t>
      </w:r>
      <w:r w:rsidRPr="00087A72">
        <w:rPr>
          <w:rStyle w:val="StyleUnderline"/>
        </w:rPr>
        <w:t xml:space="preserve"> The harmonic balance</w:t>
      </w:r>
      <w:r w:rsidRPr="00087A72">
        <w:rPr>
          <w:sz w:val="12"/>
        </w:rPr>
        <w:t xml:space="preserve"> of waken, orenda, manitou or mana </w:t>
      </w:r>
      <w:r w:rsidRPr="00087A72">
        <w:rPr>
          <w:rStyle w:val="StyleUnderline"/>
        </w:rPr>
        <w:t>has yet to be restored in the universe</w:t>
      </w:r>
      <w:r w:rsidRPr="00087A72">
        <w:rPr>
          <w:sz w:val="12"/>
        </w:rPr>
        <w:t xml:space="preserve">, but the works of Silko, Churchill, and Trask point to a moment in recent Native American history when indigenous people in Canada and the U.S. began, once again, to reconnect with the power of the universe on a grand, communal scale. They all agree that this period of rearticulated spiritual power commences in the late 1960s/early 1970s, and extends for some (the Hawaiians) into the 1980s. Trask suggests that, as a result of a groundswell of political activism, coupled with the reinvigoration of tribal customs—in other words, with the revitalization of indigenous demands for decolonization—mana was reasserted as a defining element of cultural and political leadership within the sovereignty movement (Trask, Notes from a Native Daughter 117). lxi </w:t>
      </w:r>
      <w:r w:rsidRPr="00087A72">
        <w:rPr>
          <w:rStyle w:val="StyleUnderline"/>
        </w:rPr>
        <w:t>Trask and Deloria are emphatic in their attempts to distinguish power as it occurs in the schema of “Savage” sovereignty from power as it occurs in the schema of Settler sovereignty. They suggest that, where Settler sovereignty is concerned, power can be vested as spiritual, as in the hegemony of Christian deities and ecclesiastics, or secular, as in the power of money, civil rights, or force of arms. But the manifestation of Settler/Sovereign power differs from that of mana in that Settler power is either completely secular or</w:t>
      </w:r>
      <w:r w:rsidRPr="00087A72">
        <w:rPr>
          <w:sz w:val="12"/>
        </w:rPr>
        <w:t xml:space="preserve">, in the case of Christianity, </w:t>
      </w:r>
      <w:r w:rsidRPr="00087A72">
        <w:rPr>
          <w:rStyle w:val="StyleUnderline"/>
        </w:rPr>
        <w:t xml:space="preserve">asserts supreme dominance over the elements of the universe rather than balance within the elements of the universe. The implications of this difference for the ontological modality of sovereignty, though nuanced, are in fact profound. </w:t>
      </w:r>
      <w:r w:rsidRPr="00087A72">
        <w:rPr>
          <w:sz w:val="12"/>
        </w:rPr>
        <w:t>Trask points out that a high chiefly line (whose opposite number would manifest itself as some sort of sanctioned leadership in civil society---i.e. clergy or public official) “may bequeath the potential for mana, but the actualization or achievement of mana… requires more than genealogy, it requires specific identification by the leader with the people…[and] presupposes that the people acknowledge mana as an attribute of political leadership” (Trask 117</w:t>
      </w:r>
      <w:r w:rsidRPr="00087A72">
        <w:rPr>
          <w:rStyle w:val="StyleUnderline"/>
        </w:rPr>
        <w:t xml:space="preserve">). It would be all too easy to suggest that Trask’s description of Native power </w:t>
      </w:r>
      <w:r w:rsidRPr="00087A72">
        <w:rPr>
          <w:sz w:val="12"/>
        </w:rPr>
        <w:t xml:space="preserve">(mana) </w:t>
      </w:r>
      <w:r w:rsidRPr="00087A72">
        <w:rPr>
          <w:rStyle w:val="StyleUnderline"/>
        </w:rPr>
        <w:t>and its legitimation is but a reconfiguration of the hegemony in Settler civil society</w:t>
      </w:r>
      <w:r w:rsidRPr="00087A72">
        <w:rPr>
          <w:sz w:val="12"/>
        </w:rPr>
        <w:t xml:space="preserve"> (i.e., the communicability of Christian faith, the power of the press, the interpellation of advertising and media, the plebiscite’s production of consensus). But this is not the case. </w:t>
      </w:r>
      <w:r w:rsidRPr="00087A72">
        <w:rPr>
          <w:rStyle w:val="StyleUnderline"/>
        </w:rPr>
        <w:t>Taiaiake Alfred lays such misreading to rest by reminding us that the constituent subjects of Native sovereignty consist not only of the Human (which is the sole subject position of Western metaphysics) but of all the creatures—animate and inanimate—in the universe: “In indigenous philosophies, power flows from respect for Nature. In dominant Western philosophy, power derives from coercion and artifice—in effect, alienation from nature”</w:t>
      </w:r>
      <w:r w:rsidRPr="00087A72">
        <w:rPr>
          <w:sz w:val="12"/>
        </w:rPr>
        <w:t xml:space="preserve"> (Alfred 60). </w:t>
      </w:r>
      <w:r w:rsidRPr="00087A72">
        <w:rPr>
          <w:rStyle w:val="StyleUnderline"/>
        </w:rPr>
        <w:t xml:space="preserve">This is a significant difference between the manifest content of tribal society and civil society, but more importantly, it is an effect of the latent difference between “Savage” ontology and Settler ontology. </w:t>
      </w:r>
      <w:r w:rsidRPr="00087A72">
        <w:rPr>
          <w:sz w:val="12"/>
        </w:rPr>
        <w:t xml:space="preserve">Haunani-Kay Trask hints at this difference when she writes “[b]oth the people and their leaders understand the link between mana and pono, the traditional Hawaiian value of balance between people, land, and the cosmos” (117). </w:t>
      </w:r>
      <w:r w:rsidRPr="00087A72">
        <w:rPr>
          <w:rStyle w:val="StyleUnderline"/>
        </w:rPr>
        <w:t>Though balance in the universe, pono, and the power of the universe, mana, are two distinct words, they are in fact inextricably bound.</w:t>
      </w:r>
      <w:r w:rsidRPr="00087A72">
        <w:rPr>
          <w:sz w:val="12"/>
        </w:rPr>
        <w:t xml:space="preserve"> The combined restoration of the articulation of mana and pono within the people of the tribal community, and the articulation’s subsequent restoration within the leadership—by way of the people—are both necessary if Native governance is to be not only legitimate but coherent. Without both of these the idea of the tribe is not possible. </w:t>
      </w:r>
      <w:r w:rsidRPr="00087A72">
        <w:rPr>
          <w:rStyle w:val="StyleUnderline"/>
        </w:rPr>
        <w:t>These interwoven necessities are indexical of a glaring irreconcilability between the structure of Settler sovereignty (whether spiritual or secular hegemony) and that of “Savage” sovereignty</w:t>
      </w:r>
      <w:r w:rsidRPr="00087A72">
        <w:rPr>
          <w:sz w:val="12"/>
        </w:rPr>
        <w:t xml:space="preserve">: “Only a leader who understands [the] familial genealogical link between Hawaiians and their lands can hope to re-establish pono, the balance that has been lacking in the Hawaiian universe since the coming of the haole. The assertion of the value of pono then, awaits the leader with mana” (Trask 117). </w:t>
      </w:r>
      <w:r w:rsidRPr="00087A72">
        <w:rPr>
          <w:rStyle w:val="StyleUnderline"/>
        </w:rPr>
        <w:t>Trask goes on to state in no uncertain terms that reclamation of mana, Native power, is achieved through a process of decolonization which directly “opposes the American system of electoral power</w:t>
      </w:r>
      <w:r w:rsidRPr="00087A72">
        <w:rPr>
          <w:sz w:val="12"/>
        </w:rPr>
        <w:t xml:space="preserve">” (118): [M]ana…[is] a tremendous challenge to the colonial system which defines political leadership in terms of democratic liberalism…[Indigenous] leaders embody sovereignty only if they are pono, that is, only if they believe in and work for the well being of the land and the people. In this way Hawaiian leaders exhibit mana and increase it if they speak and represent the needs of Hawaiians not the needs of all citizens of Hawai’i, or of legislative districts, or of bureaucratic institutions. (emphasis mine 118) In other words, </w:t>
      </w:r>
      <w:r w:rsidRPr="00087A72">
        <w:rPr>
          <w:rStyle w:val="Emphasis"/>
        </w:rPr>
        <w:t xml:space="preserve">mana and pono not only make tribal society irreconcilable with civil society, but they make tribal society and civil society in disarticulation of one another; furthermore, mana and pono, as foundational to both the conceptualization and functioning of tribal society, bar the subject of civil society from access—ontologically— to the indigenous world: the Settler would have to lose hegemony as the element constituent to his/her ontology prior to acquiring access to a world whose foundation is the interweaving of mana and pono. In short, the Settler would have to die. </w:t>
      </w:r>
      <w:r w:rsidRPr="00087A72">
        <w:rPr>
          <w:rStyle w:val="StyleUnderline"/>
        </w:rPr>
        <w:t>Vine Deloria, Jr.,</w:t>
      </w:r>
      <w:r w:rsidRPr="00087A72">
        <w:rPr>
          <w:sz w:val="12"/>
        </w:rPr>
        <w:t xml:space="preserve"> much like Haunani-Kay Trask, </w:t>
      </w:r>
      <w:r w:rsidRPr="00087A72">
        <w:rPr>
          <w:rStyle w:val="StyleUnderline"/>
        </w:rPr>
        <w:t>makes an important intervention when he splits the hair of the Settler/“Savage” conflict between the level of existence</w:t>
      </w:r>
      <w:r w:rsidRPr="00087A72">
        <w:rPr>
          <w:sz w:val="12"/>
        </w:rPr>
        <w:t xml:space="preserve">… We have been taught to look at American history as a series of land transactions involving some three hundred Indian tribes and a growing United States government. This conception is certainly the picture that emerges when tribal officials [on the reservation] are forced to deal with [state] officials, clams commissioners, state highway departments, game wardens, county sheriffs and private corporations. (God Is Red 249) </w:t>
      </w:r>
      <w:r w:rsidRPr="00087A72">
        <w:rPr>
          <w:rStyle w:val="StyleUnderline"/>
        </w:rPr>
        <w:t xml:space="preserve">…and the level of ontology… </w:t>
      </w:r>
      <w:r w:rsidRPr="00087A72">
        <w:rPr>
          <w:sz w:val="12"/>
        </w:rPr>
        <w:t xml:space="preserve">Yet [this is] hardly the whole picture. Perhaps nearly accurate would be the picture of settlement phrased as a continuous conflict of two mutually exclusive worldviews. (249) </w:t>
      </w:r>
      <w:r w:rsidRPr="00087A72">
        <w:rPr>
          <w:rStyle w:val="Emphasis"/>
        </w:rPr>
        <w:t>Deloria goes on to explain how the most banal and benevolent impositions of civil society made the “natural” reinscription of “Savage” ontology impossible.</w:t>
      </w:r>
      <w:r w:rsidRPr="00087A72">
        <w:rPr>
          <w:sz w:val="12"/>
        </w:rPr>
        <w:t xml:space="preserve"> He begins by reminding the reader that </w:t>
      </w:r>
      <w:r w:rsidRPr="00087A72">
        <w:rPr>
          <w:rStyle w:val="StyleUnderline"/>
        </w:rPr>
        <w:t>tribal organization itself did not elaborate a collective imaginary of industrial scale social relations characteristic of Settler civil society. Europeans looked upon various tribal groups who had similar language patterns and customs in common and imagined they were encountering “nations.” Deloria argues that instead of “nation” the more appropriate simile would have been “band.”</w:t>
      </w:r>
      <w:r w:rsidRPr="00087A72">
        <w:rPr>
          <w:sz w:val="12"/>
        </w:rPr>
        <w:t xml:space="preserve"> Although these bands sometimes came together for ceremonies, to share war parties, or for treaty signing purposes, they would break apart whenever they became too large to support themselves and needed a large game source to feed everyone (God Is Red 245). “For political decisions, religious ceremonies, hunting and fishing activities, and general community life both the political and religious outlook of the tribe was designed for a small group of people. It was a very rare tribal group that was larger than a thousand people for any extended period of time” (God Is Red 255). Clearly, </w:t>
      </w:r>
      <w:r w:rsidRPr="00087A72">
        <w:rPr>
          <w:rStyle w:val="Emphasis"/>
        </w:rPr>
        <w:t>Deloria</w:t>
      </w:r>
      <w:r w:rsidRPr="00087A72">
        <w:rPr>
          <w:sz w:val="12"/>
        </w:rPr>
        <w:t xml:space="preserve"> draws here largely from the specificity of his own Lakota people in order to make comprehensive structural generalizations regarding the touchstones of cohesion which position Indigenous subjectivity. But the specifics that he references should not distract us. He </w:t>
      </w:r>
      <w:r w:rsidRPr="00087A72">
        <w:rPr>
          <w:rStyle w:val="Emphasis"/>
        </w:rPr>
        <w:t>is speaking of a scale of sociability that internally disarticulates the scale of industry whenever the latter encroaches on it. Manageability and decentralized autonomy</w:t>
      </w:r>
      <w:r w:rsidRPr="00087A72">
        <w:rPr>
          <w:sz w:val="12"/>
        </w:rPr>
        <w:t xml:space="preserve"> (255), </w:t>
      </w:r>
      <w:r w:rsidRPr="00087A72">
        <w:rPr>
          <w:rStyle w:val="Emphasis"/>
        </w:rPr>
        <w:t>rather than a nation-state ideology sutured by hegemony, is the primary organizing characteristic of Native life.</w:t>
      </w:r>
      <w:r w:rsidRPr="00087A72">
        <w:rPr>
          <w:sz w:val="12"/>
        </w:rPr>
        <w:t xml:space="preserve"> </w:t>
      </w:r>
      <w:r w:rsidRPr="00087A72">
        <w:rPr>
          <w:rStyle w:val="StyleUnderline"/>
        </w:rPr>
        <w:t>The “banal” and “benevolent” introduction, as well as the violent and militarized introduction of hegemony as a social foundation, all but destroyed the conceptual framework of “Savage” sovereignty.</w:t>
      </w:r>
      <w:r w:rsidRPr="00087A72">
        <w:rPr>
          <w:sz w:val="12"/>
        </w:rPr>
        <w:t xml:space="preserve"> Pono was replaced by constitutionality. Mana surrendered to Gramscian hegemony. “Today tribal constitutions define who shall represent the tribe in its relations with the outside world. No quality is needed to assume leadership, except the ability to win elections. Consequently, tribal elections have become one of the dirtiest forms of human activity in existence” (God Is Red 260). </w:t>
      </w:r>
      <w:r w:rsidRPr="00087A72">
        <w:rPr>
          <w:rStyle w:val="Emphasis"/>
        </w:rPr>
        <w:t>The imposition of civil society on the Native body politic is both devastating and parasitic; devastating in that it [debilitates]</w:t>
      </w:r>
      <w:r w:rsidRPr="00087A72">
        <w:rPr>
          <w:sz w:val="12"/>
        </w:rPr>
        <w:t xml:space="preserve"> </w:t>
      </w:r>
      <w:r w:rsidRPr="00087A72">
        <w:rPr>
          <w:dstrike/>
          <w:sz w:val="12"/>
        </w:rPr>
        <w:t>cripples</w:t>
      </w:r>
      <w:r w:rsidRPr="00087A72">
        <w:rPr>
          <w:sz w:val="12"/>
        </w:rPr>
        <w:t xml:space="preserve"> </w:t>
      </w:r>
      <w:r w:rsidRPr="00087A72">
        <w:rPr>
          <w:rStyle w:val="Emphasis"/>
        </w:rPr>
        <w:t>the ability of Native people to think their bodies and their subjective relations through rubrics of their own cultural imaginary, and parasitic in that it requires Native people to perform a pageantry of social mimicry. Settler civil society feeds off of this mimicry</w:t>
      </w:r>
      <w:r w:rsidRPr="00087A72">
        <w:rPr>
          <w:sz w:val="12"/>
        </w:rPr>
        <w:t xml:space="preserve">, not in obvious and straightforward ways. In other words, Settlers do not develop a sense that the content of the Settler/“Savage” conflict has been miraculously laid to rest. The affective intensity of White progressive nd conservative ire catalyzed by the recent development of gambling casinos or land use disputes evinces civil society’s awareness that “The Indian Wars” are ongoing. </w:t>
      </w:r>
      <w:r w:rsidRPr="00087A72">
        <w:rPr>
          <w:rStyle w:val="StyleUnderline"/>
        </w:rPr>
        <w:t>What Settler civil society is able to feed off of, however, is a condition in which Indians must now compose their imaginary of the Settler/“Savage” centuries’ old conflict</w:t>
      </w:r>
      <w:r w:rsidRPr="00087A72">
        <w:rPr>
          <w:sz w:val="12"/>
        </w:rPr>
        <w:t>—in other words, they must enunciate their Sovereign demands—</w:t>
      </w:r>
      <w:r w:rsidRPr="00087A72">
        <w:rPr>
          <w:rStyle w:val="StyleUnderline"/>
        </w:rPr>
        <w:t>through hegemony’s ensemble of questions and ethical dilemmas that ontologically enable the Settler and devastate the “Savage.</w:t>
      </w:r>
      <w:r w:rsidRPr="00087A72">
        <w:rPr>
          <w:sz w:val="12"/>
        </w:rPr>
        <w:t xml:space="preserve">” The content of the conflict is of little importance when the modality of simply having the conflict fortifies and extends the interlocutory life of only one combatant. </w:t>
      </w:r>
      <w:r w:rsidRPr="00087A72">
        <w:rPr>
          <w:rStyle w:val="Emphasis"/>
        </w:rPr>
        <w:t>Indian governance</w:t>
      </w:r>
      <w:r w:rsidRPr="00087A72">
        <w:rPr>
          <w:sz w:val="12"/>
        </w:rPr>
        <w:t xml:space="preserve">, then, not only functions as the corpse of tribal society in the ways described by Deloria and Trask, but </w:t>
      </w:r>
      <w:r w:rsidRPr="00087A72">
        <w:rPr>
          <w:rStyle w:val="Emphasis"/>
        </w:rPr>
        <w:t>lays its body down as a host on which White ethical aggrandizement can feed and through which the collective ego of Settler civil society can be monumentalized.</w:t>
      </w:r>
      <w:r w:rsidRPr="00087A72">
        <w:rPr>
          <w:sz w:val="12"/>
        </w:rPr>
        <w:t xml:space="preserve"> As we saw in Chapter 2, something similar transpires between the analysand (the Master) and the Black (the Slave), though there are essential differences between the two rubrics. </w:t>
      </w:r>
    </w:p>
    <w:p w:rsidR="00254E93" w:rsidRPr="00087A72" w:rsidRDefault="00254E93" w:rsidP="00254E93">
      <w:pPr>
        <w:pStyle w:val="Heading3"/>
      </w:pPr>
      <w:r w:rsidRPr="00087A72">
        <w:t>Link – Sexuality/Desire</w:t>
      </w:r>
    </w:p>
    <w:p w:rsidR="00254E93" w:rsidRPr="00087A72" w:rsidRDefault="00254E93" w:rsidP="00254E93">
      <w:pPr>
        <w:keepNext/>
        <w:keepLines/>
        <w:spacing w:before="40" w:after="0"/>
        <w:outlineLvl w:val="3"/>
        <w:rPr>
          <w:rFonts w:eastAsiaTheme="majorEastAsia" w:cstheme="majorBidi"/>
          <w:b/>
          <w:iCs/>
          <w:sz w:val="24"/>
        </w:rPr>
      </w:pPr>
      <w:r w:rsidRPr="00087A72">
        <w:rPr>
          <w:rFonts w:eastAsiaTheme="majorEastAsia" w:cstheme="majorBidi"/>
          <w:b/>
          <w:iCs/>
          <w:sz w:val="24"/>
        </w:rPr>
        <w:t>The theorization of sexuality, sexual difference, and gender—even in its queer formations—requires the ongoing annihilation of the Indigenous body as the ante-ontological formation of polymorphous and perverse. Desire flows only upon the corpses of Native children.</w:t>
      </w:r>
    </w:p>
    <w:p w:rsidR="00254E93" w:rsidRPr="00087A72" w:rsidRDefault="00254E93" w:rsidP="00254E93">
      <w:r w:rsidRPr="00087A72">
        <w:rPr>
          <w:b/>
          <w:bCs/>
          <w:sz w:val="24"/>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48-55) NIJ</w:t>
      </w:r>
    </w:p>
    <w:p w:rsidR="00254E93" w:rsidRPr="00087A72" w:rsidRDefault="00254E93" w:rsidP="00254E93">
      <w:pPr>
        <w:rPr>
          <w:u w:val="single"/>
        </w:rPr>
      </w:pPr>
      <w:r w:rsidRPr="00087A72">
        <w:rPr>
          <w:sz w:val="12"/>
        </w:rPr>
        <w:t xml:space="preserve">My argument here is that </w:t>
      </w:r>
      <w:r w:rsidRPr="00087A72">
        <w:rPr>
          <w:u w:val="single"/>
        </w:rPr>
        <w:t>the IRS seized upon existing libidinal processes and turned them against the child, such the child’s own body became a site of/for recursive forms of (self-)betrayal. This tactic nullifies the Indigenous body as a sign/site of innocence, turning it towards lust and/as loss.</w:t>
      </w:r>
      <w:r w:rsidRPr="00087A72">
        <w:rPr>
          <w:sz w:val="12"/>
        </w:rPr>
        <w:t xml:space="preserve"> In her meditation on the Victorian cult of girlhood, Pleasures Taken: Performances of Sexuality and Loss in Victorian Photographs, Carol Mavor (1995) writes: “Children have a sexuality as complicated as anyone’s … their sexuality deserves recognition, respect, scrutiny” (1). I follow Mavor’s thinking here, though we diverge just a little at the point of her localizing this sexuality on girls, her channeling of Monique Wittig who argues: only females are sexed (19). </w:t>
      </w:r>
      <w:r w:rsidRPr="00087A72">
        <w:rPr>
          <w:u w:val="single"/>
        </w:rPr>
        <w:t>To be clear, my aim is not to recover something of indigenous child sexuality from archival traces</w:t>
      </w:r>
      <w:r w:rsidRPr="00087A72">
        <w:rPr>
          <w:sz w:val="12"/>
        </w:rPr>
        <w:t xml:space="preserve">, which, Stockton describes as “a shadowy spot on a field of light … leading us, in moments, to cloudiness and ghostliness surrounding children as figures of time” (2). </w:t>
      </w:r>
      <w:r w:rsidRPr="00087A72">
        <w:rPr>
          <w:b/>
          <w:iCs/>
          <w:sz w:val="26"/>
          <w:u w:val="single"/>
        </w:rPr>
        <w:t>My argument does not operate in the service of queerness as a category or analytic. Rather, my argument is that for the indigenous child residents of the IRS, sexuality was sutured to death, became a site of death under the purview of the death drive. This movement of colonial desire sought to segregate children from unruly polymorphous perversity and genderless (genderqueer?) indigenous subjectivity, performatively interpellating them into good French- or English-speaking, gendered subjects of colonial power and Colonial Life.</w:t>
      </w:r>
      <w:r w:rsidRPr="00087A72">
        <w:rPr>
          <w:sz w:val="12"/>
        </w:rPr>
        <w:t xml:space="preserve"> 27 </w:t>
      </w:r>
      <w:r w:rsidRPr="00087A72">
        <w:rPr>
          <w:u w:val="single"/>
        </w:rPr>
        <w:t>What Colonial Life marks here is an actualized expression of successful interpellation into civility and citizenship from which Indigenous and Aboriginal children were always already permanently barred. The sexuality of children is already a slender and tenuous archival object.</w:t>
      </w:r>
      <w:r w:rsidRPr="00087A72">
        <w:rPr>
          <w:sz w:val="12"/>
        </w:rPr>
        <w:t xml:space="preserve"> In the Freudian sense, it is present insofar as it is repressed. </w:t>
      </w:r>
      <w:r w:rsidRPr="00087A72">
        <w:rPr>
          <w:u w:val="single"/>
        </w:rPr>
        <w:t>The sexuality of captive children under the purview of the Colonial dictum to ‘kill the Indian in the Child’, to expose the Indian within the child to death, a interpellative call towards innocence that, for logistical, linguistic, and structural reasons was manifestly impossible, seems impossible to retrieve. The excessive presence of sexual violence and gratuitous forms of physical punishment (i.e. shackling students together and locking them together in a room with very little food for days, whipping students on the face and head, strapping them into an electric chair, forcing them to eat nothing but vomit for a number of days) are so extreme in the colonial sexuality/violence/drive for mastery they index that they overwrite Indigenous child sexuality to the brink of disappearance, or, worse, unthinkability. These sexual non-sexual traces that lead from of scenes of primal violence are so horrific they seem not to have happened. This is a refracted and shattered landscape littered with loops and patterns which, in the barest of ways, speaks of the sexual violence in everyday things</w:t>
      </w:r>
      <w:r w:rsidRPr="00087A72">
        <w:rPr>
          <w:sz w:val="12"/>
        </w:rPr>
        <w:t xml:space="preserve">: here, bed-wetting remainders the sexual violence of the dormitory, and the libidinal energies of bullies reiterates with a difference the abuses operating elsewhere, a slip-sliding chain that enacts bodily betrayal like a contagion. </w:t>
      </w:r>
      <w:r w:rsidRPr="00087A72">
        <w:rPr>
          <w:u w:val="single"/>
        </w:rPr>
        <w:t>Sexuality is diffused through the violent practices of hair-cutting, the killing terror of cold, of hunger, and diseases that stunted growth and caused children to seem to ‘fade away,’ in extreme forms of corporeal punishment, and the suggestive ways students sought escape.</w:t>
      </w:r>
      <w:r w:rsidRPr="00087A72">
        <w:rPr>
          <w:sz w:val="12"/>
        </w:rPr>
        <w:t xml:space="preserve"> Through the reading practice of psychoanalysis, the diffused traces of sexuality can be, if not brought out of concealment precisely, at least read interpretively beyond the frameworks within which colonial lives were made to mean. These (recursive) traces, as well as the ideological motives that impel contemporary work in these and other archives, return us to first principles: First, </w:t>
      </w:r>
      <w:r w:rsidRPr="00087A72">
        <w:rPr>
          <w:u w:val="single"/>
        </w:rPr>
        <w:t>the drive for mastery indexed by the excessive wide-spread violence endemic to the IRS suggests the presence of the death drive, whose logic underwrites the biopolitical colonial imperative to kill in the name of life.</w:t>
      </w:r>
      <w:r w:rsidRPr="00087A72">
        <w:rPr>
          <w:sz w:val="12"/>
        </w:rPr>
        <w:t xml:space="preserve"> Second, </w:t>
      </w:r>
      <w:r w:rsidRPr="00087A72">
        <w:rPr>
          <w:u w:val="single"/>
        </w:rPr>
        <w:t>the escalation in violence as the drive for annihilation is frustrated, satisfies itself by corralling already existing/open/available libidinal forces into appropriate patterns of repression and denial.</w:t>
      </w:r>
      <w:r w:rsidRPr="00087A72">
        <w:rPr>
          <w:sz w:val="12"/>
        </w:rPr>
        <w:t xml:space="preserve"> </w:t>
      </w:r>
      <w:r w:rsidRPr="00087A72">
        <w:rPr>
          <w:b/>
          <w:iCs/>
          <w:sz w:val="26"/>
          <w:u w:val="single"/>
        </w:rPr>
        <w:t>A non-signifying zone of negativity, Indigenous sexuality is made to repeat over and over, the slogan: no future.</w:t>
      </w:r>
      <w:r w:rsidRPr="00087A72">
        <w:rPr>
          <w:sz w:val="12"/>
        </w:rPr>
        <w:t xml:space="preserve"> In what follows I examine how the death drive operates under the particular purview of colonial power and techniques/technologies of colonization within the concentrated site of the residential school, asking: How did </w:t>
      </w:r>
      <w:r w:rsidRPr="00087A72">
        <w:rPr>
          <w:u w:val="single"/>
        </w:rPr>
        <w:t>colonial practices in the IRS make sexuality a site of death</w:t>
      </w:r>
      <w:r w:rsidRPr="00087A72">
        <w:rPr>
          <w:sz w:val="12"/>
        </w:rPr>
        <w:t xml:space="preserve">, or how did it capitalize upon and intensify the imbrications of sex and death localizing them with such density over the figure of Indigenous childhood and the bodily site of the Indigenous child? Colonial Sexuality is Child’s Play (or: fort-da: the drive to mastery) To suppose that children have no sexual life—sexual excitations and needs and a kind of satisfaction—but suddenly acquire it between the ages of twelve and fourteen, would (quite apart from any observations) be as improbably, and indeed senseless, biologically as to suppose that they brought no genitals with them into the world and only grew them at the time of puberty. What does awaken in them at this time is the reproductive function, which makes use for its purpose of physical and mental material already present. You are committing the error of confusing sexuality and reproduction and by doing so you are blocking your path to an understanding of sexuality. (Freud 2011) </w:t>
      </w:r>
      <w:r w:rsidRPr="00087A72">
        <w:rPr>
          <w:u w:val="single"/>
        </w:rPr>
        <w:t>The emergence of modern sexuality as the primary epistemological unit of biopolitics takes place, originally, in the family. The family is the interstitial referent between the regime of alliance (kinship and bloodline) and the regime of sexuality.</w:t>
      </w:r>
      <w:r w:rsidRPr="00087A72">
        <w:rPr>
          <w:sz w:val="12"/>
        </w:rPr>
        <w:t xml:space="preserve"> In The History of Sexuality, Foucault writes: “It is not exact to say that the deployment of sexuality supplanted the development of alliance. One can imagine that one day it will have replaced it, but as things stand at present, while it does not cover up the deployment of alliance, it has neither obliterated the latter nor rendered it useless. Moreover, historically it was around and on the basis of the development of alliances that the deployment of sexuality was constructed” (107). He continues: “The family is the interchange of sexuality and alliance. It conveys the law in the juridical dimension in the deployment of sexuality and it conveys the economy of pleasure, and the intensity of sensation in the regime of alliances” (108). For Foucault, </w:t>
      </w:r>
      <w:r w:rsidRPr="00087A72">
        <w:rPr>
          <w:u w:val="single"/>
        </w:rPr>
        <w:t>family is the most active site of sexuality; biopolitics doesn’t replace the family, but becomes the place where sexuality begins. What the Indian Residential Schools did was reengineer the Indigenous family, dissolving Indigenous structures of kinship—which</w:t>
      </w:r>
      <w:r w:rsidRPr="00087A72">
        <w:rPr>
          <w:sz w:val="12"/>
        </w:rPr>
        <w:t xml:space="preserve">, in the Lévi-Straussian sense of the term </w:t>
      </w:r>
      <w:r w:rsidRPr="00087A72">
        <w:rPr>
          <w:u w:val="single"/>
        </w:rPr>
        <w:t>is the way of generating a social and political structure in a society based upon affiliation, marriage, and descent. The IRS reconfigured economies of pleasure</w:t>
      </w:r>
      <w:r w:rsidRPr="00087A72">
        <w:rPr>
          <w:sz w:val="12"/>
        </w:rPr>
        <w:t xml:space="preserve">—for instance, </w:t>
      </w:r>
      <w:r w:rsidRPr="00087A72">
        <w:rPr>
          <w:u w:val="single"/>
        </w:rPr>
        <w:t>away from such operations as eating, a primary site of (erotic) pleasure. They reordered the intensity of sensation in such a way as to alienate the child from its/the regime of alliances. Through myriad technologies that even</w:t>
      </w:r>
      <w:r w:rsidRPr="00087A72">
        <w:rPr>
          <w:sz w:val="12"/>
        </w:rPr>
        <w:t xml:space="preserve">, in the instance of the St Anne’s School, </w:t>
      </w:r>
      <w:r w:rsidRPr="00087A72">
        <w:rPr>
          <w:u w:val="single"/>
        </w:rPr>
        <w:t>included an electric chair, they rewired</w:t>
      </w:r>
      <w:r w:rsidRPr="00087A72">
        <w:rPr>
          <w:sz w:val="12"/>
        </w:rPr>
        <w:t xml:space="preserve"> what Foucault calls </w:t>
      </w:r>
      <w:r w:rsidRPr="00087A72">
        <w:rPr>
          <w:u w:val="single"/>
        </w:rPr>
        <w:t>‘the intensity of sensation’ in the body of the child, who, now severed from familial ties, had only her/his body and the immediacy of her/his own bodily pain—and had only colonial maps with which to interpret and fix the coordinates of that body, that pain. As colonialism birthed the modern biopolitical</w:t>
      </w:r>
      <w:r w:rsidRPr="00087A72">
        <w:rPr>
          <w:sz w:val="12"/>
        </w:rPr>
        <w:t xml:space="preserve"> Canadian </w:t>
      </w:r>
      <w:r w:rsidRPr="00087A72">
        <w:rPr>
          <w:u w:val="single"/>
        </w:rPr>
        <w:t>nation, it concentrated tremendous violence on the site of Indigenous childhood. Through intense lines of force, it created Indigenous sexuality as an object no longer sutured to Indigenous kinship structures and historical/traditional/inherited familial background/ties. This process is traceable throughout dispersed archival sites, including: the gendered re-ordering of language-games, including the severing of traditional naming practices; the symbolic reorganization of familial relations around sexuality as taboo; the focus on the body as the locus of pain, humiliation, and sexual mortification.</w:t>
      </w:r>
      <w:r w:rsidRPr="00087A72">
        <w:rPr>
          <w:sz w:val="12"/>
        </w:rPr>
        <w:t xml:space="preserve"> In this last instance, </w:t>
      </w:r>
      <w:r w:rsidRPr="00087A72">
        <w:rPr>
          <w:u w:val="single"/>
        </w:rPr>
        <w:t>the body and its sexual capacities and energies were cast as the primary source of abjection, an abjection that had its source in the body and could only lead back there. This is a circularity, I argue, that killed/kills.</w:t>
      </w:r>
      <w:r w:rsidRPr="00087A72">
        <w:rPr>
          <w:sz w:val="12"/>
        </w:rPr>
        <w:t xml:space="preserve"> In what follows, I consider each of these examples in greater detail. Then, at the close, I consider again the drive to mastery that is the principle function of the death drive. I consider this in relation to Edelman’s slogan for queer negativity: no future. I consider these figures, and the archiviolithic force that wends its way through them, in light of Aboriginal futurities/non-futurities and (post)colonial Indigenous sexuality. Colonial Language-Games and Trickster Sexuality In Kiss of the Fur Queen, Cree Canadian poet, playwright, and novelist Tomson Highway (1998) writes: “The most explicit difference between the North American Indian languages and the European languages is that in Indian (e.g. Cree, Ojibway), there is no gender. In Cree, Ojibway, etc., unlike English, French, German etc., the male-female-neuter hierarchy is entirely absent” (i). 28 So, </w:t>
      </w:r>
      <w:r w:rsidRPr="00087A72">
        <w:rPr>
          <w:u w:val="single"/>
        </w:rPr>
        <w:t>the Indigenous child arrives in the colonial world (like) a sexual trickster. This sexuality is open-ended, adaptable, non-linear, and not yet incorporated into the Oedipal order: unruly, dangerous, heterogenous, multiple.</w:t>
      </w:r>
      <w:r w:rsidRPr="00087A72">
        <w:rPr>
          <w:sz w:val="12"/>
        </w:rPr>
        <w:t xml:space="preserve"> As pivotal and important a figure in North American Indian mythology as Christ is in the realm of Christian mythology, the trickster goes by many names and guises, is capable of performing multiple simultaneous subjectivities. Trickster is the embodiment of play. As Highway explains the role of the trickster, it is pedagogical: to teach about the nature and existence on the planet Earth, straddling both the consciousness of man and that of God, the Great Spirit (i). Born into the Cree language, Highway’s observations on the trickster in ‘the North American Indian languages’, point to important colonial- biopolitical logics that view language as the roadmap to gendering rubrics that actualize individuals into subjects of sexual difference. In so doing he underscores Ludwig Wittgenstein’s polemic in his concept of language-games, that the speaking of language is part of an activity, or a form of life. Further, he provides insight into the Euro-American understanding of what Judith Butler (1994) succinctly calls, “the structure of language, the emergence of the speaking subject through sexual differentiation and how language subsequently creates intelligibility” (69). For Wittgenstein, words have meaning depending on the uses made of them in the complex multiform activities of human life. Thus saying something in a language is analogous to making a move in the game. </w:t>
      </w:r>
      <w:r w:rsidRPr="00087A72">
        <w:rPr>
          <w:u w:val="single"/>
        </w:rPr>
        <w:t xml:space="preserve">Colonial language-games addressed, with force, the chaotic open-endedness of Indigenous sexuality and Indigenous forms of life. </w:t>
      </w:r>
      <w:r w:rsidRPr="00087A72">
        <w:rPr>
          <w:b/>
          <w:iCs/>
          <w:sz w:val="26"/>
          <w:u w:val="single"/>
        </w:rPr>
        <w:t>Indigenous languages were unilaterally prohibited in residential schools, a necessary mechanism of gendering students into French/English subjects/subjectivities.</w:t>
      </w:r>
      <w:r w:rsidRPr="00087A72">
        <w:rPr>
          <w:u w:val="single"/>
        </w:rPr>
        <w:t xml:space="preserve"> These colonial language-games suture(d) gender to sexuality, foreclosing the ludic dimensions of sexuality and the agentive capacity for gender fluidity/play. This linguistic ordering along the axis of gender/sexuality secures the symbolic position of masculine and feminine according to the law of non-contradiction. It inscribes in Indigenous psyche the Law of the Father, securing the patriarchal structure of church and nation, and organizes familial relations beneath the Master Signifier of the masculine</w:t>
      </w:r>
      <w:r w:rsidRPr="00087A72">
        <w:rPr>
          <w:sz w:val="12"/>
        </w:rPr>
        <w:t xml:space="preserve"> (Our Father who art in heaven…). Accordingly, </w:t>
      </w:r>
      <w:r w:rsidRPr="00087A72">
        <w:rPr>
          <w:u w:val="single"/>
        </w:rPr>
        <w:t>Aboriginal women who had not been married in the Christian faith were, in many instances, denied access to their children.</w:t>
      </w:r>
      <w:r w:rsidRPr="00087A72">
        <w:rPr>
          <w:sz w:val="12"/>
        </w:rPr>
        <w:t xml:space="preserve"> Particularly in the early days of the IRS, </w:t>
      </w:r>
      <w:r w:rsidRPr="00087A72">
        <w:rPr>
          <w:u w:val="single"/>
        </w:rPr>
        <w:t>marriages were arranged for graduates of the IRS with the explicit aim of severing kinship ties thereby unmooring sexuality from Indigenous family orders, making it available for biopolitical modes of management— constructing Euro-Christian families whose only ties were to the</w:t>
      </w:r>
      <w:r w:rsidRPr="00087A72">
        <w:rPr>
          <w:sz w:val="12"/>
        </w:rPr>
        <w:t xml:space="preserve"> Canadian </w:t>
      </w:r>
      <w:r w:rsidRPr="00087A72">
        <w:rPr>
          <w:u w:val="single"/>
        </w:rPr>
        <w:t>nation-state and the Christian churches. One of the most violent outcomes of residential schooling is that Indigenous children who attended residential schools from a young age became unable to communicate with their families— particularly older generations who, traditionally, played vital roles in guiding Indigenous children into the nuances of their cultures and spiritualties. Relatedly, coming of age rituals were likewise prohibited. For young women this meant transitioning into adult sexuality without the cultural rites, rituals, and narratives that traditionally accompanied this maturation. For girls, menstruation often became a scene marked with fear and shame, a scene of bodily betrayal. Colonial language-games included re-naming practices in which every student who attended IRS was stripped of her/his Indigenous name and given a Western name.</w:t>
      </w:r>
      <w:r w:rsidRPr="00087A72">
        <w:rPr>
          <w:sz w:val="12"/>
        </w:rPr>
        <w:t xml:space="preserve"> In some instances, particularly later in the IRS history, students who enrolled in the schools already possessed European names. If, however, they did not, </w:t>
      </w:r>
      <w:r w:rsidRPr="00087A72">
        <w:rPr>
          <w:u w:val="single"/>
        </w:rPr>
        <w:t>they were re-named by school officials, a linguistic form of violence that severed familial histories and social order and interpellated children into an entirely new and foreign lineage, orphaning them from their own.</w:t>
      </w:r>
      <w:r w:rsidRPr="00087A72">
        <w:rPr>
          <w:sz w:val="12"/>
        </w:rPr>
        <w:t xml:space="preserve"> Daniel Kennedy, born to the Assiniboine people, recounts: “In 1886, at the age of twelve, I was lassoed, roped, and taken to the Government School at Labret. Six months after I enrolled, I discovered to my chagrin that I had lost my name and an English name had been had been tagged on me in exchange” (173: 18). Until he had gone to school his name had been Ochankuga’he, meaning ‘pathmaker’, a name that honored a trek his grandfather had led through an historic prairie blizzard (173:19). Ochankuga’he/Kennedy continues: “The school interpreter told me ‘When you were brought here, for purposes of enrolment, you were asked to give your name and when you did, the Principal remarked that there were no letters in the alphabets to spell this little heathen’s name and no civilized tongue could pronounce it. ‘We are going to civilize him, so we will give him a civilized name,’ and that is how you acquired this brand new whiteman’s name: Daniel Kennedy” (173: 21) 29 . On his first day at school Ochankuga’he/Kennedy writes: “In keeping with the promise to civilize the little pagan, they went to work and cut off my braids, which … according to the Assiniboine traditional custom, was a token of mourning—the closer the relative, the closer the cut. After my haircut, I wondered in silence if my mother had died” (173: 22). Ochankuga’he/Kennedy’s narrative bears forth a notion of the cut in which language and action makes meaning and, in this case, severs contact. It shows us how grief and loss press were cut right into and onto the Indigenous child’s body, inscribed directly into flesh as though it were a substrata or blank surface awaiting colonial writings: a bodily terra nullius. </w:t>
      </w:r>
      <w:r w:rsidRPr="00087A72">
        <w:rPr>
          <w:u w:val="single"/>
        </w:rPr>
        <w:t>Sexuality is rooted in kinship, which is rooted in language.</w:t>
      </w:r>
      <w:r w:rsidRPr="00087A72">
        <w:rPr>
          <w:sz w:val="12"/>
        </w:rPr>
        <w:t xml:space="preserve"> Indeed Claude Levi-Strauss famously rewrote all anthropology as/into a structure of semiotics. </w:t>
      </w:r>
      <w:r w:rsidRPr="00087A72">
        <w:rPr>
          <w:u w:val="single"/>
        </w:rPr>
        <w:t>To ‘civilize’ a ‘little heathen’ is a deeply linguistic itinerary: to eradicate the sexual ambivalence/multivalence its arrival in colonial language, via Indigenous language, indicates. It is to eradicate the trickster from the Indigenous child’s lexicon of experience, from their psyche, to leave instead the indelible stamp of sexual difference. This is a mark that cuts all the way through language and onto the skin, and the bodily ego.</w:t>
      </w:r>
      <w:r w:rsidRPr="00087A72">
        <w:rPr>
          <w:sz w:val="12"/>
        </w:rPr>
        <w:t xml:space="preserve"> As Butler (1988) points out, </w:t>
      </w:r>
      <w:r w:rsidRPr="00087A72">
        <w:rPr>
          <w:b/>
          <w:iCs/>
          <w:sz w:val="26"/>
          <w:u w:val="single"/>
        </w:rPr>
        <w:t>discrete genders are part of what humanizes individuals in contemporary culture</w:t>
      </w:r>
      <w:r w:rsidRPr="00087A72">
        <w:rPr>
          <w:sz w:val="12"/>
        </w:rPr>
        <w:t xml:space="preserve"> (522). I suggest we can substitute ‘contemporary’ for ‘(post)colonial’ without sacrificing any of the phrase’s facticity. </w:t>
      </w:r>
      <w:r w:rsidRPr="00087A72">
        <w:rPr>
          <w:u w:val="single"/>
        </w:rPr>
        <w:t>Sexual difference is the colonial roadmap children were/are given to interpret their bodies.</w:t>
      </w:r>
      <w:r w:rsidRPr="00087A72">
        <w:rPr>
          <w:sz w:val="12"/>
        </w:rPr>
        <w:t xml:space="preserve"> If trickster sexuality is the latter, the biopolitical imperatives of colonial biopolitics demand the former. By foreswearing trickster sexuality, Indigenous children are barred from accessing Indigenous cosmologies which predominately feature the trickster—the hero of Indigenous mythology just as Jesus Christ is the hero figure of Euro- Christian mythology—playing a fundamental role in the act of creation. Trickster is the limitless potentiality for sexual difference (Rubin’s sexual difference) beyond sexual difference (psychoanalytic sexual difference) that cannot fit in colonial onto-epistemology. </w:t>
      </w:r>
      <w:r w:rsidRPr="00087A72">
        <w:rPr>
          <w:b/>
          <w:iCs/>
          <w:sz w:val="26"/>
          <w:u w:val="single"/>
        </w:rPr>
        <w:t>Indigenous sexuality, then, is made to stand as difference, as perversion/animality that must be humanized into rubrics of sexual difference distributed around the phallus as primary signifier. Children must be gendered, and this gender must be laminated to coordinating binary sexualities. Indigenous sexuality must, at all points, be disciplined away, must be eradicated.</w:t>
      </w:r>
      <w:r w:rsidRPr="00087A72">
        <w:rPr>
          <w:u w:val="single"/>
        </w:rPr>
        <w:t xml:space="preserve"> The total annihilation of Indigenous sexuality is impossible, with Indigeneity itself exceeding attempts to do away with it (i.e. bodies are still, through epidermal markers etc.) marked ‘Indigenous’. Thus, indigenous sexuality becomes a site of the death drive, a site at which violence re-doubles in the face of the inevitable failure to eradicate.</w:t>
      </w:r>
    </w:p>
    <w:p w:rsidR="00540BEA" w:rsidRPr="00087A72" w:rsidRDefault="00540BEA" w:rsidP="00E06E0C">
      <w:pPr>
        <w:pStyle w:val="Heading3"/>
      </w:pPr>
      <w:r w:rsidRPr="00087A72">
        <w:t>Link – Sovereignty</w:t>
      </w:r>
    </w:p>
    <w:p w:rsidR="00540BEA" w:rsidRPr="00087A72" w:rsidRDefault="00540BEA" w:rsidP="00540BEA">
      <w:pPr>
        <w:pStyle w:val="Heading4"/>
      </w:pPr>
      <w:r w:rsidRPr="00087A72">
        <w:t>Sovereignty reifies a violent form of affect that forecloses vulnerability and reifies the masculinist and anti-queer logics of settler colonialism which necessitate ongoing violence against Native people while simultaneously seducing populations into support a politics that depends on their death.</w:t>
      </w:r>
    </w:p>
    <w:p w:rsidR="00540BEA" w:rsidRPr="00087A72" w:rsidRDefault="00540BEA" w:rsidP="00540BEA">
      <w:r w:rsidRPr="00087A72">
        <w:rPr>
          <w:rStyle w:val="Style13ptBold"/>
        </w:rPr>
        <w:t>Belcourt 17</w:t>
      </w:r>
      <w:r w:rsidRPr="00087A72">
        <w:t xml:space="preserve"> (Billy Ray, 2016 Rhodes Scholar, Winner of the Griffin Prize for Poetry, and Doctoral Student at the University of Alberta “Indigenous Studies Besides Itself” </w:t>
      </w:r>
      <w:r w:rsidRPr="00087A72">
        <w:rPr>
          <w:i/>
        </w:rPr>
        <w:t xml:space="preserve">Somatechnics </w:t>
      </w:r>
      <w:r w:rsidRPr="00087A72">
        <w:t>7, no. 2, pp. 182-184) NIJ</w:t>
      </w:r>
    </w:p>
    <w:p w:rsidR="00540BEA" w:rsidRPr="00087A72" w:rsidRDefault="00540BEA" w:rsidP="00540BEA">
      <w:pPr>
        <w:rPr>
          <w:u w:val="single"/>
        </w:rPr>
      </w:pPr>
      <w:r w:rsidRPr="00087A72">
        <w:rPr>
          <w:sz w:val="12"/>
        </w:rPr>
        <w:t xml:space="preserve">In this modest note, I explore how </w:t>
      </w:r>
      <w:r w:rsidRPr="00087A72">
        <w:rPr>
          <w:rStyle w:val="StyleUnderline"/>
        </w:rPr>
        <w:t>sex talk enables us to inspect the constraints that magnetic worlds like sovereignty, self-determination and peoplehood place on Indigenous studies.</w:t>
      </w:r>
      <w:r w:rsidRPr="00087A72">
        <w:rPr>
          <w:sz w:val="12"/>
        </w:rPr>
        <w:t xml:space="preserve"> These words have spun a web of identities, theories of the political, curiosities and investments in a future that stomps some of us into the rut of social death via the genre and form of political speak. I argue that </w:t>
      </w:r>
      <w:r w:rsidRPr="00087A72">
        <w:rPr>
          <w:rStyle w:val="StyleUnderline"/>
        </w:rPr>
        <w:t>sex talk lays bare how the grammar of Indigenous studies misapprehends the tumult of everyday life. To step into the thick of the everyday in Indigenous social worlds, to do away with the fantasy of ‘the body’ as an anthropological given, thus requires of us something like a practice of methodological disobedience. Sovereignty</w:t>
      </w:r>
      <w:r w:rsidRPr="00087A72">
        <w:rPr>
          <w:sz w:val="12"/>
        </w:rPr>
        <w:t xml:space="preserve">, as such, </w:t>
      </w:r>
      <w:r w:rsidRPr="00087A72">
        <w:rPr>
          <w:rStyle w:val="StyleUnderline"/>
        </w:rPr>
        <w:t xml:space="preserve">offers up </w:t>
      </w:r>
      <w:r w:rsidRPr="00087A72">
        <w:rPr>
          <w:sz w:val="12"/>
        </w:rPr>
        <w:t xml:space="preserve">what Audra Simpson (Mohawk) calls </w:t>
      </w:r>
      <w:r w:rsidRPr="00087A72">
        <w:rPr>
          <w:rStyle w:val="StyleUnderline"/>
        </w:rPr>
        <w:t>a ‘structure of apprehension’: it contains inside it a set of meta-principles about how to be in the world, it is a diagnostic and it mediates what will count for philosophical thought</w:t>
      </w:r>
      <w:r w:rsidRPr="00087A72">
        <w:rPr>
          <w:sz w:val="12"/>
        </w:rPr>
        <w:t xml:space="preserve"> (2016: 329). </w:t>
      </w:r>
      <w:r w:rsidRPr="00087A72">
        <w:rPr>
          <w:rStyle w:val="StyleUnderline"/>
        </w:rPr>
        <w:t>The lure of sovereignty emerges from a quotidian mode of putting faith in categories that make at least some sense of the muck of affective life. We want to be held by words, so we install in them enough explanatory power to hide what</w:t>
      </w:r>
      <w:r w:rsidRPr="00087A72">
        <w:rPr>
          <w:sz w:val="12"/>
        </w:rPr>
        <w:t xml:space="preserve">, following Jack Halberstam, </w:t>
      </w:r>
      <w:r w:rsidRPr="00087A72">
        <w:rPr>
          <w:rStyle w:val="StyleUnderline"/>
        </w:rPr>
        <w:t>we might call the ‘brokenness-of-being’ that is indigeneity</w:t>
      </w:r>
      <w:r w:rsidRPr="00087A72">
        <w:rPr>
          <w:sz w:val="12"/>
        </w:rPr>
        <w:t xml:space="preserve"> (2013: 5). Indeed, the editors of Natives Studies Keywords point out that sovereignty ‘has served as a rallying cry for what Native nations want and what Native scholarship should support’ (Nohelani Teves et al. 2015: 3). And, in The Erotics of Sovereignty: Queer Native Writing in the Era of Self-Determination, settler scholar Mark Rifkin almost gets at what I orbit my thinking around here when he begins from the presupposition that ‘peoplehood inheres in forms of feeling’ (2012: 4). Rifkin, however, betrays his own interest in making queer native thought animate Indigenous political life when he insists that these texts conjure ‘alternate visions of peoplehood and sovereignty’ – in fact, he bends over backwards to free these categories from the throes of the ‘administrative grid’ (2012: 4). Like me, Rifkin is set on adding words like ‘physicality,’ ‘intersubjectivity’ and ‘vulnerability’ to our rhetoric of protest (2012: 28), but unlike him I refuse to allow sovereignty to swallow these words up. For as I see it, </w:t>
      </w:r>
      <w:r w:rsidRPr="00087A72">
        <w:rPr>
          <w:rStyle w:val="StyleUnderline"/>
        </w:rPr>
        <w:t>to speak of an ‘erotics of sovereignty’ is to cloud the constitutive non-sovereignty of the sexual, how it entangles us in the breath of others and intensifies the fragilities of the self. Sex talk makes us talk about states of fragility. Unlike sovereignty, it engenders a discourse about the future that hinges on the tenuousness of being beholden to others in determining one’s sense of a livable life.</w:t>
      </w:r>
      <w:r w:rsidRPr="00087A72">
        <w:rPr>
          <w:sz w:val="12"/>
        </w:rPr>
        <w:t xml:space="preserve"> Of course, you should hear echoes of Judith Butler here and it is by way of her that I know we are caught up in a world where ‘exposure to otherness’ is relationality’s condition of possibility (2015: 16). </w:t>
      </w:r>
      <w:r w:rsidRPr="00087A72">
        <w:rPr>
          <w:rStyle w:val="StyleUnderline"/>
        </w:rPr>
        <w:t xml:space="preserve">Negative affect isn’t always bad for us, and if we incorporate them into our social theories of protest we might more honestly render the contours of being in a body that has inherited the racialised violence of being left to sit in the air like an unanswered question. </w:t>
      </w:r>
      <w:r w:rsidRPr="00087A72">
        <w:rPr>
          <w:sz w:val="12"/>
        </w:rPr>
        <w:t xml:space="preserve">It also doesn’t allow us to forget that the self cannot bear experiences like fucking and falling in love, that we shatter and are left to pick up the pieces with others. Let us consider a few stanzas from a poem called ‘Swing Set’ in Gwen Benaway’s (Anishinaabe/Me´tis) Passage: ‘bent over, legs bare / and ass shaking, / I wait for pain, / like swings / in the playground / wait for other kids / to start the rhythm / of falling and rising, / like I will when / he comes inside’ (2016: 37). The ‘rhythm of falling and rising’ is the emotional architecture of being in the world, which is brought into focus via a feedback loop of desire. Benaway participates in a form of sex talk that aims a sociological eye at pain. Here, </w:t>
      </w:r>
      <w:r w:rsidRPr="00087A72">
        <w:rPr>
          <w:rStyle w:val="StyleUnderline"/>
        </w:rPr>
        <w:t xml:space="preserve">pain is a quotidian need; it is what incites the renegade affects of sex. Love does not simply rescue us from pain; love plunges us into it. </w:t>
      </w:r>
      <w:r w:rsidRPr="00087A72">
        <w:rPr>
          <w:sz w:val="12"/>
        </w:rPr>
        <w:t xml:space="preserve">Sex talk evinces the way queerness and indigeneity, when rendered together, leave us outside ourselves. </w:t>
      </w:r>
      <w:r w:rsidRPr="00087A72">
        <w:rPr>
          <w:rStyle w:val="StyleUnderline"/>
        </w:rPr>
        <w:t xml:space="preserve">These are forms of subjectivity that drop us at the edge of the world, a place where governmentality is a horror story and all we can do is make barbed-wire noises with our mouths and hope they sound like ‘I love you’ or ‘I am sorry.’ Sovereignty too recklessly banks on good affect. It strains the terrain of affective potentiality and cherry-picks feelings that will get held up as national sentiment. In contrast, sex talk makes us talk about multitudinous forms of brokenness: I have been broken by others in a bad way, but I nonetheless want to give into the possibility of breaking apart with you, where breaking is not always-already a site of political injury but a site of a collective political becoming. </w:t>
      </w:r>
      <w:r w:rsidRPr="00087A72">
        <w:rPr>
          <w:sz w:val="12"/>
        </w:rPr>
        <w:t xml:space="preserve">This is a key thematic in my poetry: i kiss every native man / who looks at me / like i am splitting at the seams. / i tell them to call me rendered / since to rend / is to tear into pieces / is to rip and sever and split / such that one can be rendered again. / since to render / is to cause to be or to become: / an aesthetics of incarnation (Belcourt 2017). </w:t>
      </w:r>
      <w:r w:rsidRPr="00087A72">
        <w:rPr>
          <w:rStyle w:val="StyleUnderline"/>
        </w:rPr>
        <w:t>Sovereignty compels us to talk about sex as that which will free us from the maw of things that undo us. Forging a romantic life with others, however, is rarely storied by way of the good and that’s it. To talk about sex, to make it an object in Indigenous studies, would require that we do something like an Indigenous studies beside itself. This would be an Indigenous studies in which love and sex aren’t mediated by the charisma of words like sovereignty. This would be an Indigenous studies in which we could toe the line of paradox and attend to the messiness of our decolonial dreams. We want a world without suffering, but we want others to rend us too.</w:t>
      </w:r>
    </w:p>
    <w:p w:rsidR="002E63E3" w:rsidRPr="00087A72" w:rsidRDefault="002E63E3" w:rsidP="00E06E0C">
      <w:pPr>
        <w:pStyle w:val="Heading3"/>
      </w:pPr>
      <w:r w:rsidRPr="00087A72">
        <w:t>Link – State</w:t>
      </w:r>
    </w:p>
    <w:p w:rsidR="00CD7A9B" w:rsidRPr="00087A72" w:rsidRDefault="00CD7A9B" w:rsidP="00CD7A9B">
      <w:pPr>
        <w:pStyle w:val="Heading4"/>
      </w:pPr>
      <w:r w:rsidRPr="00087A72">
        <w:t>The state is foundationally invested in a settler colonial project which creates the category of the Indian to be positioned in opposition to the free expanse of land.</w:t>
      </w:r>
    </w:p>
    <w:p w:rsidR="00CD7A9B" w:rsidRPr="00087A72" w:rsidRDefault="00CD7A9B" w:rsidP="00CD7A9B">
      <w:pPr>
        <w:rPr>
          <w:i/>
        </w:rPr>
      </w:pPr>
      <w:r w:rsidRPr="00087A72">
        <w:rPr>
          <w:rStyle w:val="Style13ptBold"/>
        </w:rPr>
        <w:t xml:space="preserve">Rollo 16 </w:t>
      </w:r>
      <w:r w:rsidRPr="00087A72">
        <w:t xml:space="preserve">(Toby, Department of Political Science, University of British Columbia, Vancouver, BC, Canada. “Feral children: settler colonialism, progress, and the figure of the child.” </w:t>
      </w:r>
      <w:r w:rsidRPr="00087A72">
        <w:rPr>
          <w:i/>
        </w:rPr>
        <w:t>Settler Colonial Studies, pp. 1-3)</w:t>
      </w:r>
    </w:p>
    <w:p w:rsidR="00CD7A9B" w:rsidRPr="00087A72" w:rsidRDefault="00CD7A9B" w:rsidP="00CD7A9B">
      <w:pPr>
        <w:rPr>
          <w:b/>
          <w:u w:val="single"/>
        </w:rPr>
      </w:pPr>
      <w:r w:rsidRPr="00087A72">
        <w:rPr>
          <w:rStyle w:val="StyleUnderline"/>
        </w:rPr>
        <w:t>The violence of settler colonial dispossession and assimilation flows historically from civilizational precepts such as Manifest Destiny, terra nullius, the white man’s burden and the Doctrine of Discovery</w:t>
      </w:r>
      <w:r w:rsidRPr="00087A72">
        <w:rPr>
          <w:sz w:val="12"/>
        </w:rPr>
        <w:t xml:space="preserve">. Although formally rejected by modern governments, </w:t>
      </w:r>
      <w:r w:rsidRPr="00087A72">
        <w:rPr>
          <w:rStyle w:val="StyleUnderline"/>
        </w:rPr>
        <w:t>these principles are nevertheless preserved in the legal and political systems of contemporary settler colonial states. The figure at the heart of these colonial doctrines is the ‘Indian’, often understood as an incarnation of the ancient Greek and Roman category of the foreign barbarian whose conquest was an enduring imperial ambition</w:t>
      </w:r>
      <w:r w:rsidRPr="00087A72">
        <w:rPr>
          <w:sz w:val="12"/>
        </w:rPr>
        <w:t xml:space="preserve">.1 Yet the conceptualization of the ‘Indian’ in the context of New World settler colonialism differs significantly from this classification. </w:t>
      </w:r>
      <w:r w:rsidRPr="00087A72">
        <w:rPr>
          <w:rStyle w:val="StyleUnderline"/>
        </w:rPr>
        <w:t>Whereas the category of the barbarian reflected an ancient imperial mandate to pursue glory through conquest and slavery, the idea of the ‘Indian’ is distinguished by the modern colonial mandates of civilizational progress through dispossession and education. I argue in the following that Indigenous peoples are not conceptualized primarily as barbarian opponents of empire, but rather, the ‘Indian’ is constructed according to the ancient conception of the degraded, not fully human, child.</w:t>
      </w:r>
      <w:r w:rsidRPr="00087A72">
        <w:rPr>
          <w:sz w:val="12"/>
        </w:rPr>
        <w:t xml:space="preserve"> In the following</w:t>
      </w:r>
      <w:r w:rsidRPr="00087A72">
        <w:rPr>
          <w:rStyle w:val="StyleUnderline"/>
        </w:rPr>
        <w:t>, I use the term misopedy to refer to the denigration and subordination of children and childhood.</w:t>
      </w:r>
      <w:r w:rsidRPr="00087A72">
        <w:rPr>
          <w:sz w:val="12"/>
        </w:rPr>
        <w:t xml:space="preserve">2 Misopedy is an ancient form of social and political hierarchy. Despite the fact that ‘European xenophobic traditions such as anti-Semitism, Islamophobia, or Negrophobia are considerably older than race’,3 misopedy appears to be older still. The idea of a telos of progress from animal child to human adult is both a historical and conceptual antecedent of the idea of European civilization, prefiguring its stories about maturation and progress from cultural ignorance to enlightenment. While analyses of how race and gender relate to coloniality provide valuable insights,4 contemporary processes of settler colonial dispossession and assimilation can only be fully understood through the lens of misopedy. </w:t>
      </w:r>
      <w:r w:rsidRPr="00087A72">
        <w:rPr>
          <w:rStyle w:val="StyleUnderline"/>
        </w:rPr>
        <w:t>Just as the adult was conceptualized in contradistinction to the child as an ontological ‘other’, the ‘Indian’ came to be situated as the other of the European</w:t>
      </w:r>
      <w:r w:rsidRPr="00087A72">
        <w:rPr>
          <w:sz w:val="12"/>
        </w:rPr>
        <w:t xml:space="preserve">.5 The eighteenth-century historian, Frederich von Schiller, provides a classic illustration of </w:t>
      </w:r>
      <w:r w:rsidRPr="00087A72">
        <w:rPr>
          <w:rStyle w:val="StyleUnderline"/>
        </w:rPr>
        <w:t>how Indigenous peoples were constructed as savage ‘Indians’ through their classification as children:</w:t>
      </w:r>
      <w:r w:rsidRPr="00087A72">
        <w:rPr>
          <w:sz w:val="12"/>
        </w:rPr>
        <w:t xml:space="preserve"> The discoveries which our European seafarers have made in distant oceans and on remote shores afford us a spectacle which is as instructive as it is entertaining. They show us societies arrayed around us at various levels of development, as an adult might be surrounded by children of different ages, reminded by their example of what he himself once was and whence he started. A wise hand seems to have preserved these savage tribes until such time as we have progressed sufficiently in our own civilization to make useful application of this discovery, and from this mirror to recover the lost beginning of our race. But how embarrassing and dismal is the picture of our own childhood presented in these peoples!6 In his nineteenth-century commentary on Chief Pontiac, Francis Parkman (whom Roy Harvey Pearce called ‘the prime historian of the victory of civilization over savagism’) provides another instructive passage on the ‘Indian’ constructed as child: Pontiac was a thorough savage, and in him stand forth, in strongest light and shadow, the native faults and virtues of the Indian race. All children, says Sir Walter Scott, are naturally liars; and truth and honor are developments of later education.7 Even here, in the late eighteenth century, the construction of the native is not essentially a racial project. In the same way that Schiller depicted native ‘races’ as peoples emerging from civilizational childhood, Parkman is also clear that the virtues and vices of the native are found in all feral children of civilization, including white European ancestors, irrespective of race: Barbarism is to civilization what childhood is to maturity; and all savages, whatever may be their country, their color, or their lineage, are prone to treachery and deceit. The barbarous ancestors of our own frank and manly race are no less obnoxious to the charge than those of the cat-like Bengalee; for in this childhood of society brave men and cowards are treacherous alike.8 </w:t>
      </w:r>
      <w:r w:rsidRPr="00087A72">
        <w:rPr>
          <w:rStyle w:val="StyleUnderline"/>
        </w:rPr>
        <w:t>The colonial denial of full humanity usually takes two forms. The first is totalizing and involves the depiction of peoples as non-human animals, insects, or vermin.</w:t>
      </w:r>
      <w:r w:rsidRPr="00087A72">
        <w:rPr>
          <w:sz w:val="12"/>
        </w:rPr>
        <w:t xml:space="preserve">9 </w:t>
      </w:r>
      <w:r w:rsidRPr="00087A72">
        <w:rPr>
          <w:rStyle w:val="StyleUnderline"/>
        </w:rPr>
        <w:t>We find this discourse most ominously deployed in the context of physical genocide. The second functions much differently for it not only justifies the use of coercion and violence but frames it as an obligatory means of inducing maturity – of motivating feral or premodern peoples along the natural telos of humanity towards the fulfilment of a normative ideal of progress. The result is a form of cultural genocide.</w:t>
      </w:r>
      <w:r w:rsidRPr="00087A72">
        <w:rPr>
          <w:sz w:val="12"/>
        </w:rPr>
        <w:t xml:space="preserve"> In </w:t>
      </w:r>
      <w:r w:rsidRPr="00087A72">
        <w:rPr>
          <w:rStyle w:val="StyleUnderline"/>
        </w:rPr>
        <w:t>the context of contemporary settler colonialism, it is this second form of denial that demands greater analysis. Re-imagining Indigenous peoples as ‘Indians’ was crucial in legitimizing colonial claims to territorial sovereignty</w:t>
      </w:r>
      <w:r w:rsidRPr="00087A72">
        <w:rPr>
          <w:sz w:val="12"/>
        </w:rPr>
        <w:t>.</w:t>
      </w:r>
      <w:r w:rsidRPr="00087A72">
        <w:rPr>
          <w:rStyle w:val="StyleUnderline"/>
        </w:rPr>
        <w:t>10 The dual colonial mandates of dispossession and pacification were advanced by modelling Indigenous peoples – legally and politically – according to the only existing class of people in Western thought for whom there existed a moral obligation to provide assistance but for whom political claims were impossible: children.</w:t>
      </w:r>
      <w:r w:rsidRPr="00087A72">
        <w:rPr>
          <w:sz w:val="12"/>
        </w:rPr>
        <w:t xml:space="preserve"> Through this specific classification, a number of colonial functions that could not be accomplished by racial, ethnic, linguistic, or geographical distinctions alone were advanced. </w:t>
      </w:r>
      <w:r w:rsidRPr="00087A72">
        <w:rPr>
          <w:rStyle w:val="StyleUnderline"/>
        </w:rPr>
        <w:t>Colonial actors were fundamentally concerned with disqualifying Indigenous peoples as political agents with sufficient intelligence or reason to form political communities with legitimate claims to nationhood, land, and sovereignty</w:t>
      </w:r>
      <w:r w:rsidRPr="00087A72">
        <w:rPr>
          <w:sz w:val="12"/>
        </w:rPr>
        <w:t>. As Patrick Wolfe observes: ‘</w:t>
      </w:r>
      <w:r w:rsidRPr="00087A72">
        <w:rPr>
          <w:rStyle w:val="StyleUnderline"/>
        </w:rPr>
        <w:t>Indigenous North Americans were not killed, driven away, romanticized, assimilated, fenced in, bred White, and otherwise eliminated as the original owners of the land but as Indians.</w:t>
      </w:r>
      <w:r w:rsidRPr="00087A72">
        <w:rPr>
          <w:sz w:val="12"/>
        </w:rPr>
        <w:t xml:space="preserve">’11 Securing resource extraction, trade, commerce, and governance – European benchmarks of cultural progress – proved nearly impossible without pacification of Indigenous territories, a goal best served by the coerced education and assimilation of the ‘Indian’ in Christian faith and/or Enlightenment reason. </w:t>
      </w:r>
      <w:r w:rsidRPr="00087A72">
        <w:rPr>
          <w:rStyle w:val="StyleUnderline"/>
        </w:rPr>
        <w:t>The hierarchy and violence embodied in the forced removal and education was justified according to the doctrine of civilizational progress out of childhood.12</w:t>
      </w:r>
    </w:p>
    <w:p w:rsidR="002E63E3" w:rsidRPr="00087A72" w:rsidRDefault="002E63E3" w:rsidP="002E63E3">
      <w:pPr>
        <w:pStyle w:val="Heading4"/>
      </w:pPr>
      <w:r w:rsidRPr="00087A72">
        <w:t xml:space="preserve">The concepts of “nation-state” and “sovereignty” precludes and erases the existence of the indigenous forms of political organization. We must recognize and engage in a third state of sovereignty that exists on the boundaries of the American political system.  One that is </w:t>
      </w:r>
      <w:r w:rsidRPr="00087A72">
        <w:rPr>
          <w:rStyle w:val="Emphasis"/>
          <w:b/>
          <w:iCs/>
          <w:u w:val="none"/>
        </w:rPr>
        <w:t>inassimilable to the institutions</w:t>
      </w:r>
      <w:r w:rsidRPr="00087A72">
        <w:t>. In doing so, expose the contingencies of American colonial rule. (this card could probably be broken down into 3 shorter cards, but its whatever)</w:t>
      </w:r>
    </w:p>
    <w:p w:rsidR="002E63E3" w:rsidRPr="00087A72" w:rsidRDefault="002E63E3" w:rsidP="002E63E3">
      <w:r w:rsidRPr="00087A72">
        <w:rPr>
          <w:b/>
        </w:rPr>
        <w:t>FORTIER 15</w:t>
      </w:r>
      <w:r w:rsidRPr="00087A72">
        <w:t xml:space="preserve"> </w:t>
      </w:r>
      <w:r w:rsidRPr="00087A72">
        <w:rPr>
          <w:sz w:val="16"/>
        </w:rPr>
        <w:t>(CRAIG, “UNSETTLING MOVEMENTS: DECOLONIZING NON-INDIGENOUS RADICAL STRUGGLES IN SETTLER COLONIAL STATES.” Pp 174-195squirms)</w:t>
      </w:r>
    </w:p>
    <w:p w:rsidR="00450204" w:rsidRPr="00087A72" w:rsidRDefault="002E63E3" w:rsidP="006B227D">
      <w:pPr>
        <w:ind w:left="-5" w:right="34"/>
      </w:pPr>
      <w:r w:rsidRPr="00087A72">
        <w:rPr>
          <w:sz w:val="16"/>
        </w:rPr>
        <w:t xml:space="preserve">To Sharma and Wright (2009) relationships of solidarity between Indigenous sovereignty movements and anti-authoritarian groups appear to be incommensurable. They warn that </w:t>
      </w:r>
      <w:r w:rsidRPr="00087A72">
        <w:rPr>
          <w:rStyle w:val="Emphasis"/>
        </w:rPr>
        <w:t>the nationalisms embedded within Indigenous struggles for sovereignty are tied to modernist concepts of nationality that seek to control people’s mobility across spaces claimed by these various nations</w:t>
      </w:r>
      <w:r w:rsidRPr="00087A72">
        <w:rPr>
          <w:sz w:val="16"/>
        </w:rPr>
        <w:t xml:space="preserve">. Yet, a growing number of anti-authoritarian activists, many of whom oppose and seek to dismantle nation-states, are working to support assertions of Indigenous nationhood and sovereignty within the U.S. and Canadian settler colonial contexts. This is despite the caution that </w:t>
      </w:r>
      <w:r w:rsidRPr="00087A72">
        <w:rPr>
          <w:rStyle w:val="Emphasis"/>
        </w:rPr>
        <w:t>“some of the key aims of indigenous nationalist movements – ‘nationhood’ and sovereignty – are unable to realize decolonization</w:t>
      </w:r>
      <w:r w:rsidRPr="00087A72">
        <w:rPr>
          <w:sz w:val="16"/>
        </w:rPr>
        <w:t xml:space="preserve">” (Sharma and Wright 2009:129). Is Sharma &amp; Wright’s reading of Indigenous sovereignty movements correct or is it overstated? Is anti-authoritarian solidarity strategic or do activists understand Indigenous peoples’ evocations of sovereignty and nationhood as deviating from nationalisms tied to the nation-state? This section puts my conversations with organizers from the anti-authoritarian current into dialogue with some of the most recent theory (both academic and grassroots) on nationhood, sovereignty, autonomy, resurgence and the negotiation of just relationships between Indigenous peoples and settler society. I argue that </w:t>
      </w:r>
      <w:r w:rsidRPr="00087A72">
        <w:rPr>
          <w:rStyle w:val="Emphasis"/>
        </w:rPr>
        <w:t>there is a high degree of affinity between Indigenous concepts of sovereignty and the kinds of autonomous political formations envisioned and practiced by anti-authoritarian activists in resistance to the nation-state. These relationships of solidarity are forged in “third spaces of sovereignty” through the desire to mutually respect treaty relationships</w:t>
      </w:r>
      <w:r w:rsidRPr="00087A72">
        <w:rPr>
          <w:sz w:val="16"/>
        </w:rPr>
        <w:t xml:space="preserve">. In this chapter I ground this theory in two contemporary examples. </w:t>
      </w:r>
      <w:r w:rsidRPr="00087A72">
        <w:rPr>
          <w:rStyle w:val="Emphasis"/>
        </w:rPr>
        <w:t>First, I show how the construction of and participation in the Oshkimaadziig camp is an example of the negotiation of a third space of sovereignty that invites non-Indigenous people to work towards decolonial relationships tied to place. Second, I show how grassroots collaborations between Indigenous and non-Indigenous peoples to affirm treaty relationships are a resistance to the power of the settler state and an example of negotiating nation-to-nation relationships outside of the state structure</w:t>
      </w:r>
      <w:r w:rsidRPr="00087A72">
        <w:rPr>
          <w:sz w:val="16"/>
        </w:rPr>
        <w:t xml:space="preserve">. Many anti-authoritarian activists are conflicted by the prospects of working in support of projects that they believe are striving towards the construction of a nation- state. These activists fear that </w:t>
      </w:r>
      <w:r w:rsidRPr="00087A72">
        <w:rPr>
          <w:rStyle w:val="Emphasis"/>
        </w:rPr>
        <w:t>most forms of nationalism must be supplemented by practices of exclusion and territorial control. While projects of Indigenous nationhood and sovereignty appear on the surface to be struggles for national liberation, some believe they are guided by a neo-colonial politics of domination, exclusion, and xenophobia</w:t>
      </w:r>
      <w:r w:rsidRPr="00087A72">
        <w:rPr>
          <w:sz w:val="16"/>
        </w:rPr>
        <w:t xml:space="preserve"> (Balibar 2003; Sharma and Wright 2009). This unease is fueled, in part, by the fear that past anti-colonial struggles throughout the world have been seeped in nationalist logics seeking recognition within the global system of nation-states. Although many of these struggles achieved political decolonization, this has often taken place in the form of sovereign nation-states ruled by authoritarian, repressive and undemocratic governments that replicate the power relations of former colonial regimes. Despite these reservations, there are a number of examples where anti-authoritarian social movements have allied with nationalist groups in political struggle. For instance, anti-authoritarian activists in Canada and the United States have supported a myriad of national liberation struggles around the globe (i.e. Venezuela, Cuba, Palestine, South Africa) that seek or have achieved control of the nation-state. </w:t>
      </w:r>
      <w:r w:rsidRPr="00087A72">
        <w:rPr>
          <w:rStyle w:val="Emphasis"/>
        </w:rPr>
        <w:t>This solidarity could be explained as both an affirmation of the autonomy of oppressed groups to determine their own course of liberation and as a political strategy of weakening a common enemy. If this strategic solidarity exists to support nation liberation struggles in different parts of the world, why has it been more challenging to sustain this solidarity within the settler states these activists call home?</w:t>
      </w:r>
      <w:r w:rsidRPr="00087A72">
        <w:rPr>
          <w:sz w:val="16"/>
        </w:rPr>
        <w:t xml:space="preserve"> I suggest that the reticence of left social movements to support Indigenous sovereignty movements in Canada and the United States is fueled by the fact that Indigenous struggles for nationhood exist as both a conflict and crisis for the settler state and settler society in that they appear on the surface to challenge settler belonging (Simpson 2014). </w:t>
      </w:r>
      <w:r w:rsidRPr="00087A72">
        <w:rPr>
          <w:rStyle w:val="Emphasis"/>
          <w:b w:val="0"/>
          <w:sz w:val="16"/>
          <w:u w:val="none"/>
        </w:rPr>
        <w:t>Given that the sovereignty of Indigenous peoples</w:t>
      </w:r>
      <w:r w:rsidRPr="00087A72">
        <w:rPr>
          <w:sz w:val="16"/>
        </w:rPr>
        <w:t xml:space="preserve"> in the United States (through the Marshall decisions)</w:t>
      </w:r>
      <w:r w:rsidRPr="00087A72">
        <w:rPr>
          <w:sz w:val="16"/>
          <w:vertAlign w:val="superscript"/>
        </w:rPr>
        <w:t xml:space="preserve"> </w:t>
      </w:r>
      <w:r w:rsidRPr="00087A72">
        <w:rPr>
          <w:sz w:val="16"/>
        </w:rPr>
        <w:t>and Canada (under the rubric of ‘self-government and extinguishment of Aboriginal title) is limited by, and subject to, the sovereignty of the settler state and settler society (Day 2001), some activists within the anti-authoritarian current fear that support for Indigenous sovereignty struggles can only result in the inversion of this power structure.</w:t>
      </w:r>
      <w:r w:rsidRPr="00087A72">
        <w:rPr>
          <w:sz w:val="16"/>
          <w:vertAlign w:val="superscript"/>
        </w:rPr>
        <w:t xml:space="preserve"> </w:t>
      </w:r>
      <w:r w:rsidRPr="00087A72">
        <w:rPr>
          <w:sz w:val="16"/>
        </w:rPr>
        <w:t xml:space="preserve">Clare Bayard, an organizer with the Catalyst Centre in San Francisco, explained that these anxieties are an obstacle for some organizers in the anti-authoritarian current (particularly in the United States) to committing to relationships of solidarity with Indigenous sovereignty movements. Clare explains that </w:t>
      </w:r>
      <w:r w:rsidRPr="00087A72">
        <w:rPr>
          <w:rStyle w:val="Emphasis"/>
        </w:rPr>
        <w:t>settler activists hesitate to reach out to these movements due to the “fear of admitting that there’s something not legitimate about [us] being here, [a] fear of not just getting called on it but getting kicked out, losing your home.”</w:t>
      </w:r>
      <w:r w:rsidRPr="00087A72">
        <w:rPr>
          <w:sz w:val="16"/>
        </w:rPr>
        <w:t xml:space="preserve"> Given that most activists connect nationalism to their experiences fighting against state border policies, xenophobia, anti-Black racism, and state imperialism and wars, it is understandable that many would hesitate to support nationalist movements. </w:t>
      </w:r>
      <w:r w:rsidRPr="00087A72">
        <w:rPr>
          <w:rStyle w:val="Emphasis"/>
        </w:rPr>
        <w:t>If activists have not developed relationships with Indigenous communities, they are often guided by these logics and see evocations of nationhood and sovereignty as incommensurable with their concepts of liberation. For instance, when I discussed Indigenous nationhood and sovereignty with Leah Girardo</w:t>
      </w:r>
      <w:r w:rsidRPr="00087A72">
        <w:rPr>
          <w:sz w:val="16"/>
        </w:rPr>
        <w:t xml:space="preserve">, a white anarchist settler active in organizing in Philadelphia, Toronto and Montréal, she tried to explain how settler colonial logics seep into the feelings of fear, guilt, and entitlement that circulate among some non-Indigenous activists. </w:t>
      </w:r>
      <w:r w:rsidRPr="00087A72">
        <w:rPr>
          <w:rStyle w:val="Emphasis"/>
        </w:rPr>
        <w:t>Leah explains: [I]f you're a settler, even if you feel nervous or questioning your relationship to the land, you still feel like, "Well, I get to be here. I get to go to work." You still internalize the idea that you have some ownership over your time and place in Canada ...But then if you begin to understand [how your belonging is embedded within the settler state], suddenly that relationship is a little bit iffy. Now you are acknowledging that Indigenous people exist, you're acknowledging that there are many cultures and nations and folks who have cultural practices that are rich and alive and present and tied to this land. What is your relationship to those people and that land? Leah’s questions are pertinent because they help us think about the ways in which settler activists evade responsibility to the process of decolonization by avoiding questions of land and their investment in securing the settler colonial project.</w:t>
      </w:r>
      <w:r w:rsidRPr="00087A72">
        <w:rPr>
          <w:sz w:val="16"/>
        </w:rPr>
        <w:t xml:space="preserve"> As Tuck and Yang (2012) caution, </w:t>
      </w:r>
      <w:r w:rsidRPr="00087A72">
        <w:rPr>
          <w:rStyle w:val="Emphasis"/>
        </w:rPr>
        <w:t>these evasions are moves to innocence</w:t>
      </w:r>
      <w:r w:rsidRPr="00087A72">
        <w:rPr>
          <w:i/>
          <w:sz w:val="16"/>
        </w:rPr>
        <w:t xml:space="preserve">. </w:t>
      </w:r>
      <w:r w:rsidRPr="00087A72">
        <w:rPr>
          <w:sz w:val="16"/>
        </w:rPr>
        <w:t xml:space="preserve">They explain </w:t>
      </w:r>
      <w:r w:rsidRPr="00087A72">
        <w:rPr>
          <w:rStyle w:val="Emphasis"/>
        </w:rPr>
        <w:t>“settler moves to innocence are those strategies or positionings that attempt to relieve the settler of feelings of guilt or responsibility without giving up land or power or privilege, without having to change much at all</w:t>
      </w:r>
      <w:r w:rsidRPr="00087A72">
        <w:rPr>
          <w:sz w:val="16"/>
        </w:rPr>
        <w:t>” (Tuck and Yang 2012:10). As I have argued in earlier chapters, settler colonial logics structure the boundaries of political possibilities for non-Indigenous people. Because of this</w:t>
      </w:r>
      <w:r w:rsidRPr="00087A72">
        <w:rPr>
          <w:rStyle w:val="Emphasis"/>
        </w:rPr>
        <w:t>, non-Indigenous people struggle to imagine any project of Indigenous nationhood that does not destabilize their own belonging within decolonized territories. They see such struggles not only as incommensurable with their politics of liberation, but incommensurable with their sense of belonging on stolen lands. They are hesitant to give up their settler claims to territory for the potential of negotiating a shared decolonial future with Indigenous peoples</w:t>
      </w:r>
      <w:r w:rsidRPr="00087A72">
        <w:rPr>
          <w:sz w:val="16"/>
        </w:rPr>
        <w:t xml:space="preserve">. Arguing against these apprehensions Andrea Smith (2011) suggests, “Many indigenous nation-building projects represent a direct intervention </w:t>
      </w:r>
      <w:r w:rsidRPr="00087A72">
        <w:rPr>
          <w:i/>
          <w:sz w:val="16"/>
        </w:rPr>
        <w:t xml:space="preserve">against </w:t>
      </w:r>
      <w:r w:rsidRPr="00087A72">
        <w:rPr>
          <w:sz w:val="16"/>
        </w:rPr>
        <w:t xml:space="preserve">pro-nation- state models of governance built on exclusion and chauvinism. These theories situate indigeneity as flexible, shifting, and inclusive” (62 </w:t>
      </w:r>
      <w:r w:rsidRPr="00087A72">
        <w:rPr>
          <w:i/>
          <w:sz w:val="16"/>
        </w:rPr>
        <w:t>emphasis mine</w:t>
      </w:r>
      <w:r w:rsidRPr="00087A72">
        <w:rPr>
          <w:sz w:val="16"/>
        </w:rPr>
        <w:t>). On this point Smith is not alone, a number of Indigenous theorists show how the fluidity of Indigenous nationhood challenges Eurocentric definitions of sovereignty that are tied to the ownership of land and the control of property and populations (Alfred 2005; Monture- Angus 1999; Simpson 2014). Kahnawà:ke Mohawk scholar Taiaiake Alfred, for instance, explains, “</w:t>
      </w:r>
      <w:r w:rsidRPr="00087A72">
        <w:rPr>
          <w:rStyle w:val="Emphasis"/>
        </w:rPr>
        <w:t>Europeans should not transpose their experience with nationhood on others. I myself do not think the term accurately describes our people - only our own languages and words can do that - but it is useful in a sense; it conveys an equality of status in theory between our societies and that of the colonizer. And it reiterates the fact of our prior occupancy of this continent</w:t>
      </w:r>
      <w:r w:rsidRPr="00087A72">
        <w:rPr>
          <w:sz w:val="16"/>
        </w:rPr>
        <w:t>” (Alfred 2010). Alfred points to both a linguistic incommensurability and a political incommensurability between Indigenous conceptions of nationhood and those bound by settler colonial logics. Similarly, Syed Hussan discussed negotiating the complexities and multiplicities of Indigenous nationhood and sovereignty in building relationships of solidarity with Indigenous nations as part of No One Is Illegal-Toronto. He notes</w:t>
      </w:r>
      <w:r w:rsidRPr="00087A72">
        <w:rPr>
          <w:rStyle w:val="Emphasis"/>
        </w:rPr>
        <w:t xml:space="preserve">: The Indigenous peoples that I know, that I work with, when they use the word sovereignty some of them do and some of them don’t mean actually gaining state recognition, you know being a country and a nation-state. We’re sorta stuck with the English language and so all matters of collective autonomy are also talked about using terms like sovereignty and self-governance. </w:t>
      </w:r>
      <w:r w:rsidRPr="00087A72">
        <w:rPr>
          <w:sz w:val="16"/>
        </w:rPr>
        <w:t xml:space="preserve">I don’t want us to say that sovereignty means the same thing everywhere or that self-determination means the same thing everywhere...I think getting too attached to academic descriptions as to what sovereignty really is – is counter-productive. As both Alfred and Hussan suggest, </w:t>
      </w:r>
      <w:r w:rsidRPr="00087A72">
        <w:rPr>
          <w:rStyle w:val="Emphasis"/>
        </w:rPr>
        <w:t>the use of the terms nationhood and sovereignty to describe Indigenous projects of decolonization and resurgence is partly strategic. Indigenous peoples understand nationhood and sovereignty differently from one community to the other (and also within communities) and we cannot overlook the influence that colonialism has had on how these politics are taken up from nation to nation.</w:t>
      </w:r>
      <w:r w:rsidRPr="00087A72">
        <w:rPr>
          <w:sz w:val="16"/>
        </w:rPr>
        <w:t xml:space="preserve"> There are indeed multiple and contradictory interpretation of nationhood and sovereignty among Indigenous peoples, but the same is also true for settlers, including activists within the anti-authoritarian current. Some projects of Indigenous sovereignty are struggles for nation-state recognition. However, quite often </w:t>
      </w:r>
      <w:r w:rsidRPr="00087A72">
        <w:rPr>
          <w:rStyle w:val="Emphasis"/>
        </w:rPr>
        <w:t xml:space="preserve">Indigenous peoples speak of nationhood and sovereignty because they are terms that the settler state and settler society can understand. They are discursive and political interruptions of settler sovereignty precisely through the invocation of longstanding Indigenous relations to place. </w:t>
      </w:r>
      <w:r w:rsidRPr="00087A72">
        <w:rPr>
          <w:rStyle w:val="Emphasis"/>
          <w:b w:val="0"/>
          <w:sz w:val="16"/>
          <w:u w:val="none"/>
        </w:rPr>
        <w:t>Ke</w:t>
      </w:r>
      <w:r w:rsidRPr="00087A72">
        <w:rPr>
          <w:sz w:val="16"/>
        </w:rPr>
        <w:t xml:space="preserve">vin Bruyneel (2007) suggests that </w:t>
      </w:r>
      <w:r w:rsidRPr="00087A72">
        <w:rPr>
          <w:rStyle w:val="Emphasis"/>
        </w:rPr>
        <w:t>Indigenous resistance to settler sovereignty works across the spatial and temporal boundaries of the settler state by demanding rights and resources from its governments while also challenging the imposition of colonial rule on their lives through the invocation of “other” sovereignties. This is not an instance of dual sovereignty whereby two sovereign nations co-exist within one territory, as suggested by Asch (2014) and Ivison (2003), but rather something else. Bruyneel (2007) calls this resistance: A ‘third space of sovereignty’ that resides neither simply inside nor outside the American political system but rather exists on these very boundaries, exposing both the practices and the contingencies of American colonial rule. This is a supplemental space, inassimilable to the institutions and discourse of the modern liberal democratic settlerstate and nation (xvii</w:t>
      </w:r>
      <w:r w:rsidRPr="00087A72">
        <w:rPr>
          <w:sz w:val="16"/>
        </w:rPr>
        <w:t>). While Bruyneel speaks specifically within the United States, it is clear that this applies equally to Canada and perhaps other settler colonial contexts as well. Barker (2015) argues that Indigenous peoples’ traditions and strategies of resistance in Canada and the United States constitute a parallel affective process. For Barker</w:t>
      </w:r>
      <w:r w:rsidRPr="00087A72">
        <w:rPr>
          <w:rStyle w:val="Emphasis"/>
        </w:rPr>
        <w:t xml:space="preserve">, the third space of sovereignty can be negotiated in a multitude of ways </w:t>
      </w:r>
      <w:r w:rsidRPr="00087A72">
        <w:rPr>
          <w:sz w:val="16"/>
        </w:rPr>
        <w:t>and he identifies the transgressive space created by the Idle No More movements as one such example</w:t>
      </w:r>
      <w:r w:rsidRPr="00087A72">
        <w:rPr>
          <w:rStyle w:val="Emphasis"/>
        </w:rPr>
        <w:t>. This third space of sovereignty</w:t>
      </w:r>
      <w:r w:rsidRPr="00087A72">
        <w:rPr>
          <w:sz w:val="16"/>
        </w:rPr>
        <w:t xml:space="preserve">, as Barker (2015) </w:t>
      </w:r>
      <w:r w:rsidRPr="00087A72">
        <w:rPr>
          <w:rStyle w:val="Emphasis"/>
        </w:rPr>
        <w:t>suggests is not only a demand on the settler government, “but rather declares a position with respect to the entirety of Settler society, and demands that Settlers dialogue and struggle among themselves in order to respond appropriately to this Indigenous positionality</w:t>
      </w:r>
      <w:r w:rsidRPr="00087A72">
        <w:rPr>
          <w:sz w:val="16"/>
        </w:rPr>
        <w:t xml:space="preserve">” (54). These discussions were readily apparent within my interviews with organizers in the anti-authoritarian current. For instance, in my interview with Fred Burrill, a white settler social housing activist in Montréal, we discussed the responsibilities that non-Indigenous people have to engage in developing decolonial relationships that respond to Indigenous sovereignty within our own communities. He explains: [Y]ou can't be in solidarity with something if you are not anything, then you are actually just a parasite or a leach in that sense. </w:t>
      </w:r>
      <w:r w:rsidRPr="00087A72">
        <w:rPr>
          <w:rStyle w:val="Emphasis"/>
        </w:rPr>
        <w:t>So while resurgence is happening in Indigenous communities, the way that we can support it is to [create autonomy and political power in our own communities]...So that when the day comes that there are successful Indigenous uprisings on these territories, there will be some ability to have a coherent response to that as anti-colonial and anti-capitalist settler communities.</w:t>
      </w:r>
      <w:r w:rsidRPr="00087A72">
        <w:rPr>
          <w:sz w:val="16"/>
        </w:rPr>
        <w:t xml:space="preserve"> Many of the activists that I interviewed shared Fred’s viewpoint and discussed the importance of developing spaces of political autonomy in relationship with the third space of sovereignty created by Indigenous resistance to settler colonialism. They sought out examples from their own political and cultural traditions that could be seen as potentially complimentary to how Indigenous peoples understand and create these sovereignties. While many Indigenous theorists have critiqued Western conceptions of sovereignty as monolithic and incompatible with Indigenous worldviews (Grande 2004; Smith 1999), anarchist theorist Richard J.F. Day (2001) points out that there is more diversity within Western political theory than there may appear at first glance. He argues that scholars such as Taiaiake Alfred differentiate between mainstream Western concepts of sovereignty and other radical traditions. As Day (2001) suggests, “we must remember that the resources of Western social and political thought are far from exhausted by a consideration of liberal multiculturalism. There are other traditions in the West that are more open to diversity in general, and which display strong affinities with Native American political theory in particular” (188). Similarly, the participants in my research draw on long, diverse, and vast anti-authoritarian histories of imagining and practicing autonomy in the face of colonialism, white supremacy, heteropatriarchy, and absolutist state sovereignty (Ramnath 2011; Walia 2013; Day 2005; Federici 2004). In their attempt to map some of these trajectories in Western social movement history Pickerill &amp; Chatterton (2006) describe anti-authoritarian spaces seeking to constitute non-capitalist, collective forms of politics, identity and citizenship as “autonomous geographies.” </w:t>
      </w:r>
      <w:r w:rsidRPr="00087A72">
        <w:rPr>
          <w:rStyle w:val="Emphasis"/>
        </w:rPr>
        <w:t>They argue that there are many examples of these autonomous geographies in the histories of anti-authoritarianism in Europe and North America including the Diggers and Levellers, Italian Autonomism, the Situationist International, Reclaim the Streets, the Global Justice movement, as well as many other small and temporary spaces of autonomous activity.</w:t>
      </w:r>
      <w:r w:rsidRPr="00087A72">
        <w:rPr>
          <w:sz w:val="16"/>
        </w:rPr>
        <w:t xml:space="preserve"> Similarly, anarchist scholar Hakim Bey (1991) uses </w:t>
      </w:r>
      <w:r w:rsidRPr="00087A72">
        <w:rPr>
          <w:rStyle w:val="Emphasis"/>
        </w:rPr>
        <w:t xml:space="preserve">the term “Temporary Autonomous Zones” to describe the socio-political tactic of creating temporary spaces that evade formal structures of control. These autonomous spaces seek to avoid reproducing the relations of state-sovereignty through a number of practices including horizontal decision-making (Sitrin 2012), the dispersion of power (Zibechi 2010), and the claiming of the commons </w:t>
      </w:r>
      <w:r w:rsidRPr="00087A72">
        <w:rPr>
          <w:sz w:val="16"/>
        </w:rPr>
        <w:t xml:space="preserve">(Linebaugh 2014). However, as will be further elucidated in the next chapter, </w:t>
      </w:r>
      <w:r w:rsidRPr="00087A72">
        <w:rPr>
          <w:rStyle w:val="Emphasis"/>
        </w:rPr>
        <w:t>within countries like Canada and the United States, if constituted by non-Indigenous peoples, autonomous geographies must contend with whether or not such spaces break from the logics of settler colonialism that structure our relationships with Indigenous peoples and the territories on which we live</w:t>
      </w:r>
      <w:r w:rsidRPr="00087A72">
        <w:rPr>
          <w:sz w:val="16"/>
        </w:rPr>
        <w:t xml:space="preserve">. Barker &amp; Pickerill (2012) suggest that anti-authoritarian organizers bring unconscious spatial perceptions into their activism complicating the power dynamics in their relationships with Indigenous activists. For instance, </w:t>
      </w:r>
      <w:r w:rsidRPr="00087A72">
        <w:rPr>
          <w:rStyle w:val="Emphasis"/>
        </w:rPr>
        <w:t>by perceiving Indigenous assertions of nationhood and sovereignty to be incommensurable with their anti-state politics, they lack “deeper understandings of Indigenous peoples’ place-based relationships [that] can be of great importance in approaching solidarity work in place and with respect”</w:t>
      </w:r>
      <w:r w:rsidRPr="00087A72">
        <w:rPr>
          <w:sz w:val="16"/>
        </w:rPr>
        <w:t xml:space="preserve"> (1706). Barker &amp; Pickerill suggest that part of </w:t>
      </w:r>
      <w:r w:rsidRPr="00087A72">
        <w:rPr>
          <w:rStyle w:val="Emphasis"/>
        </w:rPr>
        <w:t>the problem is that non- Indigenous activists lack experience working in solidarity in place with Indigenous peoples. Without these relationships to Indigenous peoples and to place, these activists struggle to understand “Indigenous politics and governance, [its] heterogeneity and aspirations, or [its] perceptions of settler colonialism and decolonization” (1705). Given this lack of relationships, the incommensurability between Indigenous struggles for nationhood and sovereignty and anti-authoritarian social movements is partly the result of non-Indigenous people being unable to imagine societies beyond the state that are also outside of the structures of settler colonialism.</w:t>
      </w:r>
      <w:r w:rsidRPr="00087A72">
        <w:rPr>
          <w:sz w:val="16"/>
        </w:rPr>
        <w:t xml:space="preserve"> Relatedly, Simpson (2011) argues, “western theories of liberation have for the most part failed to resonate with the vast majority of Indigenous Peoples, scholars or artists. In particular, </w:t>
      </w:r>
      <w:r w:rsidRPr="00087A72">
        <w:rPr>
          <w:rStyle w:val="Emphasis"/>
        </w:rPr>
        <w:t>western-based social movement theory has failed to recognize the broader contextualizations of resistance within Indigenous thought, while also ignoring the contestation of colonialism as a starting point”</w:t>
      </w:r>
      <w:r w:rsidRPr="00087A72">
        <w:rPr>
          <w:sz w:val="16"/>
        </w:rPr>
        <w:t xml:space="preserve"> (31). If settler activists are open to and willing to have discussions and engage in practices that decolonize Indigenous/non-Indigenous relationships to each other and to the land, then perhaps there is a possibility for solidarity to occur despite this seeming impasse. Certainly the task of actually creating autonomous geographies that recognize Indigenous sovereignty remains mired in the incommensurabilities discussed above. However, as Tuck and Yang (2012) argue, we should not shy away from these incommensurabilities because “the opportunities for solidarity lie in what is incommensurable rather than what is common across these efforts” (28). In that respect, </w:t>
      </w:r>
      <w:r w:rsidRPr="00087A72">
        <w:rPr>
          <w:rStyle w:val="Emphasis"/>
        </w:rPr>
        <w:t>it is critical to delve into these incommensurabilities precisely because they offer the opportunity to build towards decolonial transformations in our relationships In this respect, the place-based reconnection and resurgence driving Indigenous sovereignty movements has the potential to radically transform anti-authoritarian struggles for space, that is if activists are willing to move beyond settler colonial logics</w:t>
      </w:r>
      <w:r w:rsidRPr="00087A72">
        <w:rPr>
          <w:sz w:val="16"/>
        </w:rPr>
        <w:t xml:space="preserve"> (Barker 2015). Through long-term relationship building with Indigenous peoples in place, some activists within the anti-authoritarian current have come to see Indigenous assertions of nationhood and sovereignty as living examples of alternative forms of governance. While they are diverse and contradictory and tinged by years of suppression by the settler colonial state, Indigenous peoples are distinctly and decidedly continuing to practice modes of governance and place-based relationships outside of the framework of the nation-state (Alfred 2005). Mostafa Henaway, an organizer with the Immigrant Workers’ Centre in Montréal explains</w:t>
      </w:r>
      <w:r w:rsidRPr="00087A72">
        <w:rPr>
          <w:rStyle w:val="Emphasis"/>
        </w:rPr>
        <w:t>: There are huge lessons for the radical left [to learn from Indigenous communities] in terms of the way that we organize outside of the state structure. Even fundamental basic concepts in terms of the idea of</w:t>
      </w:r>
      <w:r w:rsidRPr="00087A72">
        <w:rPr>
          <w:sz w:val="16"/>
        </w:rPr>
        <w:t xml:space="preserve"> - not to use that sort of language - but </w:t>
      </w:r>
      <w:r w:rsidRPr="00087A72">
        <w:rPr>
          <w:rStyle w:val="Emphasis"/>
        </w:rPr>
        <w:t>the commons</w:t>
      </w:r>
      <w:r w:rsidRPr="00087A72">
        <w:rPr>
          <w:sz w:val="16"/>
        </w:rPr>
        <w:t xml:space="preserve">, for example. </w:t>
      </w:r>
      <w:r w:rsidRPr="00087A72">
        <w:rPr>
          <w:rStyle w:val="Emphasis"/>
        </w:rPr>
        <w:t>That a community can still have a level of strength and power to decide collectively what happens with the land, what happens with its resources, what happens with its children and defend those interests. That leaves us with a lot of lessons and [Indigenous] resurgence gives us the possibility to take those lessons to our own communities</w:t>
      </w:r>
      <w:r w:rsidRPr="00087A72">
        <w:rPr>
          <w:sz w:val="16"/>
        </w:rPr>
        <w:t xml:space="preserve">. Like Mostafa, many activists in the anti-authoritarian current see developing relationships with Indigenous sovereignty movements as an opportunity to strengthen our resolve to oppose the nation-state and to also question the settler colonial logics that permeate our own notions of what an imagined post-settler-state society might look like. However, these organizers also see the importance of learning Indigenous peoples’ roles in, and connections, to place (Barker and Pickerill 2012). In reference to anarchist movements specifically, Barker and Pickerill (2012) explain, “autonomous zones and social centres can remain tactically important, but anarchists need to spend time with Indigenous peoples in place, learning the “personality” (Deloria and Wildcat 2001) of the place and the ways that Indigenous peoples perceive and interact with the entire dynamic community of place” (1718). </w:t>
      </w:r>
      <w:r w:rsidRPr="00087A72">
        <w:rPr>
          <w:rStyle w:val="Emphasis"/>
        </w:rPr>
        <w:t xml:space="preserve">This engagement with Indigenous ways of relating to place can help anti-authoritarians begin to understand the place-based relationships that differentiate autonomous zones from decolonial spaces. In participating in the third space of sovereignty, non-Indigenous radicals are challenged to relinquish their ties not only to the state but also to settler colonialism as a structuring logic of their movements. </w:t>
      </w:r>
      <w:r w:rsidRPr="00087A72">
        <w:rPr>
          <w:sz w:val="16"/>
        </w:rPr>
        <w:t xml:space="preserve">Indeed, as Jaggi Singh, an organizer with No One Is Illegal-Montréal, points out, </w:t>
      </w:r>
      <w:r w:rsidRPr="00087A72">
        <w:rPr>
          <w:rStyle w:val="Emphasis"/>
        </w:rPr>
        <w:t>“So much of our cultures, non-Native cultures and identities, are wrapped up in the notion of the nation-state, not just the nation, which can be innocuous or not, but the settler colonial nation-state. It’s pervasive, even in the radical anti-authoritarian left it’s pervasive.</w:t>
      </w:r>
      <w:r w:rsidRPr="00087A72">
        <w:rPr>
          <w:sz w:val="16"/>
        </w:rPr>
        <w:t xml:space="preserve">” As Jaggi suggests, activists on the left, including those among the anti-authoritarian current, often engage in campaigns that seek to “reclaim” the democratic origins (or at least the democratic ideals) of the state (see Graeber 2013 as a recent example) without challenging the underlying settler colonial structure imposed upon the territories on which they struggle. As Andrea Smith (2011) suggests, </w:t>
      </w:r>
      <w:r w:rsidRPr="00087A72">
        <w:rPr>
          <w:rStyle w:val="Emphasis"/>
        </w:rPr>
        <w:t>by critiquing the undemocratic decisions of a current government through an appeal to prior more democratic “American values”, these activists mask the foundational power relations of settler colonialism through which these democracies were forged. Smith argues that they do so by evoking a common settler trope – the search for “lost origins”. In this respect, Smith is referring to the lost origins of the dream of American or Canadian democracy. These “lost origins” rely on the erasures of the genocides and displacements that these “democractic” settler societies were founded upon.</w:t>
      </w:r>
      <w:r w:rsidRPr="00087A72">
        <w:rPr>
          <w:sz w:val="16"/>
        </w:rPr>
        <w:t xml:space="preserve"> This is not meant as a dismissal of the importance of these movements, but rather to highlight the fact that settler colonialism is a powerful structuring force in non-Indigenous social movement campaigns. Despite these incommensurabilities, anti-authoritarian and Indigenous movements do have a great deal in common (Alfred 2005; Day 2001). As Barker &amp; Pickerill (2011) suggest, “They share the goal of creating decolonized societies</w:t>
      </w:r>
      <w:r w:rsidRPr="00087A72">
        <w:rPr>
          <w:b/>
          <w:sz w:val="16"/>
        </w:rPr>
        <w:t xml:space="preserve">, </w:t>
      </w:r>
      <w:r w:rsidRPr="00087A72">
        <w:rPr>
          <w:sz w:val="16"/>
        </w:rPr>
        <w:t xml:space="preserve">defined by the mutual sharing of place, maintenance of social-spatial organizations commensurate with their respective cultures, and mediated through respectful protocols designed to maintain alliances across, rather than in spite of, difference” (1706). Anti-authoritarians also talk about enacting spaces of sovereignty outside of the political sovereignty of the settler colonial state. They tend, however, to avoid the terminology of “sovereignty” given how firmly it is couched in liberal democratic theory. Instead they use terms like “autonomy” and “self-determination” to explain their struggles to build spaces beyond the control of the state, a practice that is also quite prevalent among Indigenous activists. Why is this so? Perhaps the refusal to speak of liberation in terms of sovereignty is in recognition of their positionality as settlers and affirms their desire to seek liberation outside of the structures of settler colonialism – to stop being colonizers – or perhaps it is in keeping with a broader anti-state politics within anarchist political traditions. Many Indigenous peoples also use the terminology of “autonomy” and “self-determination” in favour of speaking of their struggles in terms of “sovereignty”. However, regardless of the terminology used, there is clearly an affinity between the way that Indigenous peoples speak about and enact sovereignty and how autonomy and self-determination are talked about in grassroots meetings and practiced in a number of political actions organized within the anti-authoritarian current. This is not to conflate the two processes. Indigenous sovereignties are not simply resistance to state-making societies they are also enactments of long-standing sacred relationships to place. For anti-authoritarians, autonomy and selfdetermination is more closely aligned with a break from or resistance to the nation- state, what Dixon (2014) refers to as the emerging politics of “against” and “beyond”. What seems to be generally agreed upon among those that I interviewed is that </w:t>
      </w:r>
      <w:r w:rsidRPr="00087A72">
        <w:rPr>
          <w:rStyle w:val="Emphasis"/>
        </w:rPr>
        <w:t>possibilities for solidarity with Indigenous sovereignty struggles lie in our ability to break from the settler colonial logics that have plagued past movements seeking to create autonomous spaces within settler colonial states</w:t>
      </w:r>
      <w:r w:rsidRPr="00087A72">
        <w:rPr>
          <w:sz w:val="16"/>
        </w:rPr>
        <w:t xml:space="preserve">. I introduced the Oshkimaadziig Unity Camp at the beginning of this chapter as one such attempt to enact these solidarities. I will now proceed to discuss this collaboration in further detail by suggesting that the Oshkimaadziig Unity Camp as a third space of sovereignty opens the possibilities of developing Indigenous/non- Indigenous relationships of reciprocity and mutual aid outside of the structures of the settler colonial state. The camp began as a protest against the legal resolution of the Coldwater Narrows Land Claim that took place under Canada’s Specific Land Claims process (Gardner and Giibwanisi 2014). In the settlement, four First Nations bands renounced their claims to over 10,000 acres of land in return for $307 million, currently the largest sum awarded in the history of the specific claims process. This Specific Land Claims process is the latest attempt by the Government of Canada to assert settler sovereignty and establish “certainty” of title by facilitating the extinguishment of original Indigenous title to the land (Corntassel 2012; Alfred 2005). In the face of this extinguishment, a small group of Anishinabek activists who opposed the claim founded the organization ACTION (Anishinabek Confederacy to Invoke our Nationhood) and chose Awenda Provincial Park as the site of their land reclamation. This site was chosen due to its rich Anishinabek history and the presence of a Council Fire rock where significant historic negotiations took place, with etchings dating back to 1795 (Gardner &amp; Giibwanisi 2014). As a land reclamation, Oshkimaadziig Unity Camp not only defies the Specific Land Claims process and the legitimacy of the Canadian state’s control of and its claims to these lands, it “also opens up a positive and creative space in which to build new decolonizing relations that work toward coexistence based on peace, respect, and non-interference” (Gardner &amp; Giibwanisi 2014:168). Three years after the reclamation, the camp has grown and now includes a small permanent structure built in collaboration with Toronto-based non-Indigenous activists. It has been a space to facilitate a number of discussions, teachings and skill building workshops. Giibwanisi, one of the camp founders explains, “although some of us who utilize the camp are not yet skilled hunters, trappers, medicine men, sweat lodge conductors, or anything fancy, we have begun to lay the foundation of what decolonization can look like and feel like on a personal and relational level” (Gardner &amp; Giibwanisi 2014:170). As a place for Anishinabek and other Indigenous peoples to reconnect with the land and reclaim important skills, knowledges, and relationships, the camp has also provided opportunities of healing from the intergenerational traumas caused by settler colonialism. In this way, the Oshkimaadziig Unity Camp disrupts settler colonial space by reasserting Indigenous place-based relationships and opening up the possibility of forging new relationships with settler society outside of the state. Although fairly small and humble in comparison to the reclamations at Kanehstanton, the Uni’sto’ten camp, Elsipogtog, Grassy Narrows, and Black Mesa (among many others), the camp is nonetheless an assertion of anti-statist autonomy that is forged through a disruption of settler colonial logics and spatialities (Barker 2015). The camp acts as a space of potentiality towards a decolonial future and as an assertion of a long-standing sacred order that exists outside of the settler state’s claim to sovereignty. As such, it has become an important place where longstanding treaty relationships can be revived and practiced. Treaty relationships have often been construed as nation-to-nation agreements, however, as many of the participants I interviewed in my study suggested, </w:t>
      </w:r>
      <w:r w:rsidRPr="00087A72">
        <w:rPr>
          <w:rStyle w:val="Emphasis"/>
        </w:rPr>
        <w:t>a critical part of the decolonization process is for settlers and non-Indigenous people to recognize their responsibilities to tend to treaty relationships beyond the actions of our governments</w:t>
      </w:r>
      <w:r w:rsidRPr="00087A72">
        <w:rPr>
          <w:sz w:val="16"/>
        </w:rPr>
        <w:t xml:space="preserve">. Jarvis Brownlie, a white settler organizer based in Winnipeg, described what those responsibilities look like for non-Indigenous people, particularly those who do not have significant influence over state institutions. For Jarvis, </w:t>
      </w:r>
      <w:r w:rsidRPr="00087A72">
        <w:rPr>
          <w:rStyle w:val="Emphasis"/>
        </w:rPr>
        <w:t>treaties are intimately connected to reciprocal responsibilities that require life-long commitment. They explain: You don’t just make a treaty and sign a piece of paper and it’s done, it is ongoing and has to be tended. It has to be tended by all people. It’s a radically different approach to the world, where really there are obligations and responsibilities that have to be fulfilled. That’s one of the really important aspects of decolonization is to continually tend to relationships</w:t>
      </w:r>
      <w:r w:rsidRPr="00087A72">
        <w:rPr>
          <w:sz w:val="16"/>
        </w:rPr>
        <w:t>.</w:t>
      </w:r>
    </w:p>
    <w:p w:rsidR="0022388F" w:rsidRPr="00087A72" w:rsidRDefault="0022388F" w:rsidP="00E06E0C">
      <w:pPr>
        <w:pStyle w:val="Heading3"/>
      </w:pPr>
      <w:r w:rsidRPr="00087A72">
        <w:t>Link – Surveillance</w:t>
      </w:r>
    </w:p>
    <w:p w:rsidR="0022388F" w:rsidRPr="00087A72" w:rsidRDefault="0022388F" w:rsidP="0022388F">
      <w:pPr>
        <w:pStyle w:val="Heading4"/>
      </w:pPr>
      <w:r w:rsidRPr="00087A72">
        <w:t>The intersection of biopower and sovereignty is an area used to power the vision of the future and continue the control of the colonized</w:t>
      </w:r>
    </w:p>
    <w:p w:rsidR="0022388F" w:rsidRPr="00087A72" w:rsidRDefault="0022388F" w:rsidP="0022388F">
      <w:r w:rsidRPr="00087A72">
        <w:rPr>
          <w:rStyle w:val="Style13ptBold"/>
        </w:rPr>
        <w:t xml:space="preserve">Taschereau Mamers 17 </w:t>
      </w:r>
      <w:r w:rsidRPr="00087A72">
        <w:t xml:space="preserve"> (Danielle, University of Western Ontario, Graduate in media studies "Settler Colonial Ways of Seeing: Documentary Governance of Indigenous Life in Canada and its Disruption" (2017). Electronic Thesis and Dissertation Repository. 4651. https://ir.lib.uwo.ca/etd/4651)</w:t>
      </w:r>
    </w:p>
    <w:p w:rsidR="0022388F" w:rsidRPr="00087A72" w:rsidRDefault="0022388F" w:rsidP="0022388F">
      <w:r w:rsidRPr="00087A72">
        <w:t xml:space="preserve">This </w:t>
      </w:r>
      <w:r w:rsidRPr="00087A72">
        <w:rPr>
          <w:rStyle w:val="StyleUnderline"/>
        </w:rPr>
        <w:t>dissertation engages with vision as an operation of politics, rather than as a phenomenon of optics. Taking up vision as both a process of apprehension and as a political view—or envisioning—of the world, I conceptualize ways of seeing as operating on two registers</w:t>
      </w:r>
      <w:r w:rsidRPr="00087A72">
        <w:t xml:space="preserve">. First, ways of </w:t>
      </w:r>
      <w:r w:rsidRPr="00087A72">
        <w:rPr>
          <w:rStyle w:val="StyleUnderline"/>
        </w:rPr>
        <w:t>seeing operate as the techniques, processes, and conditions that negotiate what is given to apprehension. Second, they are active in establishing a political view of the world and imagining how a contemporary state of affairs might be seen otherwise.</w:t>
      </w:r>
      <w:r w:rsidRPr="00087A72">
        <w:t xml:space="preserve"> In the context of settler colonialism in Canada, ways of 15 seeing are at work in how lands, lives, and relations are perceived—or erased—as well as in </w:t>
      </w:r>
      <w:r w:rsidRPr="00087A72">
        <w:rPr>
          <w:rStyle w:val="StyleUnderline"/>
        </w:rPr>
        <w:t>envisioning a willed settler future to come. Envisioning the settler future crucially involves making Indigenous peoples visible as disappearing and making invisible their claims to presence and to nationhood. The political work of vision is not just about making something perceptible to state gazes, but is also about the sovereign desire to compel the gaze of subjects</w:t>
      </w:r>
      <w:r w:rsidRPr="00087A72">
        <w:t xml:space="preserve">. </w:t>
      </w:r>
      <w:r w:rsidRPr="00087A72">
        <w:rPr>
          <w:rStyle w:val="StyleUnderline"/>
        </w:rPr>
        <w:t>Foucualt’s</w:t>
      </w:r>
      <w:r w:rsidRPr="00087A72">
        <w:t xml:space="preserve"> formulation of </w:t>
      </w:r>
      <w:r w:rsidRPr="00087A72">
        <w:rPr>
          <w:rStyle w:val="StyleUnderline"/>
        </w:rPr>
        <w:t>sovereignty in its disciplinary and biopolitical idioms identifies both vision and the distributed capacity for sight as key operations of power</w:t>
      </w:r>
      <w:r w:rsidRPr="00087A72">
        <w:t xml:space="preserve">. Under disciplinary sovereignty, the individual subject is the object of sight: “He is seen, but does not see; he is the object of information, never a subject in communication” (Foucault 1977, 200). The object of sight and knowledge </w:t>
      </w:r>
      <w:r w:rsidRPr="00087A72">
        <w:rPr>
          <w:rStyle w:val="StyleUnderline"/>
        </w:rPr>
        <w:t>shifts under biopolitical sovereignty and the governing sovereign gaze extends from the individual to the entire population and seeking to observe and measure general biological and social processes</w:t>
      </w:r>
      <w:r w:rsidRPr="00087A72">
        <w:t xml:space="preserve"> (Foucault 2003, 249). Foucault argues that the biopolitical operations of sovereign privilege involve “the right of death and power over life” (1990, 135). In this formulation, sovereign power deploys multiple techniques that categorize life and death: some lives are made visible as valued and worthy of protection, while others are pathologized as unhealthful, unmodern, and unnecessary. I thus </w:t>
      </w:r>
      <w:r w:rsidRPr="00087A72">
        <w:rPr>
          <w:rStyle w:val="StyleUnderline"/>
        </w:rPr>
        <w:t>characterize ways of seeing as a resource for the operations and political visions of sovereign biopower</w:t>
      </w:r>
      <w:r w:rsidRPr="00087A72">
        <w:t xml:space="preserve">. The function of vision in politics has been engaged by recent media studies scholarship. In addition to Berger and Scott, Nicholas Mirzeoff (2011) has theorized the relationship between vision and sovereignty as a “complex of visuality”, in which classification and techniques of representation contribute to practices of seeing that naturalize the authority of those who look—those agents invested with enacting the state’s gaze—and the diminish the power of the overseen. For Mirzeoff, techniques like </w:t>
      </w:r>
      <w:r w:rsidRPr="00087A72">
        <w:rPr>
          <w:rStyle w:val="Emphasis"/>
        </w:rPr>
        <w:t>mapping territory or the surveillance of laboring bodies are practices of seeing that deploy classifications to divide and organize governed people and places, but also naturalize such classifications and their effects</w:t>
      </w:r>
      <w:r w:rsidRPr="00087A72">
        <w:t xml:space="preserve"> (476). The map is presented as an objective image of the territory; the oversight of workers a neutral practice of management. Taking a similarly broad approach to seeing, Martin Jay and Sumathi 16 Ramaswamy’s recent edited collection, Empires of Vision (2014), </w:t>
      </w:r>
      <w:r w:rsidRPr="00087A72">
        <w:rPr>
          <w:rStyle w:val="StyleUnderline"/>
        </w:rPr>
        <w:t>map the ways that the production, consumption, and collection of images in multiple forms enhanced the eyes of colonizers, as well as the colonized. Vision and colonial politics, they argue, are “mutually constituted and entwined, both in the colonies and in the metropole”</w:t>
      </w:r>
      <w:r w:rsidRPr="00087A72">
        <w:t xml:space="preserve"> (2014, 4). Just as visual practices underwrite colonial governance, they are also powerful tools of decolonial imaginaries and actions. Drawing insight from these approaches, I analyze how the state uses documentary techniques to re-present to itself the subjects it seeks to colonize—that is, how the state sees Indigenous nations. In taking this broad approach to vision, my dissertation responds to Mark Reinhardt’s call to examine how “visual practices shape political life” (2012, 51). More specifically, I </w:t>
      </w:r>
      <w:r w:rsidRPr="00087A72">
        <w:rPr>
          <w:rStyle w:val="StyleUnderline"/>
        </w:rPr>
        <w:t>trace the mapping techniques, processes, and uses of seeing that have structured settler colonial politics in Canada, as well as forms of resistance to these practices. My attention to the techniques developed and used in ways of seeing brings attention to vision as a process that makes use of concrete technologies in order to conceptualize and act in the world. It is a political relation, wherein framing and techniques of looking and re-presenting are exercises of power, which can be negotiated, contested, and resisted. In theorizing settler colonial ways of seeing, this dissertation develops a method for articulating how documentary techniques are used to structure the ways particular lives become seen, and thus make material the political vision of the state. In doing so, I work to denaturalize the framing work of state techniques of seeing and re-presenting.</w:t>
      </w:r>
      <w:r w:rsidRPr="00087A72">
        <w:t xml:space="preserve"> The settler state and its agents work to realize the vision of “a better polity” in each attempt to frame Indigenous peoples and nations as instances of an “Indian problem”. However, sovereign efforts to compel subjects’ gazes can also be met with eyes that disobediently wander towards the framing operations of sovereign vision. Such wandering eyes pose the risk of gazing upon the framing work that sovereign vision wishes to leave unseen (Reinhardt 2015). Frames and the visual </w:t>
      </w:r>
      <w:r w:rsidRPr="00087A72">
        <w:rPr>
          <w:rStyle w:val="Emphasis"/>
        </w:rPr>
        <w:t>techniques used to differentiate between lives that appear as mattering and those that are made not to matter—or are erased—are never fully successfu</w:t>
      </w:r>
      <w:r w:rsidRPr="00087A72">
        <w:t>l. Frames are most powerful when they operate invisibly, but as Judith Butler notes, “to call the frame into question is to show 17 that the frame never quite contained the scene it was meant to limn” (2009, 9</w:t>
      </w:r>
      <w:r w:rsidRPr="00087A72">
        <w:rPr>
          <w:rStyle w:val="Emphasis"/>
        </w:rPr>
        <w:t xml:space="preserve">). The disruptive gazes that make visible the work of framing present opportunities for resisting sovereign efforts to govern the distinction between those who look and those who are looked at. In disrupting settler colonial ways of seeing, the artistic and activist works I analyze and the broader argument of the dissertation expose the incompleteness of sovereign frames </w:t>
      </w:r>
      <w:r w:rsidRPr="00087A72">
        <w:t xml:space="preserve">by making visible the Indigenous presence that persists in spite of the colonial politics that envisions erasure as an inevitable conclusion. </w:t>
      </w:r>
      <w:r w:rsidRPr="00087A72">
        <w:rPr>
          <w:rStyle w:val="Emphasis"/>
        </w:rPr>
        <w:t>Further, these works open up alternative ways of seeing in which Indigenous identities are multiple and self- determined</w:t>
      </w:r>
      <w:r w:rsidRPr="00087A72">
        <w:t>.</w:t>
      </w:r>
    </w:p>
    <w:p w:rsidR="00540BEA" w:rsidRPr="00087A72" w:rsidRDefault="00540BEA" w:rsidP="00E06E0C">
      <w:pPr>
        <w:pStyle w:val="Heading3"/>
      </w:pPr>
      <w:r w:rsidRPr="00087A72">
        <w:t>Link – Time</w:t>
      </w:r>
    </w:p>
    <w:p w:rsidR="00540BEA" w:rsidRPr="00087A72" w:rsidRDefault="00540BEA" w:rsidP="00540BEA">
      <w:pPr>
        <w:keepNext/>
        <w:keepLines/>
        <w:spacing w:before="40" w:after="0"/>
        <w:outlineLvl w:val="3"/>
        <w:rPr>
          <w:rFonts w:eastAsiaTheme="majorEastAsia" w:cstheme="majorBidi"/>
          <w:b/>
          <w:iCs/>
          <w:sz w:val="24"/>
        </w:rPr>
      </w:pPr>
      <w:r w:rsidRPr="00087A72">
        <w:rPr>
          <w:rFonts w:eastAsiaTheme="majorEastAsia" w:cstheme="majorBidi"/>
          <w:b/>
          <w:iCs/>
          <w:sz w:val="24"/>
        </w:rPr>
        <w:t xml:space="preserve">The Indian gives coherence to the political time of the nation – trapped in a death driven cycle of genocide, the time of the Indian does not progress, but rather remains as the quilting point for savagery and non-being. </w:t>
      </w:r>
    </w:p>
    <w:p w:rsidR="00540BEA" w:rsidRPr="00087A72" w:rsidRDefault="00540BEA" w:rsidP="00540BEA">
      <w:r w:rsidRPr="00087A72">
        <w:rPr>
          <w:b/>
          <w:bCs/>
          <w:sz w:val="24"/>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95-100) NIJ</w:t>
      </w:r>
    </w:p>
    <w:p w:rsidR="00540BEA" w:rsidRPr="00087A72" w:rsidRDefault="00540BEA" w:rsidP="00540BEA">
      <w:pPr>
        <w:rPr>
          <w:u w:val="single"/>
        </w:rPr>
      </w:pPr>
      <w:r w:rsidRPr="00087A72">
        <w:rPr>
          <w:sz w:val="12"/>
        </w:rPr>
        <w:t xml:space="preserve">Bodies Out of Time: The IRS as Time-Zone and the Production of Bare Life </w:t>
      </w:r>
      <w:r w:rsidRPr="00087A72">
        <w:rPr>
          <w:u w:val="single"/>
        </w:rPr>
        <w:t>The history of settler-colonialism and the biopolitical violence it instantiated is a history of loss</w:t>
      </w:r>
      <w:r w:rsidRPr="00087A72">
        <w:rPr>
          <w:sz w:val="12"/>
        </w:rPr>
        <w:t xml:space="preserve">, and the history of residential schools in Canada is one of its many archives. </w:t>
      </w:r>
      <w:r w:rsidRPr="00087A72">
        <w:rPr>
          <w:u w:val="single"/>
        </w:rPr>
        <w:t>The interpellative call to die</w:t>
      </w:r>
      <w:r w:rsidRPr="00087A72">
        <w:rPr>
          <w:sz w:val="12"/>
        </w:rPr>
        <w:t xml:space="preserve"> with which the Canadian Indian Residential School System announces itself </w:t>
      </w:r>
      <w:r w:rsidRPr="00087A72">
        <w:rPr>
          <w:u w:val="single"/>
        </w:rPr>
        <w:t>recapitulates a subjectivity that has been trapped, already, by and within the field of signification, and the dense network of intersubjective relations it sutures/renders legible. It is the task of our moment to think beyond the understanding of Indigeneity as that which is outside teleology, as the absolute outside of history and politics, as that which has always been dead/extinct, which positions Indigenous subjects as calculable sums that can be erased to complete a fantasy of national wholeness and completeness.</w:t>
      </w:r>
      <w:r w:rsidRPr="00087A72">
        <w:rPr>
          <w:sz w:val="12"/>
        </w:rPr>
        <w:t xml:space="preserve"> To do so, I argue, </w:t>
      </w:r>
      <w:r w:rsidRPr="00087A72">
        <w:rPr>
          <w:u w:val="single"/>
        </w:rPr>
        <w:t>we must take seriously not only the materializing force of language as it is embodied in entities such as the law, but also the uneven effect of language in carving bodies and contouring subjectivities, the effect of language as structure itself. Such analysis</w:t>
      </w:r>
      <w:r w:rsidRPr="00087A72">
        <w:rPr>
          <w:sz w:val="12"/>
        </w:rPr>
        <w:t xml:space="preserve"> not only helps us place into question the grounds for political struggle, but </w:t>
      </w:r>
      <w:r w:rsidRPr="00087A72">
        <w:rPr>
          <w:u w:val="single"/>
        </w:rPr>
        <w:t>gives us the tools to critique the all too often uninterrogated differences</w:t>
      </w:r>
      <w:r w:rsidRPr="00087A72">
        <w:rPr>
          <w:sz w:val="12"/>
        </w:rPr>
        <w:t xml:space="preserve">, which are so often constructed as the oppositions and exclusions upon which the very existence of the political as such can be thought. </w:t>
      </w:r>
      <w:r w:rsidRPr="00087A72">
        <w:rPr>
          <w:u w:val="single"/>
        </w:rPr>
        <w:t>These differences</w:t>
      </w:r>
      <w:r w:rsidRPr="00087A72">
        <w:rPr>
          <w:sz w:val="12"/>
        </w:rPr>
        <w:t xml:space="preserve"> (or, oppositions and exclusions) </w:t>
      </w:r>
      <w:r w:rsidRPr="00087A72">
        <w:rPr>
          <w:u w:val="single"/>
        </w:rPr>
        <w:t>include oppositions of temporality from spatiality temporality, apolitical “Indian time” from the political time of the body politic, as well as the body politic from its limits, what biopolitical thinker Giorgio Agamben calls zone(s) of exclusion. The zone of exclusion is central to the organization of biopolitics</w:t>
      </w:r>
      <w:r w:rsidRPr="00087A72">
        <w:rPr>
          <w:sz w:val="12"/>
        </w:rPr>
        <w:t>, which has been taken up most famously by Agamben as spatial in its logics—</w:t>
      </w:r>
      <w:r w:rsidRPr="00087A72">
        <w:rPr>
          <w:u w:val="single"/>
        </w:rPr>
        <w:t xml:space="preserve">Agamben argues that the concentration camp is, “the hidden paradigm of the political space of modernity” </w:t>
      </w:r>
      <w:r w:rsidRPr="00087A72">
        <w:rPr>
          <w:sz w:val="12"/>
        </w:rPr>
        <w:t xml:space="preserve">(Homo Sacer 123). </w:t>
      </w:r>
      <w:r w:rsidRPr="00087A72">
        <w:rPr>
          <w:u w:val="single"/>
        </w:rPr>
        <w:t>The metaphors at the center of biopolitical theories, even in instances that are explicitly spatial, are (also) distinctly temporal.</w:t>
      </w:r>
      <w:r w:rsidRPr="00087A72">
        <w:rPr>
          <w:sz w:val="12"/>
        </w:rPr>
        <w:t xml:space="preserve"> Indeed, even for Agamben, </w:t>
      </w:r>
      <w:r w:rsidRPr="00087A72">
        <w:rPr>
          <w:u w:val="single"/>
        </w:rPr>
        <w:t>the concentration camp does not designate a concrete historical place of a defined spatial unity. Instead, it symbolizes and fixes the border between what Agamben calls “bare life,” and political existence.</w:t>
      </w:r>
      <w:r w:rsidRPr="00087A72">
        <w:rPr>
          <w:sz w:val="12"/>
        </w:rPr>
        <w:t xml:space="preserve"> Accordingly, for Agamben, </w:t>
      </w:r>
      <w:r w:rsidRPr="00087A72">
        <w:rPr>
          <w:u w:val="single"/>
        </w:rPr>
        <w:t>the spatial metaphor of the concentration camp does not refer only to the Nazi death camps or contemporary and historical sites of detention, but rather any space in which “bare life” is systematically produced. Yet, what is “bare life,” if not a state of suspended animation outside the designated boundaries of the political?</w:t>
      </w:r>
      <w:r w:rsidRPr="00087A72">
        <w:rPr>
          <w:sz w:val="12"/>
        </w:rPr>
        <w:t xml:space="preserve"> I argue that in </w:t>
      </w:r>
      <w:r w:rsidRPr="00087A72">
        <w:rPr>
          <w:b/>
          <w:iCs/>
          <w:sz w:val="26"/>
          <w:u w:val="single"/>
        </w:rPr>
        <w:t>Agamben’s writings on sovereign power and “bare life,” the spatial metaphor that designates the camp as that which organizes the production of “bare life” is stretched to the point of becoming untenable by the way in which, in the modern era of politics, “bare life,” formerly on the margins of political life, shifts to its center.</w:t>
      </w:r>
      <w:r w:rsidRPr="00087A72">
        <w:rPr>
          <w:u w:val="single"/>
        </w:rPr>
        <w:t xml:space="preserve"> “Bare life” as a strictly spatial designation does not make sense in this configuration, but requires a chronological supplement. </w:t>
      </w:r>
      <w:r w:rsidRPr="00087A72">
        <w:rPr>
          <w:sz w:val="12"/>
        </w:rPr>
        <w:t xml:space="preserve">For, although its position has shifted, </w:t>
      </w:r>
      <w:r w:rsidRPr="00087A72">
        <w:rPr>
          <w:u w:val="single"/>
        </w:rPr>
        <w:t>Agamben still means “bare life” to indicate a threshold, the limit that bars homo sacer from the political. This configuration is less</w:t>
      </w:r>
      <w:r w:rsidRPr="00087A72">
        <w:rPr>
          <w:sz w:val="12"/>
        </w:rPr>
        <w:t xml:space="preserve">, I argue, </w:t>
      </w:r>
      <w:r w:rsidRPr="00087A72">
        <w:rPr>
          <w:u w:val="single"/>
        </w:rPr>
        <w:t>a spatial relationship than a temporal one, a chronopolitical one. The time of the homo sacer hangs suspended at the center of political time, thereby proving its limits.</w:t>
      </w:r>
      <w:r w:rsidRPr="00087A72">
        <w:rPr>
          <w:sz w:val="12"/>
        </w:rPr>
        <w:t xml:space="preserve"> In other words, </w:t>
      </w:r>
      <w:r w:rsidRPr="00087A72">
        <w:rPr>
          <w:u w:val="single"/>
        </w:rPr>
        <w:t>the time of the zone of exception is measured out in its difference to the time of the political—for example, the temporality of slow death in distinction to the forward-moving temporality of the body politic; the (a)political time of the Indian, versus the political time of nation.</w:t>
      </w:r>
      <w:r w:rsidRPr="00087A72">
        <w:rPr>
          <w:sz w:val="12"/>
        </w:rPr>
        <w:t xml:space="preserve"> I find it significant that even within Agamben’s explicitly spatial figuration of the political and its limits, </w:t>
      </w:r>
      <w:r w:rsidRPr="00087A72">
        <w:rPr>
          <w:u w:val="single"/>
        </w:rPr>
        <w:t xml:space="preserve">there is a register of time that undergirds both positions: the forward moving, cohesive, temporal structure of the political, and the apolitical, ahistorical circular time of the homo sacer, whose relationship to death is a continued exposure unto death, a hanging possibility that effectively freezes him in time. </w:t>
      </w:r>
      <w:r w:rsidRPr="00087A72">
        <w:rPr>
          <w:sz w:val="12"/>
        </w:rPr>
        <w:t xml:space="preserve">Let us now circle back to New Year’s Day in 1937, to a kind of death I would argue is arrested between singular and plural (four deaths becoming one, and then a part standing in for a larger whole: all of the children who died in the Canadian Indian Residential Schools). One thing a story like this does— about the boys and their flight across the frozen lake, their death(s), the way their names look on the page next to their ages, and the fact of the missing boot and sock, the rough specificity of those twenty-five meters of distance—is introduce into contemporary political thought not a single theory of “the body,” or some programmatic questions about bodies, but the singularity of the absence of these and other similarly marked child bodies from a conversation on biopolitics and colonial violence and governmentality; an intrusion that insists that this kind of disappearance is more than an instantiation of an early Canadian liberalist game of fort-da. </w:t>
      </w:r>
      <w:r w:rsidRPr="00087A72">
        <w:rPr>
          <w:u w:val="single"/>
        </w:rPr>
        <w:t>What we see so clearly demarcated in the empty spaces within (colonial) memory and archives surrounding</w:t>
      </w:r>
      <w:r w:rsidRPr="00087A72">
        <w:rPr>
          <w:sz w:val="12"/>
        </w:rPr>
        <w:t xml:space="preserve"> these </w:t>
      </w:r>
      <w:r w:rsidRPr="00087A72">
        <w:rPr>
          <w:u w:val="single"/>
        </w:rPr>
        <w:t>deaths, within the politics and practices of cruelty, violence, and excessive neglect that conditioned their possibilities, is the spaces between</w:t>
      </w:r>
      <w:r w:rsidRPr="00087A72">
        <w:rPr>
          <w:sz w:val="12"/>
        </w:rPr>
        <w:t xml:space="preserve"> the boys from </w:t>
      </w:r>
      <w:r w:rsidRPr="00087A72">
        <w:rPr>
          <w:u w:val="single"/>
        </w:rPr>
        <w:t>one another, between</w:t>
      </w:r>
      <w:r w:rsidRPr="00087A72">
        <w:rPr>
          <w:sz w:val="12"/>
        </w:rPr>
        <w:t xml:space="preserve"> their </w:t>
      </w:r>
      <w:r w:rsidRPr="00087A72">
        <w:rPr>
          <w:u w:val="single"/>
        </w:rPr>
        <w:t>bodies and home</w:t>
      </w:r>
      <w:r w:rsidRPr="00087A72">
        <w:rPr>
          <w:sz w:val="12"/>
        </w:rPr>
        <w:t xml:space="preserve">, from the absence of a sock and a boot, of appropriate winter clothing, of mittens or scarves. </w:t>
      </w:r>
      <w:r w:rsidRPr="00087A72">
        <w:rPr>
          <w:u w:val="single"/>
        </w:rPr>
        <w:t>What we come to know through the material and semiotic remains</w:t>
      </w:r>
      <w:r w:rsidRPr="00087A72">
        <w:rPr>
          <w:sz w:val="12"/>
        </w:rPr>
        <w:t xml:space="preserve"> of these boys </w:t>
      </w:r>
      <w:r w:rsidRPr="00087A72">
        <w:rPr>
          <w:u w:val="single"/>
        </w:rPr>
        <w:t>is that their bodies</w:t>
      </w:r>
      <w:r w:rsidRPr="00087A72">
        <w:rPr>
          <w:sz w:val="12"/>
        </w:rPr>
        <w:t xml:space="preserve"> (and perhaps the others whose deaths these deaths followed, the ones that followed after) </w:t>
      </w:r>
      <w:r w:rsidRPr="00087A72">
        <w:rPr>
          <w:u w:val="single"/>
        </w:rPr>
        <w:t>had already been disprized as loss itself.</w:t>
      </w:r>
      <w:r w:rsidRPr="00087A72">
        <w:rPr>
          <w:sz w:val="12"/>
        </w:rPr>
        <w:t xml:space="preserve"> Further, dying in the perpetual liminality between one home and the other, in their march across the frozen surface of Fraser Lake, the boys—Maurice Justa, Allen Willie, John Jack, and Andrew Paul—performed a traversing of the distance, in signification, that separated “Indian” and “child,” freezing to death in the impossible distance between. I have argued that </w:t>
      </w:r>
      <w:r w:rsidRPr="00087A72">
        <w:rPr>
          <w:u w:val="single"/>
        </w:rPr>
        <w:t>the temporal structure of “the child” and “the Indian,” the zone of exception within which they are partitioned away from participation, or even legibility, within the political, tells a compelling story about the rise of liberal political thought and its inflection onto—and reliance upon—settler-colonialism and the logics of empire. This conjuncture, rather than evincing a radical break between liberalism and contemporary neoliberal aggregates of sovereignty and citizenship, provides a narrative of exclusion present in the current moment and the way</w:t>
      </w:r>
      <w:r w:rsidRPr="00087A72">
        <w:rPr>
          <w:sz w:val="12"/>
        </w:rPr>
        <w:t xml:space="preserve">, particularly in Canada, </w:t>
      </w:r>
      <w:r w:rsidRPr="00087A72">
        <w:rPr>
          <w:u w:val="single"/>
        </w:rPr>
        <w:t>we continue to think about multiculturalism at the expense of interrogating the cuts and exclusions that inform the ways in which we think (about) difference.</w:t>
      </w:r>
      <w:r w:rsidRPr="00087A72">
        <w:rPr>
          <w:sz w:val="12"/>
        </w:rPr>
        <w:t xml:space="preserve"> Indeed, </w:t>
      </w:r>
      <w:r w:rsidRPr="00087A72">
        <w:rPr>
          <w:u w:val="single"/>
        </w:rPr>
        <w:t>on the logics of multiculturalism, and the exclusions and violence it perpetuates on the bodies and cultural practices conscripted to be its other, Žižek writes, “multiculturalism is a racism which empties its own position of all positive content … but nonetheless retains this position as the privileged empty point of universality from which one is able to appreciate (and depreciate) properly other particular cultures”</w:t>
      </w:r>
      <w:r w:rsidRPr="00087A72">
        <w:rPr>
          <w:sz w:val="12"/>
        </w:rPr>
        <w:t xml:space="preserve"> (The Universal Exception 171). For Žižek, “</w:t>
      </w:r>
      <w:r w:rsidRPr="00087A72">
        <w:rPr>
          <w:u w:val="single"/>
        </w:rPr>
        <w:t>the multiculturalist respect for “the Other’s specificity”</w:t>
      </w:r>
      <w:r w:rsidRPr="00087A72">
        <w:rPr>
          <w:sz w:val="12"/>
        </w:rPr>
        <w:t xml:space="preserve"> (ibid.) </w:t>
      </w:r>
      <w:r w:rsidRPr="00087A72">
        <w:rPr>
          <w:u w:val="single"/>
        </w:rPr>
        <w:t>is the very form of asserting his/her own superiority. What is provocative about this passage is that the multiculturalist occupies a temporality of universal timelessness. Others are assigned temporalities and corresponding practices, which the multiculturalist, from his/her position of smooth space-time, appreciates—in so doing, bolstering his/her own claim to universal, modern time. This is perhaps an intensification of colonial chronopolitics, an increased efficiency due at least in part to technological advances that allow the multiculturalist privileged access to consumption, to ownership over the gaze, to the kind of increased mobility that make his/her experience of time and space seem smooth and non-specific</w:t>
      </w:r>
      <w:r w:rsidRPr="00087A72">
        <w:rPr>
          <w:sz w:val="12"/>
        </w:rPr>
        <w:t xml:space="preserve"> (i.e. one airport looks like all the others; one “exotic” cultural practice seems indistinguishable for another). In this way, </w:t>
      </w:r>
      <w:r w:rsidRPr="00087A72">
        <w:rPr>
          <w:b/>
          <w:iCs/>
          <w:sz w:val="26"/>
          <w:u w:val="single"/>
        </w:rPr>
        <w:t>indigeneity is a category that adheres, coming to stand in for diverse peoples and practices, so indelibly laminated to terms like “primitive” or “anachronistic” the postcolonial imagination can barely distinguish the difference.</w:t>
      </w:r>
      <w:r w:rsidRPr="00087A72">
        <w:rPr>
          <w:sz w:val="12"/>
        </w:rPr>
        <w:t xml:space="preserve"> Indigeneity: performatively renewed in signification over and over, frozen in time, like a child who is never allowed to grow up. </w:t>
      </w:r>
      <w:r w:rsidRPr="00087A72">
        <w:rPr>
          <w:u w:val="single"/>
        </w:rPr>
        <w:t>The temporal structure of empire is a future that is never fully realized, but rather that unfolds as an ever-burgeoning newness mobilized toward the imagined horizon of a unified citizenry. This is a temporality that carries its history with it, dramatizing the story of its own genesis, and the conditions of its continuing possibility, on the corporeal and figurative stage of Aboriginal bodies. My claim is that these deaths are suggestive of the violence held at the center of contemporary</w:t>
      </w:r>
      <w:r w:rsidRPr="00087A72">
        <w:rPr>
          <w:sz w:val="12"/>
        </w:rPr>
        <w:t xml:space="preserve"> Canadian </w:t>
      </w:r>
      <w:r w:rsidRPr="00087A72">
        <w:rPr>
          <w:u w:val="single"/>
        </w:rPr>
        <w:t>liberalism, the (ongoing) racial violence through which the</w:t>
      </w:r>
      <w:r w:rsidRPr="00087A72">
        <w:rPr>
          <w:sz w:val="12"/>
        </w:rPr>
        <w:t xml:space="preserve"> Canadian </w:t>
      </w:r>
      <w:r w:rsidRPr="00087A72">
        <w:rPr>
          <w:u w:val="single"/>
        </w:rPr>
        <w:t>social-political imaginary of multiculturalism and post-racial politics is predicated. Foundational to these politics</w:t>
      </w:r>
      <w:r w:rsidRPr="00087A72">
        <w:rPr>
          <w:sz w:val="12"/>
        </w:rPr>
        <w:t xml:space="preserve">, I further contend, </w:t>
      </w:r>
      <w:r w:rsidRPr="00087A72">
        <w:rPr>
          <w:u w:val="single"/>
        </w:rPr>
        <w:t>is a dramatization of the social contract overcoming the state of nature as the enactment of the New World. This is a repetition that acts to conceal the pernicious and persisting kernel of originary injustice around which the liberal democracies of empire constitute themselves—a centrifugal motion so tropologically powerful and durable it is as if things could never be (imagined) any other way. As if the spaces between bodies on the snow were “just the way it is,” as if this kind of death was/is all there ever could be, a kind of death so recognizable it seems always to have been there.</w:t>
      </w:r>
    </w:p>
    <w:p w:rsidR="00D66B35" w:rsidRPr="00087A72" w:rsidRDefault="00D66B35" w:rsidP="00D66B35">
      <w:pPr>
        <w:pStyle w:val="Heading4"/>
      </w:pPr>
      <w:r w:rsidRPr="00087A72">
        <w:t>The affirmative’s constant call for progress is invested in a settler temporality that positions Indigenous peoples as the societal Child that never develops which justifies their pre-emptive elimination.</w:t>
      </w:r>
    </w:p>
    <w:p w:rsidR="00D66B35" w:rsidRPr="00087A72" w:rsidRDefault="00D66B35" w:rsidP="00D66B35">
      <w:pPr>
        <w:rPr>
          <w:rStyle w:val="Style13ptBold"/>
          <w:b w:val="0"/>
          <w:bCs w:val="0"/>
          <w:i/>
          <w:sz w:val="16"/>
        </w:rPr>
      </w:pPr>
      <w:r w:rsidRPr="00087A72">
        <w:rPr>
          <w:rStyle w:val="Style13ptBold"/>
        </w:rPr>
        <w:t xml:space="preserve">Rollo 16 </w:t>
      </w:r>
      <w:r w:rsidRPr="00087A72">
        <w:t xml:space="preserve">(Toby, Department of Political Science, University of British Columbia, Vancouver, BC, Canada. “Feral children: settler colonialism, progress, and the figure of the child.” </w:t>
      </w:r>
      <w:r w:rsidRPr="00087A72">
        <w:rPr>
          <w:i/>
        </w:rPr>
        <w:t>Settler Colonial Studies, pp. 12 -14)</w:t>
      </w:r>
    </w:p>
    <w:p w:rsidR="00D66B35" w:rsidRPr="00087A72" w:rsidRDefault="00D66B35" w:rsidP="00540BEA">
      <w:pPr>
        <w:rPr>
          <w:i/>
          <w:sz w:val="16"/>
        </w:rPr>
      </w:pPr>
      <w:r w:rsidRPr="00087A72">
        <w:rPr>
          <w:rStyle w:val="StyleUnderline"/>
        </w:rPr>
        <w:t xml:space="preserve">The </w:t>
      </w:r>
      <w:r w:rsidRPr="00087A72">
        <w:rPr>
          <w:rStyle w:val="Style13ptBold"/>
          <w:b w:val="0"/>
          <w:bCs w:val="0"/>
          <w:i/>
          <w:sz w:val="16"/>
        </w:rPr>
        <w:t xml:space="preserve">contemporary </w:t>
      </w:r>
      <w:r w:rsidRPr="00087A72">
        <w:rPr>
          <w:rStyle w:val="StyleUnderline"/>
        </w:rPr>
        <w:t>construction of native peoples as feral children has not changed much</w:t>
      </w:r>
      <w:r w:rsidRPr="00087A72">
        <w:rPr>
          <w:rStyle w:val="Style13ptBold"/>
          <w:b w:val="0"/>
          <w:bCs w:val="0"/>
          <w:i/>
          <w:sz w:val="16"/>
        </w:rPr>
        <w:t xml:space="preserve"> from its articulation by the social contract theorists. Since then, however, </w:t>
      </w:r>
      <w:r w:rsidRPr="00087A72">
        <w:rPr>
          <w:rStyle w:val="StyleUnderline"/>
        </w:rPr>
        <w:t>the settler colonial homology of civilizational progress has accrued a veneer of academic and scientific legitimacy that bears mention</w:t>
      </w:r>
      <w:r w:rsidRPr="00087A72">
        <w:rPr>
          <w:rStyle w:val="Style13ptBold"/>
          <w:b w:val="0"/>
          <w:bCs w:val="0"/>
          <w:i/>
          <w:sz w:val="16"/>
        </w:rPr>
        <w:t xml:space="preserve">. During the late eighteenth and nineteenth centuries, </w:t>
      </w:r>
      <w:r w:rsidRPr="00087A72">
        <w:rPr>
          <w:rStyle w:val="StyleUnderline"/>
        </w:rPr>
        <w:t>a stages view of progress coalesced in the</w:t>
      </w:r>
      <w:r w:rsidRPr="00087A72">
        <w:rPr>
          <w:rStyle w:val="Style13ptBold"/>
          <w:b w:val="0"/>
          <w:bCs w:val="0"/>
          <w:i/>
          <w:sz w:val="16"/>
        </w:rPr>
        <w:t xml:space="preserve"> philosophical work of Kant, Hegel, Mill, and Comte </w:t>
      </w:r>
      <w:r w:rsidRPr="00087A72">
        <w:rPr>
          <w:rStyle w:val="StyleUnderline"/>
        </w:rPr>
        <w:t>that explicitly premised historical, biological, and sociological understandings of cultural evolution on the development of the child.</w:t>
      </w:r>
      <w:r w:rsidRPr="00087A72">
        <w:rPr>
          <w:rStyle w:val="Style13ptBold"/>
          <w:b w:val="0"/>
          <w:bCs w:val="0"/>
          <w:i/>
          <w:sz w:val="16"/>
        </w:rPr>
        <w:t xml:space="preserve"> In his formative essay, ‘An Answer to the Question: What Is Enlightenment?’, for example, Kant argues the </w:t>
      </w:r>
      <w:r w:rsidRPr="00087A72">
        <w:rPr>
          <w:rStyle w:val="StyleUnderline"/>
        </w:rPr>
        <w:t>Enlightenment is marked by ‘man’s release from his self incurred immaturity’</w:t>
      </w:r>
      <w:r w:rsidRPr="00087A72">
        <w:rPr>
          <w:rStyle w:val="Style13ptBold"/>
          <w:b w:val="0"/>
          <w:bCs w:val="0"/>
          <w:i/>
          <w:sz w:val="16"/>
        </w:rPr>
        <w:t xml:space="preserve">.78 The terms in which he defines immaturity are telling: ‘the inability to use one’s own understanding without the guidance of another’.79 Kant’s notion of immaturity preserves virtually unaltered the political/childhood binary born in Greek and Roman antiquity and it is central to his vision, and subsequent visions, of civilizational progress. The German word translated here as immaturity (sometimes as ‘tutelage’) is unmündikeit, which has as its root mund, or mouth, and connotes the ability to speak for oneself.80 Whileman exists in a state of immaturity – without speech – we are merely ‘passive citizens’.81 Kant and his contemporaries are often criticized for espousing racist positions at the same time as they celebrate the timeless and universal nature of human rights. </w:t>
      </w:r>
      <w:r w:rsidRPr="00087A72">
        <w:rPr>
          <w:rStyle w:val="StyleUnderline"/>
        </w:rPr>
        <w:t>The issue here is the timelessness and universality of the process of maturation. The medieval homology heavily informs Kant’s view that ‘children ought to be educated, not for the present, but for a possibly improved condition of man in the future; that is, in a manner which is adapted to the idea of humanity and the whole destiny of man’.</w:t>
      </w:r>
      <w:r w:rsidRPr="00087A72">
        <w:rPr>
          <w:rStyle w:val="Style13ptBold"/>
          <w:b w:val="0"/>
          <w:bCs w:val="0"/>
          <w:i/>
          <w:sz w:val="16"/>
        </w:rPr>
        <w:t xml:space="preserve">82 </w:t>
      </w:r>
      <w:r w:rsidRPr="00087A72">
        <w:rPr>
          <w:rStyle w:val="StyleUnderline"/>
        </w:rPr>
        <w:t>Independence must be learned</w:t>
      </w:r>
      <w:r w:rsidRPr="00087A72">
        <w:rPr>
          <w:rStyle w:val="Style13ptBold"/>
          <w:b w:val="0"/>
          <w:bCs w:val="0"/>
          <w:i/>
          <w:sz w:val="16"/>
        </w:rPr>
        <w:t xml:space="preserve">, according to Kant, </w:t>
      </w:r>
      <w:r w:rsidRPr="00087A72">
        <w:rPr>
          <w:rStyle w:val="StyleUnderline"/>
        </w:rPr>
        <w:t xml:space="preserve">lest one end up like the Indigenous peoples </w:t>
      </w:r>
      <w:r w:rsidRPr="00087A72">
        <w:rPr>
          <w:rStyle w:val="Style13ptBold"/>
          <w:b w:val="0"/>
          <w:bCs w:val="0"/>
          <w:i/>
          <w:sz w:val="16"/>
        </w:rPr>
        <w:t xml:space="preserve">of what is now Tahiti, </w:t>
      </w:r>
      <w:r w:rsidRPr="00087A72">
        <w:rPr>
          <w:rStyle w:val="StyleUnderline"/>
        </w:rPr>
        <w:t>‘who remain children all their lives’</w:t>
      </w:r>
      <w:r w:rsidRPr="00087A72">
        <w:rPr>
          <w:rStyle w:val="Style13ptBold"/>
          <w:b w:val="0"/>
          <w:bCs w:val="0"/>
          <w:i/>
          <w:sz w:val="16"/>
        </w:rPr>
        <w:t xml:space="preserve">.83 </w:t>
      </w:r>
      <w:r w:rsidRPr="00087A72">
        <w:rPr>
          <w:rStyle w:val="StyleUnderline"/>
        </w:rPr>
        <w:t>He argued that the absence of a civil state indicates a lack of, or rejection of, reason and a threat to civilized people which justifies pre-emptive ‘hostile action’.</w:t>
      </w:r>
      <w:r w:rsidRPr="00087A72">
        <w:rPr>
          <w:rStyle w:val="Style13ptBold"/>
          <w:b w:val="0"/>
          <w:bCs w:val="0"/>
          <w:i/>
          <w:sz w:val="16"/>
        </w:rPr>
        <w:t xml:space="preserve">84 Like Vitoria, he </w:t>
      </w:r>
      <w:r w:rsidRPr="00087A72">
        <w:rPr>
          <w:rStyle w:val="StyleUnderline"/>
        </w:rPr>
        <w:t>sanctions violence against Indigenous peoples who, as ‘immature children’, violate the dictates of reason, as manifest in their rejection of private property and liberal rights</w:t>
      </w:r>
      <w:r w:rsidRPr="00087A72">
        <w:rPr>
          <w:rStyle w:val="Style13ptBold"/>
          <w:b w:val="0"/>
          <w:bCs w:val="0"/>
          <w:i/>
          <w:sz w:val="16"/>
        </w:rPr>
        <w:t xml:space="preserve">.85 The identical homology is carried through in the work of John Stuart Mill, who wrote in On Liberty and elsewhere that </w:t>
      </w:r>
      <w:r w:rsidRPr="00087A72">
        <w:rPr>
          <w:rStyle w:val="StyleUnderline"/>
        </w:rPr>
        <w:t>Indigenous societies, which are to be considered children, have no rights to bodily integrity or freedom from violence</w:t>
      </w:r>
      <w:r w:rsidRPr="00087A72">
        <w:rPr>
          <w:rStyle w:val="Style13ptBold"/>
          <w:b w:val="0"/>
          <w:bCs w:val="0"/>
          <w:i/>
          <w:sz w:val="16"/>
        </w:rPr>
        <w:t>.86 Mehta perfectly summarizes the colonial mandate expressed by Mill and others in the context of colonial India: ‘</w:t>
      </w:r>
      <w:r w:rsidRPr="00087A72">
        <w:rPr>
          <w:rStyle w:val="StyleUnderline"/>
        </w:rPr>
        <w:t>India is a child for which the empire offers the prospect of legitimate and progressive parentage and toward which Britain, as a parent, is similarly obligated and competent.</w:t>
      </w:r>
      <w:r w:rsidRPr="00087A72">
        <w:rPr>
          <w:rStyle w:val="Style13ptBold"/>
          <w:b w:val="0"/>
          <w:bCs w:val="0"/>
          <w:i/>
          <w:sz w:val="16"/>
        </w:rPr>
        <w:t xml:space="preserve">’87 In the hands of Hegel, the idea that shifts in political organization signal the historical progress of reason reached unprecedented heights of philosophical abstraction. For Hegel, consciousness (Mind or Spirit) is a rational force progressing from its childhood through historical stages towards maturity.88 This dialectical passage through stages is a story of maturation and growth, which Hegel believes positions Europe, and specifically modern Germany, at the apex of historical progress.89 </w:t>
      </w:r>
      <w:r w:rsidRPr="00087A72">
        <w:rPr>
          <w:rStyle w:val="StyleUnderline"/>
        </w:rPr>
        <w:t>The individual and the whole are inextricably linked in the progress of Spirit. Indeed, the potential maturity of adults is in part restricted by the maturity of the society into which they are born.90 Reason progresses by building on the past and bootstrapping philosophical self-understanding through generations, which is an auspicious circumstance for the children of Europe who inherited centuries of Western civilization; their deliverance from savage state is virtually guaranteed as a result of being born into societies representing the historical vanguard of human progress.</w:t>
      </w:r>
      <w:r w:rsidRPr="00087A72">
        <w:rPr>
          <w:rStyle w:val="Style13ptBold"/>
          <w:b w:val="0"/>
          <w:bCs w:val="0"/>
          <w:i/>
          <w:sz w:val="16"/>
        </w:rPr>
        <w:t xml:space="preserve"> The generations of intellectuals that followed Hegel were even more explicit about the structural relationship between civilizational and individual progress. In the mid-nineteenth century, Auguste Comte, the self-proclaimed father of sociology, argued </w:t>
      </w:r>
      <w:r w:rsidRPr="00087A72">
        <w:rPr>
          <w:rStyle w:val="StyleUnderline"/>
        </w:rPr>
        <w:t>that societies progress through three main stages of intellectual maturity: theological, metaphysical, and positive.91 Comte is careful to clarify that there is no mere metaphor at work in the suggestion that the progress of societies mirrors the advancement out of a state of childhood</w:t>
      </w:r>
      <w:r w:rsidRPr="00087A72">
        <w:rPr>
          <w:rStyle w:val="Style13ptBold"/>
          <w:b w:val="0"/>
          <w:bCs w:val="0"/>
          <w:i/>
          <w:sz w:val="16"/>
        </w:rPr>
        <w:t xml:space="preserve">. To have a theological or metaphysical worldview is precisely what it means to be a child. Comte’s ‘stages’ theory of human progress is important insofar as it served as the template for scientific theories of natural progress. With the publishing of Charles Darwin’s Origin of the Species in 1859, the ideas of natural selection and evolutionary change began to shift </w:t>
      </w:r>
      <w:r w:rsidRPr="00087A72">
        <w:t>intellectual discourse. Europe already</w:t>
      </w:r>
      <w:r w:rsidRPr="00087A72">
        <w:rPr>
          <w:rStyle w:val="Style13ptBold"/>
          <w:b w:val="0"/>
          <w:bCs w:val="0"/>
          <w:i/>
          <w:sz w:val="16"/>
        </w:rPr>
        <w:t xml:space="preserve"> understood itself according to an increasingly secular view of moral and political progress (in which Europe was the obvious vanguard). Darwin was familiar with Comte’s philosophy, and the emerging scientific vision of biological adaptation provided an even firmer empirical foundation for doctrines of progress. Within the burgeoning social scientific disciplines, childhood and child societies would be fixed as a stage of amorphous, irrational, savage, and even criminal state of being.92 In sciences of the mind, figures such as Sigmund Freud, Jean Piaget, Erik Erikson, and Lawrence Kohlberg proposed that children move through stages from self-centred animal instinct and desires towards abstract reasoning. Piaget advanced what he termed a ‘genetic epistemology’ according to which childhood before the age of seven was characterized by animism, or the belief that inanimate objects possessed a kind of agency.93 The view that Indigenous peoples were equivalent to European children around the age of seven was common.94 In 1979, the anthropologist C.R. Hallpike applied Piaget’s developmental stages theory directly to Indigenous peoples, arguing, as one reviewer put it, ‘that the collective representations of illiterate, unschooled, rural peoples are expressions of preoperational thought processes characteristic of two- to seven-year-old Western children, as described by Piaget’.95 </w:t>
      </w:r>
      <w:r w:rsidRPr="00087A72">
        <w:rPr>
          <w:rStyle w:val="StyleUnderline"/>
        </w:rPr>
        <w:t>The child is the cipher of the primitive, to the extent that our understanding of the savage can be discerned directly through the study of children. To that end, Freud sets out in his book Totem and Taboo ‘to deduce the original meaning of totemism from the vestiges of it remaining in childhood –</w:t>
      </w:r>
      <w:r w:rsidRPr="00087A72">
        <w:rPr>
          <w:rStyle w:val="Style13ptBold"/>
          <w:b w:val="0"/>
          <w:bCs w:val="0"/>
          <w:i/>
          <w:sz w:val="16"/>
        </w:rPr>
        <w:t xml:space="preserve"> from the hints of it which emerge in the course of the growth of our own children’.96 Modern colonial thinkers inherited the conceptual legacy of misopedy. Early New World politicians, missionaries, and scientists, fought for exclusion from the political domain and education of the savage child embodied in the ‘Indian’. The first Secretary of the Smithsonian Institution, scientist Joseph Henry, claimed that the art of Indigenous peoples demonstrated that ‘the savage is but a child in intellectual development’.97 Educators like Myron Eells agreed. He wrote in an Annual Report of the Board of Indian Commissioners in the United States that ‘in education, morals, food, houses, general civilization, and Christianity, he is a child. As a child he needs a home and a school’.98 Likewise, in a debate in the Canadian House of Commons over a bill that would enfranchise Indigenous peoples, Minister J.F. Lister laid bare the structure of misopedy at the heart of Canadian colonial project: ‘It should be rejected because the Indians are infants in the eye of the law, and are in a state of tutelage, under the control of the Government.’99 In this section, I have briefly tracked the way </w:t>
      </w:r>
      <w:r w:rsidRPr="00087A72">
        <w:rPr>
          <w:rStyle w:val="StyleUnderline"/>
        </w:rPr>
        <w:t xml:space="preserve">an ancient distinction between the animal child and the fully human adult gave rise to a homology between individual and civilizational progress. The coloniality childhood was responsible for structuring both medieval Christian and Enlightenment justifications of settler colonial dispossession. </w:t>
      </w:r>
      <w:r w:rsidRPr="00087A72">
        <w:rPr>
          <w:rStyle w:val="Style13ptBold"/>
          <w:b w:val="0"/>
          <w:bCs w:val="0"/>
          <w:i/>
          <w:sz w:val="16"/>
        </w:rPr>
        <w:t xml:space="preserve">The purpose of the review was to illustrate the foundational role that the conceptualization of native peoples as ‘Indian’ by way of their categorization as children has played in disqualifying them as political agents capable of forming nations with legitimate claims to land. In addition, this history is essential to an understanding of how the civilizational homology established a self-imposed obligation on the part of the sovereign state as parent or guardian to educate the ‘Indian’. </w:t>
      </w:r>
    </w:p>
    <w:p w:rsidR="00540BEA" w:rsidRPr="00087A72" w:rsidRDefault="00540BEA" w:rsidP="00E06E0C">
      <w:pPr>
        <w:pStyle w:val="Heading3"/>
      </w:pPr>
      <w:r w:rsidRPr="00087A72">
        <w:t>Link – Two-Spirit Politics/Tradition</w:t>
      </w:r>
    </w:p>
    <w:p w:rsidR="00540BEA" w:rsidRPr="00087A72" w:rsidRDefault="00540BEA" w:rsidP="00540BEA">
      <w:pPr>
        <w:pStyle w:val="Heading4"/>
      </w:pPr>
      <w:r w:rsidRPr="00087A72">
        <w:t>Two-Spirt politics is steeped in the politics of tradition which institutes a punitive form of relationality in which failure to achieve nostalgic ideals justifies violence. This necessarily ensures the continuation of settler colonial violence and anti-queer violence.</w:t>
      </w:r>
    </w:p>
    <w:p w:rsidR="00540BEA" w:rsidRPr="00087A72" w:rsidRDefault="00540BEA" w:rsidP="00540BEA">
      <w:r w:rsidRPr="00087A72">
        <w:rPr>
          <w:rStyle w:val="Style13ptBold"/>
        </w:rPr>
        <w:t>Belcourt 16</w:t>
      </w:r>
      <w:r w:rsidRPr="00087A72">
        <w:t xml:space="preserve"> (Billy Ray, 2016 Rhodes Scholar, Winner of the Griffin Prize for Poetry, and Doctoral Student at the University of Alberta “A Poltergeist Manifesto” </w:t>
      </w:r>
      <w:r w:rsidRPr="00087A72">
        <w:rPr>
          <w:i/>
        </w:rPr>
        <w:t xml:space="preserve">Feral Feminism </w:t>
      </w:r>
      <w:r w:rsidRPr="00087A72">
        <w:t>6, 28-30) NIJ</w:t>
      </w:r>
    </w:p>
    <w:p w:rsidR="00540BEA" w:rsidRPr="00087A72" w:rsidRDefault="00540BEA" w:rsidP="00540BEA">
      <w:pPr>
        <w:rPr>
          <w:u w:val="single"/>
        </w:rPr>
      </w:pPr>
      <w:r w:rsidRPr="00087A72">
        <w:rPr>
          <w:sz w:val="12"/>
        </w:rPr>
        <w:t xml:space="preserve">Two-Spirit and the Politics of Tradition </w:t>
      </w:r>
      <w:r w:rsidRPr="00087A72">
        <w:rPr>
          <w:rStyle w:val="StyleUnderline"/>
        </w:rPr>
        <w:t>There is an ontological distinction between two-spirit and queer indigeneity: queer indigeneity is incommensurable with and therefore disruptive of two-spirit.</w:t>
      </w:r>
      <w:r w:rsidRPr="00087A72">
        <w:rPr>
          <w:sz w:val="12"/>
        </w:rPr>
        <w:t xml:space="preserve"> In other words, </w:t>
      </w:r>
      <w:r w:rsidRPr="00087A72">
        <w:rPr>
          <w:rStyle w:val="StyleUnderline"/>
        </w:rPr>
        <w:t>queer indigeneity escapes ontological capture and troubles the very idea of indigeneity itself. Queer indigeneity is indigeneity’s necessary aberration, one that is irreducibly non-social. Queer indigeneity is so otherworldly it becomes an epistemic blockage to History, contorting semiotically into the stuff of horror films.</w:t>
      </w:r>
      <w:r w:rsidRPr="00087A72">
        <w:rPr>
          <w:sz w:val="12"/>
        </w:rPr>
        <w:t xml:space="preserve"> It connotes a before and an elsewhere so capacious that it strangulates the settler state’s prospects of unabated continuity. There are thus argumentative limits to thinking about indigeneity through the language of queerness—that is, </w:t>
      </w:r>
      <w:r w:rsidRPr="00087A72">
        <w:rPr>
          <w:rStyle w:val="StyleUnderline"/>
        </w:rPr>
        <w:t>the axiom that settler colonialism queers indigeneity for elimination obfuscates the ontoexistential particularities of queer indigeneity</w:t>
      </w:r>
      <w:r w:rsidRPr="00087A72">
        <w:rPr>
          <w:sz w:val="12"/>
        </w:rPr>
        <w:t xml:space="preserve"> (Morgensen 2011, xii). I suspect that </w:t>
      </w:r>
      <w:r w:rsidRPr="00087A72">
        <w:rPr>
          <w:rStyle w:val="StyleUnderline"/>
        </w:rPr>
        <w:t xml:space="preserve">twospiritness cannot disturb the sexual politics of settler colonialism insofar as it is rendered normative and semantically stable in the passing on of tradition. </w:t>
      </w:r>
      <w:r w:rsidRPr="00087A72">
        <w:rPr>
          <w:sz w:val="12"/>
        </w:rPr>
        <w:t xml:space="preserve">The term “two-spirit,” according to Richard LaFortune, was introduced at the “third annual spiritual gathering of gay and lesbian Native people that took place near Winnipeg in 1990” to name “the presence of both a feminine and a masculine spirit in one person” and to “challenge the use of the word berdache” by anthropologists (Driskill 2010, 72). While others would and have pushed for a definition of two-spirit that aligns more neatly with recent imaginings of queerness, I take issue with an identity category that contradictorily tries to explain the contemporary and its bodies by looking to the past. </w:t>
      </w:r>
      <w:r w:rsidRPr="00087A72">
        <w:rPr>
          <w:rStyle w:val="StyleUnderline"/>
        </w:rPr>
        <w:t>I have borne witness to academic papers and kitchen-table conversations that tether two-spirit to the sacred and to a biological reading of gender that marks life outside the binary as inherently colonial</w:t>
      </w:r>
      <w:r w:rsidRPr="00087A72">
        <w:rPr>
          <w:sz w:val="12"/>
        </w:rPr>
        <w:t xml:space="preserve">—too modern or queer to be conceptualized inside indigeneity’s corporeal and identitarian folds. Where Qwo-Li Driskill, for example, argues that there is a particular complexity to twospiritness such that it can name ways of being in a body that are fluid and ambiguous, it is my contention that </w:t>
      </w:r>
      <w:r w:rsidRPr="00087A72">
        <w:rPr>
          <w:rStyle w:val="StyleUnderline"/>
        </w:rPr>
        <w:t>two-spirit unloads the affective weight of queer indigeneity</w:t>
      </w:r>
      <w:r w:rsidRPr="00087A72">
        <w:rPr>
          <w:sz w:val="12"/>
        </w:rPr>
        <w:t xml:space="preserve"> (2010, 72). </w:t>
      </w:r>
      <w:r w:rsidRPr="00087A72">
        <w:rPr>
          <w:rStyle w:val="StyleUnderline"/>
        </w:rPr>
        <w:t>The knowability of two-spirit is contingent upon both the putative givenness of “masculine” and “feminine” as cisnormative qualifiers and their discursive proximity to tradition, as if there were an amorphous timelessness to two-spiritness that could be transplanted from the past onto Indigenous bodies in the present—a forgetting of the terror of queer life, how it passes below the aegis of gender and, in this, generates death-worlds social theory struggles to see, study, and repair.</w:t>
      </w:r>
      <w:r w:rsidRPr="00087A72">
        <w:rPr>
          <w:sz w:val="12"/>
        </w:rPr>
        <w:t xml:space="preserve"> In other words, biology fails to name the bodies and identities making claim to the future. </w:t>
      </w:r>
      <w:r w:rsidRPr="00087A72">
        <w:rPr>
          <w:rStyle w:val="StyleUnderline"/>
        </w:rPr>
        <w:t>Two-spiritness connotes a kind of ethical injunction: to approximate indigeneity, you must approximate tradition in this way and not that, or else. This is fundamentally punitive: if you do not do it correctly, you could die or be killed.</w:t>
      </w:r>
      <w:r w:rsidRPr="00087A72">
        <w:rPr>
          <w:sz w:val="12"/>
        </w:rPr>
        <w:t xml:space="preserve"> Two-spiritness might be stuck in the past; it might turn a haunting into a memorial. </w:t>
      </w:r>
      <w:r w:rsidRPr="00087A72">
        <w:rPr>
          <w:rStyle w:val="StyleUnderline"/>
        </w:rPr>
        <w:t>Queer indigeneity does things that twospiritness cannot: it is a floating signifier without referent and without any agreed upon meaning; it refuses to attach to any one history, biology, or geography. Queer indigeneity is categorically messy; it leaks outside itself, congealing into things otherwise unthinkable, refusing the promise of anthropic fullness</w:t>
      </w:r>
      <w:r w:rsidRPr="00087A72">
        <w:rPr>
          <w:sz w:val="12"/>
        </w:rPr>
        <w:t xml:space="preserve">, as Fred Moten might say, </w:t>
      </w:r>
      <w:r w:rsidRPr="00087A72">
        <w:rPr>
          <w:rStyle w:val="StyleUnderline"/>
        </w:rPr>
        <w:t>and remaining feral. Sara Ahmed suggests that some bodies come up against walls that do not move when their fleshiness thingifies institutions as walls</w:t>
      </w:r>
      <w:r w:rsidRPr="00087A72">
        <w:rPr>
          <w:sz w:val="12"/>
        </w:rPr>
        <w:t xml:space="preserve"> (2012, 26). </w:t>
      </w:r>
      <w:r w:rsidRPr="00087A72">
        <w:rPr>
          <w:rStyle w:val="StyleUnderline"/>
        </w:rPr>
        <w:t>The feeling of queer indigeneity is the feeling of coming up against something solid and tangible—an institution that prevents queer Indigenous bodies from moving—or what I call the “politics of tradition.” Tradition</w:t>
      </w:r>
      <w:r w:rsidRPr="00087A72">
        <w:rPr>
          <w:sz w:val="12"/>
        </w:rPr>
        <w:t xml:space="preserve"> is “the transmission of customs or beliefs from generation to generation, or the fact of being passed on in this way” (“Tradition”). It </w:t>
      </w:r>
      <w:r w:rsidRPr="00087A72">
        <w:rPr>
          <w:rStyle w:val="StyleUnderline"/>
        </w:rPr>
        <w:t>is a sort of affective glue that sticks some objects together, sticks us to bodies and to ideas we often do not know—conversion points that make something or someone traditional through proximity or performance.</w:t>
      </w:r>
      <w:r w:rsidRPr="00087A72">
        <w:rPr>
          <w:sz w:val="12"/>
        </w:rPr>
        <w:t xml:space="preserve"> Here, </w:t>
      </w:r>
      <w:r w:rsidRPr="00087A72">
        <w:rPr>
          <w:rStyle w:val="StyleUnderline"/>
        </w:rPr>
        <w:t>a politics of tradition refers to the ways tradition produces and deproduces some corporeal forms, how some bodies pass below and beyond the aegis of the senses and, in this, sidestep theory’s ocular reach and thus disturb the traditional itself.</w:t>
      </w:r>
      <w:r w:rsidRPr="00087A72">
        <w:rPr>
          <w:sz w:val="12"/>
        </w:rPr>
        <w:t xml:space="preserve"> According to Linda Tuhiwai Smith, Indigenous “cultural and linguistic revitalization movements have tapped into a set of cultural resources” precisely because they were rendered unpassable (2012, 115). Leanne Simpson, however, argues that </w:t>
      </w:r>
      <w:r w:rsidRPr="00087A72">
        <w:rPr>
          <w:rStyle w:val="StyleUnderline"/>
        </w:rPr>
        <w:t>the passing on of tradition has coterminously reified heteropatriarchy and “disconnected some of our most vital people from the land and our knowledge systems”</w:t>
      </w:r>
      <w:r w:rsidRPr="00087A72">
        <w:rPr>
          <w:sz w:val="12"/>
        </w:rPr>
        <w:t xml:space="preserve"> (2014). In the same vein, Glen </w:t>
      </w:r>
      <w:r w:rsidRPr="00087A72">
        <w:rPr>
          <w:rStyle w:val="StyleUnderline"/>
        </w:rPr>
        <w:t>Coulthard recommends that “we remain cognizant of the pitfalls associated with retreating into an uncritical essentialism in our practices of cultural revitalization”</w:t>
      </w:r>
      <w:r w:rsidRPr="00087A72">
        <w:rPr>
          <w:sz w:val="12"/>
        </w:rPr>
        <w:t xml:space="preserve"> (2014, 156). </w:t>
      </w:r>
      <w:r w:rsidRPr="00087A72">
        <w:rPr>
          <w:rStyle w:val="StyleUnderline"/>
        </w:rPr>
        <w:t>Two-spiritness might be the domestication or traditionalization of queer indigeneity, a slowing down of its semiotic velocity, and a distancing from the kinds of subjectivities that the traditional cannot containerize. For two-spiritness to be rendered passable, it must first be thingified by casting out supposedly and rightfully angry apparitions</w:t>
      </w:r>
      <w:r w:rsidRPr="00087A72">
        <w:rPr>
          <w:sz w:val="12"/>
        </w:rPr>
        <w:t xml:space="preserve"> (A. Smith 2014, 4). However, </w:t>
      </w:r>
      <w:r w:rsidRPr="00087A72">
        <w:rPr>
          <w:rStyle w:val="StyleUnderline"/>
        </w:rPr>
        <w:t>decolonization “is not an exorcism of ghosts”</w:t>
      </w:r>
      <w:r w:rsidRPr="00087A72">
        <w:rPr>
          <w:sz w:val="12"/>
        </w:rPr>
        <w:t xml:space="preserve"> (Tuck and Ree 2013, 648). </w:t>
      </w:r>
      <w:r w:rsidRPr="00087A72">
        <w:rPr>
          <w:rStyle w:val="StyleUnderline"/>
        </w:rPr>
        <w:t>If decolonization is to sustain queer life, then we might need to make recourse to different epistemological starting points. We might have to be superstitious. Tradition, therefore, effects a kind of governability that does away with the otherwise radical potentiality of queerness when indigeneity becomes its fleshy form.</w:t>
      </w:r>
      <w:r w:rsidRPr="00087A72">
        <w:rPr>
          <w:sz w:val="12"/>
        </w:rPr>
        <w:t xml:space="preserve"> Jeff Corntassel argues that </w:t>
      </w:r>
      <w:r w:rsidRPr="00087A72">
        <w:rPr>
          <w:rStyle w:val="StyleUnderline"/>
        </w:rPr>
        <w:t>Indigenous peoples should be striving for “forms of ‘ungovernability’” that deoccupy “settler institutions and values from Indigenous homelands”</w:t>
      </w:r>
      <w:r w:rsidRPr="00087A72">
        <w:rPr>
          <w:sz w:val="12"/>
        </w:rPr>
        <w:t xml:space="preserve"> (2006, 35). I want to take this provocation further: </w:t>
      </w:r>
      <w:r w:rsidRPr="00087A72">
        <w:rPr>
          <w:rStyle w:val="StyleUnderline"/>
        </w:rPr>
        <w:t>queer indigeneity works up a kind of ungovernability that always already circumvents the human’s impasse.</w:t>
      </w:r>
      <w:r w:rsidRPr="00087A72">
        <w:rPr>
          <w:sz w:val="12"/>
        </w:rPr>
        <w:t xml:space="preserve"> Elsewhere I have argued </w:t>
      </w:r>
      <w:r w:rsidRPr="00087A72">
        <w:rPr>
          <w:rStyle w:val="StyleUnderline"/>
        </w:rPr>
        <w:t>that “settler colonialism is an epistemic rupturing of everything, a steady bombardment whose intensity is felt unevenly across differently subjected Indigenous bodies”</w:t>
      </w:r>
      <w:r w:rsidRPr="00087A72">
        <w:rPr>
          <w:sz w:val="12"/>
        </w:rPr>
        <w:t xml:space="preserve"> (Belcourt 2015). </w:t>
      </w:r>
      <w:r w:rsidRPr="00087A72">
        <w:rPr>
          <w:rStyle w:val="StyleUnderline"/>
        </w:rPr>
        <w:t>The traditional is alwaysalready disavowing disparate assemblages of ideas and subjectivities that do not make sense inside its epistemological confines. Tradition is pre-emptive; it is measured against certain impossibilities. Queerness germinates in the rifts between the possible and the impossible. When rendered together (if at all), queerness (as the anti-subjectivity) and indigeneity (as the ante-ontology) appear nonsensical. Let’s world vis-à-vis nonsensical and patchwork forms of thinking.</w:t>
      </w:r>
    </w:p>
    <w:p w:rsidR="00E06E0C" w:rsidRPr="00087A72" w:rsidRDefault="00E06E0C" w:rsidP="00E06E0C">
      <w:pPr>
        <w:pStyle w:val="Heading3"/>
      </w:pPr>
      <w:r w:rsidRPr="00087A72">
        <w:t>Link – Utopia</w:t>
      </w:r>
    </w:p>
    <w:p w:rsidR="00E06E0C" w:rsidRPr="00087A72" w:rsidRDefault="00E06E0C" w:rsidP="00E06E0C">
      <w:pPr>
        <w:pStyle w:val="Heading4"/>
      </w:pPr>
      <w:r w:rsidRPr="00087A72">
        <w:t>A countervailing thanatopian mode of dissidence in the Idle No More movement orient itself away from the neoliberal extraction of value and circulation of goods toward the generation of new values and reconstitution of “the Good” and “the Bad”. This futile utopian striving needs to be disrupted to challenge a justification of infinite violence.</w:t>
      </w:r>
    </w:p>
    <w:p w:rsidR="00E06E0C" w:rsidRPr="00087A72" w:rsidRDefault="00E06E0C" w:rsidP="00E06E0C">
      <w:r w:rsidRPr="00087A72">
        <w:rPr>
          <w:b/>
          <w:bCs/>
        </w:rPr>
        <w:t>Adleman 17</w:t>
      </w:r>
      <w:r w:rsidRPr="00087A72">
        <w:t xml:space="preserve"> (Dan, Assistant Professor in the Communication department at </w:t>
      </w:r>
      <w:hyperlink r:id="rId20" w:history="1">
        <w:r w:rsidRPr="00087A72">
          <w:rPr>
            <w:rStyle w:val="Hyperlink"/>
          </w:rPr>
          <w:t>British Columbia Institute of Technology</w:t>
        </w:r>
      </w:hyperlink>
      <w:r w:rsidRPr="00087A72">
        <w:t xml:space="preserve"> “No Suture: Rethinking Utopia Through J.M. Coetzee’s </w:t>
      </w:r>
      <w:r w:rsidRPr="00087A72">
        <w:rPr>
          <w:i/>
        </w:rPr>
        <w:t>Disgra</w:t>
      </w:r>
      <w:r w:rsidRPr="00087A72">
        <w:t xml:space="preserve">ce, the Occupy Movement, and Idle No More” </w:t>
      </w:r>
      <w:r w:rsidRPr="00087A72">
        <w:rPr>
          <w:i/>
        </w:rPr>
        <w:t>Performing Utopias in the Contemporary Americas</w:t>
      </w:r>
      <w:r w:rsidRPr="00087A72">
        <w:t>) IA</w:t>
      </w:r>
    </w:p>
    <w:p w:rsidR="00E06E0C" w:rsidRPr="00087A72" w:rsidRDefault="00E06E0C" w:rsidP="00E06E0C">
      <w:pPr>
        <w:rPr>
          <w:b/>
          <w:iCs/>
          <w:u w:val="single"/>
        </w:rPr>
      </w:pPr>
      <w:r w:rsidRPr="00087A72">
        <w:rPr>
          <w:sz w:val="12"/>
        </w:rPr>
        <w:t xml:space="preserve">When Lucy tells her father that she is pregnant and will not have an abortion, he tries at first to take control of the situation and persuade her to terminate the pregnancy. But, echoing the tenors of his operatic revela- tion and his previous Oedipal revelation that it will fall upon his daughter to lead him, she explains to him, David, I can’t run my life according to whether or not you like what I do. Not any more. You behave as if everything I do is part of the story of your life. You are the main character, I am a minor character who doesn’t make an appearance until halfway through. Well, contrary to what you think, people are not divided into major and minor. I am not minor. I have a life of my own, just as important to me as yours is to you, and in my life I am the one who makes the decisions. (198) Without any recourse, Lurie tells her, “This has come as a shock to me, I confess, but I will stand by you, whatever you decide” (198–99). Yet still more shocks follow. When Petrus offers to marry Lucy and protect her, David wants to tell him that his proposal does not reside within the field of the possible. “This is not how we do things,” he tells Petrus. “We: he is on the point of saying, We Westerners” (202). But there is no longer any hegemonic “we” to whose playbook David can claim authoritative access, not in this situation. He has little choice but to reorient his life around Lucy’s sovereign deci- sion “[t]o start at ground level. With nothing. Not with nothing but. With nothing. No cards, no weapons, no property, no rights, no dignity. [...] Like a dog” (205). Lucy’s commitment to demolishing the support net- work that would grant her exceptional status—having the baby and mar- rying Petrus—annihilates any prospect of exclusionary architecture. Lucy, Pollux, Petrus, and David are all dying animals—each of them variably in the position of both predator and prey—and, even more problematically, all kin. So, too, is David’s nascent grandchild, still “no more than a worm in his daughter’s womb” (199). And, as David’s second altercation with Pollux reveals, this is far from a seamless solution to the problems of sex, gender, race, species, and class. Out in the bewildering open, far out of the orbit of God’s grace, any pretense of such a solution would be delusional. And yet, there is only so far that David can go in complying with Rainer Maria Rilke’s divine mandate: “You must change your life.” Though he is no longer “unbending,” the ruins of his old “refuge” persist in spite of their ridiculousness: “He is too old to heed, too old to change. Lucy may be able to bend to the tempest; he cannot, not with honour.” He will likely, in spite of all the epiphanies and raptures, always view Pollux as “a weed [that] has been able to tangle his roots with Lucy’s existence” (209). As a queer, bendable Antigone who does reproduce, the figure of Lucy would seem to suggest an alternate route for contemporary theorizing about Antigone’s evental incubation, the manner in which her fidelity to her decision performatively “compels [...] [the invention of] a new of way of being and acting in the situation” (Badiou 2002, 42). Insofar as Disgrace takes on tragic allegorical resonances, with Lurie figuring as the deposed sovereign (upended by the discourse of the university and then besieged by a succession of “home invasions”), Lucy’s ultimate Antigonal revolt against the vestigial colonial order that he represents requires scrutiny. Judith Butler and Lee Edelman have taken up Antigone’s stature as a sub- versive figure. Both valorize Antigone’s refusal of hegemonic gender roles, including reproduction, as an auratic refusal of the heteronormativity that continues to plague the Western world. In a statement that could also be used to shed a great deal of light on Disgrace, Butler highlights “the social deformation of both idealized kinship and political sovereignty that emerges as a consequence of [Antigone’s] act. [...] She transgresses both gender and kin- ship norms, and though the Hegelian tradition reads her fate as a sure sign that this transgression is necessarily failed and fatal, another reading is possi- ble in which she exposes the socially contingent character of kinship” (2000, 6). However, for Butler, the ultimate moral of the story, as it were, is that </w:t>
      </w:r>
      <w:r w:rsidRPr="00087A72">
        <w:rPr>
          <w:u w:val="single"/>
        </w:rPr>
        <w:t>Antigone represents not kinship in its ideal form but its deformation and displacement, one that puts the reigning regimes of representation into cri- sis and raises the question of what the conditions of intelligibility could have been that would have made her life possible, indeed, what sustaining web of relations makes our lives possible, those of us who confound kinship in the rearticulation of its terms?</w:t>
      </w:r>
      <w:r w:rsidRPr="00087A72">
        <w:rPr>
          <w:sz w:val="12"/>
        </w:rPr>
        <w:t xml:space="preserve"> What new schemes of intelligibility make our loves legitimate and recognizable, our losses true losses? (24) This emphasis on legitimizing “new schemes of intelligibility,” asserts Edelman, “while promising to open up what Butler calls a radical ‘new field of the human,’ returns us, instead, to familiar forms of durable liberal humanism whose rallying cry has always been, and here remains, ‘the future’” (Edelman 2004, 105–6). For Edelman, this signals an investment in the odious fantasy of “reproductive futurism”: Where Butler’s [approach to Antigone] conduces to futurism’s logic of intel- ligibility by seeking no more than to widen the reach of what it allows us to grasp, where she moves, by way of the future, toward the ongoing legitima- tion of social form through the recognition that is said to afford ontologi- cal certainty and durability, [Edelman’s], though destined, of course, to be claimed for intelligibility, consents to the logic that makes it a figure for what meaning can never grasp. Demeaned, it embraces de-meaning as the endless insistence of the Real that the Symbolic can never master for meaning now or in the “future.” (107) The representation of Lucy and David would seem to be aligned with both Butler’s critique of heteronormative kinship relations and Edelman’s critique of the pursuit of intelligibility. But the fact remains that the crux of Lucy’s defiance of David, who condenses the sovereign recalcitrance of both Oedipus and Creon, is her resolution to have the child. </w:t>
      </w:r>
      <w:r w:rsidRPr="00087A72">
        <w:rPr>
          <w:u w:val="single"/>
        </w:rPr>
        <w:t>Here, pace Sophocles’s Antigone (which Edelman brilliantly mobilizes in opposition to “the cult of the child and the political order it enforces” [30]), Lucy violates “the Law of the Father” by having her child in a fashion that decimates David’s hegemonic conceptions of kinship and species.</w:t>
      </w:r>
      <w:r w:rsidRPr="00087A72">
        <w:rPr>
          <w:sz w:val="12"/>
        </w:rPr>
        <w:t xml:space="preserve"> Whereas some theorists might dismiss Lucy’s ethical act as a thinly veiled form of “reproductive futurism” that returns to the familiar site of reproduction as the locus of all future meanings, Coetzee seems to be </w:t>
      </w:r>
      <w:r w:rsidRPr="00087A72">
        <w:rPr>
          <w:u w:val="single"/>
        </w:rPr>
        <w:t>offering an escape hatch from this theoretical deadlock in the form of what we might call transductive futility</w:t>
      </w:r>
      <w:r w:rsidRPr="00087A72">
        <w:rPr>
          <w:sz w:val="12"/>
        </w:rPr>
        <w:t xml:space="preserve">. It is </w:t>
      </w:r>
      <w:r w:rsidRPr="00087A72">
        <w:rPr>
          <w:i/>
          <w:iCs/>
          <w:sz w:val="12"/>
        </w:rPr>
        <w:t xml:space="preserve">transductive </w:t>
      </w:r>
      <w:r w:rsidRPr="00087A72">
        <w:rPr>
          <w:sz w:val="12"/>
        </w:rPr>
        <w:t xml:space="preserve">because Lucy is </w:t>
      </w:r>
      <w:r w:rsidRPr="00087A72">
        <w:rPr>
          <w:u w:val="single"/>
        </w:rPr>
        <w:t>not merely reproducing the extant dominant order so much as, somehow, unthinkably rendering herself retroactively receptive, porous, to the lateral transfer of violence and life (inextricably commingled); in so doing, she enacts her own sovereignty (from the Latin traducere—“act of leading or carrying over,” “a removal, transfer”) to displace and transform the sphere of kinship relations</w:t>
      </w:r>
      <w:r w:rsidRPr="00087A72">
        <w:rPr>
          <w:sz w:val="12"/>
        </w:rPr>
        <w:t xml:space="preserve">, a state of affairs that David, at first, can only perceive as the parasitic encroachment of weeds on their enclosed garden. It is </w:t>
      </w:r>
      <w:r w:rsidRPr="00087A72">
        <w:rPr>
          <w:i/>
          <w:iCs/>
          <w:sz w:val="12"/>
        </w:rPr>
        <w:t xml:space="preserve">futile </w:t>
      </w:r>
      <w:r w:rsidRPr="00087A72">
        <w:rPr>
          <w:sz w:val="12"/>
        </w:rPr>
        <w:t xml:space="preserve">because this miscegenous gesture harbors no guarantees, no hope, and no intelligibility. What Joan Copjec (speaking of </w:t>
      </w:r>
      <w:r w:rsidRPr="00087A72">
        <w:rPr>
          <w:i/>
          <w:iCs/>
          <w:sz w:val="12"/>
        </w:rPr>
        <w:t>Antigone</w:t>
      </w:r>
      <w:r w:rsidRPr="00087A72">
        <w:rPr>
          <w:sz w:val="12"/>
        </w:rPr>
        <w:t xml:space="preserve">) might refer to as Lucy’s </w:t>
      </w:r>
      <w:r w:rsidRPr="00087A72">
        <w:rPr>
          <w:i/>
          <w:iCs/>
          <w:sz w:val="12"/>
        </w:rPr>
        <w:t xml:space="preserve">perseverance </w:t>
      </w:r>
      <w:r w:rsidRPr="00087A72">
        <w:rPr>
          <w:sz w:val="12"/>
        </w:rPr>
        <w:t xml:space="preserve">(in contradistinction to the sovereign’s fix- ated stubbornness), with a necessary emphasis on </w:t>
      </w:r>
      <w:r w:rsidRPr="00087A72">
        <w:rPr>
          <w:i/>
          <w:iCs/>
          <w:sz w:val="12"/>
        </w:rPr>
        <w:t>severance</w:t>
      </w:r>
      <w:r w:rsidRPr="00087A72">
        <w:rPr>
          <w:sz w:val="12"/>
        </w:rPr>
        <w:t xml:space="preserve">, is an </w:t>
      </w:r>
      <w:r w:rsidRPr="00087A72">
        <w:rPr>
          <w:i/>
          <w:iCs/>
          <w:sz w:val="12"/>
        </w:rPr>
        <w:t xml:space="preserve">evental </w:t>
      </w:r>
      <w:r w:rsidRPr="00087A72">
        <w:rPr>
          <w:sz w:val="12"/>
        </w:rPr>
        <w:t xml:space="preserve">incubator that transports those in its sway to a currently inconceivable new world of kinship relations (2002, 16). Sadly, this transport comes with no promise of resolving the old world’s toxic hostilities into </w:t>
      </w:r>
      <w:r w:rsidRPr="00087A72">
        <w:rPr>
          <w:i/>
          <w:iCs/>
          <w:sz w:val="12"/>
        </w:rPr>
        <w:t>eunomia</w:t>
      </w:r>
      <w:r w:rsidRPr="00087A72">
        <w:rPr>
          <w:sz w:val="12"/>
        </w:rPr>
        <w:t xml:space="preserve">. But </w:t>
      </w:r>
      <w:r w:rsidRPr="00087A72">
        <w:rPr>
          <w:i/>
          <w:iCs/>
          <w:sz w:val="12"/>
        </w:rPr>
        <w:t xml:space="preserve">Disgrace </w:t>
      </w:r>
      <w:r w:rsidRPr="00087A72">
        <w:rPr>
          <w:sz w:val="12"/>
        </w:rPr>
        <w:t xml:space="preserve">seems to suggest that </w:t>
      </w:r>
      <w:r w:rsidRPr="00087A72">
        <w:rPr>
          <w:i/>
          <w:iCs/>
          <w:sz w:val="12"/>
        </w:rPr>
        <w:t xml:space="preserve">eunomia </w:t>
      </w:r>
      <w:r w:rsidRPr="00087A72">
        <w:rPr>
          <w:sz w:val="12"/>
        </w:rPr>
        <w:t xml:space="preserve">may be the most catastrophic utopian aspiration of them all. The framing of Occupy Wall Street as an Antigonal event is very much tacit in Žižek’s work, wherein he characterizes the Occupy movement and con- stellation of associated protests in the same terms as Antigone’s </w:t>
      </w:r>
      <w:r w:rsidRPr="00087A72">
        <w:rPr>
          <w:i/>
          <w:iCs/>
          <w:sz w:val="12"/>
        </w:rPr>
        <w:t xml:space="preserve">thanatotic </w:t>
      </w:r>
      <w:r w:rsidRPr="00087A72">
        <w:rPr>
          <w:sz w:val="12"/>
        </w:rPr>
        <w:t xml:space="preserve">ethical posture in that it upends “the smooth functioning of the global capitalist system” (2012, 82). Edelman, too, valorizes Occupy Wall Street, like the resplendent figure of Antigone, for what he characterizes as its pure “negativity,” its insistent disruption of the normative socio-symbolic order in terms that refuse reassimilation into the extant order of things. Through Edelman’s lens, this is precisely why it is imperative that Occupy not be translated into a coherent program or set of demands: “[B]y breaking from the framework of legibility itself, [Occupy] denies the closure that such a framework imposes [...]. By refusing to submit to the regulative norms of community and communication, the act insists on something else, on a preference that negates what is” (2013, 110). Once uttered and circulated through the 24-hour news cycle, Occupy’s </w:t>
      </w:r>
      <w:r w:rsidRPr="00087A72">
        <w:rPr>
          <w:u w:val="single"/>
        </w:rPr>
        <w:t xml:space="preserve">demands would be domesti- cated, thereby depriving the movement of its traumatic evental stature— that is to say, paradoxically, its capacity to effect change. </w:t>
      </w:r>
      <w:r w:rsidRPr="00087A72">
        <w:rPr>
          <w:sz w:val="12"/>
        </w:rPr>
        <w:t xml:space="preserve">Butler would appear to be the first theorist who makes the alignment of Antigone and Occupy explicit. In an effort to respond to critics of Occupy’s apparent lack of demands, in particular, and think through how Occupy and the Arab Spring might unfold over time, Butler claims, “The problem with Antigone is that she stood up to the despot Creon, but in such a way that she ended up dying. So she bought her defiance with her death. The real question I ended up asking, after studying that play for some time, was, ‘What would it mean for Antigone to have stood up to Creon and lived?’” She comes to the conclusion that “the only way she could have lived is if she had had a serious social movement with her to take down the despot, maybe it would have taken 18 days only, like in Egypt. It’s really important to be able to re-situate one’s rage and destitu- tion in the context of a social movement.”4 Butler’s clear coupling of Antigone and Occupy is productive here. Nonetheless, </w:t>
      </w:r>
      <w:r w:rsidRPr="00087A72">
        <w:rPr>
          <w:i/>
          <w:iCs/>
          <w:sz w:val="12"/>
        </w:rPr>
        <w:t xml:space="preserve">Disgrace </w:t>
      </w:r>
      <w:r w:rsidRPr="00087A72">
        <w:rPr>
          <w:sz w:val="12"/>
        </w:rPr>
        <w:t xml:space="preserve">gestures toward a somewhat different “queer” Antigonal orientation than the one she describes. Coetzee’s Antigonal heroine’s </w:t>
      </w:r>
      <w:r w:rsidRPr="00087A72">
        <w:rPr>
          <w:i/>
          <w:iCs/>
          <w:sz w:val="12"/>
        </w:rPr>
        <w:t xml:space="preserve">perseverance </w:t>
      </w:r>
      <w:r w:rsidRPr="00087A72">
        <w:rPr>
          <w:sz w:val="12"/>
        </w:rPr>
        <w:t xml:space="preserve">has the ultimate effect of destituting the figure of the sovereign from what remains of his petty fiefdom, of rendering him irrelevant to a story whose narrative center of gravity </w:t>
      </w:r>
      <w:r w:rsidRPr="00087A72">
        <w:rPr>
          <w:i/>
          <w:iCs/>
          <w:sz w:val="12"/>
        </w:rPr>
        <w:t xml:space="preserve">she </w:t>
      </w:r>
      <w:r w:rsidRPr="00087A72">
        <w:rPr>
          <w:sz w:val="12"/>
        </w:rPr>
        <w:t xml:space="preserve">has commingled with and assumed; this is an unintended psycho-affective byproduct of actions that, ultimately, do not concern him or require his recognition. Indeed, Lucy’s sovereign withdrawal from the dominion of the law of the father, her resolute assertion of solidarity with Petrus’s clan, </w:t>
      </w:r>
      <w:r w:rsidRPr="00087A72">
        <w:rPr>
          <w:u w:val="single"/>
        </w:rPr>
        <w:t>her metamor- phosis of the very concept of “kin” beyond the bounds of biological fam- ily, and her perseverance in transductive futility on the open frontier—away from the utopian enclosures of the patriarchal colonial order—all, in fact, gesture provocatively toward another modality of Occupy</w:t>
      </w:r>
      <w:r w:rsidRPr="00087A72">
        <w:rPr>
          <w:sz w:val="12"/>
        </w:rPr>
        <w:t xml:space="preserve">, another </w:t>
      </w:r>
      <w:r w:rsidRPr="00087A72">
        <w:rPr>
          <w:i/>
          <w:iCs/>
          <w:sz w:val="12"/>
        </w:rPr>
        <w:t>thana- topia</w:t>
      </w:r>
      <w:r w:rsidRPr="00087A72">
        <w:rPr>
          <w:sz w:val="12"/>
        </w:rPr>
        <w:t xml:space="preserve">, from the event Butler, Žižek, and Edelman experienced at Zuccotti Park on Wall Street. Indigenous scholar Glen Coulthard is, like Butler, interested in </w:t>
      </w:r>
      <w:r w:rsidRPr="00087A72">
        <w:rPr>
          <w:u w:val="single"/>
        </w:rPr>
        <w:t>channel- ing “productive rage</w:t>
      </w:r>
      <w:r w:rsidRPr="00087A72">
        <w:rPr>
          <w:sz w:val="12"/>
        </w:rPr>
        <w:t xml:space="preserve">,” which he is loath to dismiss as ineffectual </w:t>
      </w:r>
      <w:r w:rsidRPr="00087A72">
        <w:rPr>
          <w:i/>
          <w:iCs/>
          <w:sz w:val="12"/>
        </w:rPr>
        <w:t>ressentiment</w:t>
      </w:r>
      <w:r w:rsidRPr="00087A72">
        <w:rPr>
          <w:sz w:val="12"/>
        </w:rPr>
        <w:t xml:space="preserve">. In </w:t>
      </w:r>
      <w:r w:rsidRPr="00087A72">
        <w:rPr>
          <w:i/>
          <w:iCs/>
          <w:sz w:val="12"/>
        </w:rPr>
        <w:t xml:space="preserve">Red Skin, White Masks </w:t>
      </w:r>
      <w:r w:rsidRPr="00087A72">
        <w:rPr>
          <w:sz w:val="12"/>
        </w:rPr>
        <w:t xml:space="preserve">(2015), drawing and elaborating on the revolu- tionary ideas of Karl Marx and Frantz Fanon, Coulthard narrows his gaze on </w:t>
      </w:r>
      <w:r w:rsidRPr="00087A72">
        <w:rPr>
          <w:u w:val="single"/>
        </w:rPr>
        <w:t>the Idle No More movement, an indigenous-led protest that goes some distance toward answering Butler’s query about what a sustained Antigonal social movement might look like after the initial act of defiance and consequent “symbolic death.”</w:t>
      </w:r>
      <w:r w:rsidRPr="00087A72">
        <w:rPr>
          <w:sz w:val="12"/>
        </w:rPr>
        <w:t xml:space="preserve"> Riding out the crest of the global Occupy movement and the Arab Spring, Idle No More was launched by four indigenous Canadian women in opposition to the right-wing Canadian Conservative government’s proposed Bill C-45, an omnibus bill that would result in massive erosions of indigenous sovereignty and environmental protections. The women’s call to action in the fall of 2012, claims Coulthard, spearheaded a new age of indigenous resistance to “postcolonial” violence. The Day of Action involving (among other tactics) marches, blockades, flash mobs, teach-ins, public conferences, and prayer circles spread far beyond Canadian borders to the USA, South Africa, Europe, Australia, and New Zealand. A diverse cast of indigenous and non-indigenous grassroots activists, scholars, lawyers, and engaged citizens has united to fight for indigenous sovereignty and environmental protection. Up against an unbending corporate-government coalition hell-bent on opening the floodgates to fracking and other perilous modes of hydrocarbon extraction on and around unceded indige- nous territories, they are endeavoring to short-circuit the treatment of these lands as little more than expendable resource thoroughfares and repositories for global industry. In a January 2013 polemic against Idle No More written in a conservative Canadian newspaper, </w:t>
      </w:r>
      <w:r w:rsidRPr="00087A72">
        <w:rPr>
          <w:i/>
          <w:iCs/>
          <w:sz w:val="12"/>
        </w:rPr>
        <w:t>The National Post</w:t>
      </w:r>
      <w:r w:rsidRPr="00087A72">
        <w:rPr>
          <w:sz w:val="12"/>
        </w:rPr>
        <w:t xml:space="preserve">, editorialist Kelly McParland asks, “What are the aims of The Cause? No one is really quite sure: just as with Occupy, the Idle forces are disparate and leaderless” (quoted in Coulthard 2015, 162). What McParland characterizes as Idle No More’s rudderlessness, writes Mi’kmaq legal scholar Pamela Palmater in a December 28, 2012 </w:t>
      </w:r>
      <w:r w:rsidRPr="00087A72">
        <w:rPr>
          <w:i/>
          <w:iCs/>
          <w:sz w:val="12"/>
        </w:rPr>
        <w:t xml:space="preserve">Ottawa Citizen </w:t>
      </w:r>
      <w:r w:rsidRPr="00087A72">
        <w:rPr>
          <w:sz w:val="12"/>
        </w:rPr>
        <w:t xml:space="preserve">article, actually bespeaks the movement’s dynamism: Idle No More “is not led by any elected politician, national chief, or paid executive director. It is a movement originally led by indigenous women and has been joined by grassroots First Nations leaders, Canadians, and now the world,” and this configuration has precipitated an astonishing array of dissident alliances and resistance strategies. </w:t>
      </w:r>
      <w:r w:rsidRPr="00087A72">
        <w:rPr>
          <w:u w:val="single"/>
        </w:rPr>
        <w:t>McParland’s cynical conflation of Occupy and Idle No More, though it points to a measure of common ground subtending many of the disparate movements participating in this particular cultural moment, is rhetorically savvy in that he employs it to perpetuate the illusion that Idle No More is pathless—that is to say, without ultimate demands, a familiar refrain about the Occupy movement. Nothing could be further from the truth in the case of Idle No More. Nonetheless, it would seem that the likes of Mr. McParland are predisposed not to listen to what a number of eloquent participants have had to say, a problem likely exacerbated by the fact that the movement radiates out of a refusal to accord the settler-colonial order the sovereign authority that McParland et al. reflexively grant it.</w:t>
      </w:r>
      <w:r w:rsidRPr="00087A72">
        <w:rPr>
          <w:sz w:val="12"/>
        </w:rPr>
        <w:t xml:space="preserve"> According to Coulthard, the fact that Idle No More has engendered debates and even garnered criticism within heterogeneous Canadian indig- enous communities does nothing to diminish the perhaps unprecedented coalescence of solidarity within and between tribes, as well as between tribes and non-indigenous activists around the world. Gathering some of what he believes to be the most vibratory currents, he articulates a num- ber of crucial “Theses of Indigenous Resurgence” emerging out of Idle No More. The first two interwoven theses propose the necessity of direct action and of an overriding anti-capitalist orientation for the movement. The question of violence is an extremely thorny one. </w:t>
      </w:r>
      <w:r w:rsidRPr="00087A72">
        <w:rPr>
          <w:u w:val="single"/>
        </w:rPr>
        <w:t xml:space="preserve">On the one hand, even though the preponderance of Idle No More actions are (like Occupy Wall Street) peaceful gatherings, conservative pundits insist they retain a violent character. When in December of 2012, in a reductio ad absurdum of this dynamic, Attawapiskat Chief Teresa Spence undertook a hunger strike to draw attention to indigenous justice issues, right-wing pundit Christie Blatchford went so far as to accuse Chief Spence of “intimidation, if not terrorism” for “holding the state hostage to vaguely articulated demands” (quoted in Coulthard 2015, 161). This spurious </w:t>
      </w:r>
      <w:r w:rsidRPr="00087A72">
        <w:rPr>
          <w:b/>
          <w:iCs/>
          <w:u w:val="single"/>
        </w:rPr>
        <w:t>accusation of terroristic violence makes sense only in the context of the capacity of peaceful pro- tests such as Spence’s to throw a wrench into the smooth functioning of “postcolonial” capitalist utopias.</w:t>
      </w:r>
      <w:r w:rsidRPr="00087A72">
        <w:rPr>
          <w:sz w:val="12"/>
        </w:rPr>
        <w:t xml:space="preserve"> </w:t>
      </w:r>
      <w:r w:rsidRPr="00087A72">
        <w:rPr>
          <w:u w:val="single"/>
        </w:rPr>
        <w:t>The violence of these actions is purely “subjective,” which is to say that such actions violate—and hold out the possibility of dismantling—the privileged homeostasis of the settler-colo- nial “pleasure principle.” On the other hand, it is occasionally necessary, avers Coulthard, to intervene directly in aggressive trespasses of “capitalist extractivism” (171). There is no other way to prevent incursions on sov- ereign indigenous territory.</w:t>
      </w:r>
      <w:r w:rsidRPr="00087A72">
        <w:rPr>
          <w:sz w:val="12"/>
        </w:rPr>
        <w:t xml:space="preserve"> In this, he is directly influenced by Fanon’s optics on the necessity of revolutionary violence on the part of decoloniz- ing forces attempting to undo the systemic violence of colonization. As David Lurie comes to realize, </w:t>
      </w:r>
      <w:r w:rsidRPr="00087A72">
        <w:rPr>
          <w:u w:val="single"/>
        </w:rPr>
        <w:t>there is a vast gulf separating that which is perceived as violence from within civilization’s most privileged utopian culs-de-sac and that which appears as such outside these enclosures; the comforts and equanimity that inhere to the former occupational sphere are predicated on the systemic violence that occupying forces inflict on the latter. The fact that opponents of the movement are doubly sensitized to dissident incursions on their harmonious occupational domain is a much less self-evident argument for their inviolability</w:t>
      </w:r>
      <w:r w:rsidRPr="00087A72">
        <w:rPr>
          <w:sz w:val="12"/>
        </w:rPr>
        <w:t xml:space="preserve"> than the David Luries of this world would have us believe. Perhaps the most Coetzeean thesis proffered by Coulthard emerges out of the vital work of indigenous feminists to combat epidemic levels of violence toward not just indigenous women (who have been on the receiving end of unthinkable levels of systemic violence within and outside of indigenous communities) but all women, asserting “the sovereignty of women, Indigenous or not” (178). In order to accomplish this, he emphasizes the fact that it falls upon all men, colonizers and colonized alike, to seek out every “refuge for old thoughts” and acquire far more reflexivity with regard to the gender-justice issues that plague all occupa- tional spheres: </w:t>
      </w:r>
      <w:r w:rsidRPr="00087A72">
        <w:rPr>
          <w:u w:val="single"/>
        </w:rPr>
        <w:t>“[T]his violence must be stopped in its overt forms, but we must also stop practicing it in its more subtle expressions—in our daily relationships and practices in the home, workplaces, band offices, gover- nance institutions, and crucially, in our practices of cultural resurgence. Until this happens we have reconciled ourselves with defeat”</w:t>
      </w:r>
      <w:r w:rsidRPr="00087A72">
        <w:rPr>
          <w:sz w:val="12"/>
        </w:rPr>
        <w:t xml:space="preserve"> (178). This </w:t>
      </w:r>
      <w:r w:rsidRPr="00087A72">
        <w:rPr>
          <w:i/>
          <w:iCs/>
          <w:sz w:val="12"/>
        </w:rPr>
        <w:t xml:space="preserve">a priori </w:t>
      </w:r>
      <w:r w:rsidRPr="00087A72">
        <w:rPr>
          <w:sz w:val="12"/>
        </w:rPr>
        <w:t>feminist orientation is integral, writes Coulthard, for an indigenous “resurgence” organized around solidarity against every form of oppres- sion that has beleaguered indigenous and allied communities. Going a step further</w:t>
      </w:r>
      <w:r w:rsidRPr="00087A72">
        <w:rPr>
          <w:u w:val="single"/>
        </w:rPr>
        <w:t>, Coulthard points to the importance of indigenous feminist scholar Leanne Simpson’s call for a “queer resurgence,” militating against “the subtle infiltration of heteropatriarchal norms in [indigenous] prac- tices of national liberation and resurgence” (157–58).</w:t>
      </w:r>
      <w:r w:rsidRPr="00087A72">
        <w:rPr>
          <w:sz w:val="12"/>
        </w:rPr>
        <w:t xml:space="preserve"> Looking to Simpson’s critical work on “queering” the movement, Coulthard insists that the mission of Idle No More necessitates unprece- dented admixtures of tradition and invention, a strategy flowing out of “the fluidity of [indigenous] traditions, not the rigidity of colonialism” (156). If colonialism is, as </w:t>
      </w:r>
      <w:r w:rsidRPr="00087A72">
        <w:rPr>
          <w:i/>
          <w:iCs/>
          <w:sz w:val="12"/>
        </w:rPr>
        <w:t xml:space="preserve">Disgrace </w:t>
      </w:r>
      <w:r w:rsidRPr="00087A72">
        <w:rPr>
          <w:sz w:val="12"/>
        </w:rPr>
        <w:t xml:space="preserve">suggests, “unbending,” the indigenous resur- gence, claims Coulthard, must emerge out of a vibrant combination of “grounded normativity,” a persistent set of core values evolving out of an intimate and sustainable relationship with the land, on the one hand, and a concomitant, thoroughly contemporary appreciation of the theater of war in which this resurgence is embroiled, on the other. This necessitates the mobilization of a protean tactical repertoire and a network of strategic alliances with environmental, feminist, LGBQT, and labor groups suited to ethical actions that will take place and metamorphose over the course of generations. Importantly, this assertion of indigenous sovereignty is not reducible to “reproductive futurism,” which always seeks to extract </w:t>
      </w:r>
      <w:r w:rsidRPr="00087A72">
        <w:rPr>
          <w:i/>
          <w:iCs/>
          <w:sz w:val="12"/>
        </w:rPr>
        <w:t xml:space="preserve">value </w:t>
      </w:r>
      <w:r w:rsidRPr="00087A72">
        <w:rPr>
          <w:sz w:val="12"/>
        </w:rPr>
        <w:t xml:space="preserve">from and suture down the present through the promises of the future nor is it Nietzschean </w:t>
      </w:r>
      <w:r w:rsidRPr="00087A72">
        <w:rPr>
          <w:i/>
          <w:iCs/>
          <w:sz w:val="12"/>
        </w:rPr>
        <w:t>ressentiment</w:t>
      </w:r>
      <w:r w:rsidRPr="00087A72">
        <w:rPr>
          <w:sz w:val="12"/>
        </w:rPr>
        <w:t xml:space="preserve">, which is purely reactive. This “resurgence” is </w:t>
      </w:r>
      <w:r w:rsidRPr="00087A72">
        <w:rPr>
          <w:i/>
          <w:iCs/>
          <w:sz w:val="12"/>
        </w:rPr>
        <w:t xml:space="preserve">transductive futility </w:t>
      </w:r>
      <w:r w:rsidRPr="00087A72">
        <w:rPr>
          <w:sz w:val="12"/>
        </w:rPr>
        <w:t xml:space="preserve">par excellence in that it marshals ever new combina- tions of negativity and affirmation with a view to </w:t>
      </w:r>
      <w:r w:rsidRPr="00087A72">
        <w:rPr>
          <w:i/>
          <w:iCs/>
          <w:sz w:val="12"/>
        </w:rPr>
        <w:t>generating new values</w:t>
      </w:r>
      <w:r w:rsidRPr="00087A72">
        <w:rPr>
          <w:sz w:val="12"/>
        </w:rPr>
        <w:t xml:space="preserve">. “Through these actions,” writes Coulthard, “we physically say ‘no’ to the degradation of our communities and to the exploitation of the lands upon which we depend. But they also have ingrained within them a resounding ‘yes’: they are the affirmative </w:t>
      </w:r>
      <w:r w:rsidRPr="00087A72">
        <w:rPr>
          <w:i/>
          <w:iCs/>
          <w:sz w:val="12"/>
        </w:rPr>
        <w:t xml:space="preserve">enactment </w:t>
      </w:r>
      <w:r w:rsidRPr="00087A72">
        <w:rPr>
          <w:sz w:val="12"/>
        </w:rPr>
        <w:t xml:space="preserve">of another modality of being, a different way of relation to and with the world. [...] They become a way of life, another form of community” (169; emphasis in original). In a December 24, 2012 editorial in </w:t>
      </w:r>
      <w:r w:rsidRPr="00087A72">
        <w:rPr>
          <w:i/>
          <w:iCs/>
          <w:sz w:val="12"/>
        </w:rPr>
        <w:t>The Globe and Mail</w:t>
      </w:r>
      <w:r w:rsidRPr="00087A72">
        <w:rPr>
          <w:sz w:val="12"/>
        </w:rPr>
        <w:t xml:space="preserve">, Naomi Klein, an active participant in the movement since its inception, frames Spence’s hunger fast showdown with then Prime Minister Stephen Harper almost explicitly in such </w:t>
      </w:r>
      <w:r w:rsidRPr="00087A72">
        <w:rPr>
          <w:i/>
          <w:iCs/>
          <w:sz w:val="12"/>
        </w:rPr>
        <w:t xml:space="preserve">transductive </w:t>
      </w:r>
      <w:r w:rsidRPr="00087A72">
        <w:rPr>
          <w:sz w:val="12"/>
        </w:rPr>
        <w:t xml:space="preserve">Antigonal terms: I won’t soon forget this clash between these two very different kinds of resolve, one so sealed off, closed in; the other cracked wide open, a conduit for the pain of the world. But Chief Spence’s hunger is not just speaking to Mr. Harper. It is also speaking to all of us, telling us that the time for bitching and moaning is over. Now is the time to act [...]. This message is a potent gift. So is the Idle No More movement—its name at once a firm commitment to the future, while at the same time a gentle self-criticism of the past. We did sit idly by, but no more. </w:t>
      </w:r>
      <w:r w:rsidRPr="00087A72">
        <w:rPr>
          <w:i/>
          <w:iCs/>
          <w:sz w:val="12"/>
        </w:rPr>
        <w:t xml:space="preserve">A-polis </w:t>
      </w:r>
      <w:r w:rsidRPr="00087A72">
        <w:rPr>
          <w:sz w:val="12"/>
        </w:rPr>
        <w:t xml:space="preserve">but porous to “the pain of the world,” </w:t>
      </w:r>
      <w:r w:rsidRPr="00087A72">
        <w:rPr>
          <w:i/>
          <w:iCs/>
          <w:sz w:val="12"/>
        </w:rPr>
        <w:t xml:space="preserve">Disgrace </w:t>
      </w:r>
      <w:r w:rsidRPr="00087A72">
        <w:rPr>
          <w:sz w:val="12"/>
        </w:rPr>
        <w:t xml:space="preserve">and </w:t>
      </w:r>
      <w:r w:rsidRPr="00087A72">
        <w:rPr>
          <w:u w:val="single"/>
        </w:rPr>
        <w:t xml:space="preserve">Idle No More resolutely point a sovereign Antigone and her ever-evolving field of kin- ship relations into the twenty-first century—not as a “servant of Eros” but as a thanatopian agent of ever-changing, commingling dissident and erotic possibilities. While </w:t>
      </w:r>
      <w:r w:rsidRPr="00087A72">
        <w:rPr>
          <w:b/>
          <w:iCs/>
          <w:u w:val="single"/>
        </w:rPr>
        <w:t>her plight may seem futile from within the well regulated occupational utopias of postcolonial modernity, her actions harbor the iridescent potential to disabuse the most recalcitrant sovereign of his jurisdictional hubris.</w:t>
      </w:r>
      <w:r w:rsidRPr="00087A72">
        <w:rPr>
          <w:sz w:val="12"/>
        </w:rPr>
        <w:t xml:space="preserve"> In the meantime, irrespective of the sovereign’s purview, a queer, miscegenous resurgence is taking root in the Canadian body politic: “Something truly magical is spreading. There are round dances by the dollar stores. There are drums drowning out muzak in shopping malls. There are eagle feathers upstaging the fake Santas. The people whose land our founders stole and whose culture they tried to stamp out are rising up, hungry for justice. Canada’s roots are showing. And these roots will make us all stand stronger” (Klein 2012). Two vast, interpenetrating circulatory systems, bound up with two mutually opposed claims to sovereignty, are currently flowing at cross- currents through the Canadian Leviathan: one, a seemingly ineluctable petroleum and natural gas superhighway rapidly remaking the nation, and perhaps the whole continent, in its own image; the other, a resolute, pre- viously unthinkable corridor of solidarity and kinship, an alliance of real flesh and blood positing its own sovereign </w:t>
      </w:r>
      <w:r w:rsidRPr="00087A72">
        <w:rPr>
          <w:i/>
          <w:iCs/>
          <w:sz w:val="12"/>
        </w:rPr>
        <w:t xml:space="preserve">nomos </w:t>
      </w:r>
      <w:r w:rsidRPr="00087A72">
        <w:rPr>
          <w:sz w:val="12"/>
        </w:rPr>
        <w:t xml:space="preserve">against the corporate- governmental </w:t>
      </w:r>
      <w:r w:rsidRPr="00087A72">
        <w:rPr>
          <w:i/>
          <w:iCs/>
          <w:sz w:val="12"/>
        </w:rPr>
        <w:t xml:space="preserve">occupation </w:t>
      </w:r>
      <w:r w:rsidRPr="00087A72">
        <w:rPr>
          <w:sz w:val="12"/>
        </w:rPr>
        <w:t xml:space="preserve">of unceded territory. Far beyond the ambit of the pleasure principle, this tragic configuration is awash with pity and terror. However </w:t>
      </w:r>
      <w:r w:rsidRPr="00087A72">
        <w:rPr>
          <w:u w:val="single"/>
        </w:rPr>
        <w:t>the deadlock is to unfold</w:t>
      </w:r>
      <w:r w:rsidRPr="00087A72">
        <w:rPr>
          <w:b/>
          <w:iCs/>
          <w:u w:val="single"/>
        </w:rPr>
        <w:t xml:space="preserve">, the ancient utopian promise of catharsis has been left, once and for all, in the dustbin of history. </w:t>
      </w:r>
    </w:p>
    <w:p w:rsidR="00E06E0C" w:rsidRPr="00087A72" w:rsidRDefault="00E06E0C" w:rsidP="00E06E0C"/>
    <w:p w:rsidR="0022388F" w:rsidRPr="00087A72" w:rsidRDefault="0022388F" w:rsidP="007F2DDD">
      <w:pPr>
        <w:pStyle w:val="Heading3"/>
      </w:pPr>
      <w:r w:rsidRPr="00087A72">
        <w:t>Link – Visas/“Green Cards”</w:t>
      </w:r>
    </w:p>
    <w:p w:rsidR="0022388F" w:rsidRPr="00087A72" w:rsidRDefault="0022388F" w:rsidP="0022388F">
      <w:pPr>
        <w:pStyle w:val="Heading4"/>
      </w:pPr>
      <w:r w:rsidRPr="00087A72">
        <w:t>By attempting to define a person via legal paper, the governmental registry for categorization is biased tracking and labeling of non-white bodies, and pushing the racialized “other” out, even when it applies to the indigenous people of color preexisting in the nation. Titling people in their life and identity for them constitutes the indirect violence and deploys erasure and assimilation to indigenous life.</w:t>
      </w:r>
    </w:p>
    <w:p w:rsidR="0022388F" w:rsidRPr="00087A72" w:rsidRDefault="0022388F" w:rsidP="0022388F">
      <w:r w:rsidRPr="00087A72">
        <w:rPr>
          <w:rStyle w:val="Style13ptBold"/>
        </w:rPr>
        <w:t xml:space="preserve">Taschereau Mamers 17 </w:t>
      </w:r>
      <w:r w:rsidRPr="00087A72">
        <w:t xml:space="preserve"> (Danielle, University of Western Ontario, Graduate in media studies "Settler Colonial Ways of Seeing: Documentary Governance of Indigenous Life in Canada and its Disruption" (2017). Electronic Thesis and Dissertation Repository. 4651. https://ir.lib.uwo.ca/etd/4651)</w:t>
      </w:r>
    </w:p>
    <w:p w:rsidR="0022388F" w:rsidRPr="00087A72" w:rsidRDefault="0022388F" w:rsidP="0022388F">
      <w:pPr>
        <w:rPr>
          <w:b/>
          <w:iCs/>
          <w:sz w:val="26"/>
          <w:u w:val="single"/>
        </w:rPr>
      </w:pPr>
      <w:r w:rsidRPr="00087A72">
        <w:rPr>
          <w:rStyle w:val="Emphasis"/>
        </w:rPr>
        <w:t>Practices of defining, making visible, and governing “Indians” have histories, and in these histories a particular way of seeing is at work</w:t>
      </w:r>
      <w:r w:rsidRPr="00087A72">
        <w:rPr>
          <w:sz w:val="12"/>
        </w:rPr>
        <w:t xml:space="preserve">. To identify how various agents of settler sovereignty have aimed to delimit possibilities for Indigenous lives, I map the </w:t>
      </w:r>
      <w:r w:rsidRPr="00087A72">
        <w:rPr>
          <w:rStyle w:val="StyleUnderline"/>
        </w:rPr>
        <w:t xml:space="preserve">development and deployment of different documentary practices for generating evidence of the existence of “Indian” lives, conforming to settler racial categories. The very </w:t>
      </w:r>
      <w:r w:rsidRPr="00087A72">
        <w:rPr>
          <w:rStyle w:val="Emphasis"/>
        </w:rPr>
        <w:t>processes through which Indigenous lives are made visible are also the processes through which they are targeted by settler colonial policies of erasure, assimilation, and elimination.</w:t>
      </w:r>
      <w:r w:rsidRPr="00087A72">
        <w:rPr>
          <w:sz w:val="12"/>
        </w:rPr>
        <w:t xml:space="preserve"> This analysis unfolds across four chapters, each of which examines a specific </w:t>
      </w:r>
      <w:r w:rsidRPr="00087A72">
        <w:rPr>
          <w:rStyle w:val="Emphasis"/>
        </w:rPr>
        <w:t>documentary technique deployed in the governance of Indigenous life: the Indian Act, the 8 Indian Register, Certificates of Indian Status, and the crisis of missing and murdered Indigenous women.</w:t>
      </w:r>
      <w:r w:rsidRPr="00087A72">
        <w:rPr>
          <w:sz w:val="12"/>
        </w:rPr>
        <w:t xml:space="preserve"> I critique the </w:t>
      </w:r>
      <w:r w:rsidRPr="00087A72">
        <w:rPr>
          <w:rStyle w:val="StyleUnderline"/>
        </w:rPr>
        <w:t xml:space="preserve">documentation and governance of “Indian” subjects and argue that the racial taxonomy imposed </w:t>
      </w:r>
      <w:r w:rsidRPr="00087A72">
        <w:rPr>
          <w:sz w:val="12"/>
        </w:rPr>
        <w:t xml:space="preserve">by the Canadian state </w:t>
      </w:r>
      <w:r w:rsidRPr="00087A72">
        <w:rPr>
          <w:rStyle w:val="Emphasis"/>
        </w:rPr>
        <w:t>on Indigenous life constitutes indirect symbolic violence, which creates the conditions of possibility for further direct violence.</w:t>
      </w:r>
      <w:r w:rsidRPr="00087A72">
        <w:rPr>
          <w:sz w:val="12"/>
        </w:rPr>
        <w:t xml:space="preserve">7 This narrow focus risks repeating the administrative separation of Indigenous nations into “status Indian” and “non-status Indian”, as well as Inuit, Inuk, and Métis categories. However, in taking this specific focus, I make visible the documentary techniques used by the state to fracture Indigenous nations into governable populations in the particular case of “status Indians”. </w:t>
      </w:r>
      <w:r w:rsidRPr="00087A72">
        <w:rPr>
          <w:rStyle w:val="StyleUnderline"/>
        </w:rPr>
        <w:t xml:space="preserve">This dissertation thus contributes a method for denaturalizing state ways of seeing and grappling with the violence of documentary techniques, as well as their resistance—a method that can be adapted to analyze the documentary governance of other state-imposed categories of Indigenous life in future research. </w:t>
      </w:r>
      <w:r w:rsidRPr="00087A72">
        <w:rPr>
          <w:sz w:val="12"/>
        </w:rPr>
        <w:t xml:space="preserve">The central contribution of this dissertation is to further theorize </w:t>
      </w:r>
      <w:r w:rsidRPr="00087A72">
        <w:rPr>
          <w:rStyle w:val="StyleUnderline"/>
        </w:rPr>
        <w:t>Simpson’s insights into the ways histories, narratives, and theories have created the “terms of even being seen”</w:t>
      </w:r>
      <w:r w:rsidRPr="00087A72">
        <w:rPr>
          <w:sz w:val="12"/>
        </w:rPr>
        <w:t xml:space="preserve"> in colonial contexts (2007, 69). Simpson’s formulation of the </w:t>
      </w:r>
      <w:r w:rsidRPr="00087A72">
        <w:rPr>
          <w:rStyle w:val="StyleUnderline"/>
        </w:rPr>
        <w:t>political work of framing Indigenous life in the past and present is a condition of possibility for developing the concept of settler colonial ways of seeing and exploring how it has been and continues to be a key frame through which settler colonial governance operates</w:t>
      </w:r>
      <w:r w:rsidRPr="00087A72">
        <w:rPr>
          <w:sz w:val="12"/>
        </w:rPr>
        <w:t xml:space="preserve"> in Canada.While it is my hope that settler colonial ways of seeing will be a useful conceptual tool and will </w:t>
      </w:r>
      <w:r w:rsidRPr="00087A72">
        <w:rPr>
          <w:rStyle w:val="StyleUnderline"/>
        </w:rPr>
        <w:t>open new avenues for scholarship and critique within the disciplines of media studies and settler colonial studies, this term ought not be stripped of this critical genealogy.</w:t>
      </w:r>
      <w:r w:rsidRPr="00087A72">
        <w:rPr>
          <w:sz w:val="12"/>
        </w:rPr>
        <w:t xml:space="preserve"> Throughout this dissertation, I reference many different forms of violence. While developing a typology of violence in its many forms is not the goal of this work, I do </w:t>
      </w:r>
      <w:r w:rsidRPr="00087A72">
        <w:rPr>
          <w:rStyle w:val="StyleUnderline"/>
        </w:rPr>
        <w:t>return to a distinction between direct violence and indirect violence. Under this dichotomy, direct violence refers to types of violence with direct, material effects on the body. This can include frontier homicide, starvation, beatings, rape or sexual assault, forced sterilization, family violence, intergenerational and lateral violence, and many other acts. Indirect violence refers to harm that is not immediately endured by the physical body. This includes the policies that led to the Indian Residential School system, deceptive treaty terms, confinement to reservations, cultural appropriation, and the techniques of identity documentation investigated in this dissertation. In asserting the immediacy of effects on the physical body</w:t>
      </w:r>
      <w:r w:rsidRPr="00087A72">
        <w:rPr>
          <w:sz w:val="12"/>
        </w:rPr>
        <w:t xml:space="preserve"> (which includes human, more-than-human, and land bodies), I am not establishing a binary or hierarchical relation between direct or indirect violence. These two broad types of violence can operate in isolation, in tandem, and in preparation for one another</w:t>
      </w:r>
      <w:r w:rsidRPr="00087A72">
        <w:rPr>
          <w:rStyle w:val="Emphasis"/>
        </w:rPr>
        <w:t xml:space="preserve">. State generated documents—legislative acts, lists of registered names, identity cards, databases—contribute to the violation of Indigenous life by making a so-called “Indian problem” visible to agents of colonial governance and the broader settler society. </w:t>
      </w:r>
      <w:r w:rsidRPr="00087A72">
        <w:rPr>
          <w:sz w:val="12"/>
        </w:rPr>
        <w:t xml:space="preserve">The </w:t>
      </w:r>
      <w:r w:rsidRPr="00087A72">
        <w:rPr>
          <w:rStyle w:val="Emphasis"/>
        </w:rPr>
        <w:t>Indian Act introduced a racial taxonomy, which narrowly defined “Indian” life and contributed to creating the conditions of possibility for establishing a Euro-Canadian settler society and, ultimately, “a racially stratified capitalist economy and colonial state”</w:t>
      </w:r>
      <w:r w:rsidRPr="00087A72">
        <w:rPr>
          <w:sz w:val="12"/>
        </w:rPr>
        <w:t xml:space="preserve"> (Coulthard 2007, 446). The goal of settler colonialism is to acquire territory in service of establishing new political communities—territories from which Indigenous inhabitants must be eliminated (Wolfe 1999). As Audra Simpson observes, “[t]he desire for land produces ‘the problem’ of Indigenous life that is already living on that land” (2014, 19). For the representatives of Euro-Canadian sovereign power, reckoning with “the problem” of Indigenous nations was central condition for acquiring territory and making it available for settlement. The Indian Act was designed to contribute to solving a so-called “Indian problem” by codifying a definition of who is an “Indian”, while the Indian Register and Certificates of Indian Status brought this category into being at the level of identifying and registering individuals as “Indians</w:t>
      </w:r>
      <w:r w:rsidRPr="00087A72">
        <w:rPr>
          <w:rStyle w:val="StyleUnderline"/>
        </w:rPr>
        <w:t xml:space="preserve">”. </w:t>
      </w:r>
      <w:r w:rsidRPr="00087A72">
        <w:rPr>
          <w:rStyle w:val="Emphasis"/>
        </w:rPr>
        <w:t>To reckon with a problem of governance requires making that problem visible to the gaze of the state. In these documents, the state could see its “Indian problem” in an abstracted, calculable, abridged way. Settler colonial ways of seeing, I argue, aim to transform Indigenous lives and nations into “Indians” in service of containing and controlling the threats sovereign Indigenous alterities poses to the establishment and maintenance of Canada as a settler polity</w:t>
      </w:r>
      <w:r w:rsidRPr="00087A72">
        <w:rPr>
          <w:sz w:val="12"/>
        </w:rPr>
        <w:t>.8 The Canadian state and its official and unofficial representatives have engaged in a wide range of direct and indirect violence perpetrated against Indigenous land, lives, 8 Jodi Byrd has theorized the process of “</w:t>
      </w:r>
      <w:r w:rsidRPr="00087A72">
        <w:rPr>
          <w:rStyle w:val="Emphasis"/>
        </w:rPr>
        <w:t>Indianization” as the conversion of Indigeneity into the racializing construction of “Indian” populations through a process that “elides and effaces the Indigenous peoples upon whose land the nation-state is now located</w:t>
      </w:r>
      <w:r w:rsidRPr="00087A72">
        <w:rPr>
          <w:sz w:val="12"/>
        </w:rPr>
        <w:t xml:space="preserve">” (2011, 110). Byrd’s analysis is primarily concerned with both the United States context and the ways that various streams of critical theory have taken up the symbol of “Indian” presence and simultaneously denying Indigenous agency in service of such theorists’ own political ends. This dissertation, however, focuses on the context of a similar </w:t>
      </w:r>
      <w:r w:rsidRPr="00087A72">
        <w:rPr>
          <w:rStyle w:val="Emphasis"/>
        </w:rPr>
        <w:t>transformation of sovereign Indigenous nations into governable “Indian” subjects in Canada and at the level of bureaucratic, documentary technique rather than critical theory.</w:t>
      </w:r>
    </w:p>
    <w:p w:rsidR="007F2DDD" w:rsidRPr="00087A72" w:rsidRDefault="007F2DDD" w:rsidP="007F2DDD">
      <w:pPr>
        <w:pStyle w:val="Heading3"/>
      </w:pPr>
      <w:r w:rsidRPr="00087A72">
        <w:t>Link – Worlding</w:t>
      </w:r>
    </w:p>
    <w:p w:rsidR="007F2DDD" w:rsidRPr="00087A72" w:rsidRDefault="007F2DDD" w:rsidP="007F2DDD">
      <w:pPr>
        <w:keepNext/>
        <w:keepLines/>
        <w:spacing w:before="40" w:after="0"/>
        <w:outlineLvl w:val="3"/>
        <w:rPr>
          <w:rFonts w:eastAsiaTheme="majorEastAsia" w:cstheme="majorBidi"/>
          <w:b/>
          <w:iCs/>
          <w:sz w:val="24"/>
        </w:rPr>
      </w:pPr>
      <w:r w:rsidRPr="00087A72">
        <w:rPr>
          <w:rFonts w:eastAsiaTheme="majorEastAsia" w:cstheme="majorBidi"/>
          <w:b/>
          <w:iCs/>
          <w:sz w:val="24"/>
        </w:rPr>
        <w:t>The affirmative’s investment in worlding is a death-driven politic which can never obtain the fantasy of security and wholeness it imagines, but must endlessly murder the Indian as its condition of possibility to reach a “more perfect union.”</w:t>
      </w:r>
    </w:p>
    <w:p w:rsidR="007F2DDD" w:rsidRPr="00087A72" w:rsidRDefault="007F2DDD" w:rsidP="007F2DDD">
      <w:r w:rsidRPr="00087A72">
        <w:rPr>
          <w:b/>
          <w:bCs/>
          <w:sz w:val="24"/>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16-20) NIJ</w:t>
      </w:r>
    </w:p>
    <w:p w:rsidR="007F2DDD" w:rsidRPr="00087A72" w:rsidRDefault="007F2DDD" w:rsidP="007F2DDD">
      <w:pPr>
        <w:rPr>
          <w:u w:val="single"/>
        </w:rPr>
      </w:pPr>
      <w:r w:rsidRPr="00087A72">
        <w:rPr>
          <w:sz w:val="12"/>
        </w:rPr>
        <w:t xml:space="preserve">Worlding </w:t>
      </w:r>
      <w:r w:rsidRPr="00087A72">
        <w:rPr>
          <w:u w:val="single"/>
        </w:rPr>
        <w:t>In order to consider the full force of the world-making/world-breaking articulations enacted in attempts to actuate the injunction to “kill the Indian in the Child,” the present work makes use of Martin Heidegger’s notion of “worlding.” Worlding</w:t>
      </w:r>
      <w:r w:rsidRPr="00087A72">
        <w:rPr>
          <w:sz w:val="12"/>
        </w:rPr>
        <w:t xml:space="preserve">, which Heidegger advances in “The Thing” and “The Origin of the Work of Art,” </w:t>
      </w:r>
      <w:r w:rsidRPr="00087A72">
        <w:rPr>
          <w:u w:val="single"/>
        </w:rPr>
        <w:t>is the production of art in the gap, or rift</w:t>
      </w:r>
      <w:r w:rsidRPr="00087A72">
        <w:rPr>
          <w:sz w:val="12"/>
        </w:rPr>
        <w:t xml:space="preserve"> (Riss), </w:t>
      </w:r>
      <w:r w:rsidRPr="00087A72">
        <w:rPr>
          <w:u w:val="single"/>
        </w:rPr>
        <w:t>between earth and world.</w:t>
      </w:r>
      <w:r w:rsidRPr="00087A72">
        <w:rPr>
          <w:sz w:val="12"/>
        </w:rPr>
        <w:t xml:space="preserve"> He develops the concept as a way to think about the imaginative and ontological work performed in and by art objects, to understand the forms of being brought into the world by art. In “The Origin of the Work of Art,” Heidegger (1977) writes: Projective saying is poetry: the saying of the world and earth, the saying of the arena of their strife and this of the place of all nearness and remoteness of the gods. Poetry is the saying of the unconcealedness of beings. Actual language at any given moment is the happening of language of this saying, in which a people’s world historically arises for it and the earth is preserved as that which remains closed. Projective saying is saying which, in preparing the sayable, simultaneously brings the unsayable as such into the world. In such saying, the concepts of a historical people’s essence, i.e., of its belonging to world history are performed for that people. (185) In “The Thing,” he (2001) writes: </w:t>
      </w:r>
      <w:r w:rsidRPr="00087A72">
        <w:rPr>
          <w:u w:val="single"/>
        </w:rPr>
        <w:t>“The world presences by worlding. That means: the world’s worlding cannot be explained by anything else, nor can it be fathomed through anything else … As soon as human cognition here calls for an explanation, it fails to transcend the world’s nature, and falls short of it”</w:t>
      </w:r>
      <w:r w:rsidRPr="00087A72">
        <w:rPr>
          <w:sz w:val="12"/>
        </w:rPr>
        <w:t xml:space="preserve"> (177). In her book, Dark Continents: Psychoanalysis and Colonialism, </w:t>
      </w:r>
      <w:r w:rsidRPr="00087A72">
        <w:rPr>
          <w:u w:val="single"/>
        </w:rPr>
        <w:t>Khanna</w:t>
      </w:r>
      <w:r w:rsidRPr="00087A72">
        <w:rPr>
          <w:sz w:val="12"/>
        </w:rPr>
        <w:t xml:space="preserve"> (2003) mobilizes Heidegger’s concept, turning it explicitly towards the imperialist project. She </w:t>
      </w:r>
      <w:r w:rsidRPr="00087A72">
        <w:rPr>
          <w:u w:val="single"/>
        </w:rPr>
        <w:t>ventures that if what Heidegger calls “actual language” is “the happening of the saying,” then art is not, precisely, an object that represents something already existing. She writes: “Rather, it is an event of a condition for the possibility of coming into being. Worlding performs the ‘unconcealedness of being’ because it brings new ways of being in the world, along with the attendant concealedness of the earth that occurs simultaneously”</w:t>
      </w:r>
      <w:r w:rsidRPr="00087A72">
        <w:rPr>
          <w:sz w:val="12"/>
        </w:rPr>
        <w:t xml:space="preserve"> (3). For Heidegger, </w:t>
      </w:r>
      <w:r w:rsidRPr="00087A72">
        <w:rPr>
          <w:u w:val="single"/>
        </w:rPr>
        <w:t>the process (of worlding) is one of strife, between the unconcealed (worlded) and the concealed (unworlded). This process is profoundly ideological, though it claims not to be.</w:t>
      </w:r>
      <w:r w:rsidRPr="00087A72">
        <w:rPr>
          <w:sz w:val="12"/>
        </w:rPr>
        <w:t xml:space="preserve"> Gayatri </w:t>
      </w:r>
      <w:r w:rsidRPr="00087A72">
        <w:rPr>
          <w:u w:val="single"/>
        </w:rPr>
        <w:t>Spivak interprets and extends Heidegger’s thought by understanding the violence, or strife, his work describes as the passage from earth to a world, as the establishment of colonial control through mapping, land appropriation, and the transformation of the raw materials of the earth into the politico- economic and geographical category of “world”. All of these practices make claims on the nature of being, which necessarily implicates the register of legibility, determining what signifies—how, to whom, and to what effect(s)—and also, what does not. Heidegger’s writings claim that the work of art performs the labor of opening up the world so we might be able to understand it in new ways. On the transmutation of the concept from its original context to that of colonial world-makings, Khanna writes: “If Heidegger claimed that the art work allowed a sense of the unsayable, Spivak translates those terms as the projecting of the colonized as ‘other,’ nonself, or as the unsayable of colonial selfhood. The colonized thus become the ‘closed,’ or the ‘earth’ through the establishment of the world”</w:t>
      </w:r>
      <w:r w:rsidRPr="00087A72">
        <w:rPr>
          <w:sz w:val="12"/>
        </w:rPr>
        <w:t xml:space="preserve"> (4). If Heidegger saw the process of naming as bringing being into the world and into history, Spivak generatively locates that history more specifically in coloniality. </w:t>
      </w:r>
      <w:r w:rsidRPr="00087A72">
        <w:rPr>
          <w:u w:val="single"/>
        </w:rPr>
        <w:t>As Khanna glosses Spivak, “She wrests the metaphor of earth into world from timeless abstraction, tying it into the historico-political contingencies of Europe”</w:t>
      </w:r>
      <w:r w:rsidRPr="00087A72">
        <w:rPr>
          <w:sz w:val="12"/>
        </w:rPr>
        <w:t xml:space="preserve"> (5). As I read Khanna, whose own mobilization of worlding extends the concept from Heidegger through Spivak’s interpretation, </w:t>
      </w:r>
      <w:r w:rsidRPr="00087A72">
        <w:rPr>
          <w:u w:val="single"/>
        </w:rPr>
        <w:t>her understanding of colonial worlding(s) as the processes by which “participants are brought into temporality and history, or, conversely, excluded … and concealed timelessly into the earth”</w:t>
      </w:r>
      <w:r w:rsidRPr="00087A72">
        <w:rPr>
          <w:sz w:val="12"/>
        </w:rPr>
        <w:t xml:space="preserve"> (4), </w:t>
      </w:r>
      <w:r w:rsidRPr="00087A72">
        <w:rPr>
          <w:u w:val="single"/>
        </w:rPr>
        <w:t xml:space="preserve">indicates that colonial worlding is deeply invested in practices of naming, classifying, and hierarchizing difference. </w:t>
      </w:r>
      <w:r w:rsidRPr="00087A72">
        <w:rPr>
          <w:sz w:val="12"/>
        </w:rPr>
        <w:t xml:space="preserve">In the work at hand, </w:t>
      </w:r>
      <w:r w:rsidRPr="00087A72">
        <w:rPr>
          <w:u w:val="single"/>
        </w:rPr>
        <w:t>I am interested in situating the concept of worlding within colonial praxis that seeks to render its other invalid on the other’s own terms. I argue that the imaginative and ontological work of colonial worlding(s) render(s) the voices of its other unhearable, its names unspeakable, its lives subaltern, its bodies ungrieveable, its deaths an otherworldly haunting of the body politic.</w:t>
      </w:r>
      <w:r w:rsidRPr="00087A72">
        <w:rPr>
          <w:sz w:val="12"/>
        </w:rPr>
        <w:t xml:space="preserve"> Further, I follow Spivak (1985) in insisting that </w:t>
      </w:r>
      <w:r w:rsidRPr="00087A72">
        <w:rPr>
          <w:u w:val="single"/>
        </w:rPr>
        <w:t>the agents of the “cartographic” transformation of the earth are not only the great names of political philosophers, decision-makers and military conquerors, but what she calls “small unimportant folk”</w:t>
      </w:r>
      <w:r w:rsidRPr="00087A72">
        <w:rPr>
          <w:sz w:val="12"/>
        </w:rPr>
        <w:t xml:space="preserve"> (253) like the priest(s), nun(s), and other school officials who oversaw the daily operations of the IRS, the Indian agents whose job it was to monitor the conditions there, and the bureaucrats whose task it was to oversee such matters as budget allocation, providing for sufficient food, heat, clothing, medicine, support etc. These “small unimportant folk” also include scientists who, in the 1930’s and 1940’s saw fit to utilize Indigenous children at the IRS as test-subjects in experiments on the effects of malnutrition, and the nutritional outcomes of scientifically altered food, without the consent or knowledge of these children, or their families/parents/guardians. </w:t>
      </w:r>
      <w:r w:rsidRPr="00087A72">
        <w:rPr>
          <w:u w:val="single"/>
        </w:rPr>
        <w:t xml:space="preserve">My aim in pointing to these—and other—systemic, but profoundly managerial violences </w:t>
      </w:r>
      <w:r w:rsidRPr="00087A72">
        <w:rPr>
          <w:sz w:val="12"/>
        </w:rPr>
        <w:t xml:space="preserve">exercised on students at the IRS, is to write against the claim that the schools were simply a failed but well-intentioned experiment in colonial governance of First Peoples. My argument </w:t>
      </w:r>
      <w:r w:rsidRPr="00087A72">
        <w:rPr>
          <w:u w:val="single"/>
        </w:rPr>
        <w:t>is that the system-wide conditions of death (psychic, sexual, physical, social, cultural)</w:t>
      </w:r>
      <w:r w:rsidRPr="00087A72">
        <w:rPr>
          <w:sz w:val="12"/>
        </w:rPr>
        <w:t xml:space="preserve"> in the IRS </w:t>
      </w:r>
      <w:r w:rsidRPr="00087A72">
        <w:rPr>
          <w:u w:val="single"/>
        </w:rPr>
        <w:t>point to something more subterranean within the operations of colonial worlding, the fantasy of eradication without remainder: a fantasy in which the ‘bad’ Indian could be erased in the projective saying of a postcolonial (white) unified, civilized future.</w:t>
      </w:r>
      <w:r w:rsidRPr="00087A72">
        <w:rPr>
          <w:sz w:val="12"/>
        </w:rPr>
        <w:t xml:space="preserve"> I theorize that </w:t>
      </w:r>
      <w:r w:rsidRPr="00087A72">
        <w:rPr>
          <w:u w:val="single"/>
        </w:rPr>
        <w:t>this fantasy of eradication, the sought-after annihilation of, what I have started to think of as, the ‘inconvenient life’ of the Indigenous child, points to something altogether subterranean, something death driven.</w:t>
      </w:r>
      <w:r w:rsidRPr="00087A72">
        <w:rPr>
          <w:sz w:val="12"/>
        </w:rPr>
        <w:t xml:space="preserve"> Elaborating some features of what I consider as ‘cultures of the death drive,’ I point to the death drive as a central element in psychic life that plays out as a fundamental aggressivity in the social bond. </w:t>
      </w:r>
      <w:r w:rsidRPr="00087A72">
        <w:rPr>
          <w:u w:val="single"/>
        </w:rPr>
        <w:t xml:space="preserve">The motor-force that surfs invisibly atop existing libidinal processes (disappearing within them, able to camouflage itself perfectly), the death drive is difficult to detect. A telltale sign of its involvement is the compulsive, repeating, push, or drive, beyond pleasure, towards an unattainable objective, such as a perfectly unified body politic, or the ability to actualize, finally, the vision of the earth promised but never fully delivered by ‘The New World’ as terra nullius. </w:t>
      </w:r>
      <w:r w:rsidRPr="00087A72">
        <w:rPr>
          <w:sz w:val="12"/>
        </w:rPr>
        <w:t xml:space="preserve">While Freudian theory does not arrive at a full exegisis of the death drive—a fact that is not at all insignificant to the essence of what the death drive is and what it does—Jacques Lacan elaborates the concept in ways that are productive for the work at hand. In this work, </w:t>
      </w:r>
      <w:r w:rsidRPr="00087A72">
        <w:rPr>
          <w:u w:val="single"/>
        </w:rPr>
        <w:t>Lacan renders the death drive as the push that feels/seems as if it is towards the desired object, when in fact the trajectory of its aim only circles or orbits around the desired object.</w:t>
      </w:r>
      <w:r w:rsidRPr="00087A72">
        <w:rPr>
          <w:sz w:val="12"/>
        </w:rPr>
        <w:t xml:space="preserve"> Lacan introduces the term objet petit a to designate that which stands in for the object of desire, an object that is, by definition, unattainable. For Lacan this “object” is a spectral, virtual construct. It is the object cause of the subject’s desire, the ‘thing’ the subject thinks will bring final satisfaction/completion. </w:t>
      </w:r>
      <w:r w:rsidRPr="00087A72">
        <w:rPr>
          <w:u w:val="single"/>
        </w:rPr>
        <w:t>Rather than imagining a trajectory that unfolds along the linear progressive logic of teleological progress with the desired outcome at the end, we must visualize the trajectory of the death drive towards the desired object as necessarily elliptical. This is because full arrival at the object of desire is, for Lacan, emphatically impossible</w:t>
      </w:r>
      <w:r w:rsidRPr="00087A72">
        <w:rPr>
          <w:sz w:val="12"/>
        </w:rPr>
        <w:t xml:space="preserve">, as objet petit a in fact covers over what, for Lacan, is a constitutive lack at the center of all experience/existence. </w:t>
      </w:r>
      <w:r w:rsidRPr="00087A72">
        <w:rPr>
          <w:u w:val="single"/>
        </w:rPr>
        <w:t>Where the subject feels her/himself drawing close to the object of desire, only to narrowly miss achieving it, the propulsion of the death drive incites an intensification. One valuable interlocutor calls this intensification a “doubling-down,” in which the subject redoubles her/his efforts to reach what is, essentially, not reachable.</w:t>
      </w:r>
      <w:r w:rsidRPr="00087A72">
        <w:rPr>
          <w:sz w:val="12"/>
        </w:rPr>
        <w:t xml:space="preserve"> 16 My argument is that </w:t>
      </w:r>
      <w:r w:rsidRPr="00087A72">
        <w:rPr>
          <w:u w:val="single"/>
        </w:rPr>
        <w:t xml:space="preserve">the death drive is a useful reading strategy through which to interpret the colonial fantasy of eradicating the inconvenient life that it viewed as standing in the way of its ability to ‘cash in’ on the promise of terra nullius and the attaining of full, uncontested, sovereignty. </w:t>
      </w:r>
      <w:r w:rsidRPr="00087A72">
        <w:rPr>
          <w:sz w:val="12"/>
        </w:rPr>
        <w:t xml:space="preserve">Using psychoanalysis as reading practice, reading through the subterranean concept of the death drive, my analysis amplifies Spivak’s (1985) claim that, </w:t>
      </w:r>
      <w:r w:rsidRPr="00087A72">
        <w:rPr>
          <w:u w:val="single"/>
        </w:rPr>
        <w:t>“the necessary yet contradictory assumption of an uninscribed earth which is the condition of possibility of the worlding of a world generates the force to make the “native” see herself/himself as ‘other’”</w:t>
      </w:r>
      <w:r w:rsidRPr="00087A72">
        <w:rPr>
          <w:sz w:val="12"/>
        </w:rPr>
        <w:t xml:space="preserve"> (250). What resonates in in this account of colonial interpellation is an emphasis on the violence or strife latent in Heidegger’s description of the space between earth and world as rift/riss. </w:t>
      </w:r>
      <w:r w:rsidRPr="00087A72">
        <w:rPr>
          <w:u w:val="single"/>
        </w:rPr>
        <w:t>When Heidegger’s concept of worlding is turned to the imperialist project, what emerges out of the violence of this rift-space is the violence of a fight or battle to hold suppressed, as earth(ly), what cannot be risked as world, that which cannot be allowed to materialize—or remain material.</w:t>
      </w:r>
    </w:p>
    <w:p w:rsidR="00D005A2" w:rsidRPr="00087A72" w:rsidRDefault="00D005A2" w:rsidP="00D005A2">
      <w:pPr>
        <w:pStyle w:val="Heading2"/>
      </w:pPr>
      <w:r w:rsidRPr="00087A72">
        <w:t>Impacts</w:t>
      </w:r>
    </w:p>
    <w:p w:rsidR="00032E5A" w:rsidRPr="00087A72" w:rsidRDefault="00032E5A" w:rsidP="00D005A2">
      <w:pPr>
        <w:pStyle w:val="Heading3"/>
      </w:pPr>
      <w:r w:rsidRPr="00087A72">
        <w:t>Framing – Body Count Bad</w:t>
      </w:r>
    </w:p>
    <w:p w:rsidR="006B227D" w:rsidRPr="00087A72" w:rsidRDefault="00032E5A" w:rsidP="00032E5A">
      <w:pPr>
        <w:pStyle w:val="Heading4"/>
      </w:pPr>
      <w:r w:rsidRPr="00087A72">
        <w:t>The role of numbers</w:t>
      </w:r>
      <w:r w:rsidR="006B227D" w:rsidRPr="00087A72">
        <w:t xml:space="preserve"> in impact comparison not only abstracts violence away from its materiality—allowing a God’s eye approach in which debaters become judge, jury and executioner over Native lives—but it also feeds into the Settler colonial fantasy to watch Natives disappear.</w:t>
      </w:r>
    </w:p>
    <w:p w:rsidR="00032E5A" w:rsidRPr="00087A72" w:rsidRDefault="00032E5A" w:rsidP="00032E5A">
      <w:r w:rsidRPr="00087A72">
        <w:rPr>
          <w:rStyle w:val="Style13ptBold"/>
        </w:rPr>
        <w:t>Taschereau Mamers 17 (</w:t>
      </w:r>
      <w:r w:rsidRPr="00087A72">
        <w:t>Danielle, University of Western Ontario, Graduate in media studies "Settler Colonial Ways of Seeing: Documentary Governance of Indigenous Life in Canada and its Disruption" (2017). Electronic Thesis and Dissertation Repository. 4651. https://ir.lib.uwo.ca/etd/4651)</w:t>
      </w:r>
    </w:p>
    <w:p w:rsidR="00032E5A" w:rsidRPr="00087A72" w:rsidRDefault="00032E5A" w:rsidP="00032E5A">
      <w:pPr>
        <w:rPr>
          <w:b/>
          <w:iCs/>
          <w:sz w:val="24"/>
          <w:u w:val="single"/>
        </w:rPr>
      </w:pPr>
      <w:r w:rsidRPr="00087A72">
        <w:t xml:space="preserve">The </w:t>
      </w:r>
      <w:r w:rsidRPr="00087A72">
        <w:rPr>
          <w:rStyle w:val="StyleUnderline"/>
        </w:rPr>
        <w:t>visibility of the missing and murdered Indigenous women crisis as a phenomenon of contemporary and ongoing colonial violence that has brutally taken the lives of at least 1,181 women is relatively recent. The family members of disappeared women, as well as Indigenous activists, researchers, and artists have been working to draw attention to the issue since the time of contact</w:t>
      </w:r>
      <w:r w:rsidRPr="00087A72">
        <w:t xml:space="preserve"> (Acoose 1995; LaRocque 1994). However, the crisis only began to be seen as a crisis by the settler colonial state, its representatives, and its settler population in the late 1990s,</w:t>
      </w:r>
      <w:r w:rsidRPr="00087A72">
        <w:rPr>
          <w:rStyle w:val="StyleUnderline"/>
        </w:rPr>
        <w:t xml:space="preserve"> following a wave of Indigenous women disappearing from Vancouver and the specific term “MMIW” has only come into regular use in the past decade.2 Reflecting on the challenges Indigenous women and families have faced in making violence visible to settler governments, to broader settler population, and within largely male-dominated Indigenous political organizations, Pamela Palmater observes: “The fact that these statistics are now widely known was a struggle in and of itself</w:t>
      </w:r>
      <w:r w:rsidRPr="00087A72">
        <w:t>” (2016, 256</w:t>
      </w:r>
      <w:r w:rsidRPr="00087A72">
        <w:rPr>
          <w:rStyle w:val="Emphasis"/>
        </w:rPr>
        <w:t>). Indigenous women’s activism, advocacy, and research have been at the heart of this struggle.</w:t>
      </w:r>
      <w:r w:rsidRPr="00087A72">
        <w:t xml:space="preserve"> Decades of work 2 While analyses of the issue have existed for several decades, the earliest use of the term “missing and murdered Indigenous/Aboriginal women” in academic writing is in Cardinal (2006) and Pate (2006). Announcements about the funding of the Sisters in Spirit initiative and the Amnesty Stolen Sisters report are the earliest usage of the term in the mainstream press. The Stolen Sisters </w:t>
      </w:r>
      <w:r w:rsidRPr="00087A72">
        <w:rPr>
          <w:rStyle w:val="StyleUnderline"/>
        </w:rPr>
        <w:t>report names the phenomenon “discrimination and violence against Indigenous women” in 2004. Another early use of the term was at the Missing Indigenous Women Conference, held in Regina, Saskatchewan in 2008. 142  conducted in city streets and in remote communities, as well as in public hearings, libraries, women’s centres, and offices have contributed to establishing the frame through which MMIW is now visible.</w:t>
      </w:r>
      <w:r w:rsidRPr="00087A72">
        <w:t xml:space="preserve"> The contemporary visibility of the MMIW crisis is the result of several documentation strategies, which have provided </w:t>
      </w:r>
      <w:r w:rsidRPr="00087A72">
        <w:rPr>
          <w:rStyle w:val="StyleUnderline"/>
        </w:rPr>
        <w:t>key evidence of the crisis. Though not a complete history of all actions taken to frame the disappearances and murders of Indigenous women as the MMIW crisis, in this section I narrate the work of making the crisis visible through three numerical frames: 67: the number of women who were disappeared from Vancouver’s Downtown Eastside between 1997 and 2002, according to the Missing Women’s Commission of Inquiry (MWCI);   582: the number of missing and murdered Indigenous women included in NWAC’s Sisters in Spirit database in 2010; and,   1,181: the number of missing and murdered Indigenous women identified by the RCMP in 2014.  Each frame coheres around different numbers of disappeared and murdered women, reflecting the many representational practices deployed over the past three decades. I approach these numerical frames as the focal points at which multiple efforts to making the MMIW crisis visible</w:t>
      </w:r>
      <w:r w:rsidRPr="00087A72">
        <w:t xml:space="preserve">—and invisible—converge. To map the ways the MMIW crisis has come into view as a crisis also requires charting key points of contestation between various state, media, activist, and research representations of the crisis. As the space in which practices of documentation and contests of interpretation cohere, these </w:t>
      </w:r>
      <w:r w:rsidRPr="00087A72">
        <w:rPr>
          <w:rStyle w:val="Emphasis"/>
        </w:rPr>
        <w:t>three numerical frames present a window into the politics of visibility.</w:t>
      </w:r>
      <w:r w:rsidRPr="00087A72">
        <w:t xml:space="preserve"> As products of the struggle to name and make visible the MMIW crisis, </w:t>
      </w:r>
      <w:r w:rsidRPr="00087A72">
        <w:rPr>
          <w:rStyle w:val="Emphasis"/>
        </w:rPr>
        <w:t>these three numbers are themselves documents of the crisis and serve as evidence of the phenomenon of disappeared and murdered Indigenous women.  The politics of using numbers to make visible questions of justice are fraught. The knowledges that numbers and their quantitative visibilities generate can be an efficient method for pointing to the existence of the phenomena they represent and can serve as a   143 pragmatic tool in demonstrating injustice</w:t>
      </w:r>
      <w:r w:rsidRPr="00087A72">
        <w:t xml:space="preserve">.3 Human rights organizations </w:t>
      </w:r>
      <w:r w:rsidRPr="00087A72">
        <w:rPr>
          <w:rStyle w:val="Emphasis"/>
        </w:rPr>
        <w:t>monitoring war, conflict zones, and other humanitarian crises have long asserted that counting casualties—especially civilian or non-combatant deaths—has an important role to play in advocating for policy changes, such as spurring humanitarian aid or the cessation of comba</w:t>
      </w:r>
      <w:r w:rsidRPr="00087A72">
        <w:t xml:space="preserve">t (Perousa de Montclos 2016; Seybolt et al 2013). However, as Sally Merry notes, uses of numbers are often wrapped up in the claim that are “rational, technical knowledge that is disinterested and the product of expertise” (2016, 4).4 In their efficiency and claims to objectivity, numbers tend toward simplifying the complex details of the phenomena they represent. Such a </w:t>
      </w:r>
      <w:r w:rsidRPr="00087A72">
        <w:rPr>
          <w:rStyle w:val="StyleUnderline"/>
        </w:rPr>
        <w:t>decontextualizing, abridged method for re-presenting the world is, as I have argued in the preceding chapters, a preferred technique within the conventions of state bureaucracies. Just as the centralized Indian Register’s count of “status Indians” serves state desires to make the “Indian” population visible through documentary evidence, these different numbers serve to make visible the MMIW crisis and to generate the documentary evidence that brings it into being.</w:t>
      </w:r>
      <w:r w:rsidRPr="00087A72">
        <w:t xml:space="preserve"> Each of the three numerical </w:t>
      </w:r>
      <w:r w:rsidRPr="00087A72">
        <w:rPr>
          <w:rStyle w:val="StyleUnderline"/>
        </w:rPr>
        <w:t>frames analyzed in this chapter have proved a valuable resource for women’s families, communities, and advocates to re-present the growing MMIW crisis in terms visible to settler colonial ways of seeing. But, this strategy risks circumscribing the lives of Indigenous women within abstracting numerical re-presentations. In her analysis of Indigenous deaths in police custody, Razack reminds that numbers “offer the opportunity to confirm an old colonial belief (they are dying due to an inherent incapacity to survive modern life) as much as they do the opposit</w:t>
      </w:r>
      <w:r w:rsidRPr="00087A72">
        <w:t xml:space="preserve">e (we are 3 A recent </w:t>
      </w:r>
      <w:r w:rsidRPr="00087A72">
        <w:rPr>
          <w:rStyle w:val="StyleUnderline"/>
        </w:rPr>
        <w:t>example of the use of statistics in service of claims about racial injustice in Canada was the complaint filed by Cindy Blackstock and the First Nations Child and Family Caring Society against the federal government with the Canadian Human Rights Tribunal in 2003. Population statistics and reports on federal spending to show that on-reserve services receive significantly less funding than services in other communities were key sources of evidence in the case’s argument that such underfunding results in a significantly larger proportion of First Nations children being apprehended and placed in the custody of child welfare services.</w:t>
      </w:r>
      <w:r w:rsidRPr="00087A72">
        <w:t xml:space="preserve"> In January 2016, the Canadian Human Rights Tribunal handed down a landmark ruling that found the federal government to be racially discriminating against 163,000 First Nations children by failing to provide equitable child welfare services. For analyses of the case, see Blackstock (2016a, 2016b) and Henderson (2012). 4 On the </w:t>
      </w:r>
      <w:r w:rsidRPr="00087A72">
        <w:rPr>
          <w:rStyle w:val="Emphasis"/>
        </w:rPr>
        <w:t>connotations of rationality, objectivity, and expertise that circulate through numbers and quantification</w:t>
      </w:r>
      <w:r w:rsidRPr="00087A72">
        <w:t>, see Appadurai (1996), Miller and Napier (1993), Poovey (1998), Rose (1991, 2001), and Walter and Andersen (2013). 144  killing them)” (2015, 193).</w:t>
      </w:r>
      <w:r w:rsidRPr="00087A72">
        <w:rPr>
          <w:rStyle w:val="Emphasis"/>
        </w:rPr>
        <w:t xml:space="preserve"> The numbers of the missing or the dead that may indeed render the crisis visible to settler state gazes also risk confirming settler visions of Indigenous peoples as vanishing. Similarly, the counting of deaths does not necessarily lead to understanding colonial relations of violence or the realities of violation, death, and its impacts on surviving family and community members</w:t>
      </w:r>
      <w:r w:rsidRPr="00087A72">
        <w:t xml:space="preserve">. While specific counts of </w:t>
      </w:r>
      <w:r w:rsidRPr="00087A72">
        <w:rPr>
          <w:rStyle w:val="Emphasis"/>
        </w:rPr>
        <w:t>disappeared and murdered Indigenous women seem to resolve the incomprehensibility of violence itself, they often do so often without requiring comprehension of the broader colonial structures contributing to such violence. The works of Indigenous artists and activists dwell within this very space of incomprehensibility. As the families of Indigenous women insistently remind, their loved ones are “more than a statistic”.</w:t>
      </w:r>
      <w:r w:rsidRPr="00087A72">
        <w:t xml:space="preserve">5 The visibility of the MMIW crisis as a crisis has emerged in part through numerical frames and the statistics they generate. However, artist and activist works have extended this visibility by </w:t>
      </w:r>
      <w:r w:rsidRPr="00087A72">
        <w:rPr>
          <w:rStyle w:val="StyleUnderline"/>
        </w:rPr>
        <w:t>articulating the magnitude of the crisis in ways that complicate reductive statistics and spark the emotional responses to violence often numbed by counting alone</w:t>
      </w:r>
      <w:r w:rsidRPr="00087A72">
        <w:t xml:space="preserve"> (Gregory 2014). At the center of each of these numerical frames is the dilemma of making multiple violent deaths visible as a connected crisis. How to articulate the collective magnitude of loss upon loss while retaining the specificity of individual victims? How to indicate the structural violence that amplifies the vulnerability of Indigenous women without pathologizing Indigenous life itself? How to make the state see something that it wishes to make invisible? How to make </w:t>
      </w:r>
      <w:r w:rsidRPr="00087A72">
        <w:rPr>
          <w:rStyle w:val="StyleUnderline"/>
        </w:rPr>
        <w:t>the crisis visible in the terms of an ongoing colonial violence that the state actively seeks to disavow? How to make a recalcitrant Prime Minister and other state officials understand that the abduction and murder of Indigenous women can be both crimes and part of a broader phenomenon—a sociological, political, colonial phenomenon? Memorial marches, research coalitions, inquiries, press reporting, 5 This phrase, or versions of it, appears in much of the news coverage of disappeared and missing women, often in the form of quotations from family members</w:t>
      </w:r>
      <w:r w:rsidRPr="00087A72">
        <w:t xml:space="preserve">. For example, the No More Stolen Sisters report quotes Pauline Muskego speaking about the loss of her daughter Daleen Kay Bosse: “Daleen may be one of 500 missing and murdered aboriginal women, but she is more than just a statistic. She was our daughter. She was my granddaughter’s mother. She was a sister to her brothers. She was a wife to her husband. She was a cousin, an aunt, a friend. She was granddaughter to her grandmother” (Amnesty 2009, 20). 145  </w:t>
      </w:r>
      <w:r w:rsidRPr="00087A72">
        <w:rPr>
          <w:rStyle w:val="Emphasis"/>
        </w:rPr>
        <w:t xml:space="preserve">funding decisions, and operational reviews are all practices that have contributed to the visibility of missing and murdered Indigenous women as a crisis. Often in contest with one another and offering competing ways of seeing Indigenous women, violence, and colonialism, such practices have cohered around these three numerical frames and have functioned as documents that have brought the visibility of the crisis as a crisis into being. </w:t>
      </w:r>
    </w:p>
    <w:p w:rsidR="00254E93" w:rsidRPr="00087A72" w:rsidRDefault="00254E93" w:rsidP="00D005A2">
      <w:pPr>
        <w:pStyle w:val="Heading3"/>
      </w:pPr>
      <w:r w:rsidRPr="00087A72">
        <w:t>Framing – Genocide Structures Ethics</w:t>
      </w:r>
    </w:p>
    <w:p w:rsidR="00254E93" w:rsidRPr="00087A72" w:rsidRDefault="00E42CFE" w:rsidP="00254E93">
      <w:pPr>
        <w:pStyle w:val="Heading4"/>
      </w:pPr>
      <w:r w:rsidRPr="00087A72">
        <w:t>Settler colonialism turns any impact calculus because how you understand value and ethical calculus are all ontologically dependent on Native genocide. The genocide of the Native clears the way for intra-Settler discussions of ethical value. To be alive is to stand upon this Indian burial ground we call the world—to be alive is to be unethical.</w:t>
      </w:r>
    </w:p>
    <w:p w:rsidR="00254E93" w:rsidRPr="00087A72" w:rsidRDefault="00254E93" w:rsidP="00254E93">
      <w:r w:rsidRPr="00087A72">
        <w:rPr>
          <w:rStyle w:val="Style13ptBold"/>
        </w:rPr>
        <w:t>Wilderson 10</w:t>
      </w:r>
      <w:r w:rsidRPr="00087A72">
        <w:t xml:space="preserve"> (Frank, Full Professor of Drama and African American studies at the University of California, Irvine </w:t>
      </w:r>
      <w:r w:rsidRPr="00087A72">
        <w:rPr>
          <w:i/>
        </w:rPr>
        <w:t>Red, White, and Black: Cinema and the Structure of U.S. Antagonisms</w:t>
      </w:r>
      <w:r w:rsidRPr="00087A72">
        <w:t xml:space="preserve"> pp. 214-220) NIJ</w:t>
      </w:r>
    </w:p>
    <w:p w:rsidR="00254E93" w:rsidRPr="00087A72" w:rsidRDefault="00254E93" w:rsidP="00254E93">
      <w:pPr>
        <w:rPr>
          <w:sz w:val="12"/>
        </w:rPr>
      </w:pPr>
      <w:r w:rsidRPr="00087A72">
        <w:rPr>
          <w:rStyle w:val="StyleUnderline"/>
        </w:rPr>
        <w:t>Mogie’s surrealist demand, “send me a big…fat woman …[to] cover up all the cracks in my shack,” goes to the heart of the matter.</w:t>
      </w:r>
      <w:r w:rsidRPr="00087A72">
        <w:rPr>
          <w:sz w:val="12"/>
        </w:rPr>
        <w:t xml:space="preserve"> </w:t>
      </w:r>
      <w:r w:rsidRPr="00087A72">
        <w:rPr>
          <w:rStyle w:val="Emphasis"/>
        </w:rPr>
        <w:t xml:space="preserve">Red flesh can only be restored, ethically, through the destruction of White bodies, because the corporeality of the indigenous has been consumed by and gone into the making of the Settler’s corporeality. Mogie wants what he has lost; not just his labor power, not just his language or land, but the raw material of his flesh. And, like most “grassroots Indians,” he knows precisely where it went—into the Settler’s “body”—and thus he knows precisely from where to repossess it. </w:t>
      </w:r>
      <w:r w:rsidRPr="00087A72">
        <w:rPr>
          <w:sz w:val="12"/>
        </w:rPr>
        <w:t xml:space="preserve">Though Mogie’s shack is small, we know from earlier scenes that it has at least two rooms. Therefore, </w:t>
      </w:r>
      <w:r w:rsidRPr="00087A72">
        <w:rPr>
          <w:rStyle w:val="StyleUnderline"/>
        </w:rPr>
        <w:t>to stretch a White woman across its interior, window-to-window, wall-to-wall, corner-to-corner, and then stretch her across the door, would be to reconfigure her body into grotesque and unrecognizable dimensions. There are serious doubts as to whether a White woman</w:t>
      </w:r>
      <w:r w:rsidRPr="00087A72">
        <w:rPr>
          <w:sz w:val="12"/>
        </w:rPr>
        <w:t xml:space="preserve">, even as large a White woman as Mogie Yellow Lodge is demanding from the President, “the Great White Father in Washington,” </w:t>
      </w:r>
      <w:r w:rsidRPr="00087A72">
        <w:rPr>
          <w:rStyle w:val="StyleUnderline"/>
        </w:rPr>
        <w:t>would survive such an ordeal. Imagine such a demand being made, such wallpapering taking place, en mass</w:t>
      </w:r>
      <w:r w:rsidRPr="00087A72">
        <w:rPr>
          <w:sz w:val="12"/>
        </w:rPr>
        <w:t xml:space="preserve">, on a scale which even Mogie’s inebriated imagination has not yet grasped. [General Andrew Jackson] instructed his troops to cut the noses of the corpses so that no one would be able to challenge the body count. They had bushel baskets full of noses that they brought back. This [practice] got him elected President. [He] campaigned on the basis that he had never met a recalcitrant Indian that he had not killed and never killed an Indian that he had not scalped and that anybody who wanted to question the validity of what he was saying was invited to tea in his parlor that evening so he could display the scalps and prove his point. [He] rode with a saddle bridle made out of the skin of an opposing Indian leader. This is the President of the United States. (Churchill: Book Tour Speech July 31, 2004) </w:t>
      </w:r>
      <w:r w:rsidRPr="00087A72">
        <w:rPr>
          <w:rStyle w:val="StyleUnderline"/>
        </w:rPr>
        <w:t>One begins to see how wallpapering or insulating one’s room not with “bushel baskets” of White female skin but with even one White woman is simply out of the question. Mogie’s demand, then, is laughed off—managed, constrained, marginalized—by the script.</w:t>
      </w:r>
      <w:r w:rsidRPr="00087A72">
        <w:rPr>
          <w:sz w:val="12"/>
        </w:rPr>
        <w:t xml:space="preserve"> “Hey, ya wanna see me piss in my pants?” are the words he is made to utter next. Words portrayed as the surreal ruminations of an Indian who has reached the end of his inebriated tether, and not as the wisdom of a man who could lead his people. </w:t>
      </w:r>
      <w:r w:rsidRPr="00087A72">
        <w:rPr>
          <w:rStyle w:val="Emphasis"/>
        </w:rPr>
        <w:t xml:space="preserve">The film is nervous in the face of Mogie’s demand not because of its absurdity but because of its authority. But Mogie is demanding no more of the Great White Father, no more of civil society, than he has already given. In fact, he is demanding less. </w:t>
      </w:r>
      <w:r w:rsidRPr="00087A72">
        <w:rPr>
          <w:sz w:val="12"/>
        </w:rPr>
        <w:t xml:space="preserve">His surrealism indicates a qualitatively similar ontological relationship between the Red and the White as exists between the Black and the White. The Middle Passage turns, for example, Ashanti spatial and temporal capacity into spatial and temporal incapacity—a body into flesh. This process begins as early as the 1200s for the Slave. lxxvi </w:t>
      </w:r>
      <w:r w:rsidRPr="00087A72">
        <w:rPr>
          <w:rStyle w:val="StyleUnderline"/>
        </w:rPr>
        <w:t>By the 1530s, Modernity is more self-conscious of its coordinates, and Whiteness begins its ontological consolidation and negative knowledge of itself by turning</w:t>
      </w:r>
      <w:r w:rsidRPr="00087A72">
        <w:rPr>
          <w:sz w:val="12"/>
        </w:rPr>
        <w:t xml:space="preserve"> (part of) </w:t>
      </w:r>
      <w:r w:rsidRPr="00087A72">
        <w:rPr>
          <w:rStyle w:val="StyleUnderline"/>
        </w:rPr>
        <w:t>the Aztec body</w:t>
      </w:r>
      <w:r w:rsidRPr="00087A72">
        <w:rPr>
          <w:sz w:val="12"/>
        </w:rPr>
        <w:t xml:space="preserve">, for example, </w:t>
      </w:r>
      <w:r w:rsidRPr="00087A72">
        <w:rPr>
          <w:rStyle w:val="StyleUnderline"/>
        </w:rPr>
        <w:t>into Indian flesh</w:t>
      </w:r>
      <w:r w:rsidRPr="00087A72">
        <w:rPr>
          <w:sz w:val="12"/>
        </w:rPr>
        <w:t xml:space="preserve"> (Judy (Dis)Forming the American Canon 81). </w:t>
      </w:r>
      <w:r w:rsidRPr="00087A72">
        <w:rPr>
          <w:rStyle w:val="StyleUnderline"/>
        </w:rPr>
        <w:t xml:space="preserve">In this moment the White body completes itself and proceeds to lay the groundwork for the intra-Settler ensemble of questions foundational to its ethical dilemmas (i.e., Marxism, feminism, psychoanalysis). In the final analysis, Settler ontology is guaranteed by way of a negative knowledge of what it is not, rather than by way of its positive claims of what it is. Ontological Whiteness is secured not through its cultural, economic, or gendered identities; but by the fact that it cannot be known (positioned) by genocide </w:t>
      </w:r>
      <w:r w:rsidRPr="00087A72">
        <w:rPr>
          <w:sz w:val="12"/>
        </w:rPr>
        <w:t xml:space="preserve">(or by Accumulation and Fungibility). </w:t>
      </w:r>
      <w:r w:rsidRPr="00087A72">
        <w:rPr>
          <w:rStyle w:val="StyleUnderline"/>
        </w:rPr>
        <w:t xml:space="preserve">This negative knowledge has its pleasures… </w:t>
      </w:r>
      <w:r w:rsidRPr="00087A72">
        <w:rPr>
          <w:sz w:val="12"/>
        </w:rPr>
        <w:t xml:space="preserve">[Unlike Jackson’s army of the early 19 th century, the 16 th century Dutch] didn’t take the noses and they didn’t take the scalps. They took whole heads because they wanted to identify the fact that they had eradicated the entire leadership of the opposition. They brought the heads back to the central square in New Amsterdam [now Manhattan] where the citizenry began to celebrate. They turned it into a sport. People who had participated in the expedition had themselves a jolly game of kick ball using the heads and the citizenry sat around and cheered…(Churchill 7/31/04) </w:t>
      </w:r>
      <w:r w:rsidRPr="00087A72">
        <w:rPr>
          <w:rStyle w:val="StyleUnderline"/>
        </w:rPr>
        <w:t xml:space="preserve">…has a sense of affilial inclusion and filial longevity… </w:t>
      </w:r>
      <w:r w:rsidRPr="00087A72">
        <w:rPr>
          <w:sz w:val="12"/>
        </w:rPr>
        <w:t xml:space="preserve">[In 1864, the 3 rd Regiment of the U.S. Calvary] returned to Denver [Colorado] with their trophies [the vaginas of Native American women stapled to the front of their hats] and held a triumphal parade. [They] proceeded down Larimore Street…and the good citizenry stood up and cheered wildly...[T]he Rocky Mountain News [described it as] “an unparalleled feat of martial prowess that would live forever in the annals of the history and nobility of the race.” (7/31/04) </w:t>
      </w:r>
      <w:r w:rsidRPr="00087A72">
        <w:rPr>
          <w:rStyle w:val="StyleUnderline"/>
        </w:rPr>
        <w:t xml:space="preserve">…has a capacity for territorial integrity… </w:t>
      </w:r>
      <w:r w:rsidRPr="00087A72">
        <w:rPr>
          <w:sz w:val="12"/>
        </w:rPr>
        <w:t xml:space="preserve">Scalp bounties…were officially claimed bounties that were placed on Indians in every antecedent colony in the Eastern Seaboard—French, English, and Spanish. I don’t know about the Dutch. They killed all the Indians around before they had the chance to need a bounty. But from the antecedent colonies this law transferred to every state and territory in forty-eight contiguous states. (7/31/04) </w:t>
      </w:r>
      <w:r w:rsidRPr="00087A72">
        <w:rPr>
          <w:rStyle w:val="StyleUnderline"/>
        </w:rPr>
        <w:t xml:space="preserve">…that is, it has the capacity to transform Clearing from a verb into Clearing as a noun… </w:t>
      </w:r>
      <w:r w:rsidRPr="00087A72">
        <w:rPr>
          <w:sz w:val="12"/>
        </w:rPr>
        <w:t xml:space="preserve">Every [state in the union] placed a bounty on Indians, any Indians, all Indians. [For example in the] Pennsylvania colony in the 1740s, the bounty [was] forty pounds sterling for proof of death of an adult male Indian. That proof of death being in the form of a scalp or a bloody red skin…Proof of death in that form got the bearer of the proof forty pounds sterling. Forty pounds sterling in the 1740s was equivalent to the annual wage of your average farmer. This is big business. Twenty pounds sterling would be paid for proof of death in the same form of an adult female. Ten pounds sterling for proof of death of a child, a child being defined as human being of either sex under ten years of age down to and, yes, including the fetus…In Texas this law was not rescinded until 1887, [when] the debate in the Texas legislature concluded that there was no reason to continue because there was no long sufficient numbers of living Indians in the entire state of Texas to warrant the continuation of it. It had accomplished its purpose. (7/31/04) </w:t>
      </w:r>
      <w:r w:rsidRPr="00087A72">
        <w:rPr>
          <w:rStyle w:val="StyleUnderline"/>
        </w:rPr>
        <w:t>…and just like that, Little Baby Civil Society was walking on its own two feet. To Grown-up Civil Society</w:t>
      </w:r>
      <w:r w:rsidRPr="00087A72">
        <w:rPr>
          <w:sz w:val="12"/>
        </w:rPr>
        <w:t xml:space="preserve"> (Mogie’s “Great White Father in Washington”) </w:t>
      </w:r>
      <w:r w:rsidRPr="00087A72">
        <w:rPr>
          <w:rStyle w:val="StyleUnderline"/>
        </w:rPr>
        <w:t xml:space="preserve">Mogie Yellow Lodge submits his own “personal” genocide reparations bill. A bill that accounts for the perfect symmetry through which Whiteness has formed a body (from the genitals to the body politic) out of “Savage” flesh. The symmetry’s perfection becomes clear when one realizes that today’s 1.6%-to-80.6%, “Savage”-to-Settler ratio is a pure inversion of the sixteenth century’s “Savage” to Settler ratio. </w:t>
      </w:r>
      <w:r w:rsidRPr="00087A72">
        <w:rPr>
          <w:sz w:val="12"/>
        </w:rPr>
        <w:t xml:space="preserve">lxxvii </w:t>
      </w:r>
      <w:r w:rsidRPr="00087A72">
        <w:rPr>
          <w:rStyle w:val="StyleUnderline"/>
        </w:rPr>
        <w:t>“Send me a big woman. A fat woman! So that when I sleep with her she’ll cover up all the cracks in my shack and stop the wind from blowing through” is a demand so ethically pure that the film finds it unbearable and, as such, is unable (unwilling?) to let Mogie state it without irony.</w:t>
      </w:r>
      <w:r w:rsidRPr="00087A72">
        <w:rPr>
          <w:sz w:val="12"/>
        </w:rPr>
        <w:t xml:space="preserve"> And yet, Mogie’s outbursts like this—“outbursts” because they are generally infrequent and contained by pity or humor—are the few moments when the film engages the ethical dilemmas of the Settler/“Savage” antagonism (genocide and its impossible semiotics) instead of the ethical dilemmas of the Settler/“Savage” conflict (sovereignty and its semiotics of loss). Again, </w:t>
      </w:r>
      <w:r w:rsidRPr="00087A72">
        <w:rPr>
          <w:rStyle w:val="Emphasis"/>
        </w:rPr>
        <w:t>it is not that Mogie’s demand is absurd and unethical, but rather that it is a demand so pure in its ethicality that it threatens the quotidian prohibitions which, in Modernity, constrain ethics. The demand is far too ethical</w:t>
      </w:r>
      <w:r w:rsidRPr="00087A72">
        <w:rPr>
          <w:sz w:val="12"/>
        </w:rPr>
        <w:t xml:space="preserve"> for the film to embrace and elaborate at the level of narrative. It is a demand that must be policed by sovereign powers. Exploring Skins’ cinematic strategies reveals this containment as an effort to manage the spectator’s interpellation by the dilemmas of Mogie’s ruination and by they demand that ushers forth from his “flesh.” </w:t>
      </w:r>
      <w:r w:rsidRPr="00087A72">
        <w:rPr>
          <w:rStyle w:val="StyleUnderline"/>
        </w:rPr>
        <w:t>Mogie’s surrealism seeks to cull power directly from the subjectivity of the Settler, what Ward Churchill calls the “imperial integrity of the US itself”</w:t>
      </w:r>
      <w:r w:rsidRPr="00087A72">
        <w:rPr>
          <w:sz w:val="12"/>
        </w:rPr>
        <w:t xml:space="preserve"> (Marxism and Native Americans 202). </w:t>
      </w:r>
      <w:r w:rsidRPr="00087A72">
        <w:rPr>
          <w:rStyle w:val="StyleUnderline"/>
        </w:rPr>
        <w:t>This idea of culling power, resources, and Human life directly from the imperial integrity of the US, especially when we think that imperial integrity through the banality of White bodies</w:t>
      </w:r>
      <w:r w:rsidRPr="00087A72">
        <w:rPr>
          <w:sz w:val="12"/>
        </w:rPr>
        <w:t xml:space="preserve"> (in other words, through the “innocence” of today’s citizen), is indicative of the kind of unflinching paradigmatic analyses which allowed Ward Churchill to embrace the 9/11 attack on the World Trade Center within forty-eight hours of its occurrence, a moment in time when Settler Marxists and Settler progressives either suddenly became mute, or stumbled over their own tongues in half-hearted attempts to simultaneously condemn the attack and explain its political and historical rationale. Churchill’s embrace of the event is not synonymous with either celebration or condemnation. It goes without saying that Churchill also refused to be interpellated by the pageantry of mourning that followed in the wake of 9-1-1. But Settler radicals and progressives assailed him for meditating on the attack from within the questions of the genocided “Savage,” rather than from within an ensemble of questions allied with Settler’s grammar of suffering, exploitation and alienation. </w:t>
      </w:r>
      <w:r w:rsidRPr="00087A72">
        <w:rPr>
          <w:rStyle w:val="StyleUnderline"/>
        </w:rPr>
        <w:t xml:space="preserve">People on the Left tried to shame Churchill for embracing incoherent terror </w:t>
      </w:r>
      <w:r w:rsidRPr="00087A72">
        <w:rPr>
          <w:sz w:val="12"/>
        </w:rPr>
        <w:t xml:space="preserve">(suicide bombers) </w:t>
      </w:r>
      <w:r w:rsidRPr="00087A72">
        <w:rPr>
          <w:rStyle w:val="StyleUnderline"/>
        </w:rPr>
        <w:t>instead of morally and politically sanctioned revolutionary action</w:t>
      </w:r>
      <w:r w:rsidRPr="00087A72">
        <w:rPr>
          <w:sz w:val="12"/>
        </w:rPr>
        <w:t xml:space="preserve"> (like the Zapatistas or the Sandanistas). </w:t>
      </w:r>
      <w:r w:rsidRPr="00087A72">
        <w:rPr>
          <w:rStyle w:val="StyleUnderline"/>
        </w:rPr>
        <w:t>Others chided him for advocating violence in any form.</w:t>
      </w:r>
      <w:r w:rsidRPr="00087A72">
        <w:rPr>
          <w:sz w:val="12"/>
        </w:rPr>
        <w:t xml:space="preserve"> Many said that now is not the time for a scathing critique; “our” nation is in mourning. And there were those who wagged their finger and reminded him that there were members of the working class (not just police agents and investment bankers) who died in the Twin Towers. These nay-sayers all made their arguments at the level of experience, and Churchill, rather handily, answered them at the level as well. But I am neither interested in his interlocutors’ chiding nor in his response. </w:t>
      </w:r>
      <w:r w:rsidRPr="00087A72">
        <w:rPr>
          <w:rStyle w:val="StyleUnderline"/>
        </w:rPr>
        <w:t>The Left’s attack on Churchill’s embrace of the 9-1-1 attacks is important not for the social issues it raises, the myriad of things it claims it is concerned about, but rather for the grammar of suffering shared across the board, those building blocks through which loss is conceptualized in such a way that makes it impossible for the “Savage” to function, grammatically, as their paradigm of suffering, and even less as its paradigmatic agent for change. Had Churchill’s interlocutors been more honest, they would have used fewer words—not draped their rejoinders with the veil of issues from the realm of experience</w:t>
      </w:r>
      <w:r w:rsidRPr="00087A72">
        <w:rPr>
          <w:sz w:val="12"/>
        </w:rPr>
        <w:t xml:space="preserve"> (i.e., tactics) —</w:t>
      </w:r>
      <w:r w:rsidRPr="00087A72">
        <w:rPr>
          <w:rStyle w:val="StyleUnderline"/>
        </w:rPr>
        <w:t xml:space="preserve">and said, quite simply, </w:t>
      </w:r>
      <w:r w:rsidRPr="00087A72">
        <w:rPr>
          <w:rStyle w:val="Emphasis"/>
        </w:rPr>
        <w:t xml:space="preserve">“We will not be led by the ‘Savage;’ death is not an element constituent of our ontology.” </w:t>
      </w:r>
      <w:r w:rsidRPr="00087A72">
        <w:rPr>
          <w:sz w:val="12"/>
        </w:rPr>
        <w:t xml:space="preserve">Unlike the narrative and cinematic strategies of Skins, Churchill’s meditation on 9-1-1 embraces, rather than contains, Mogie Yellow Lodge’s demand. </w:t>
      </w:r>
      <w:r w:rsidRPr="00087A72">
        <w:rPr>
          <w:rStyle w:val="StyleUnderline"/>
        </w:rPr>
        <w:t>Churchill’s work is authorized by Mogie Yellow Lodge’s grammar of suffering which, inter alia, forecloses upon Churchill’s passing judgment on the tactical ethics of either the attack on the World Trade Center or, for that matter, Mogie’s attack on the body of White femininity. Churchill accepts this foreclosure and works off of it. He does not feel constrained by it but finds it enabling of a quality of reflection that would be otherwise inconceivable: There can be no defensible suggestion that those who attacked the Pentagon and the WTC on 9-1-1 were seeking to get even with the U.S. Still less is there a basis for claims that they “started” something, or that the U.S. has anything to get even with them for. Quite the contrary. For the attackers to have arguably “evened the score” for Iraqi’s dead children alone, it would have been necessary for them to have killed a hundred times the number of Americans who actually died. This in itself, however would have allowed them to attain parity in terms of real numbers. The U.S. population is about fifteen times the size of Iraq’s. Hence, for the attackers to have achieved a proportionally equivalent impact, it would have been necessary that they kill some 7.5 million Americans</w:t>
      </w:r>
      <w:r w:rsidRPr="00087A72">
        <w:rPr>
          <w:sz w:val="12"/>
        </w:rPr>
        <w:t xml:space="preserve">. (On the Justice of Roosting Chickens: Reflections on the Consequences of U.S. Imperial Arrogance and Criminality 14) Churchill reflects upon the event of 9-1-1 in such a way as to make it impossible to talk about it as an event. This is a marker of the philosophical brilliance and rhetorical dexterity foundational to Churchill’s thirty-odd books, articles, and recorded speeches. This dexterity allows the work to be conversant with the actual details and “facts” of the event (as presented and cathedralized by White civil society). </w:t>
      </w:r>
      <w:r w:rsidRPr="00087A72">
        <w:rPr>
          <w:rStyle w:val="StyleUnderline"/>
        </w:rPr>
        <w:t>Yet instead of becoming mired in the bog of concerns which makes the event as “event”</w:t>
      </w:r>
      <w:r w:rsidRPr="00087A72">
        <w:rPr>
          <w:sz w:val="12"/>
        </w:rPr>
        <w:t xml:space="preserve"> (details and common sense ethics) </w:t>
      </w:r>
      <w:r w:rsidRPr="00087A72">
        <w:rPr>
          <w:rStyle w:val="StyleUnderline"/>
        </w:rPr>
        <w:t>Churchill jettisons common sense and presses the details into service of an ensemble of questions animated by the ethical dilemmas of “Savage,” and not Settler, ontology.</w:t>
      </w:r>
      <w:r w:rsidRPr="00087A72">
        <w:rPr>
          <w:sz w:val="12"/>
        </w:rPr>
        <w:t xml:space="preserve"> He can do this on behalf of those who are not even Native Americans (in this passage, Iraqis) because he provides them with the “Savage” as a lens through which they can do ethnographic and political work on the Settler as specimen. In other words, </w:t>
      </w:r>
      <w:r w:rsidRPr="00087A72">
        <w:rPr>
          <w:rStyle w:val="StyleUnderline"/>
        </w:rPr>
        <w:t>in his chapter on 9-1-1, his argument is made in such a way that, to be interpellated, the reader must adjust the logic of his/her political experience to fit the logic of “Savage” genocidal ontology—and not vice versa.</w:t>
      </w:r>
      <w:r w:rsidRPr="00087A72">
        <w:rPr>
          <w:sz w:val="12"/>
        </w:rPr>
        <w:t xml:space="preserve"> The reader must be subordinated to, and incorporated by, Redness, or else the reader will experience the piece in the same way that the viewer is meant to experience Mogie Yellow Lodge: as a scandal, as a problem in need of fixing. </w:t>
      </w:r>
      <w:r w:rsidRPr="00087A72">
        <w:rPr>
          <w:rStyle w:val="StyleUnderline"/>
        </w:rPr>
        <w:t>Churchill continues to subordinate the “facts” of 9-1-1 to an ethical examination of Settlerism by reminding the reader that the U.S. is “fifteen times the size” of Iraq, therefore 9-1-1 would have had to have had a death toll of “7.5 million Americans” in order to have “achieved a proportionately equivalent impact”</w:t>
      </w:r>
      <w:r w:rsidRPr="00087A72">
        <w:rPr>
          <w:sz w:val="12"/>
        </w:rPr>
        <w:t xml:space="preserve"> (14). </w:t>
      </w:r>
      <w:r w:rsidRPr="00087A72">
        <w:rPr>
          <w:rStyle w:val="StyleUnderline"/>
        </w:rPr>
        <w:t>In the very next paragraph, Churchill corrects himself and insists that 7.5 million is the number of American children the attackers would have had to have killed in order to achieve parity. This is followed by a list of even more corrections, in which Churchill recalculates the meaning of parity based solely on the U.S.’s deracination of Iraq since 1990 (further down the correctives will lead him to the “Savage” and to the Slave). True parity would result in 7.5 million dead American children, 15 million dead American adults, the obliteration of “sewage, water sanitation and electrical plants, food production/storage capacity, hospitals, pharmaceutical production facilities, communication centers and much more.” The effects of which would mean not just mass death but “a surviving population wracked by malnutrition an endemic disease”</w:t>
      </w:r>
      <w:r w:rsidRPr="00087A72">
        <w:rPr>
          <w:sz w:val="12"/>
        </w:rPr>
        <w:t xml:space="preserve"> (14). </w:t>
      </w:r>
      <w:r w:rsidRPr="00087A72">
        <w:rPr>
          <w:rStyle w:val="StyleUnderline"/>
        </w:rPr>
        <w:t>“Indeed, applying such standards of ‘pay back’ vis-à-vis American Indians alone would require a lethal reduction in the U.S. population…of between 96 and 99 percent”</w:t>
      </w:r>
      <w:r w:rsidRPr="00087A72">
        <w:rPr>
          <w:sz w:val="12"/>
        </w:rPr>
        <w:t xml:space="preserve"> (15). </w:t>
      </w:r>
      <w:r w:rsidRPr="00087A72">
        <w:rPr>
          <w:rStyle w:val="Emphasis"/>
        </w:rPr>
        <w:t>Suddenly, Mogie Yellow Lodge’s demand for parity (just one big fat White woman to cover up the cracks in his shack) sounds downright generous. Mogie is demanding one Settler, a far cry from demanding parity for ontological death. Were he to demand parity the U.S. “would run out of people long before it ran out of compensatory obligation”</w:t>
      </w:r>
      <w:r w:rsidRPr="00087A72">
        <w:rPr>
          <w:sz w:val="12"/>
        </w:rPr>
        <w:t xml:space="preserve"> (Churchill Roosting Chickens 14-15).</w:t>
      </w:r>
    </w:p>
    <w:p w:rsidR="00540BEA" w:rsidRPr="00087A72" w:rsidRDefault="00540BEA" w:rsidP="00D005A2">
      <w:pPr>
        <w:pStyle w:val="Heading3"/>
      </w:pPr>
      <w:r w:rsidRPr="00087A72">
        <w:t>Framing – Gratuitous Violence</w:t>
      </w:r>
    </w:p>
    <w:p w:rsidR="00540BEA" w:rsidRPr="00087A72" w:rsidRDefault="00540BEA" w:rsidP="00540BEA">
      <w:pPr>
        <w:pStyle w:val="Heading4"/>
      </w:pPr>
      <w:r w:rsidRPr="00087A72">
        <w:t>Settler colonial violence is haunted by the question “why this excess?” The metaphysics of gratuitous violence reveal the ways in which the violent sexual torture—a form of enshatterment—of Native children reveals the ways in which the Native body is paradoxically marked by excess and lack. Genocidal enshatterment precedes ethics as a metaethical principle that arch-writes its principles on the body-as-captivity which grants coherence to the possibility of testifying to violence, which is to say to be able to formulate the ethics of harm that the affirmative depends on. This is to say, of course, that Indigenous bodies, not the land, are the substratum upon which colonial onto-epistemologies are authored.</w:t>
      </w:r>
    </w:p>
    <w:p w:rsidR="00540BEA" w:rsidRPr="00087A72" w:rsidRDefault="00540BEA" w:rsidP="00540BEA">
      <w:r w:rsidRPr="00087A72">
        <w:rPr>
          <w:rStyle w:val="Style13ptBold"/>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64-69) NIJ</w:t>
      </w:r>
    </w:p>
    <w:p w:rsidR="00540BEA" w:rsidRPr="00087A72" w:rsidRDefault="00540BEA" w:rsidP="00540BEA">
      <w:pPr>
        <w:rPr>
          <w:rStyle w:val="Emphasis"/>
        </w:rPr>
      </w:pPr>
      <w:r w:rsidRPr="00087A72">
        <w:rPr>
          <w:sz w:val="12"/>
        </w:rPr>
        <w:t xml:space="preserve">The argument here is that even abuse at residential schools that was not sexual in the sense of genital interaction, it was sexual in nature nonetheless. I call this the sexual non-sexual. </w:t>
      </w:r>
      <w:r w:rsidRPr="00087A72">
        <w:rPr>
          <w:rStyle w:val="StyleUnderline"/>
        </w:rPr>
        <w:t>In statistically overwhelming numbers the physical abuse incurred by children at residential schools was shockingly violent</w:t>
      </w:r>
      <w:r w:rsidRPr="00087A72">
        <w:rPr>
          <w:sz w:val="12"/>
        </w:rPr>
        <w:t xml:space="preserve"> (i.e. the above example of the electric chair). </w:t>
      </w:r>
      <w:r w:rsidRPr="00087A72">
        <w:rPr>
          <w:rStyle w:val="Emphasis"/>
        </w:rPr>
        <w:t>Why this excess? My argument is that these forms of excessive abuse/punishment evince the death driven impulse to anchor the Indigenous child to her/his Indigeneity at the point of bodily pain/mortification/humiliation.</w:t>
      </w:r>
      <w:r w:rsidRPr="00087A72">
        <w:rPr>
          <w:sz w:val="12"/>
        </w:rPr>
        <w:t xml:space="preserve"> </w:t>
      </w:r>
      <w:r w:rsidRPr="00087A72">
        <w:rPr>
          <w:rStyle w:val="StyleUnderline"/>
        </w:rPr>
        <w:t>Through excessive physiological stimulus the child’s focus was concentrated in/on her/his own body, which she/he experienced as the locus of pain, humiliation, and sexual mortification. Because of the sexual excitation that accompanies physical agitation, the body and its sexual capacities and energies were cast as the primary source of abjection. For the Indigenous child, experiencing gratuitous physical punishment, the logic/structure of this punishment is: I/my body is bad so I am being punished. The punishment itself recedes leaving the body as the cause/source of the pain—my body hurts me and so I attempt to flee my body (i.e. running away, setting a fire), resulting in further corporeal punishment. Once again, we are confronted with a circularity that traps the Indigenous child 1) in her/his own body; 2) in a temporality that offers no positivity and no future. This abjection has its source in a body that, through the circularity of ideological misrecognition is read as dirty, deficient, diseased, illegitimate etc. The punishment the child endures has its source here in her/his body, in what her/his body lacks—or has in excess, i.e. too much ‘Indianness’. And it ends here, in a bodily humiliation such as having to carry urine-soaked bedclothes through the public cafeteria before the other pupils, teachers etc. (my body has betrayed me by urinating while I slept). Or it ends in bodily pain such as the electrical jolts from an electric chair. The most insidious and violent feature</w:t>
      </w:r>
      <w:r w:rsidRPr="00087A72">
        <w:rPr>
          <w:sz w:val="12"/>
        </w:rPr>
        <w:t xml:space="preserve"> Elaine Scarry notes </w:t>
      </w:r>
      <w:r w:rsidRPr="00087A72">
        <w:rPr>
          <w:rStyle w:val="StyleUnderline"/>
        </w:rPr>
        <w:t xml:space="preserve">in the structure of torture is the ability of the torturer to turn the victim’s body against her/himself. What this looks like is: I am no longer aware of the electric chair itself, I am only aware of the pain in my body. In this moment I stop being aware of the instrument of torture at all. I am only aware of my body, how I am trapped inside its confines, how it is hurting me. This tearing of the mind from the body, this forced enacting of Cartesian dualism is, as we think it through the body, a scene of shocking violence. </w:t>
      </w:r>
      <w:r w:rsidRPr="00087A72">
        <w:rPr>
          <w:rStyle w:val="Emphasis"/>
        </w:rPr>
        <w:t xml:space="preserve">The forced betrayal of the child by her/his body, the turning of the body of the child against her/him-self while trapping her/him in a body written in pain is a circularity that kills. </w:t>
      </w:r>
      <w:r w:rsidRPr="00087A72">
        <w:rPr>
          <w:sz w:val="12"/>
        </w:rPr>
        <w:t xml:space="preserve">Sexual Traffic(king): Sexuality, Death, Archives Confronted by the taboo combination of child and sexuality, performance scholar and literary critic Carol Mavor observes, many critics refuse to “see”. In Foucauldian terms, she continues, </w:t>
      </w:r>
      <w:r w:rsidRPr="00087A72">
        <w:rPr>
          <w:rStyle w:val="StyleUnderline"/>
        </w:rPr>
        <w:t>“participants in the tradition of modern sexual discourse feel the need to discuss sex in a way ‘that would not derive from morality alone but from rationality’”</w:t>
      </w:r>
      <w:r w:rsidRPr="00087A72">
        <w:rPr>
          <w:sz w:val="12"/>
        </w:rPr>
        <w:t xml:space="preserve"> (10). For Foucault, </w:t>
      </w:r>
      <w:r w:rsidRPr="00087A72">
        <w:rPr>
          <w:rStyle w:val="StyleUnderline"/>
        </w:rPr>
        <w:t>rationality itself has been elevated to a moral-ethico imperative in biopolitics. Such views render children silent and inert, denying them sexuality and the freedom to express it.</w:t>
      </w:r>
      <w:r w:rsidRPr="00087A72">
        <w:rPr>
          <w:sz w:val="12"/>
        </w:rPr>
        <w:t xml:space="preserve"> This does not mean that children are therefore without sexuality, but that their sexuality cannot be spoken, or heard. They are the luxe surface for our engravings. In the space of this silencing, Mavor argues, they are “transmogrified from wicked things into beings of goodness and godliness” (10). This transmogrification is a matter of tremendous affective and physical labor, and its social, cultural, and political importance cannot be overstated. Further, </w:t>
      </w:r>
      <w:r w:rsidRPr="00087A72">
        <w:rPr>
          <w:rStyle w:val="StyleUnderline"/>
        </w:rPr>
        <w:t>in the turn to the child as a model of goodness and purity we, the other Victorians/the (post)colonials “infantilize history by charming our own pasts”</w:t>
      </w:r>
      <w:r w:rsidRPr="00087A72">
        <w:rPr>
          <w:sz w:val="12"/>
        </w:rPr>
        <w:t xml:space="preserve">(3). For Mavor it is no accident that the modern cult of the child developed and rose hand-in-hand with photography, that ‘the child’ and the photograph were commodified and fetishized along side one another. Each, for Mavor, mythically keeps time still, innocent, untouched. Mavor’s comments on the erotic child of the Victorians suggests that </w:t>
      </w:r>
      <w:r w:rsidRPr="00087A72">
        <w:rPr>
          <w:rStyle w:val="StyleUnderline"/>
        </w:rPr>
        <w:t>the reason modernity considers the child to have no sexuality is that to confer sexuality upon a child, to grant the child sexuality, is to confront death: both in the violence of the mythic past, as well as the looming marker of fleshly finitude.</w:t>
      </w:r>
      <w:r w:rsidRPr="00087A72">
        <w:rPr>
          <w:sz w:val="12"/>
        </w:rPr>
        <w:t xml:space="preserve"> “If there was no death,” she asks, “why would childhood hold its appeal?”(6). Further, she suggests, we can understand the appeal of understanding children—especially little girls—as without sex is that it is avoidance of death. </w:t>
      </w:r>
      <w:r w:rsidRPr="00087A72">
        <w:rPr>
          <w:rStyle w:val="StyleUnderline"/>
        </w:rPr>
        <w:t>“For sex,”</w:t>
      </w:r>
      <w:r w:rsidRPr="00087A72">
        <w:rPr>
          <w:sz w:val="12"/>
        </w:rPr>
        <w:t xml:space="preserve"> she stated, </w:t>
      </w:r>
      <w:r w:rsidRPr="00087A72">
        <w:rPr>
          <w:rStyle w:val="StyleUnderline"/>
        </w:rPr>
        <w:t>“is always connected with death”</w:t>
      </w:r>
      <w:r w:rsidRPr="00087A72">
        <w:rPr>
          <w:sz w:val="12"/>
        </w:rPr>
        <w:t xml:space="preserve"> (emph. added ibid). </w:t>
      </w:r>
      <w:r w:rsidRPr="00087A72">
        <w:rPr>
          <w:rStyle w:val="StyleUnderline"/>
        </w:rPr>
        <w:t xml:space="preserve">This cleansing of the bodily child of sexuality is the response to an unruliness, a psychic and physical darkness, that confronts the orderliness of Victorian sociality with the anarchical force of chaos. It must (must), therefore, be mastered. This drive to mastery, we know, is a fundamental operation of the death drive. What can we say about Indigenous sexuality, Indigenous bodies, and/as the archive of colonial writing? What can we say about the interpellation of Indigenous sexuality as available raw material, as a surface upon which to narrate the recapitulation of loss, a loss/negativity that renews itself—for instance—in the missing/murdered bodies of Aboriginal women and girls? </w:t>
      </w:r>
      <w:r w:rsidRPr="00087A72">
        <w:rPr>
          <w:rStyle w:val="Emphasis"/>
        </w:rPr>
        <w:t>What we might call the marks of abuse and abjection, the scars of abuse—psychic, corporeal—residential schooling has written, attempts that spoke the desire to eradicate indigenous forms of life, have themselves become the archive(d) traces of Indigenousness/Indigeneity the way we read it today: backwards, as trauma, as the site of an originary woundedness.</w:t>
      </w:r>
      <w:r w:rsidRPr="00087A72">
        <w:rPr>
          <w:sz w:val="12"/>
        </w:rPr>
        <w:t xml:space="preserve"> </w:t>
      </w:r>
      <w:r w:rsidRPr="00087A72">
        <w:rPr>
          <w:rStyle w:val="StyleUnderline"/>
        </w:rPr>
        <w:t xml:space="preserve">We can think of these representations of Indigeneity as the re- presentations of the representations of the very thing (Indigeneity) colonial institutions sought to eradicate. The practices of these institutions sought to hide or place under erasure this unruly, intractable thing, ‘Indigenousness’, by adding more marks over top of it—re-writing the child body and the child psyche in the language of trauma, abuse, what I have called </w:t>
      </w:r>
      <w:r w:rsidRPr="00087A72">
        <w:rPr>
          <w:rStyle w:val="Emphasis"/>
        </w:rPr>
        <w:t>enshatterment.</w:t>
      </w:r>
      <w:r w:rsidRPr="00087A72">
        <w:rPr>
          <w:rStyle w:val="StyleUnderline"/>
        </w:rPr>
        <w:t xml:space="preserve"> Each line of force that left scars on the Indigenous child’s body re-doubled/re-inscribed it as Indigenous. One can never hide something by adding more marks to it. Doing so only makes that which one is attempting to cover over more visible, intensifying, amplifying its presence. This function of fevered overwriting that repudiates its own aim—total disappearance or annihilation—is a function of the death drive, the anarchy drive, the archive fever. When annihilation proves elusive/impossible, the death drive can only reach partial satisfaction. In its aim towards total satisfaction (annihilation), it settles instead for violence. </w:t>
      </w:r>
      <w:r w:rsidRPr="00087A72">
        <w:rPr>
          <w:rStyle w:val="Emphasis"/>
        </w:rPr>
        <w:t xml:space="preserve">This, incidentally, is the logic of genocide. </w:t>
      </w:r>
      <w:r w:rsidRPr="00087A72">
        <w:rPr>
          <w:sz w:val="12"/>
        </w:rPr>
        <w:t xml:space="preserve">In her book on hunger and childhood, Emma Donoghue (2016) writes, </w:t>
      </w:r>
      <w:r w:rsidRPr="00087A72">
        <w:rPr>
          <w:rStyle w:val="StyleUnderline"/>
        </w:rPr>
        <w:t>“a child’s body is a record of everything that has happened to it”</w:t>
      </w:r>
      <w:r w:rsidRPr="00087A72">
        <w:rPr>
          <w:sz w:val="12"/>
        </w:rPr>
        <w:t xml:space="preserve"> (21). In other words, </w:t>
      </w:r>
      <w:r w:rsidRPr="00087A72">
        <w:rPr>
          <w:rStyle w:val="StyleUnderline"/>
        </w:rPr>
        <w:t>bodies are archives that shelter many other forms of archives, written and overwritten, repressed, tamped down, each containing temporalities and lines of force.</w:t>
      </w:r>
      <w:r w:rsidRPr="00087A72">
        <w:rPr>
          <w:sz w:val="12"/>
        </w:rPr>
        <w:t xml:space="preserve"> A vital contribution of Derrida that advances the interpretive work sparked by Spivak’s provocative claim that death is a text, is his insistence that writing includes all signs, traces, mnemonic devices, inscriptions, marks and sensations. This is a significant expansion of writing that bears weight in conversations on subaltern speech and the interpretation of subaltern death. It also opens in suggestive and important ways the agentive possibilities for forging lines of flight from positions of domination and abjection—i.e. from within the institutionalization of Indigenous childhood. </w:t>
      </w:r>
      <w:r w:rsidRPr="00087A72">
        <w:rPr>
          <w:rStyle w:val="StyleUnderline"/>
        </w:rPr>
        <w:t>The Indigenous child residents of the IRS did not write theory in the way that we in the academy expect to see and understand it.</w:t>
      </w:r>
      <w:r w:rsidRPr="00087A72">
        <w:rPr>
          <w:sz w:val="12"/>
        </w:rPr>
        <w:t xml:space="preserve"> Indeed, </w:t>
      </w:r>
      <w:r w:rsidRPr="00087A72">
        <w:rPr>
          <w:rStyle w:val="Emphasis"/>
        </w:rPr>
        <w:t>theory is the privileged domain of those who can speak, whose speech is even desired.</w:t>
      </w:r>
      <w:r w:rsidRPr="00087A72">
        <w:rPr>
          <w:sz w:val="12"/>
        </w:rPr>
        <w:t xml:space="preserve"> In subsequent chapters I will argue that </w:t>
      </w:r>
      <w:r w:rsidRPr="00087A72">
        <w:rPr>
          <w:rStyle w:val="StyleUnderline"/>
        </w:rPr>
        <w:t>Indigenous children in the IRS did indeed produce discernable writing in the form of bodily writing, what Derrida might call in an expanded sense ‘arch-writing’. The surfaces available for this inscription was the wild surface of frozen water and untamed topography, they wrote in the language of incineration and in the violence with which they marked each other. The death- marked passage of their interpellation into colonial subjects, an interpellation that made Indigenous sexuality a site for capitalization, domination, and violent bodily marking—like the earth—continues to underwrite the disappearance as if into nothingness of Aboriginal women and girls. Indigenous childhood</w:t>
      </w:r>
      <w:r w:rsidRPr="00087A72">
        <w:rPr>
          <w:sz w:val="12"/>
        </w:rPr>
        <w:t xml:space="preserve">, meanwhile, </w:t>
      </w:r>
      <w:r w:rsidRPr="00087A72">
        <w:rPr>
          <w:rStyle w:val="StyleUnderline"/>
        </w:rPr>
        <w:t xml:space="preserve">in the form of high infant mortality rates and lower than average life expectancy and quality of life indicators include literacy and health, continues to open, precariously, precipitously, towards non- futurity. </w:t>
      </w:r>
      <w:r w:rsidRPr="00087A72">
        <w:rPr>
          <w:sz w:val="12"/>
        </w:rPr>
        <w:t xml:space="preserve">What this chapter has sought to establish is the embodied archive of violence that subtends the post/colonial nation-state. </w:t>
      </w:r>
      <w:r w:rsidRPr="00087A72">
        <w:rPr>
          <w:rStyle w:val="StyleUnderline"/>
        </w:rPr>
        <w:t>This violence indicates a shift</w:t>
      </w:r>
      <w:r w:rsidRPr="00087A72">
        <w:rPr>
          <w:sz w:val="12"/>
        </w:rPr>
        <w:t xml:space="preserve"> Foucault’s identifies as being </w:t>
      </w:r>
      <w:r w:rsidRPr="00087A72">
        <w:rPr>
          <w:rStyle w:val="StyleUnderline"/>
        </w:rPr>
        <w:t>from ‘territory’ to ‘population’</w:t>
      </w:r>
      <w:r w:rsidRPr="00087A72">
        <w:rPr>
          <w:sz w:val="12"/>
        </w:rPr>
        <w:t xml:space="preserve"> in the emergence of biopolitics, and the biopolitical imperative that sees sexuality as the potential for a population’s growth and regulation. </w:t>
      </w:r>
      <w:r w:rsidRPr="00087A72">
        <w:rPr>
          <w:rStyle w:val="StyleUnderline"/>
        </w:rPr>
        <w:t>As Indigenous lands were annexed and occupied, Indigenous bodies—the bodies of children in particular—were recruited as available substratum upon which colonial onto-epistemologies could be authored.</w:t>
      </w:r>
      <w:r w:rsidRPr="00087A72">
        <w:rPr>
          <w:sz w:val="12"/>
        </w:rPr>
        <w:t xml:space="preserve"> In Lacanian psychoanalytic terms, </w:t>
      </w:r>
      <w:r w:rsidRPr="00087A72">
        <w:rPr>
          <w:rStyle w:val="Emphasis"/>
        </w:rPr>
        <w:t>the annihilation of Indigenous forms of life indicates the aim of colonial world-making.</w:t>
      </w:r>
      <w:r w:rsidRPr="00087A72">
        <w:rPr>
          <w:rStyle w:val="StyleUnderline"/>
        </w:rPr>
        <w:t xml:space="preserve"> The goal of this world-making is the stabilization of civil</w:t>
      </w:r>
      <w:r w:rsidRPr="00087A72">
        <w:rPr>
          <w:sz w:val="12"/>
        </w:rPr>
        <w:t xml:space="preserve"> Canadian </w:t>
      </w:r>
      <w:r w:rsidRPr="00087A72">
        <w:rPr>
          <w:rStyle w:val="StyleUnderline"/>
        </w:rPr>
        <w:t>society. In terms of this goal, the continual re-presenting of Indigeneity is, in fact, useful, necessary. In the lexicon of the death drive, which props itself or surfs upon existing vital life forces</w:t>
      </w:r>
      <w:r w:rsidRPr="00087A72">
        <w:rPr>
          <w:sz w:val="12"/>
        </w:rPr>
        <w:t xml:space="preserve"> (instincts), </w:t>
      </w:r>
      <w:r w:rsidRPr="00087A72">
        <w:rPr>
          <w:rStyle w:val="StyleUnderline"/>
        </w:rPr>
        <w:t>the reiteration over and over to “kill the Indian” creates the archive of an impossible telos</w:t>
      </w:r>
      <w:r w:rsidRPr="00087A72">
        <w:rPr>
          <w:sz w:val="12"/>
        </w:rPr>
        <w:t xml:space="preserve"> (Kill the Indian in the Child). </w:t>
      </w:r>
      <w:r w:rsidRPr="00087A72">
        <w:rPr>
          <w:rStyle w:val="StyleUnderline"/>
        </w:rPr>
        <w:t>The circling around the obstacles that arise on the path to achieving this telos is a function of the death drive, whose mechanism is to double-down around sites of failure with an enjoyment that exceeds pleasure. Unable to master the unruly sexuality of the Indigenous child—an unruliness which we now understand to be so diffused throughout everyday life</w:t>
      </w:r>
      <w:r w:rsidRPr="00087A72">
        <w:rPr>
          <w:sz w:val="12"/>
        </w:rPr>
        <w:t xml:space="preserve"> (remember Freud’s response to the charge of ‘pansexuality’ was the rejoinder that although not everything is sexual, sexuality can be found/can arise in anything) </w:t>
      </w:r>
      <w:r w:rsidRPr="00087A72">
        <w:rPr>
          <w:rStyle w:val="StyleUnderline"/>
        </w:rPr>
        <w:t>that it only ever eluded attempts to regulate and tamp it down. Frustrated at failure, yet intensely enjoying it—enjoying in the psychoanalytic sense rather than simply the colloquial sense, though they are in many instance imbricated—the drive to mastery satisfies itself with intensifying violence.</w:t>
      </w:r>
      <w:r w:rsidRPr="00087A72">
        <w:rPr>
          <w:sz w:val="12"/>
        </w:rPr>
        <w:t xml:space="preserve"> This is the structure of Fort-da, the child’s game that Freud assures us, is in no way the domain of the gifted, the wise, or the precocious. </w:t>
      </w:r>
      <w:r w:rsidRPr="00087A72">
        <w:rPr>
          <w:rStyle w:val="Emphasis"/>
        </w:rPr>
        <w:t>This is the genocidal logic that, after all, underwrites and helps make logical the affective daily labor of killing an un-killable foe to save and hold sanctified the sovereign innocence of the life that shelters it.</w:t>
      </w:r>
    </w:p>
    <w:p w:rsidR="006B227D" w:rsidRPr="00087A72" w:rsidRDefault="006B227D" w:rsidP="006B227D">
      <w:pPr>
        <w:keepNext/>
        <w:keepLines/>
        <w:spacing w:before="40" w:after="0"/>
        <w:outlineLvl w:val="3"/>
        <w:rPr>
          <w:rFonts w:eastAsiaTheme="majorEastAsia" w:cstheme="majorBidi"/>
          <w:b/>
          <w:iCs/>
          <w:sz w:val="24"/>
        </w:rPr>
      </w:pPr>
      <w:r w:rsidRPr="00087A72">
        <w:rPr>
          <w:rFonts w:eastAsiaTheme="majorEastAsia" w:cstheme="majorBidi"/>
          <w:b/>
          <w:iCs/>
          <w:sz w:val="24"/>
        </w:rPr>
        <w:t>In testimony to the horrors she experienced, Irene Favel, a survivor of the Muskowekwan Indian Residential School near Lestock, Saskatchewan, recalls this story: “There was a young girl, and she was pregnant from a priest there. And what they did, she had her baby, and they took the baby, and wrapped it up in a nice pink outfit, and they took it downstairs where I was cooking dinner with the nun. And they took the baby into the furnace room, and they threw that little baby in there and burned it alive. All you could hear was this little cry, like “Uuh!”, and that was it. You could smell that flesh cooking.” What is the violence of the “uuh!”? This inconvenient “uuh!” marks the gratuity of anti-Native violence—it marks her unworlding.</w:t>
      </w:r>
    </w:p>
    <w:p w:rsidR="006B227D" w:rsidRPr="00087A72" w:rsidRDefault="006B227D" w:rsidP="006B227D">
      <w:r w:rsidRPr="00087A72">
        <w:rPr>
          <w:b/>
          <w:bCs/>
          <w:sz w:val="24"/>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133-136) NIJ</w:t>
      </w:r>
    </w:p>
    <w:p w:rsidR="006B227D" w:rsidRPr="00087A72" w:rsidRDefault="006B227D" w:rsidP="00540BEA">
      <w:pPr>
        <w:rPr>
          <w:b/>
          <w:iCs/>
          <w:sz w:val="26"/>
          <w:u w:val="single"/>
        </w:rPr>
      </w:pPr>
      <w:r w:rsidRPr="00087A72">
        <w:rPr>
          <w:sz w:val="12"/>
        </w:rPr>
        <w:t xml:space="preserve">Inconvenient Life and (other) Matters of the Death Drive </w:t>
      </w:r>
      <w:r w:rsidRPr="00087A72">
        <w:rPr>
          <w:u w:val="single"/>
        </w:rPr>
        <w:t>When I think Favel’s testimony through the partial, subterranean analytic of the death drive, what I perceive is a working out of the mythic desire for absence without remainder that</w:t>
      </w:r>
      <w:r w:rsidRPr="00087A72">
        <w:rPr>
          <w:sz w:val="12"/>
        </w:rPr>
        <w:t xml:space="preserve">, I argue, </w:t>
      </w:r>
      <w:r w:rsidRPr="00087A72">
        <w:rPr>
          <w:u w:val="single"/>
        </w:rPr>
        <w:t xml:space="preserve">subtends the colonial project of worlding. This is the fantasy that the ‘problematic’ or ‘inconvenient’ materiality of the other can be burned away, a self-effacing mark—as though the body of an infant, all the worlds beyond itself towards which her body opens, could be contained in ritual wrappings of pink and incinerated, thrown into a vacuum of cinder and ash and heat, gone. ‘Inconvenient life’ is the provisional name I have generated to describe the dangerous ineradicability, the excessive, enfleshed materiality that signals an otherness one wishes she/he might eradicate completely, erasing it as though it had never existed. I understand the word ‘inconvenient’ to open us to a world of associated meanings aligned with the trivial. </w:t>
      </w:r>
      <w:r w:rsidRPr="00087A72">
        <w:rPr>
          <w:sz w:val="12"/>
        </w:rPr>
        <w:t xml:space="preserve">It is ‘inconvenient’ to be stuck in traffic, for example. </w:t>
      </w:r>
      <w:r w:rsidRPr="00087A72">
        <w:rPr>
          <w:u w:val="single"/>
        </w:rPr>
        <w:t>This is a signifying chain I am purposefully activating. Inconvenience is not, at its heart, a particularly violent impulse towards others. But it can become death driven.</w:t>
      </w:r>
      <w:r w:rsidRPr="00087A72">
        <w:rPr>
          <w:sz w:val="12"/>
        </w:rPr>
        <w:t xml:space="preserve"> Death drive, as is its wont, can surf on top of it, seizing upon existing libidinal energies and intensifying them, turning them in on themselves, redoubling. </w:t>
      </w:r>
      <w:r w:rsidRPr="00087A72">
        <w:rPr>
          <w:u w:val="single"/>
        </w:rPr>
        <w:t>The death drive is so often invisible or barely perceptible (if it is perceptible at all) precisely because of this ability it has to ride silently along on top of some libidinal process that is already taking place.</w:t>
      </w:r>
      <w:r w:rsidRPr="00087A72">
        <w:rPr>
          <w:sz w:val="12"/>
        </w:rPr>
        <w:t xml:space="preserve"> Yes, being stuck in traffic is inopportune, but it is hardly a matter of life and death. So, how do I intend to argue that the ‘finding inconvenient’ of the life of the other could intensify to a moment of incendiary violence such as the scene Favel relays? The answer is in the relentless aggressivity of the drive, whose movement only intensifies, and it is in the irreducible otherness, the otherness of the other that can never, fully, satisfactorily be eradicated or erased. </w:t>
      </w:r>
      <w:r w:rsidRPr="00087A72">
        <w:rPr>
          <w:u w:val="single"/>
        </w:rPr>
        <w:t>Children can so often embody the ‘inconvenience’ I am trying to get to here, through their fragile, durable, terrible, miraculous, relentless life-force. Once they are born, they cannot be unborn; someone must do something with them</w:t>
      </w:r>
      <w:r w:rsidRPr="00087A72">
        <w:rPr>
          <w:sz w:val="12"/>
        </w:rPr>
        <w:t xml:space="preserve">: feed them, clothe them, bathe them. Someone must do something, </w:t>
      </w:r>
      <w:r w:rsidRPr="00087A72">
        <w:rPr>
          <w:u w:val="single"/>
        </w:rPr>
        <w:t>even if it is to kill them or let them die.</w:t>
      </w:r>
      <w:r w:rsidRPr="00087A72">
        <w:rPr>
          <w:sz w:val="12"/>
        </w:rPr>
        <w:t xml:space="preserve"> In her/his radically material, perhaps even sudden, liveness, </w:t>
      </w:r>
      <w:r w:rsidRPr="00087A72">
        <w:rPr>
          <w:u w:val="single"/>
        </w:rPr>
        <w:t>the infant embodies the impossibility of ever going back to a time before. A baby cannot ever be unbirthed. If we take for a moment, an unwanted baby born of a prohibited sexual union—for example, between a priest and a young Indigenous schoolgirl—the presence of the infant signifies to the religious institution as problem, even as apostasy, the remnants of some crime, as sorrow or as sin. Someone, the priest perhaps, the young girl he impregnated, the religious body upon whom this child might bring shame or censure, the school principal who might fear for his job should the rape come to light… might wish the child had never existed at all.</w:t>
      </w:r>
      <w:r w:rsidRPr="00087A72">
        <w:rPr>
          <w:sz w:val="12"/>
        </w:rPr>
        <w:t xml:space="preserve"> It would be so much better, easier, safer, simpler, if she could just be made to disappear as though she had never been conceived. </w:t>
      </w:r>
      <w:r w:rsidRPr="00087A72">
        <w:rPr>
          <w:u w:val="single"/>
        </w:rPr>
        <w:t>This is a fantasy of erasure that wishes for, and can only be satisfied with, total annihilation: I wish this inconvenient form of life to disappear entirely, and with it my wish for its disappearance, for I wish my wish for the eradication of this (form of) life to disappear as well. This is not even to say that this form of fantasy wishes the child dead, or even wishes any violence upon her, it is simply the projection of a longing for erasure and a (re)turn to a time-place (a better place, the voice of nostalgia whispers) of the child’s non-existence.</w:t>
      </w:r>
      <w:r w:rsidRPr="00087A72">
        <w:rPr>
          <w:sz w:val="12"/>
        </w:rPr>
        <w:t xml:space="preserve"> </w:t>
      </w:r>
      <w:r w:rsidRPr="00087A72">
        <w:rPr>
          <w:b/>
          <w:iCs/>
          <w:sz w:val="26"/>
          <w:u w:val="single"/>
        </w:rPr>
        <w:t>This desire is one of the fundamental logics of ethnic cleansing, the desire to erase the bad race from the surface of the world, from memory, from existence, gone.</w:t>
      </w:r>
      <w:r w:rsidRPr="00087A72">
        <w:rPr>
          <w:sz w:val="12"/>
        </w:rPr>
        <w:t xml:space="preserve"> From our vantage in the current moment, </w:t>
      </w:r>
      <w:r w:rsidRPr="00087A72">
        <w:rPr>
          <w:u w:val="single"/>
        </w:rPr>
        <w:t>we know too well the terrible violence, the world-breaking genocide, that fantasy of eradication on one hand, and purity on the other, has wrought. This is the arc that the fantasy of ‘erasing’ what is fundamentally ‘inconvenient’ is capable of playing out when the death drive rides along.</w:t>
      </w:r>
      <w:r w:rsidRPr="00087A72">
        <w:rPr>
          <w:sz w:val="12"/>
        </w:rPr>
        <w:t xml:space="preserve"> As to the example of being stuck in traffic, how many of us have wished, however abstractly, that the other motorists and their vehicles so ‘inconveniently’ blocking our pathway would simply vanish into ‘thin air’? Thin air, of course, does not exist. Bodies cannot be disappeared, they can only be ‘disappeared.’ </w:t>
      </w:r>
      <w:r w:rsidRPr="00087A72">
        <w:rPr>
          <w:u w:val="single"/>
        </w:rPr>
        <w:t>The logistical imperatives of eradication rely on the fantasy of killing without remainder, and refer to a mythic temporality in which it is possible to arrive at a future which circles back through a time before</w:t>
      </w:r>
      <w:r w:rsidRPr="00087A72">
        <w:rPr>
          <w:sz w:val="12"/>
        </w:rPr>
        <w:t xml:space="preserve">—before, for instance, the birth of the unwanted, problematic child. </w:t>
      </w:r>
      <w:r w:rsidRPr="00087A72">
        <w:rPr>
          <w:u w:val="single"/>
        </w:rPr>
        <w:t>This fantasy is in direct confrontation with the laws of linear time, and with the laws of thermodynamics</w:t>
      </w:r>
      <w:r w:rsidRPr="00087A72">
        <w:rPr>
          <w:sz w:val="12"/>
        </w:rPr>
        <w:t xml:space="preserve">, which state that energy can neither be created nor destroyed, it can only be transferred. </w:t>
      </w:r>
      <w:r w:rsidRPr="00087A72">
        <w:rPr>
          <w:u w:val="single"/>
        </w:rPr>
        <w:t>Nothing once made can be erased, and while material bodies can be incinerated and spirited into the air as if they have disappeared, something always persists. This fundamental irreducibility allows the aiming towards erasure to draw so enticingly near its goal that, with the drive along for the ride, the frustrated intensity that almost eradicated, that almost erased the problematic otherness of the other can only satisfy itself in intensifying cycles of violence. If one were to set out to try to erase an infant as though she had never existed, one would necessarily fall short.</w:t>
      </w:r>
      <w:r w:rsidRPr="00087A72">
        <w:rPr>
          <w:sz w:val="12"/>
        </w:rPr>
        <w:t xml:space="preserve"> My argument is that in this instance, </w:t>
      </w:r>
      <w:r w:rsidRPr="00087A72">
        <w:rPr>
          <w:b/>
          <w:iCs/>
          <w:sz w:val="26"/>
          <w:u w:val="single"/>
        </w:rPr>
        <w:t>this ‘falling short’ instantiates horrific, world- breaking (unmarking, annihilating) worlding (claiming) violence.</w:t>
      </w:r>
      <w:r w:rsidRPr="00087A72">
        <w:rPr>
          <w:sz w:val="12"/>
        </w:rPr>
        <w:t xml:space="preserve"> Between the defiling furnace and the defiled pages and the hard heat, the burning hand and the scorched air, cinders fall, carving pathways of flight through the air. </w:t>
      </w:r>
      <w:r w:rsidRPr="00087A72">
        <w:rPr>
          <w:u w:val="single"/>
        </w:rPr>
        <w:t xml:space="preserve">The effects of the residential schooling era linger in cinder-written scenes of worlding, world-breaking violence that flash up in the contemporary, dense sites of violence that stage as untimely aggressiveness that seems so mythical and so familiar and so inevitable, that it is as if it has always been there. The mythic telling of Favel’s disembodied testimony occupies an indeterminate, interstitial space between the impossibly horrible and horribly possible, mediating their imbrication and the (violent, sexual) social relation the event sutures/renders visible. Favel’s testimony shows clergy literally and figuratively writing a kind of colonial present and postcolonial future by (once again, both literally and figuratively) attempting to eradicate the ‘inconvenient’ materiality of indigenous alterity the Aboriginal infant in Favel’s account embodies by incinerating her. This particular act of (un)writing contributes to larger-scale colonial writing efforts by and through which Europe consolidated itself, both as sovereign and subject, by defining its colonies as already lost others. </w:t>
      </w:r>
      <w:r w:rsidRPr="00087A72">
        <w:rPr>
          <w:b/>
          <w:iCs/>
          <w:sz w:val="26"/>
          <w:u w:val="single"/>
        </w:rPr>
        <w:t>Killing the Indian in the child was always, at least partially, about killing the Indian: a fantasy of mastery, a complex condensation of multiple absences and displaced presence(s).</w:t>
      </w:r>
    </w:p>
    <w:p w:rsidR="00CD7A9B" w:rsidRPr="00087A72" w:rsidRDefault="00CD7A9B" w:rsidP="00D005A2">
      <w:pPr>
        <w:pStyle w:val="Heading3"/>
      </w:pPr>
      <w:r w:rsidRPr="00087A72">
        <w:t>Framing – Root Cause</w:t>
      </w:r>
    </w:p>
    <w:p w:rsidR="00CD7A9B" w:rsidRPr="00087A72" w:rsidRDefault="00CD7A9B" w:rsidP="00CD7A9B">
      <w:pPr>
        <w:pStyle w:val="Heading4"/>
      </w:pPr>
      <w:r w:rsidRPr="00087A72">
        <w:t xml:space="preserve">You misdiagnose the root cause of your problem, not matter what is done the ideas of the settler and the non-native are entrenched through your method – instead we must embrace the alt </w:t>
      </w:r>
    </w:p>
    <w:p w:rsidR="00CD7A9B" w:rsidRPr="00087A72" w:rsidRDefault="00CD7A9B" w:rsidP="00CD7A9B">
      <w:pPr>
        <w:rPr>
          <w:sz w:val="16"/>
          <w:szCs w:val="16"/>
        </w:rPr>
      </w:pPr>
      <w:r w:rsidRPr="00087A72">
        <w:rPr>
          <w:rStyle w:val="Style13ptBold"/>
        </w:rPr>
        <w:t xml:space="preserve">Rifkin 2013 </w:t>
      </w:r>
      <w:r w:rsidRPr="00087A72">
        <w:rPr>
          <w:rStyle w:val="Style13ptBold"/>
          <w:b w:val="0"/>
          <w:sz w:val="16"/>
          <w:szCs w:val="16"/>
        </w:rPr>
        <w:t xml:space="preserve">(Mark Rifkin, Professor. US Ethnic Literature University of North Carolina – Greensboro research primarily focuses on Native American writing and politics from the eighteenth century onward, exploring the ways that Indigenous peoples have negotiated U.S. racial and imperial formations.  “Settler common sense” </w:t>
      </w:r>
      <w:r w:rsidRPr="00087A72">
        <w:rPr>
          <w:rStyle w:val="Style13ptBold"/>
          <w:b w:val="0"/>
          <w:i/>
          <w:sz w:val="16"/>
          <w:szCs w:val="16"/>
        </w:rPr>
        <w:t>Settler Colonial Studies</w:t>
      </w:r>
      <w:r w:rsidRPr="00087A72">
        <w:rPr>
          <w:rStyle w:val="Style13ptBold"/>
          <w:b w:val="0"/>
          <w:sz w:val="16"/>
          <w:szCs w:val="16"/>
        </w:rPr>
        <w:t xml:space="preserve">, 2013, Vol. 3, pp. 324-326) [JS] </w:t>
      </w:r>
    </w:p>
    <w:p w:rsidR="00C72150" w:rsidRPr="00087A72" w:rsidRDefault="00CD7A9B" w:rsidP="00C72150">
      <w:pPr>
        <w:rPr>
          <w:sz w:val="16"/>
        </w:rPr>
      </w:pPr>
      <w:r w:rsidRPr="00087A72">
        <w:rPr>
          <w:sz w:val="16"/>
        </w:rPr>
        <w:t>In Settler Colonialism and the Transformation of Anthropology, Patrick Wolfe argues, “</w:t>
      </w:r>
      <w:r w:rsidRPr="00087A72">
        <w:rPr>
          <w:rStyle w:val="StyleUnderline"/>
        </w:rPr>
        <w:t>Settler colonies were (are) premised on the elimination of native societies. The split tensing reflects a determinate feature of settler colonization</w:t>
      </w:r>
      <w:r w:rsidRPr="00087A72">
        <w:rPr>
          <w:sz w:val="16"/>
        </w:rPr>
        <w:t xml:space="preserve">. The colonizers come to stay – invasion is a structure not an event.”5 Offering perhaps the most prominent definition of </w:t>
      </w:r>
      <w:r w:rsidRPr="00087A72">
        <w:rPr>
          <w:rStyle w:val="StyleUnderline"/>
        </w:rPr>
        <w:t>settler colonialism</w:t>
      </w:r>
      <w:r w:rsidRPr="00087A72">
        <w:rPr>
          <w:sz w:val="16"/>
        </w:rPr>
        <w:t xml:space="preserve">, Wolfe’s formulation emphasizes the fact that </w:t>
      </w:r>
      <w:r w:rsidRPr="00087A72">
        <w:rPr>
          <w:rStyle w:val="StyleUnderline"/>
        </w:rPr>
        <w:t>it cannot be localized within a specific period of removal or extermination</w:t>
      </w:r>
      <w:r w:rsidRPr="00087A72">
        <w:rPr>
          <w:sz w:val="16"/>
        </w:rPr>
        <w:t xml:space="preserve"> </w:t>
      </w:r>
      <w:r w:rsidRPr="00087A72">
        <w:rPr>
          <w:rStyle w:val="StyleUnderline"/>
        </w:rPr>
        <w:t>and that it persists as a determinative feature of national territoriality and identity</w:t>
      </w:r>
      <w:r w:rsidRPr="00087A72">
        <w:rPr>
          <w:sz w:val="16"/>
        </w:rPr>
        <w:t>. He argues that</w:t>
      </w:r>
      <w:r w:rsidRPr="00087A72">
        <w:rPr>
          <w:rStyle w:val="StyleUnderline"/>
        </w:rPr>
        <w:t xml:space="preserve"> a “logic of elimination” drives settler governance and sociality, describing “the settler-colonial will” as “a historical force that ultimately derives from the primal drive to expansion that is generally glossed as capitalism</w:t>
      </w:r>
      <w:r w:rsidRPr="00087A72">
        <w:rPr>
          <w:sz w:val="16"/>
        </w:rPr>
        <w:t>” (167), and in “Settler Colonialism and the Elimination of the Native,” he observes that “elimination is an organizing principle of settler-colonial society rather than a one-off (and superceded) occurrence”, adding, “</w:t>
      </w:r>
      <w:r w:rsidRPr="00087A72">
        <w:rPr>
          <w:rStyle w:val="StyleUnderline"/>
        </w:rPr>
        <w:t>Settler colonialism destroys to replace</w:t>
      </w:r>
      <w:r w:rsidRPr="00087A72">
        <w:rPr>
          <w:sz w:val="16"/>
        </w:rPr>
        <w:t>.”6 Rather than being superseded after an initial moment/period of conquest, however, colonization persists since “</w:t>
      </w:r>
      <w:r w:rsidRPr="00087A72">
        <w:rPr>
          <w:rStyle w:val="StyleUnderline"/>
        </w:rPr>
        <w:t>the logic of elimination marks a return whereby the native repressed continues to structure settler-colonial society</w:t>
      </w:r>
      <w:r w:rsidRPr="00087A72">
        <w:rPr>
          <w:sz w:val="16"/>
        </w:rPr>
        <w:t xml:space="preserve">” (390), and “the process of replacement maintains the refractory imprint of the native counter-claim” (389). Yet, when and how do projects of elimination and replacement become geographies of everyday non-Native occupancy that do not understand themselves as predicated on colonial occupation or on a history of settler-Indigenous relation (even though they are), and what are the contours and effects of such experiences of inhabitance and belonging? In characterizing settlement as a “structure”, “logic”, and a “will”, Wolfe seeks to integrate the multivalent aspects of ongoing processes of non-Native expropriation and superintendence, but doing so potentially sidesteps the question of how official governmental initiatives and framings become normalized as the setting for everyday non-Native being and action in ways that cannot be captured solely by reference to “the murderous activities of the frontier rabble” (392–3). In Aileen Moreton-Robinson’s work, </w:t>
      </w:r>
      <w:r w:rsidRPr="00087A72">
        <w:rPr>
          <w:rStyle w:val="StyleUnderline"/>
        </w:rPr>
        <w:t>whiteness functions as the central way of understanding the domination and displacement of Indigenous peoples by non-Natives</w:t>
      </w:r>
      <w:r w:rsidRPr="00087A72">
        <w:rPr>
          <w:sz w:val="16"/>
        </w:rPr>
        <w:t>.7 In “Writing Off Indigenous Sovereignty,” she argues, “</w:t>
      </w:r>
      <w:r w:rsidRPr="00087A72">
        <w:rPr>
          <w:rStyle w:val="Emphasis"/>
        </w:rPr>
        <w:t>As a regime of power, patriarchal White sovereignty operates ideologically, materially and discursively to reproduce and maintain its investment in the nation as a white possession</w:t>
      </w:r>
      <w:r w:rsidRPr="00087A72">
        <w:rPr>
          <w:sz w:val="16"/>
        </w:rPr>
        <w:t>”, and in “Writing Off Treaties”, she suggests, “</w:t>
      </w:r>
      <w:r w:rsidRPr="00087A72">
        <w:rPr>
          <w:rStyle w:val="StyleUnderline"/>
        </w:rPr>
        <w:t>At an ontological level the structure of subjective possession occurs through the imposition of one’s will-to-be on the thing which is perceived to lack will, thus it is open to being possessed</w:t>
      </w:r>
      <w:r w:rsidRPr="00087A72">
        <w:rPr>
          <w:sz w:val="16"/>
        </w:rPr>
        <w:t xml:space="preserve">,” such that “possession ... </w:t>
      </w:r>
      <w:r w:rsidRPr="00087A72">
        <w:rPr>
          <w:rStyle w:val="StyleUnderline"/>
        </w:rPr>
        <w:t>forms part of the ontological structure of white subjectivity</w:t>
      </w:r>
      <w:r w:rsidRPr="00087A72">
        <w:rPr>
          <w:sz w:val="16"/>
        </w:rPr>
        <w:t xml:space="preserve">”.8 </w:t>
      </w:r>
      <w:r w:rsidRPr="00087A72">
        <w:rPr>
          <w:rStyle w:val="Emphasis"/>
        </w:rPr>
        <w:t>Whiteness, then, instantiates a property logic in which subjectivity, placemaking, and political belonging turn on the exertion of a right to untrammelled ownership</w:t>
      </w:r>
      <w:r w:rsidRPr="00087A72">
        <w:rPr>
          <w:sz w:val="16"/>
        </w:rPr>
        <w:t xml:space="preserve"> and in which </w:t>
      </w:r>
      <w:r w:rsidRPr="00087A72">
        <w:rPr>
          <w:rStyle w:val="Emphasis"/>
        </w:rPr>
        <w:t>that process of manufacturing legitimacy for non-Native occupation appears as a self-evident, unquestionable, and invisible frame through which to assess Indigenous voices, claims, and presence</w:t>
      </w:r>
      <w:r w:rsidRPr="00087A72">
        <w:rPr>
          <w:sz w:val="16"/>
        </w:rPr>
        <w:t>. She further observes, “</w:t>
      </w:r>
      <w:r w:rsidRPr="00087A72">
        <w:rPr>
          <w:rStyle w:val="StyleUnderline"/>
        </w:rPr>
        <w:t>it is the legally defined and asserted territorial sovereignty [of the settler nation] that provides the context for national identifications of whiteness” while “one benefits everyday from being tied to a nation that has and continues to constitute itself as a white possession”</w:t>
      </w:r>
      <w:r w:rsidRPr="00087A72">
        <w:rPr>
          <w:sz w:val="16"/>
        </w:rPr>
        <w:t xml:space="preserve"> (85). Tracing a dialectical relation between policy and the everyday, she notes in “Writing Off Indigenous Sovereignty” that the “possessive investment in patriarchal white sovereignty is enhanced through private property ownership. This security produces affect that is encapsulated in a sense of home and place, mobilising an affirmation of a white national identity” (95). Thus, her work raises the issue of how the legal discourses that sustain the settler-state’s “territorial sovereignty” become ordinary through the “affect” of belonging and emplacement generated by “private property”, which reciprocally reinvests in the “white national identity” as its condition of possibility. Yet, “whiteness” names the juridical assertion of authority over Indigenous peoples and lands, the quotidian experience of selfhood and embodiment as a settler subject, and </w:t>
      </w:r>
      <w:r w:rsidRPr="00087A72">
        <w:rPr>
          <w:rStyle w:val="StyleUnderline"/>
        </w:rPr>
        <w:t>the movement(s) between them in ways that can cast settler affect as merely the passive vehicle for a pre-constituted set of state initiatives which settler subjects, in their investment in whiteness (as identity and/or identification), inherently extend and realize.</w:t>
      </w:r>
      <w:r w:rsidRPr="00087A72">
        <w:rPr>
          <w:sz w:val="16"/>
        </w:rPr>
        <w:t xml:space="preserve">9 </w:t>
      </w:r>
      <w:r w:rsidRPr="00087A72">
        <w:rPr>
          <w:rStyle w:val="StyleUnderline"/>
        </w:rPr>
        <w:t>The processes by which legislative and administrative agendas come to function as an animating part of daily life, the differences such realization and localization make in the terms and trajectories of those explicit projects, and the possibilities for forms of disjuncture between the state apparatus and everyday experience are bracketed by the positing of a clear, direct, and inevitable relation characterized as “ontological”.</w:t>
      </w:r>
      <w:r w:rsidRPr="00087A72">
        <w:rPr>
          <w:sz w:val="16"/>
        </w:rPr>
        <w:t xml:space="preserve"> For Jodi Byrd, the deployment of Indianness as a mobile figure works as the principal mode of US settler colonialism. She observes that “colonization and racialization ... have often been conflated”, in ways that “tend to be sited along the axis of inclusion/exclusion”.10 </w:t>
      </w:r>
      <w:r w:rsidRPr="00087A72">
        <w:rPr>
          <w:rStyle w:val="StyleUnderline"/>
        </w:rPr>
        <w:t>Doing so places emphasis on the belonging of citizenship as remediation for past and present violence, thereby “mask[ing] the territoriality of conquest by assigning colonization to the racialized body, which is then policed in its degrees from whiteness</w:t>
      </w:r>
      <w:r w:rsidRPr="00087A72">
        <w:rPr>
          <w:sz w:val="16"/>
        </w:rPr>
        <w:t>” (xxiv). Suggesting that the “</w:t>
      </w:r>
      <w:r w:rsidRPr="00087A72">
        <w:rPr>
          <w:rStyle w:val="StyleUnderline"/>
        </w:rPr>
        <w:t>cacophony of competing struggles for hegemony ... misdirect and cloud attention from the underlying structures of settler colonialism”</w:t>
      </w:r>
      <w:r w:rsidRPr="00087A72">
        <w:rPr>
          <w:sz w:val="16"/>
        </w:rPr>
        <w:t xml:space="preserve"> (xvii), s</w:t>
      </w:r>
      <w:r w:rsidRPr="00087A72">
        <w:rPr>
          <w:rStyle w:val="StyleUnderline"/>
        </w:rPr>
        <w:t>he argues that the latter work through translating indigeneity as Indianness, casting place-based political collectivities as (racialized) populations subject to US jurisdiction and management</w:t>
      </w:r>
      <w:r w:rsidRPr="00087A72">
        <w:rPr>
          <w:sz w:val="16"/>
        </w:rPr>
        <w:t>: “</w:t>
      </w:r>
      <w:r w:rsidRPr="00087A72">
        <w:rPr>
          <w:rStyle w:val="Emphasis"/>
        </w:rPr>
        <w:t>the Indian is left nowhere and everywhere within the ontological premises through which U.S. empire orients, imagines, and critiques itself</w:t>
      </w:r>
      <w:r w:rsidRPr="00087A72">
        <w:rPr>
          <w:sz w:val="16"/>
        </w:rPr>
        <w:t>”; “</w:t>
      </w:r>
      <w:r w:rsidRPr="00087A72">
        <w:rPr>
          <w:rStyle w:val="Emphasis"/>
        </w:rPr>
        <w:t>ideas of Indians and Indianness have served as the ontological ground through which U.S. settler colonialism enacts itself</w:t>
      </w:r>
      <w:r w:rsidRPr="00087A72">
        <w:rPr>
          <w:sz w:val="16"/>
        </w:rPr>
        <w:t xml:space="preserve">” (xix).11 </w:t>
      </w:r>
      <w:r w:rsidRPr="00087A72">
        <w:rPr>
          <w:rStyle w:val="Emphasis"/>
        </w:rPr>
        <w:t>In presenting Indianization as providing the “ontological premises” and serving as the “ontological ground” for US identity and policy,</w:t>
      </w:r>
      <w:r w:rsidRPr="00087A72">
        <w:rPr>
          <w:sz w:val="16"/>
        </w:rPr>
        <w:t xml:space="preserve"> Byrd powerfully links the (re)production of Indianness to a range of political and critical projects and the displacement of the geopolitics of Indigenous sovereignty. She observes that </w:t>
      </w:r>
      <w:r w:rsidRPr="00087A72">
        <w:rPr>
          <w:rStyle w:val="StyleUnderline"/>
        </w:rPr>
        <w:t xml:space="preserve">“imperialism has forced settlers and arrivants </w:t>
      </w:r>
      <w:r w:rsidRPr="00087A72">
        <w:rPr>
          <w:sz w:val="16"/>
        </w:rPr>
        <w:t xml:space="preserve">[her term for non-White non-Natives] </w:t>
      </w:r>
      <w:r w:rsidRPr="00087A72">
        <w:rPr>
          <w:rStyle w:val="StyleUnderline"/>
        </w:rPr>
        <w:t>to cathect the space of the native as their home</w:t>
      </w:r>
      <w:r w:rsidRPr="00087A72">
        <w:rPr>
          <w:sz w:val="16"/>
        </w:rPr>
        <w:t>” (xxxix), but how is such cathexis contingently engendered in everyday ways? Although Byrd gestures in this direction, her focus on the foundationality and historical continuity of the dynamics she addresses emphasizes their role as a coherent and consistent “underlying structure” rather than how they gain scope, motion, and force through reiterative yet shifting formations, practices, and inclinations.</w:t>
      </w:r>
    </w:p>
    <w:p w:rsidR="002E63E3" w:rsidRPr="00087A72" w:rsidRDefault="002E63E3" w:rsidP="00D005A2">
      <w:pPr>
        <w:pStyle w:val="Heading3"/>
      </w:pPr>
      <w:r w:rsidRPr="00087A72">
        <w:t>Internal Link – Spiritual Violence</w:t>
      </w:r>
    </w:p>
    <w:p w:rsidR="002E63E3" w:rsidRPr="00087A72" w:rsidRDefault="002E63E3" w:rsidP="002E63E3">
      <w:pPr>
        <w:pStyle w:val="Heading4"/>
      </w:pPr>
      <w:r w:rsidRPr="00087A72">
        <w:t xml:space="preserve">The detribalization of the white settler has stripped them of their indigeneity culminating in a paradoxically violent conquest of the world to become indigenous everywhere. </w:t>
      </w:r>
    </w:p>
    <w:p w:rsidR="002E63E3" w:rsidRPr="00087A72" w:rsidRDefault="002E63E3" w:rsidP="002E63E3">
      <w:r w:rsidRPr="00087A72">
        <w:rPr>
          <w:b/>
        </w:rPr>
        <w:t>FORTIER 15</w:t>
      </w:r>
      <w:r w:rsidRPr="00087A72">
        <w:t xml:space="preserve"> </w:t>
      </w:r>
      <w:r w:rsidRPr="00087A72">
        <w:rPr>
          <w:sz w:val="16"/>
        </w:rPr>
        <w:t>(CRAIG, “UNSETTLING MOVEMENTS: DECOLONIZING NON-INDIGENOUS RADICAL STRUGGLES IN SETTLER COLONIAL STATES.” Pp 312-325squirms)</w:t>
      </w:r>
    </w:p>
    <w:p w:rsidR="002E63E3" w:rsidRPr="00087A72" w:rsidRDefault="002E63E3" w:rsidP="002E63E3">
      <w:pPr>
        <w:rPr>
          <w:b/>
          <w:iCs/>
          <w:sz w:val="26"/>
          <w:u w:val="single"/>
        </w:rPr>
      </w:pPr>
      <w:r w:rsidRPr="00087A72">
        <w:rPr>
          <w:sz w:val="16"/>
        </w:rPr>
        <w:t xml:space="preserve">In recent years there has been significant discussion among organizers in the anti- authoritarian current on the role that the radical imagination plays in revolutionary struggle (see Graeber 2009; Reinsborough 2010; Khasnabish and Haiven 2012). While there are multiple and divergent interpretations of what “the radical imagination” actually is, broadly speaking activists and scholars who use the term talk about it as, “the ability to envision and work toward better futures based on an analysis of the root causes of social problems” (Khasnabish and Haiven 2012:410). David Graeber (2009) devotes an entire chapter of his ethnography on direct action within anti-authoritarian movements to the role of the imagination. He traces the concept of the imagination through Western thought and differentiates between transcendent and immanent imagination by explaining that the former is what we tend to understand as “the realm of the make-believe” and the latter as being the zone of passage between reality and reason. It is the immanent imagination that Graeber describes as being at the heart of the radical imagination. He argues, “one must be able to imagine oneself and others as integrated subjects in order to be able to produce beings that are in fact endlessly multiple; imagine some sort of coherent, bounded ‘society’ in order to produce the chaotic, open-ended network of social relations that actually exists” (526). </w:t>
      </w:r>
      <w:r w:rsidRPr="00087A72">
        <w:rPr>
          <w:rStyle w:val="Emphasis"/>
        </w:rPr>
        <w:t>If we try to understand the transcendent and immanent imagination through a decolonial lens we see that both of these concepts remain clearly within the confines of Western logics. While transcendent imagination has the potential to move outside of the realm of the “real” and into the realm of the “magical,” both concepts see imagination as a process that is primarily driven by anthropocentric mental reasoning</w:t>
      </w:r>
      <w:r w:rsidRPr="00087A72">
        <w:rPr>
          <w:sz w:val="16"/>
        </w:rPr>
        <w:t xml:space="preserve">. Not coincidentally, </w:t>
      </w:r>
      <w:r w:rsidRPr="00087A72">
        <w:rPr>
          <w:rStyle w:val="Emphasis"/>
        </w:rPr>
        <w:t>these are the same functions of the imagination that allow settlers to imagine Turtle Island as terra nullius</w:t>
      </w:r>
      <w:r w:rsidRPr="00087A72">
        <w:rPr>
          <w:sz w:val="16"/>
        </w:rPr>
        <w:t xml:space="preserve">, “a land empty of civilization, culture, law, governance, and empty of people worthy of respect” (Alfred 2010:5). </w:t>
      </w:r>
      <w:r w:rsidRPr="00087A72">
        <w:rPr>
          <w:rStyle w:val="Emphasis"/>
        </w:rPr>
        <w:t>The intellectual trick of the Western imagination that turned land into property through the processes of commodification, dispossession, and settlement was justified by the settler state and settler society</w:t>
      </w:r>
      <w:r w:rsidRPr="00087A72">
        <w:rPr>
          <w:sz w:val="16"/>
        </w:rPr>
        <w:t xml:space="preserve"> (Coulthard 2010). Discussions of the radical imagination among non-Indigenous organizers within the anti-authoritarian current tend to consistently take place within the bounds of a Western worldview, though there are some notable exceptions, particularly within Black liberation thought (see Kelley 2002; Alexander 2005 as examples). Haudenosaunee scholars Sheridan and Longboat (2006) differentiate between </w:t>
      </w:r>
      <w:r w:rsidRPr="00087A72">
        <w:rPr>
          <w:rStyle w:val="Emphasis"/>
        </w:rPr>
        <w:t>the way in which settlers and Indigenous peoples conceptualize the imagination by explaining that a Western worldview sees imagination as inherently tied to the mind and an Indigenous worldview understands imagination as being produced through the interconnections between human beings, the land, and all other beings</w:t>
      </w:r>
      <w:r w:rsidRPr="00087A72">
        <w:rPr>
          <w:sz w:val="16"/>
        </w:rPr>
        <w:t>. They argue, “Imagination is understood to be a quality of mind in settler culture...[But for Haudenosaunee people] spiritual and intellectual integrity is achieved on Turtle Island by the interplay of human and more-than-human consciousness. The experience of imagination is minding all things” (Sheridan and Longboat 2006: 365</w:t>
      </w:r>
      <w:r w:rsidRPr="00087A72">
        <w:rPr>
          <w:rStyle w:val="Emphasis"/>
        </w:rPr>
        <w:t>). Imagination in this context is no longer simply a mental projection of the types of societies that we wish to create, but a sacred relationship attuned to reciprocal responsibilities where the “more- than-human” grants qualities of mind to the human</w:t>
      </w:r>
      <w:r w:rsidRPr="00087A72">
        <w:rPr>
          <w:sz w:val="16"/>
        </w:rPr>
        <w:t xml:space="preserve"> (Sheridan and Longboat 2006). For many Indigenous scholars, </w:t>
      </w:r>
      <w:r w:rsidRPr="00087A72">
        <w:rPr>
          <w:rStyle w:val="Emphasis"/>
        </w:rPr>
        <w:t>this sacred relationship has been disrupted or distorted by the process of settlement</w:t>
      </w:r>
      <w:r w:rsidRPr="00087A72">
        <w:rPr>
          <w:sz w:val="16"/>
        </w:rPr>
        <w:t xml:space="preserve">. For instance, Roxanne Dunbar-Ortiz (2014) argues that </w:t>
      </w:r>
      <w:r w:rsidRPr="00087A72">
        <w:rPr>
          <w:rStyle w:val="Emphasis"/>
        </w:rPr>
        <w:t>this worldview is directly tied to the commodification and theft of land that underlies the settler colonial project noting, “Once in the hands of settlers, the land itself was no longer sacred, as it had been for the Indigenous. Rather, it was private property, a commodity to be acquired and sold – every man a possible king,</w:t>
      </w:r>
      <w:r w:rsidRPr="00087A72">
        <w:rPr>
          <w:sz w:val="16"/>
        </w:rPr>
        <w:t xml:space="preserve"> or at least wealthy” (55). In turn, </w:t>
      </w:r>
      <w:r w:rsidRPr="00087A72">
        <w:rPr>
          <w:rStyle w:val="Emphasis"/>
        </w:rPr>
        <w:t xml:space="preserve">this sacred and relational way of understanding imagination was dismissed by settlers </w:t>
      </w:r>
      <w:r w:rsidRPr="00087A72">
        <w:rPr>
          <w:sz w:val="16"/>
        </w:rPr>
        <w:t xml:space="preserve">(particularly white settlers regardless of their political beliefs) </w:t>
      </w:r>
      <w:r w:rsidRPr="00087A72">
        <w:rPr>
          <w:rStyle w:val="Emphasis"/>
        </w:rPr>
        <w:t>as being “primitive” and fanciful. The dismissal of Indigenous spirituality continues among large sections of the mainstream and radical left to this day</w:t>
      </w:r>
      <w:r w:rsidRPr="00087A72">
        <w:rPr>
          <w:sz w:val="16"/>
        </w:rPr>
        <w:t xml:space="preserve">, although a greater number of non-Indigenous activists within the anti-authoritarian current are now more attuned to the importance of understanding the relationship between the sacred and the imaginary. Judy Rebick, a long-time feminist activist based in Toronto, explains how participating in Idle No More events fundamentally changed her perspective on this. She explains, “I think when we work with Aboriginal people we think ‘spiritual, they’re into that’. We’ll just sit and wait while they have their ceremonies, you know, so as to be polite. Not thinking that maybe we have something to learn from this about what humans are and the importance of connection to the Earth, to the creatures, to each other. And that it’s not about intellect or emotion – it’s about something else. And I can feel it now.” In her reflections on Idle No More, Judy highlights the ways that some activists within the anti-authoritarian current are giving more importance to the spiritual knowledge being shared by Indigenous peoples who are engaged in processes of decolonization and resurgence. However, </w:t>
      </w:r>
      <w:r w:rsidRPr="00087A72">
        <w:rPr>
          <w:rStyle w:val="Emphasis"/>
        </w:rPr>
        <w:t>recognizing the importance of teachings offered by Indigenous peoples who choose to share parts of their spirituality and ceremony with non-Indigenous people does not mean that organizers must fully believe or understand these teachings in order to maintain strong relationships of solidarity, nor does it mean that non-Indigenous people should seek to appropriate or join in all forms of spirituality and ceremony even if they are invited</w:t>
      </w:r>
      <w:r w:rsidRPr="00087A72">
        <w:rPr>
          <w:sz w:val="16"/>
        </w:rPr>
        <w:t xml:space="preserve">. There is much debate and uncertainty as to the best way to apply the knowledges that Indigenous peoples share about the sacred ecologies that guide their ways of life on their territories. Jaggi Singh, a migrant justice organizer with No One Is Illegal-Montréal, talks about how he observes and learns from these teachings, without necessarily feeling a strong sense of spirituality himself. He explains: Maybe I’m different from a lot of folks, maybe not, maybe I’m cutting myself short but I don’t have a spiritualized notion of the imagination. And </w:t>
      </w:r>
      <w:r w:rsidRPr="00087A72">
        <w:rPr>
          <w:rStyle w:val="Emphasis"/>
        </w:rPr>
        <w:t xml:space="preserve">when you are undertaking decolonization work and you are engaging other people (or even just community organizing) you have to understand that a lot of people have a strong spiritual sense of how things change. Whether that’s through religion or, with Native communities, through a spiritual sense of relationships with nature and traditional understandings. I don’t have that. I don’t reject others, but I don’t bring that to imagination, but I know that also plays into things – so I observe that without necessarily feeling it. </w:t>
      </w:r>
      <w:r w:rsidRPr="00087A72">
        <w:rPr>
          <w:sz w:val="16"/>
        </w:rPr>
        <w:t xml:space="preserve">For example there was an eagle that flew over the demonstration in Ottawa when the Cree marchers had arrived and that was full of resonance for folks. People were crying. I didn’t have that same reaction, but that for me conveys a sense of imagination as well, in a spiritual sense, but I can’t speak to it because my own personal trajectory and my own personal approach isn’t that. While a number of the organizers that I interviewed had similar experiences to Jaggi they also spoke about the way that engaging with Indigenous spirituality has made them question their own connections to the sacred and to the land. </w:t>
      </w:r>
      <w:r w:rsidRPr="00087A72">
        <w:rPr>
          <w:rStyle w:val="Emphasis"/>
        </w:rPr>
        <w:t>It is in this context that activists discussed the importance of the radical imagination in breaking from Western cosmologies and seeking to recover or re-engage in land-based spiritualities from the many different cultures in which they have emerged. Given the way that Indigenous, African, Celtic and other land-based cosmological systems have been subordinated by the hegemony of Eurocentric Christianity within settler states, the desire to recuperate or reclaim these spiritual traditions opens the possibility of negotiating relationships outside the confines of the hierarchies of conquest</w:t>
      </w:r>
      <w:r w:rsidRPr="00087A72">
        <w:rPr>
          <w:sz w:val="16"/>
        </w:rPr>
        <w:t xml:space="preserve"> (Alexander 2005). Luam Kidane, a Black queer organizer based in Montréal, suggests that </w:t>
      </w:r>
      <w:r w:rsidRPr="00087A72">
        <w:rPr>
          <w:rStyle w:val="Emphasis"/>
        </w:rPr>
        <w:t>the affirmation of the spiritual and the sacred is as much a pre-figuration as it is a refusal. She explains: [T]here's a difference between the religious and honouring the spiritual and sacred</w:t>
      </w:r>
      <w:r w:rsidRPr="00087A72">
        <w:rPr>
          <w:sz w:val="16"/>
        </w:rPr>
        <w:t xml:space="preserve">. I think </w:t>
      </w:r>
      <w:r w:rsidRPr="00087A72">
        <w:rPr>
          <w:rStyle w:val="Emphasis"/>
        </w:rPr>
        <w:t>there's ways in which the sacred and the spiritual really undermine the static institutionalization of belief that happens in religious paradigms and spaces. I think there's a decolonial practice in acknowledging the different ways that we are all engaged to spirituality and sacred spaces.</w:t>
      </w:r>
      <w:r w:rsidRPr="00087A72">
        <w:rPr>
          <w:sz w:val="16"/>
        </w:rPr>
        <w:t xml:space="preserve"> So for me, I think the ceremony and the ritual that sits behind sacred spaces is extremely important because it's a way to root the movement in understanding why we are here. I </w:t>
      </w:r>
      <w:r w:rsidRPr="00087A72">
        <w:rPr>
          <w:rStyle w:val="Emphasis"/>
          <w:b w:val="0"/>
          <w:sz w:val="16"/>
          <w:u w:val="none"/>
        </w:rPr>
        <w:t xml:space="preserve">think </w:t>
      </w:r>
      <w:r w:rsidRPr="00087A72">
        <w:rPr>
          <w:rStyle w:val="Emphasis"/>
        </w:rPr>
        <w:t>every time that we do ritual and every time that we do ceremony it's a reminder, it's a place for questioning, and it's a place for reformulating why we are here and what it is that we are doing. [...] I think the manifestation of ritual and ceremony being able to be palpable in so many different ways is directly tied to autonomous, non-hierarchical decentralized ways of being. So, I think it's a really important grounding and it's something that was really pushed out of movements because we understood movement organizing as having to be hierarchical, to have to be a direct response to the ways in which white supremacy structures politics and the ways that we understand each other</w:t>
      </w:r>
      <w:r w:rsidRPr="00087A72">
        <w:rPr>
          <w:sz w:val="16"/>
        </w:rPr>
        <w:t xml:space="preserve">. As Luam articulates, </w:t>
      </w:r>
      <w:r w:rsidRPr="00087A72">
        <w:rPr>
          <w:rStyle w:val="Emphasis"/>
        </w:rPr>
        <w:t>this spiritual grounding is a re-evaluation of the way in which the sacred ecologies of Indigenous ways of being have been conceptualized within radical left movements. They do so through re-engagement with ritual and ceremony</w:t>
      </w:r>
      <w:r w:rsidRPr="00087A72">
        <w:rPr>
          <w:sz w:val="16"/>
        </w:rPr>
        <w:t xml:space="preserve">, and there is possibly no better place to see these discussions taking place than at the Allied Media Conference that happens in Detroit every summer. Steeped in the Black radical tradition and influenced greatly by radical queer/trans* pre-figurative practices, the Allied Media Conference has been a place for activists to come together to discuss emotional and healing justice, afrofuturist political imaginaries, community gardens, and to share the rituals, ceremonies, practices, and spiritual knowledges cultivated within a range of radical movements. Drawing from the inspirational writing of movement elders like Grace Lee Boggs these activists attempt to connect the material aspects of their struggle with the spiritual and radical imaginaries of the worlds they seek to create (Boggs and Kurashige 2012). These experiences have provoked some organizers within the anti-authoritarian current to interrogate the historical processes that have severed much of the world’s people from land-based practices, spiritualities, and relationships. </w:t>
      </w:r>
      <w:r w:rsidRPr="00087A72">
        <w:rPr>
          <w:rStyle w:val="Emphasis"/>
        </w:rPr>
        <w:t>These organizers are recognizing the profound way that disconnecting people from land-based spiritual relationships was foundational to the social construction of “the settler,” “the slave,” and “the savage” within settler colonial societie</w:t>
      </w:r>
      <w:r w:rsidRPr="00087A72">
        <w:rPr>
          <w:sz w:val="16"/>
        </w:rPr>
        <w:t>s. As Sheridan and Longboat (2006) assert, “</w:t>
      </w:r>
      <w:r w:rsidRPr="00087A72">
        <w:rPr>
          <w:rStyle w:val="Emphasis"/>
        </w:rPr>
        <w:t>Dismissing [land-based spiritualities] as imaginary keeps those assimilated by modernity content with their condition by dispelling this numinous heritage much as colonization misjudged Aboriginal teachers as childish or naïve in trying to naturalize neo-American minds</w:t>
      </w:r>
      <w:r w:rsidRPr="00087A72">
        <w:rPr>
          <w:sz w:val="16"/>
        </w:rPr>
        <w:t xml:space="preserve">” (370). While it is beyond the scope of this dissertation to study the wide-breadth of ways in which reclamations of the spiritual are taking place among non-Indigenous activists, it is crucial for our purposes to examine some important questions and concerns that emerge from these processes. Namely, what does it mean to want to “reclaim” land-based spiritual traditions within a settler colonial context? Is this not akin to the desire of seeking to “reclaim” the commons that we problematized in the previous chapter? How do one’s context, geographic location, positionality, and identity shift one’s responsibility to this process? And what are the risks associated with appropriation and mis-application of land-based spiritual practices? Silvia Federici (2004) argues in her seminal work </w:t>
      </w:r>
      <w:r w:rsidRPr="00087A72">
        <w:rPr>
          <w:i/>
          <w:sz w:val="16"/>
        </w:rPr>
        <w:t xml:space="preserve">Caliban and the Witch </w:t>
      </w:r>
      <w:r w:rsidRPr="00087A72">
        <w:rPr>
          <w:sz w:val="16"/>
        </w:rPr>
        <w:t xml:space="preserve">that </w:t>
      </w:r>
      <w:r w:rsidRPr="00087A72">
        <w:rPr>
          <w:rStyle w:val="Emphasis"/>
        </w:rPr>
        <w:t>the violent attacks on pagans, heretics, and witches in Europe and the Americas paralleled the murderous repression of Indigenous and African spirituality during the process of settlement. These attacks were meant to provide for the emerging capitalist elite a seemingly limitless supply of land and labour necessary for accumulation. Black and Indigenous scholars have also argued that European colonizers attempted to wipe out land-based spiritual practices in order to facilitate the process of colonial capital accumulation through the dispossession of Indigenous peoples of their territories and the displacement and exploitation of African people for their labour</w:t>
      </w:r>
      <w:r w:rsidRPr="00087A72">
        <w:rPr>
          <w:sz w:val="16"/>
        </w:rPr>
        <w:t xml:space="preserve"> (see Alexander 2005; Kelley 2002; Simpson 2011; Coulthard 2014). </w:t>
      </w:r>
      <w:r w:rsidRPr="00087A72">
        <w:rPr>
          <w:rStyle w:val="Emphasis"/>
        </w:rPr>
        <w:t>Through the logics of modernity, the magical conceptions of spirituality that were connected to nature and “did not admit to any separation between matter and spirit,”</w:t>
      </w:r>
      <w:r w:rsidRPr="00087A72">
        <w:rPr>
          <w:sz w:val="16"/>
        </w:rPr>
        <w:t xml:space="preserve"> (Federici 2004:142) </w:t>
      </w:r>
      <w:r w:rsidRPr="00087A72">
        <w:rPr>
          <w:rStyle w:val="Emphasis"/>
        </w:rPr>
        <w:t>became a threat to the advance of capitalist accumulation and were branded as a crime. In helping to lay the foundations for the white supremacist heteropatriarchal settler state, the witch hunts in Europe and the Americas were relatively successful in destroying the land-based spiritualities of colonists of European descent. There were also numerous attempts to wipe out land-based spirituality among Black, Indigenous, and other non-white communities through violent repression, illegalization, and Christianization</w:t>
      </w:r>
      <w:r w:rsidRPr="00087A72">
        <w:rPr>
          <w:sz w:val="16"/>
        </w:rPr>
        <w:t>. Nonetheless, as Alexander (2005) articulates, many of these cosmological systems persisted and transformed through the processes of dispossession and dislocation. She explains that these spiritual practices were transformed by seeking “locatedness, rootedness, and belonging that map individual and collective relationships to the Divine...They have also traveled internally as a result of wars of conquest, in the name of religion, and for the sake of capturing people and owning territory” (291). In other words</w:t>
      </w:r>
      <w:r w:rsidRPr="00087A72">
        <w:rPr>
          <w:rStyle w:val="Emphasis"/>
        </w:rPr>
        <w:t>, while there has been a concerted effort to suppress and destroy land-based spiritual practices through the processes of settlement, proletarianization, and dispossession, these experiences have often served to transform and adapt spirituality among those directly affected by white supremacy, heteropatriarchy, and settler colonialism.</w:t>
      </w:r>
      <w:r w:rsidRPr="00087A72">
        <w:rPr>
          <w:sz w:val="16"/>
        </w:rPr>
        <w:t xml:space="preserve"> That being said, all people living on Turtle Island have been drastically impacted by the concerted effort of the colonial elite to sever people from place-based relationships and knowledges. </w:t>
      </w:r>
      <w:r w:rsidRPr="00087A72">
        <w:rPr>
          <w:rStyle w:val="Emphasis"/>
        </w:rPr>
        <w:t>The primary purpose of this disconnection of people from land-based spirituality according to Federici (2004) is to legitimize capitalist social relations based on the control nature. The capitalist mode of production “must refuse the unpredictability implicit in the practice of magic [and we can infer other land-based spiritual practices], and the possibility of establishing a privileged relation with the natural elements, as well as the belief in the existence of powers available only to particular individuals, and thus not easily generalized and exploitable</w:t>
      </w:r>
      <w:r w:rsidRPr="00087A72">
        <w:rPr>
          <w:sz w:val="16"/>
        </w:rPr>
        <w:t xml:space="preserve">” (174). </w:t>
      </w:r>
      <w:r w:rsidRPr="00087A72">
        <w:rPr>
          <w:rStyle w:val="Emphasis"/>
        </w:rPr>
        <w:t>By severing people from land-based spiritual practices and their belief in the cosmic energies of the divine and magical, capitalism seeks to produce a distinction between humans and the land. It also structures society in a way in which only the hierarchical knowledges derived through the process of capitalist accumulation are given credence and power in society</w:t>
      </w:r>
      <w:r w:rsidRPr="00087A72">
        <w:rPr>
          <w:sz w:val="16"/>
        </w:rPr>
        <w:t xml:space="preserve">. Through this interpretation of history, we can understand better how </w:t>
      </w:r>
      <w:r w:rsidRPr="00087A72">
        <w:rPr>
          <w:rStyle w:val="Emphasis"/>
        </w:rPr>
        <w:t>the reclamation of place-based spiritualities can be seen as a revolutionary act. The desire to reclaim land-based spiritualities as part of radical struggle was an oft-discussed topic within my interviews although the pathways towards this reclamation diverged and differed significantly based on one’s positionality and relative dislocation from land-based spiritual practices</w:t>
      </w:r>
      <w:r w:rsidRPr="00087A72">
        <w:rPr>
          <w:sz w:val="16"/>
        </w:rPr>
        <w:t>. Sharrae Lyon, a Black artist and organizer based in Ottawa, talked about how her engagement in radical struggles heightened her desire to reconnect with long-standing spiritual traditions practiced among her ancestors. She explains: I guess this experience of spirituality is something that is pushing me in the process of decolonization. It is the idea that at one point in my ancestry Indigenous knowledge was practiced. Connections to the land were very much integral ways in which people related to each other and related to everything in this earth – on Mother Earth. Having that knowledge and learning that knowledge is always there and is within me and in the energies that are around us...I think that’s what gives me hope, because I’ve been disconnected. Others, such as Leah Henderson, a white settler anti-colonial activist based in Toronto, pointed to the ways that land-based spiritual traditions have been passed down to them (often clandestinely) over generations. For Leah, this land-based spirituality comes out of the witch tradition that her family and ancestors have practiced for many generations. Leah recounts how this tradition informs her political practices: I was raised as a witch, and the tradition that my family practices is innately anarchist, it’s part of its value system, it’s not hierarchal, and it’s also deliberately and intentionally political. Even the idea behind the tradition’s name, “Reclaiming”, it’s like reclaiming the earth, reclaiming the land, reclaiming the air, reclaiming our communities. So definitely that was part of [cultivating] a value-system that recognizes greed and capitalism and colonialism as these forces that were creating destruction and injustice and that we had a responsibility to alter and resist. Others activists were engaged in more exploratory stages of learning about land-based spirituality by reading histories about the witch hunts, the banning of potlatches, and African ceremonies in slave societies. A number of these organizers have gravitated towards engaging in workshops and trainings to help in that process, including somatics programs, mindfulness workshops, yoga practice, and the exploration of religious traditions rooted in their family’s ancestry. Alon Weinberg, a long time activist with connections to the people of Grassy Narrows, for instance, discussed his experiences at a spiritual retreat focused on eco-feminist and land-based Judaism in Manitoba. Reflecting on the lessons that he learned from this retreat, Alon articulates: [L]earning what it means to practice these symbolic traditions that are a couple thousand years old that are transplanted from the Middle East in a way that actually is grounded in the presence of being here [was a really important component of the retreat]. That means acknowledging who’s land you’re on, getting to know some of the people who are of that background, working with them, sharing with them, trying to share some of your culture with them as well. Alon focuses on the importance of sharing in discussing how he interprets decolonizing spiritual traditions, but is cautious about the move toward appropriation. While many activists grapple with what it means to incorporate place-based spirituality into their political praxis, there is a heightened awareness of the risks associated with appropriation and the erasure of the long history of settler colonial violence on these territories. As discussed in the previous chapter, there is an inherent risk associated with non-Indigenous people seeking to decolonize by learning Indigenous place-based spiritual beliefs and ignoring the fact that Indigenous spiritual oppression is based primarily on the seizure of Indigenous lands (Mignolo 2011</w:t>
      </w:r>
      <w:r w:rsidRPr="00087A72">
        <w:rPr>
          <w:rStyle w:val="Emphasis"/>
        </w:rPr>
        <w:t>). Spirituality is not simply something that comes with learning specific protocols or participating in Indigenous ceremonies, but is instead a way of living in good relations with the land and other beings</w:t>
      </w:r>
      <w:r w:rsidRPr="00087A72">
        <w:rPr>
          <w:sz w:val="16"/>
        </w:rPr>
        <w:t xml:space="preserve"> (Sheridan and Longboat 2006). As anti-colonial scholar Walter Mignolo (2011) stipulates, </w:t>
      </w:r>
      <w:r w:rsidRPr="00087A72">
        <w:rPr>
          <w:rStyle w:val="Emphasis"/>
        </w:rPr>
        <w:t>“It is a road to re-existence delinking from the beliefs that modernity and development are the only way to the future” (64). In this sense, there is a sharp critique among anti-authoritarian activists for non-Indigenous people who seek to appropriate, adapt, or claim Indigenous spiritualities</w:t>
      </w:r>
      <w:r w:rsidRPr="00087A72">
        <w:rPr>
          <w:sz w:val="16"/>
        </w:rPr>
        <w:t>. Annie Morgan Banks, an anti-colonial organizer based in Lekwungen and WSÁNEĆ territories, discussed the article “Understanding Colonizer Status” by Dakota activist and scholar Waziyatawin as an important piece that helped her to think through her own place in the process of decolonization as a white settler. Annie explains: [Waziyatawin] thinks that there’s a place for colonizers in struggle, but there’s a few things that we need to do in order to be someone she would consider working with, and one thing is having a very strong grounded sense of our own spirituality so we’re not going to grab or start taking on Indigenous spirituality to fill this [spiritual] vacuum within us. Numerous examples of this appropriation are prevalent within and on the periphery of the anti-authoritarian current. These include the proliferation of new age spiritualities, the appropriation of Eastern, African or Indigenous spiritualities by white people, and the attempts to uncritically apply Celtic and pagan land-based practices on occupied Indigenous territories. Dixie Pauline, a white settler herbalist based in Berkeley, explains, “I feel a lot of times, as white folks, we often feel a spiritual lack or guilt, and so that’s what causes a lot of people to try to take Native spirituality and that results in cultural theft.” Given these tendencies, there has been a longstanding hesitation to engage in any spiritual processes at all. Instead, anti-authoritarian activists seeking to support Indigenous decolonial struggles have done so through a strictly materialist politics</w:t>
      </w:r>
      <w:r w:rsidRPr="00087A72">
        <w:rPr>
          <w:rStyle w:val="Emphasis"/>
        </w:rPr>
        <w:t>. The division of the material and spiritual within some sections of the anti- authoritarian current, however, has resulted in what some Indigenous peoples see as a deep spiritual gap in settler and non-Indigenous people political organizing</w:t>
      </w:r>
      <w:r w:rsidRPr="00087A72">
        <w:rPr>
          <w:sz w:val="16"/>
        </w:rPr>
        <w:t xml:space="preserve"> (see Sheridan and Longboat 2006; Amadahy 2013). For instance, Jody Dodd, a white settler activist based in Philadelphia, told me a story about how her friend Lakota Harden, an Oglala activist, addressed a crowd of young radicals during an anti-police state rally at the Republican National Convention in 2000. Jody recounts: Lakota got up to the mic and said, ‘I’m so sorry for what the police did to you. But, I can’t support your movement because you don’t pray. I can’t be a part of a movement that doesn’t pray as part of their work.’ She said it in the most sincere and heartfelt, not like a condescending, way. There was great kindness in her voice, but it was pretty damn deep to just have someone say that you don’t have a spiritual component to the work that you are doing. </w:t>
      </w:r>
      <w:r w:rsidRPr="00087A72">
        <w:rPr>
          <w:rStyle w:val="Emphasis"/>
        </w:rPr>
        <w:t>Through this story Jody attempts to explain how the spiritual dearth within non- Indigenous radical communities can often cause disconnects when trying to work in solidarity with Indigenous peoples.</w:t>
      </w:r>
      <w:r w:rsidRPr="00087A72">
        <w:rPr>
          <w:sz w:val="16"/>
        </w:rPr>
        <w:t xml:space="preserve"> She suggests that </w:t>
      </w:r>
      <w:r w:rsidRPr="00087A72">
        <w:rPr>
          <w:rStyle w:val="Emphasis"/>
        </w:rPr>
        <w:t>we need to find a way to break the artificial divide between the spiritual and the material in order to be better able to understand, relate, and develop longstanding relationships of solidarity and reciprocity with Indigenous decolonization</w:t>
      </w:r>
      <w:r w:rsidRPr="00087A72">
        <w:rPr>
          <w:sz w:val="16"/>
        </w:rPr>
        <w:t xml:space="preserve">. So how do organizers engage with the spiritual without being appropriative or maintaining a colonialist understanding of the radical imagination? </w:t>
      </w:r>
      <w:r w:rsidRPr="00087A72">
        <w:rPr>
          <w:rStyle w:val="Emphasis"/>
        </w:rPr>
        <w:t>One of the ways that activist within the anti-authoritarian current are trying to engage with the spiritual is through an understanding and respect for the protocols of relating to the land and territories being shared with them by Indigenous peoples</w:t>
      </w:r>
      <w:r w:rsidRPr="00087A72">
        <w:rPr>
          <w:sz w:val="16"/>
        </w:rPr>
        <w:t>. These protocols can differ significantly based on the nation on whose territories you live and also among Indigenous peoples within a specific nation, however, the care and respect that comes from being attuned to those teachings is an important starting point in developing a better understanding of the land-based relationships that govern the territories on which you live. As Sheridan and Longboat (2006) assert, “</w:t>
      </w:r>
      <w:r w:rsidRPr="00087A72">
        <w:rPr>
          <w:rStyle w:val="Emphasis"/>
        </w:rPr>
        <w:t>The real failure to understand North America is a failure of wanting to understand the continent and the protocols of her Indigenous Peoples. It is a fear against wanting to understand and experience the experience of the past and so is also a failure to know and to trust in the Beginning.</w:t>
      </w:r>
      <w:r w:rsidRPr="00087A72">
        <w:rPr>
          <w:sz w:val="16"/>
        </w:rPr>
        <w:t xml:space="preserve">” (371). Understanding and respecting protocols is particularly important given that, as Demelza Champagne, an Anishinaabe organizer with the Anarchist People of Color movement in New York City, explains, </w:t>
      </w:r>
      <w:r w:rsidRPr="00087A72">
        <w:rPr>
          <w:rStyle w:val="Emphasis"/>
        </w:rPr>
        <w:t>“we don’t want to forget about cultural revitalization and ideas or spirituality and all of that, but all of that is connected to the land.” By observing and respecting the ways in which Indigenous peoples engage in relationships with the land, non-Indigenous people can begin the process of recognizing the sacred power of the treaty agreements that govern our relations with Indigenous peoples and the territories on which we live</w:t>
      </w:r>
      <w:r w:rsidRPr="00087A72">
        <w:rPr>
          <w:sz w:val="16"/>
        </w:rPr>
        <w:t xml:space="preserve"> (Dunbar-Ortiz 2014). A second way anti-authoritarian organizers are seeking to re-engage with place- based spiritualities in our movements is </w:t>
      </w:r>
      <w:r w:rsidRPr="00087A72">
        <w:rPr>
          <w:rStyle w:val="Emphasis"/>
        </w:rPr>
        <w:t>through the recognition that while it is important to learn from ancestral spiritual practices, we have a responsibility to re-imagine what a contemporary spirituality looks like given the long-standing traumas and histories that have transformed our relationships with each other, the land, and Indigenous people</w:t>
      </w:r>
      <w:r w:rsidRPr="00087A72">
        <w:rPr>
          <w:sz w:val="16"/>
        </w:rPr>
        <w:t xml:space="preserve">s. Annie Morgan Banks, a white settler activist based on the west coast, explains that </w:t>
      </w:r>
      <w:r w:rsidRPr="00087A72">
        <w:rPr>
          <w:rStyle w:val="Emphasis"/>
        </w:rPr>
        <w:t>this sometimes means forging new models that have yet to exist</w:t>
      </w:r>
      <w:r w:rsidRPr="00087A72">
        <w:rPr>
          <w:sz w:val="16"/>
        </w:rPr>
        <w:t xml:space="preserve">. Annie explains: I’m having more conversations with people about, like, an anti-colonial social justice-based, value-based spirituality for folks within radical communities who maybe don’t have that. For sure some people have that, maybe from their families but for all the folks who don’t, having something that will build up our own strength to do the work that needs to be done and to also show up fully in relationship to the other groups that we are working with or folks who have that grounded spirituality or have a way of understanding the world that doesn’t invest in white supremacy is so important. Guided by place-based knowledges, these spiritualities emerge not simply in what we perceive to be “religious practices,” but also within music, art, sport, and other forms of interaction that resist the bounds of modernity, capitalism, and settler colonialism (Mignolo 2011; Fortier 2015). They are also found in the process of struggle. </w:t>
      </w:r>
      <w:r w:rsidRPr="00087A72">
        <w:rPr>
          <w:rStyle w:val="Emphasis"/>
        </w:rPr>
        <w:t>These moments of struggle are where the radical imagination is deeply connected and bound by the reciprocal relationships we are all responsible for when living on these territories.</w:t>
      </w:r>
      <w:r w:rsidRPr="00087A72">
        <w:rPr>
          <w:sz w:val="16"/>
        </w:rPr>
        <w:t xml:space="preserve"> Robin D.G. Kelley (2002) explains that </w:t>
      </w:r>
      <w:r w:rsidRPr="00087A72">
        <w:rPr>
          <w:rStyle w:val="Emphasis"/>
        </w:rPr>
        <w:t xml:space="preserve">if we do not foster our ability to imagine and develop deep relationships of reciprocity, “all the protests in the world won’t bring about our liberation” </w:t>
      </w:r>
      <w:r w:rsidRPr="00087A72">
        <w:rPr>
          <w:sz w:val="16"/>
        </w:rPr>
        <w:t xml:space="preserve">(198). Thus, </w:t>
      </w:r>
      <w:r w:rsidRPr="00087A72">
        <w:rPr>
          <w:rStyle w:val="Emphasis"/>
        </w:rPr>
        <w:t xml:space="preserve">understanding material struggle as part of a web of relationality is a critical component of the process of unsettling for non-Indigenous people and helps to foster our ability to support and participate in Indigenous-led processes of decolonization. </w:t>
      </w:r>
    </w:p>
    <w:p w:rsidR="00540BEA" w:rsidRPr="00087A72" w:rsidRDefault="00540BEA" w:rsidP="00D005A2">
      <w:pPr>
        <w:pStyle w:val="Heading3"/>
      </w:pPr>
      <w:r w:rsidRPr="00087A72">
        <w:t>Impact – Ante-Ontology</w:t>
      </w:r>
    </w:p>
    <w:p w:rsidR="00540BEA" w:rsidRPr="00087A72" w:rsidRDefault="00540BEA" w:rsidP="00540BEA">
      <w:pPr>
        <w:pStyle w:val="Heading4"/>
      </w:pPr>
      <w:r w:rsidRPr="00087A72">
        <w:t>Nativeness constitutes an ante-ontology which forms the ontological basis for a taxonomized humanity. Excised outside of law, into the wild, the Native-as-Savage constitutes the primordial Other which threatens the Human’s demand for temporality.</w:t>
      </w:r>
    </w:p>
    <w:p w:rsidR="00540BEA" w:rsidRPr="00087A72" w:rsidRDefault="00540BEA" w:rsidP="00540BEA">
      <w:r w:rsidRPr="00087A72">
        <w:rPr>
          <w:rStyle w:val="Style13ptBold"/>
        </w:rPr>
        <w:t>Belcourt 16</w:t>
      </w:r>
      <w:r w:rsidRPr="00087A72">
        <w:t xml:space="preserve"> (Billy Ray, 2016 Rhodes Scholar, Winner of the Griffin Prize for Poetry, and Doctoral Student at the University of Alberta “A Poltergeist Manifesto” </w:t>
      </w:r>
      <w:r w:rsidRPr="00087A72">
        <w:rPr>
          <w:i/>
        </w:rPr>
        <w:t xml:space="preserve">Feral Feminism </w:t>
      </w:r>
      <w:r w:rsidRPr="00087A72">
        <w:t>6, 22-24) NIJ</w:t>
      </w:r>
    </w:p>
    <w:p w:rsidR="00540BEA" w:rsidRPr="00087A72" w:rsidRDefault="00540BEA" w:rsidP="00540BEA">
      <w:pPr>
        <w:rPr>
          <w:sz w:val="12"/>
        </w:rPr>
      </w:pPr>
      <w:r w:rsidRPr="00087A72">
        <w:rPr>
          <w:sz w:val="12"/>
        </w:rPr>
        <w:t xml:space="preserve">Introduction: Savage Pasts I wasn’t created to be a lonesome turtle crawling around by myself (though none of these turtles are worth beach-combing) - Gregory Scofield, “I Used To Be Sacred (On Turtle Island)” (1996, 63) </w:t>
      </w:r>
      <w:r w:rsidRPr="00087A72">
        <w:rPr>
          <w:rStyle w:val="StyleUnderline"/>
        </w:rPr>
        <w:t>This paper attempts to build “an ironic political myth”</w:t>
      </w:r>
      <w:r w:rsidRPr="00087A72">
        <w:rPr>
          <w:sz w:val="12"/>
        </w:rPr>
        <w:t xml:space="preserve"> (Haraway 1991, 149) </w:t>
      </w:r>
      <w:r w:rsidRPr="00087A72">
        <w:rPr>
          <w:rStyle w:val="StyleUnderline"/>
        </w:rPr>
        <w:t>faithful to decolonization by dreaming up worlds that can bear all of us, worlds that slip-slide into others without disavowing their hybrid alterities. Decolonization is a politics of the future perfect, one that thinks in a vernacular of the what-will-have-happened. It is a teleology of the elsewhere, gestating an attachment to an otherwise that might hold out for more radical genres of living, ones that do not resort to violence to survive the present. Decolonization experiments with more capacious desires that do not dispose of or eliminate some bodies to throw the good life into sharp relief. It conjures an ethos that stalls the governmental work of extracting indigeneity from the political. In the melodrama of decolonization, indigeneity reminds us that this world is both too much and not enough. The world is not for us, but we need it to get to a future that is not constituted through uneven forms of collective suffering</w:t>
      </w:r>
      <w:r w:rsidRPr="00087A72">
        <w:rPr>
          <w:sz w:val="12"/>
        </w:rPr>
        <w:t xml:space="preserve"> (Muñoz 2009, 1). </w:t>
      </w:r>
      <w:r w:rsidRPr="00087A72">
        <w:rPr>
          <w:rStyle w:val="StyleUnderline"/>
        </w:rPr>
        <w:t>This paper speculates about decolonization as a kind of feral-becoming and it turns to a wild and unruly form of politics that might give way to life-forms trying to make a break for it. In a word: we might have to become feral in order to become something else</w:t>
      </w:r>
      <w:r w:rsidRPr="00087A72">
        <w:rPr>
          <w:sz w:val="12"/>
        </w:rPr>
        <w:t xml:space="preserve">. At the centre of this myth, this prehistory, is the figure of the poltergeist: a queer and wayward crawler searching for other turtles that might be worth beach-combing (see Haraway 1991, 149; Scofield 1996, 63). </w:t>
      </w:r>
      <w:r w:rsidRPr="00087A72">
        <w:rPr>
          <w:rStyle w:val="StyleUnderline"/>
        </w:rPr>
        <w:t>Admittedly, the feral is a precarious space from which to theorize, sullied with an injurability bound up in the work of liberal humanism as such, an enterprise that weaponizes a set of moral barometers to distribute ferality unevenly to differently citizened and raced bodies—ones that are too close for comfort and must be pushed outside arm’s reach. Perhaps ferality traverses a semantic line of flight commensurate with that of savagery, barbarism, and lawlessness, concreting into one history of elimination: that is, a history of eliminating recalcitrant indigeneities incompatible within a supposedly hygienic social. The word savage comes from the Latin salvaticus, an alteration of silvaticus, meaning “wild,” literally “of the woods.” Of persons, it means “reckless, ungovernable”</w:t>
      </w:r>
      <w:r w:rsidRPr="00087A72">
        <w:rPr>
          <w:sz w:val="12"/>
        </w:rPr>
        <w:t xml:space="preserve"> (“Savage”). </w:t>
      </w:r>
      <w:r w:rsidRPr="00087A72">
        <w:rPr>
          <w:rStyle w:val="StyleUnderline"/>
        </w:rPr>
        <w:t>In the space-time of settler states, savagery temporarily stands in for those subjectivities tethered to a supposedly waning form of indigeneity, one that came from the woods and, because of this, had to be jettisoned from or assimilated into the national body.</w:t>
      </w:r>
      <w:r w:rsidRPr="00087A72">
        <w:rPr>
          <w:sz w:val="12"/>
        </w:rPr>
        <w:t xml:space="preserve"> Here is Audra Simpson on the history of Indian “lawlessness”: Its genealogy extends back to the earliest moments of recorded encounter, when </w:t>
      </w:r>
      <w:r w:rsidRPr="00087A72">
        <w:rPr>
          <w:rStyle w:val="StyleUnderline"/>
        </w:rPr>
        <w:t>Indians appeared to have no law, to be without order, and thus, to be in the colonizer’s most generous articulation of differentiation, in need of the trappings of civilization. “Law” may be one instrument of civilization, as a regulating technique of power that develops through the work upon a political body and a territory.</w:t>
      </w:r>
      <w:r w:rsidRPr="00087A72">
        <w:rPr>
          <w:sz w:val="12"/>
        </w:rPr>
        <w:t xml:space="preserve"> (2014, 144) According to Simpson, </w:t>
      </w:r>
      <w:r w:rsidRPr="00087A72">
        <w:rPr>
          <w:rStyle w:val="StyleUnderline"/>
        </w:rPr>
        <w:t>the recognition of Indigenous peoples as lawless rendered them governable, motivating the settler state</w:t>
      </w:r>
      <w:r w:rsidRPr="00087A72">
        <w:rPr>
          <w:sz w:val="12"/>
        </w:rPr>
        <w:t xml:space="preserve"> (here, Canada) </w:t>
      </w:r>
      <w:r w:rsidRPr="00087A72">
        <w:rPr>
          <w:rStyle w:val="StyleUnderline"/>
        </w:rPr>
        <w:t>to curate and thus contain atrophied indigeneities—and, consequently, their sovereignties, lands, and politics—within the borders of federal law</w:t>
      </w:r>
      <w:r w:rsidRPr="00087A72">
        <w:rPr>
          <w:sz w:val="12"/>
        </w:rPr>
        <w:t xml:space="preserve"> (2014, 144-45). Similarly, in The Transit of Empire Jodi </w:t>
      </w:r>
      <w:r w:rsidRPr="00087A72">
        <w:rPr>
          <w:rStyle w:val="StyleUnderline"/>
        </w:rPr>
        <w:t>Byrd traces the epistemological gimmicks through which the concept of “Indianness” came to align with “the savage other”</w:t>
      </w:r>
      <w:r w:rsidRPr="00087A72">
        <w:rPr>
          <w:sz w:val="12"/>
        </w:rPr>
        <w:t xml:space="preserve"> (2011, 27). For her, </w:t>
      </w:r>
      <w:r w:rsidRPr="00087A72">
        <w:rPr>
          <w:rStyle w:val="StyleUnderline"/>
        </w:rPr>
        <w:t>this alignment provided the “rationale for imperial domination” and continues to stalk philosophy’s patterns of thinking</w:t>
      </w:r>
      <w:r w:rsidRPr="00087A72">
        <w:rPr>
          <w:sz w:val="12"/>
        </w:rPr>
        <w:t xml:space="preserve"> (ibid.). </w:t>
      </w:r>
      <w:r w:rsidRPr="00087A72">
        <w:rPr>
          <w:rStyle w:val="StyleUnderline"/>
        </w:rPr>
        <w:t>Simpson, writing about the Mohawks of Kahnawake, argues that “a fear of lawlessness” continues to haunt the colonial imaginary, thereby diminishing “Indigenous rights to trade and to act as sovereigns in their own territories”</w:t>
      </w:r>
      <w:r w:rsidRPr="00087A72">
        <w:rPr>
          <w:sz w:val="12"/>
        </w:rPr>
        <w:t xml:space="preserve"> (2014, 145). We might take the following lyrics from the popular Disney film Pocahontas as an example of the ways indigeneity circulates as a feral signifier in colonial economies of meaning-making: [Ratcliffe] What can you expect From filthy little heathens? Their whole disgusting race is like a curse Their skin's a hellish red They’re only good when dead They’re vermin, as I said And worse [English settlers] They’re savages! Savages! Barely even human. (Gabriel and Goldberg 1995) </w:t>
      </w:r>
      <w:r w:rsidRPr="00087A72">
        <w:rPr>
          <w:rStyle w:val="Emphasis"/>
        </w:rPr>
        <w:t xml:space="preserve">Savagery connotes a state of non-ontology: Indigenous peoples are forced to cling to a barely extant humanity and coterminously collapse into a putatively wretched form of animality. </w:t>
      </w:r>
      <w:r w:rsidRPr="00087A72">
        <w:rPr>
          <w:rStyle w:val="StyleUnderline"/>
        </w:rPr>
        <w:t>Savagery is lethal, and its Indian becomes the prehistoric alibi through which the human is constituted as such. Indigenous peoples have therefore labored to explain away this savagery, reifying whitened rubrics for proper citizenship and crafting a genre of life tangible within the scenes of living through that are constitutive of settler colonialism as such. These scenes</w:t>
      </w:r>
      <w:r w:rsidRPr="00087A72">
        <w:rPr>
          <w:sz w:val="12"/>
        </w:rPr>
        <w:t xml:space="preserve">, however, </w:t>
      </w:r>
      <w:r w:rsidRPr="00087A72">
        <w:rPr>
          <w:rStyle w:val="StyleUnderline"/>
        </w:rPr>
        <w:t xml:space="preserve">are dead set on destroying the remnants of that savagery, converting their casualties into morally compatible subjects deserving of rights and life in a multicultural state that stokes the liberal fantasy of life after racial trauma at the expense of decolonial flourishing itself. </w:t>
      </w:r>
      <w:r w:rsidRPr="00087A72">
        <w:rPr>
          <w:sz w:val="12"/>
        </w:rPr>
        <w:t xml:space="preserve">This paper is therefore interested in the subjectivities and forms of sociality that savagery destroys when applied from without, and the political work of appropriating that savagery in the name of decolonization. </w:t>
      </w:r>
      <w:r w:rsidRPr="00087A72">
        <w:rPr>
          <w:rStyle w:val="Emphasis"/>
        </w:rPr>
        <w:t>Ours is a form of indigeneity that hints at a fundamental pollutability that both confirms and threatens forms of ontology tethered to a taxonomized humanity built in that foundational episode of subjection of which Simpson speaks.</w:t>
      </w:r>
      <w:r w:rsidRPr="00087A72">
        <w:rPr>
          <w:sz w:val="12"/>
        </w:rPr>
        <w:t xml:space="preserve"> </w:t>
      </w:r>
      <w:r w:rsidRPr="00087A72">
        <w:rPr>
          <w:rStyle w:val="StyleUnderline"/>
        </w:rPr>
        <w:t>I am suggesting that savagery always-already references an otherworld of sorts: there are forms of life abandoned outside modernity’s episteme whose expressivities surge with affects anomalous within the topography of settler colonialism.</w:t>
      </w:r>
      <w:r w:rsidRPr="00087A72">
        <w:rPr>
          <w:sz w:val="12"/>
        </w:rPr>
        <w:t xml:space="preserve"> This paper is not a historicist or nostalgic attachment to a pre-savage indigeneity resurrected from a past somehow unscathed by the violence that left us in the thick of things in the first place. Instead, </w:t>
      </w:r>
      <w:r w:rsidRPr="00087A72">
        <w:rPr>
          <w:rStyle w:val="StyleUnderline"/>
        </w:rPr>
        <w:t xml:space="preserve">I emphasize the potentiality of ferality as a politics in a world bent on our destruction—a world that eliminates indigeneities too radical to collapse into a collective sensorium, training us to a live in an ordinary that the settler state needs to persist as such, one that only some will survive. This world incentivizes our collusion with a multicultural state instantiated through a myth of belonging that actively disavows difference in the name of that very difference. We are repeatedly hurried into a kind of waning sociality, the content and form of which appear both too familiar and not familiar enough. In short, we are habitually left scavenging for ways to go on without knowing what it is we want. </w:t>
      </w:r>
      <w:r w:rsidRPr="00087A72">
        <w:rPr>
          <w:sz w:val="12"/>
        </w:rPr>
        <w:t xml:space="preserve">Let’s consider Jack Halberstam’s thoughts on “the wild”: It is a tricky word to use but it is a concept that we cannot live without if we are to combat the conventional modes of rule that have synced social norms to economic practices and have created a world order where every form of disturbance is quickly folded back into quiet, where every ripple is quickly smoothed over, where every instance of eruption has been tamped down and turned into new evidence of the rightness of the status quo. (2013, 126) </w:t>
      </w:r>
      <w:r w:rsidRPr="00087A72">
        <w:rPr>
          <w:rStyle w:val="StyleUnderline"/>
        </w:rPr>
        <w:t>Where Halberstam finds disturbance, I find indigeneity-cum-disturbance par excellence. Halberstam’s “wild” evokes a potentiality laboured in the here and now and “an alternative to how we want to think about being” in and outside an authoritarian state</w:t>
      </w:r>
      <w:r w:rsidRPr="00087A72">
        <w:rPr>
          <w:sz w:val="12"/>
        </w:rPr>
        <w:t xml:space="preserve"> (2013, 126-27). </w:t>
      </w:r>
      <w:r w:rsidRPr="00087A72">
        <w:rPr>
          <w:rStyle w:val="StyleUnderline"/>
        </w:rPr>
        <w:t>Perhaps the wild risks the decolonial, a geography of life-building that dreams up tomorrows whose referents are the fractured indigeneities struggling to survive a historical present built on our suffering. Ferality is a stepping stone to a future grounded in Indigenous peoples’ legal and political orders. This paper does not traffic in teleologies of the anarchic or lawless as they emerge in Western thought; instead, it refuses settler sovereignty and calls for forms of collective Indigenous life that are attuned to queerness’s wretched histories and future-making potentialities. Indigeneity is an ante-ontology of sorts: it is prior to and therefore disruptive of ontology. Indigeneity makes manifest residues or pockets of times, worlds, and subjectivities that warp both common sense and philosophy into falsities that fall short of completely explaining what is going on. Indigenous life is truncated in the biopolitical category of Savage in order to make our attachments to ourselves assimilable inside settler colonialism’s national sensorium. Settler colonialism purges excessive forms of indigeneity that trouble its rubrics for sensing out the human and the nonhuman.</w:t>
      </w:r>
      <w:r w:rsidRPr="00087A72">
        <w:rPr>
          <w:sz w:val="12"/>
        </w:rPr>
        <w:t xml:space="preserve"> In other words, </w:t>
      </w:r>
      <w:r w:rsidRPr="00087A72">
        <w:rPr>
          <w:rStyle w:val="StyleUnderline"/>
        </w:rPr>
        <w:t>settler colonialism works up modes of being-in-the-world that narrate themselves as the only options we have. What would it mean, then, to persist in the space of savagery, exhausting the present and holding out for futures that are not obsessed with the proper boundary between human and nonhuman life?</w:t>
      </w:r>
      <w:r w:rsidRPr="00087A72">
        <w:rPr>
          <w:sz w:val="12"/>
        </w:rPr>
        <w:t xml:space="preserve"> This paper now turns to the present, asking: what happens when indigeneity collides with queerness inside the reserve, and how might a feral theory make sense of that collision?</w:t>
      </w:r>
    </w:p>
    <w:p w:rsidR="0021729E" w:rsidRPr="00087A72" w:rsidRDefault="0021729E" w:rsidP="00D005A2">
      <w:pPr>
        <w:pStyle w:val="Heading3"/>
      </w:pPr>
      <w:r w:rsidRPr="00087A72">
        <w:t>Impact – Antiblackness</w:t>
      </w:r>
    </w:p>
    <w:p w:rsidR="0021729E" w:rsidRPr="00087A72" w:rsidRDefault="0021729E" w:rsidP="0021729E">
      <w:pPr>
        <w:pStyle w:val="Heading4"/>
      </w:pPr>
      <w:r w:rsidRPr="00087A72">
        <w:t>Settler Colonialism erases the culture and identity of black bodies. Settler Colonialism is the justification that people use to force black bodies to be compliant, “essential republican citizen”. Without first getting rid of settler colonialism, black bodies will never be completely free</w:t>
      </w:r>
    </w:p>
    <w:p w:rsidR="0021729E" w:rsidRPr="00087A72" w:rsidRDefault="0021729E" w:rsidP="0021729E">
      <w:r w:rsidRPr="00087A72">
        <w:rPr>
          <w:rStyle w:val="Style13ptBold"/>
        </w:rPr>
        <w:t>Asaka 17</w:t>
      </w:r>
      <w:r w:rsidRPr="00087A72">
        <w:t>—(Ikuko, PhD from UWMadison for Gender and Women’s History, “Tropical Freedom : Climate, Settler Colonialism, and Black Exclusion in the Age of Emancipation”, pp 120-124)</w:t>
      </w:r>
    </w:p>
    <w:p w:rsidR="0021729E" w:rsidRPr="00087A72" w:rsidRDefault="0021729E" w:rsidP="0021729E">
      <w:r w:rsidRPr="00087A72">
        <w:rPr>
          <w:sz w:val="16"/>
        </w:rPr>
        <w:t xml:space="preserve">Such a vision went beyond the private to the entire refugee population. Ward advocated the promotion of black settlerhood in his capacity as a traveling agent for the Anti- Slavery Society of Canada and by writing opinion pieces in black Canadian newspapers. </w:t>
      </w:r>
      <w:r w:rsidRPr="00087A72">
        <w:rPr>
          <w:u w:val="single"/>
        </w:rPr>
        <w:t>As the founding editor of the Provincial Freeman,31 Ward waged his early campaign to elevate former- slave mi grants to the status of landowning settlers: “The refugees from southern plantations shall be made welcome and pointed to means and mea sures for such improvement and development, as shall make them in de pen dent, self- sustaining laborers, justifying the impartial freedom they here enjoy, and contributing by their energy and industry, to the wealth of their adopted country</w:t>
      </w:r>
      <w:r w:rsidRPr="00087A72">
        <w:rPr>
          <w:sz w:val="16"/>
        </w:rPr>
        <w:t xml:space="preserve">.”32 Conscious of the per sis tent antiblack sentiment, Ward also retroactively attacked the 1849 Western District Council petition, condemning it as </w:t>
      </w:r>
      <w:r w:rsidRPr="00087A72">
        <w:rPr>
          <w:u w:val="single"/>
        </w:rPr>
        <w:t>an insult to “equal fellow subjects” and a barrier to their rights to “buy and settle upon lands, as have Irishmen, or Scotchmen, or such men as Mr. Larwill, and his fellow petitioners.”33 In placing black refugees in Canadian settler society, Ward refigured the unfavorable repre sen ta tions of fugitive escape by appropriating from U.S. abolitionist lit er a ture the motif of the courageous male fugitive slave.</w:t>
      </w:r>
      <w:r w:rsidRPr="00087A72">
        <w:rPr>
          <w:sz w:val="16"/>
        </w:rPr>
        <w:t xml:space="preserve"> Beginning in the 1840s fugitive slave narratives enjoyed an extensive circulation throughout the U.S. North as a result of the rapid development of or ga nized abolitionism in the region. Fugitive slave narratives, both oral and written, flourished as the northern abolition movement expanded its reach to the general public, especially through the increased production of antislavery newspapers and publications and the expansion of lecture cir cuits. </w:t>
      </w:r>
      <w:r w:rsidRPr="00087A72">
        <w:rPr>
          <w:u w:val="single"/>
        </w:rPr>
        <w:t>Fugitive slaves’ narration of their days in bondage was expected to lend authenticity to the movement’s goal of immediate emancipation</w:t>
      </w:r>
      <w:r w:rsidRPr="00087A72">
        <w:rPr>
          <w:sz w:val="16"/>
        </w:rPr>
        <w:t>.34 Especially for formerly enslaved abolitionists</w:t>
      </w:r>
      <w:r w:rsidRPr="00087A72">
        <w:rPr>
          <w:u w:val="single"/>
        </w:rPr>
        <w:t>, images of escaping slaves were effective discursive tools for refuting racist propaganda that slaves were content under slavery and lacked the capacities necessary for citizenship. Racialized notions of freedom and citizenship defined black men as lacking the characteristics essential to a male American republican citizen— in depen dence, rationality, courage, patriarchal authority, and love of liberty</w:t>
      </w:r>
      <w:r w:rsidRPr="00087A72">
        <w:rPr>
          <w:sz w:val="16"/>
        </w:rPr>
        <w:t>. To counter such definitions, former- slave authors articulated traits of masculine Americanness through the narration of a slave’s movement from slavery to freedom. In these stories, a male fugitive slave demonstrated resourcefulness and audacity by overcoming dangers during his escape</w:t>
      </w:r>
      <w:r w:rsidRPr="00087A72">
        <w:rPr>
          <w:u w:val="single"/>
        </w:rPr>
        <w:t>. At the core of these formulations was a nineteenth- century popu lar discourse that grafted manhood and national identity onto an ability to surmount obstacles while on a journey</w:t>
      </w:r>
      <w:r w:rsidRPr="00087A72">
        <w:rPr>
          <w:sz w:val="16"/>
        </w:rPr>
        <w:t>. According to the historian Bruce Dorsey, during the mid- nineteenth century, traveling in the face of difficulties came to be associated with manliness, Americanness, and whiteness.35 Fugitive writers deployed this racialized and gendered myth in their effort to construct a masculine American identity for male slaves.</w:t>
      </w:r>
      <w:r w:rsidRPr="00087A72">
        <w:rPr>
          <w:u w:val="single"/>
        </w:rPr>
        <w:t>36 The appropriation of “the dominant cultural code of manly power and dignity”</w:t>
      </w:r>
      <w:r w:rsidRPr="00087A72">
        <w:rPr>
          <w:sz w:val="16"/>
        </w:rPr>
        <w:t xml:space="preserve"> enabled Frederick Douglass and others to depict themselves and their enslaved brothers as equipped with the capacities of a true American man.37 In this way, </w:t>
      </w:r>
      <w:r w:rsidRPr="00087A72">
        <w:rPr>
          <w:u w:val="single"/>
        </w:rPr>
        <w:t>male authors inscribed a distinctively black form of movement— slave escape— with a set of traits traditionally associated with white male Americans</w:t>
      </w:r>
      <w:r w:rsidRPr="00087A72">
        <w:rPr>
          <w:sz w:val="16"/>
        </w:rPr>
        <w:t>. Adapting the repre sen ta tional politics of the American slave narratives, Ward reworked slave escape to Canada as a movement that required for its successful execution the very attributes of the ideal settler that white colonists denied in former slaves</w:t>
      </w:r>
      <w:r w:rsidRPr="00087A72">
        <w:rPr>
          <w:u w:val="single"/>
        </w:rPr>
        <w:t>. In Ward’s version the characteristics demonstrated by a slave’s escape showed male former slaves’ qualifications to be good British settlers: resourcefulness was translated into industry and enterprise, and risk taking into ardent love of the British Crown and the freedom granted by it.</w:t>
      </w:r>
      <w:r w:rsidRPr="00087A72">
        <w:rPr>
          <w:sz w:val="16"/>
        </w:rPr>
        <w:t xml:space="preserve"> The strategic value of Ward’s escape narrative was its ability to produce positive meanings about slave flight by shifting the focus from the purpose of the migration to its pro cess. </w:t>
      </w:r>
      <w:r w:rsidRPr="00087A72">
        <w:rPr>
          <w:u w:val="single"/>
        </w:rPr>
        <w:t>While Larwill’s hierarchical dichotomy drew on the difference between each group’s reason for coming to Canada—to escape or to work—</w:t>
      </w:r>
      <w:r w:rsidRPr="00087A72">
        <w:rPr>
          <w:sz w:val="16"/>
        </w:rPr>
        <w:t xml:space="preserve"> Ward focused on the mental and physical rigors involved in the pro cess of slave escape to tether this par tic u lar kind of movement to settler status. In proving that “the Negro settlers in Canada” were “peaceful and industrious citizens,” Ward scripted a moving male slave figure with idealized capacities.38 He represented former slaves as better settlers with greater levels of energy and industry than white immigrants, basing his argument on the difference in the severity of the two types of migration: slaves’ escape on foot was more physically and mentally arduous than white immigrants’ use of oceanic and ground conveyances. At one meeting, Ward juxtaposed </w:t>
      </w:r>
      <w:r w:rsidRPr="00087A72">
        <w:rPr>
          <w:u w:val="single"/>
        </w:rPr>
        <w:t>“his people who fled from slavery in the United States” and “immigrants from diff er ent parts of Eu rope” and explained to the audience that “the very fact of escaping from slavery” implied a fugitive’s greater physical and mental “energy” compared to that of “a white man going on board of a steamboat, or in a rail way car, to travel.</w:t>
      </w:r>
      <w:r w:rsidRPr="00087A72">
        <w:rPr>
          <w:sz w:val="16"/>
        </w:rPr>
        <w:t xml:space="preserve">”39 Ward took this strategy beyond the Canadian borders into the British Isles during his trip as an emissary of the Anti- Slavery Society of Canada to raise contributions for the relief of former- slave residents.40 After leaving Canada in April 1853, he toured England and Ireland addressing religious and missionary organ izations, including the Congregational Union and the Colonial Missionary Society.41 Some public meetings were also held specifically for him and his cause, with a committee established solely to support his fund- raising work in England.42 At one of those gatherings, </w:t>
      </w:r>
      <w:r w:rsidRPr="00087A72">
        <w:rPr>
          <w:u w:val="single"/>
        </w:rPr>
        <w:t>Ward put into full use his male fugitive imagery to show that “it required quite a man to escape from slavery” and that those who succeeded in escaping were so self- reliant and resourceful as to be “about as good subjects as any that Her Majesty had</w:t>
      </w:r>
      <w:r w:rsidRPr="00087A72">
        <w:rPr>
          <w:sz w:val="16"/>
        </w:rPr>
        <w:t>.”</w:t>
      </w:r>
    </w:p>
    <w:p w:rsidR="00934B8A" w:rsidRPr="00087A72" w:rsidRDefault="00934B8A" w:rsidP="00D005A2">
      <w:pPr>
        <w:pStyle w:val="Heading3"/>
      </w:pPr>
      <w:r w:rsidRPr="00087A72">
        <w:t>Impact – Bare Nature</w:t>
      </w:r>
    </w:p>
    <w:p w:rsidR="00934B8A" w:rsidRPr="00087A72" w:rsidRDefault="00934B8A" w:rsidP="00934B8A">
      <w:pPr>
        <w:keepNext/>
        <w:keepLines/>
        <w:spacing w:before="40" w:after="0"/>
        <w:outlineLvl w:val="3"/>
        <w:rPr>
          <w:rFonts w:eastAsia="Times New Roman" w:cs="Times New Roman"/>
          <w:b/>
          <w:iCs/>
          <w:sz w:val="26"/>
        </w:rPr>
      </w:pPr>
      <w:r w:rsidRPr="00087A72">
        <w:rPr>
          <w:rFonts w:eastAsia="Times New Roman" w:cs="Times New Roman"/>
          <w:b/>
          <w:iCs/>
          <w:sz w:val="26"/>
        </w:rPr>
        <w:t xml:space="preserve">Bare nature leads to bare life </w:t>
      </w:r>
    </w:p>
    <w:p w:rsidR="00934B8A" w:rsidRPr="00087A72" w:rsidRDefault="00934B8A" w:rsidP="00934B8A">
      <w:pPr>
        <w:rPr>
          <w:rFonts w:eastAsia="Calibri" w:cs="Times New Roman"/>
          <w:sz w:val="16"/>
        </w:rPr>
      </w:pPr>
      <w:r w:rsidRPr="00087A72">
        <w:rPr>
          <w:rFonts w:eastAsia="Calibri" w:cs="Times New Roman"/>
          <w:b/>
        </w:rPr>
        <w:t>Arnold 17</w:t>
      </w:r>
      <w:r w:rsidRPr="00087A72">
        <w:rPr>
          <w:rFonts w:eastAsia="Calibri" w:cs="Times New Roman"/>
        </w:rPr>
        <w:t xml:space="preserve"> </w:t>
      </w:r>
      <w:r w:rsidRPr="00087A72">
        <w:rPr>
          <w:rFonts w:eastAsia="Calibri" w:cs="Times New Roman"/>
          <w:sz w:val="16"/>
        </w:rPr>
        <w:t>(Jobb Dixon, Department of Conflict Resolution Studies, Menno Simons College, University of Winnipeg, 520 Portage Avenue, Winnipeg, Manitoba, R3C 0G2, Canada., “Bare Nature and the Genocide– Ecocide Nexus—The Conditions of General Threat and the Hope of Cultural Adaptation: The Case of Canada’s Tar Sands”, pgg. 27-28)</w:t>
      </w:r>
    </w:p>
    <w:p w:rsidR="00934B8A" w:rsidRPr="00087A72" w:rsidRDefault="00934B8A" w:rsidP="00934B8A">
      <w:pPr>
        <w:rPr>
          <w:rFonts w:eastAsia="Calibri" w:cs="Times New Roman"/>
          <w:u w:val="single"/>
        </w:rPr>
      </w:pPr>
      <w:r w:rsidRPr="00087A72">
        <w:rPr>
          <w:rFonts w:eastAsia="Calibri" w:cs="Times New Roman"/>
          <w:sz w:val="14"/>
        </w:rPr>
        <w:t>As Raphael Lemkin recognized in 1933</w:t>
      </w:r>
      <w:r w:rsidRPr="00087A72">
        <w:rPr>
          <w:rFonts w:eastAsia="Calibri" w:cs="Times New Roman"/>
        </w:rPr>
        <w:t xml:space="preserve">, </w:t>
      </w:r>
      <w:r w:rsidRPr="00087A72">
        <w:rPr>
          <w:rFonts w:eastAsia="Calibri" w:cs="Times New Roman"/>
          <w:u w:val="single"/>
        </w:rPr>
        <w:t>a holistic view of transnational danger creates an ethical imperative for coordinated and collective action to challenge the processes that legitimate the exclusion and dehumanization of groups of people</w:t>
      </w:r>
      <w:r w:rsidRPr="00087A72">
        <w:rPr>
          <w:rFonts w:eastAsia="Calibri" w:cs="Times New Roman"/>
        </w:rPr>
        <w:t xml:space="preserve">. </w:t>
      </w:r>
      <w:r w:rsidRPr="00087A72">
        <w:rPr>
          <w:rFonts w:eastAsia="Calibri" w:cs="Times New Roman"/>
          <w:u w:val="single"/>
        </w:rPr>
        <w:t>Global climate change and ecological catastrophe are directly related to mass industrial projects</w:t>
      </w:r>
      <w:r w:rsidRPr="00087A72">
        <w:rPr>
          <w:rFonts w:eastAsia="Calibri" w:cs="Times New Roman"/>
        </w:rPr>
        <w:t xml:space="preserve"> </w:t>
      </w:r>
      <w:r w:rsidRPr="00087A72">
        <w:rPr>
          <w:rFonts w:eastAsia="Calibri" w:cs="Times New Roman"/>
          <w:sz w:val="14"/>
        </w:rPr>
        <w:t xml:space="preserve">like the Tar Sands. </w:t>
      </w:r>
      <w:r w:rsidRPr="00087A72">
        <w:rPr>
          <w:rFonts w:eastAsia="Calibri" w:cs="Times New Roman"/>
          <w:u w:val="single"/>
        </w:rPr>
        <w:t>The displacement of Indigenous Peoples is directly tied to</w:t>
      </w:r>
      <w:r w:rsidRPr="00087A72">
        <w:rPr>
          <w:rFonts w:eastAsia="Calibri" w:cs="Times New Roman"/>
        </w:rPr>
        <w:t xml:space="preserve"> </w:t>
      </w:r>
      <w:r w:rsidRPr="00087A72">
        <w:rPr>
          <w:rFonts w:eastAsia="Calibri" w:cs="Times New Roman"/>
          <w:u w:val="single"/>
        </w:rPr>
        <w:t>the burning of fossil fuels which is</w:t>
      </w:r>
      <w:r w:rsidRPr="00087A72">
        <w:rPr>
          <w:rFonts w:eastAsia="Calibri" w:cs="Times New Roman"/>
          <w:sz w:val="14"/>
        </w:rPr>
        <w:t xml:space="preserve"> also </w:t>
      </w:r>
      <w:r w:rsidRPr="00087A72">
        <w:rPr>
          <w:rFonts w:eastAsia="Calibri" w:cs="Times New Roman"/>
          <w:u w:val="single"/>
        </w:rPr>
        <w:t>the primary cause of global crises of climate refugees</w:t>
      </w:r>
      <w:r w:rsidRPr="00087A72">
        <w:rPr>
          <w:rFonts w:eastAsia="Calibri" w:cs="Times New Roman"/>
          <w:sz w:val="14"/>
        </w:rPr>
        <w:t xml:space="preserve"> (United Nations, 2017a). Collectively, </w:t>
      </w:r>
      <w:r w:rsidRPr="00087A72">
        <w:rPr>
          <w:rFonts w:eastAsia="Calibri" w:cs="Times New Roman"/>
          <w:u w:val="single"/>
        </w:rPr>
        <w:t>these processes are driven by a form of colonial capitalism that is producing and sustaining the conditions underlying the genocide–ecocide nexus</w:t>
      </w:r>
      <w:r w:rsidRPr="00087A72">
        <w:rPr>
          <w:rFonts w:eastAsia="Calibri" w:cs="Times New Roman"/>
        </w:rPr>
        <w:t xml:space="preserve"> </w:t>
      </w:r>
      <w:r w:rsidRPr="00087A72">
        <w:rPr>
          <w:rFonts w:eastAsia="Calibri" w:cs="Times New Roman"/>
          <w:sz w:val="14"/>
        </w:rPr>
        <w:t xml:space="preserve">(Crook &amp; Short, 2014). </w:t>
      </w:r>
      <w:r w:rsidRPr="00087A72">
        <w:rPr>
          <w:rFonts w:eastAsia="Calibri" w:cs="Times New Roman"/>
          <w:u w:val="single"/>
        </w:rPr>
        <w:t>As the conditions of bare life and bare nature—epitomized by states of exception and sacrifice zones—continue to coincide, the distinctions between genocide and ecocide will continue to collapse</w:t>
      </w:r>
      <w:r w:rsidRPr="00087A72">
        <w:rPr>
          <w:rFonts w:eastAsia="Calibri" w:cs="Times New Roman"/>
          <w:sz w:val="14"/>
          <w:u w:val="single"/>
        </w:rPr>
        <w:t>.</w:t>
      </w:r>
      <w:r w:rsidRPr="00087A72">
        <w:rPr>
          <w:rFonts w:eastAsia="Calibri" w:cs="Times New Roman"/>
          <w:sz w:val="14"/>
        </w:rPr>
        <w:t xml:space="preserve"> Evidence demonstrating the widespread precarity associated with climate change is everywhere, and </w:t>
      </w:r>
      <w:r w:rsidRPr="00087A72">
        <w:rPr>
          <w:rFonts w:eastAsia="Calibri" w:cs="Times New Roman"/>
          <w:u w:val="single"/>
        </w:rPr>
        <w:t>the mass movements of people fleeing climate disaster and associated conflict have reached unprecedented levels</w:t>
      </w:r>
      <w:r w:rsidRPr="00087A72">
        <w:rPr>
          <w:rFonts w:eastAsia="Calibri" w:cs="Times New Roman"/>
          <w:sz w:val="14"/>
        </w:rPr>
        <w:t xml:space="preserve"> (United Nations, 2017b). </w:t>
      </w:r>
      <w:r w:rsidRPr="00087A72">
        <w:rPr>
          <w:rFonts w:eastAsia="Calibri" w:cs="Times New Roman"/>
          <w:u w:val="single"/>
        </w:rPr>
        <w:t>The spread of these conditions has led to more and more people being managed as bare life</w:t>
      </w:r>
      <w:r w:rsidRPr="00087A72">
        <w:rPr>
          <w:rFonts w:eastAsia="Calibri" w:cs="Times New Roman"/>
          <w:sz w:val="14"/>
          <w:u w:val="single"/>
        </w:rPr>
        <w:t>.</w:t>
      </w:r>
      <w:r w:rsidRPr="00087A72">
        <w:rPr>
          <w:rFonts w:eastAsia="Calibri" w:cs="Times New Roman"/>
          <w:sz w:val="14"/>
        </w:rPr>
        <w:t xml:space="preserve"> Masses of precarious people are regulated through states of exception at physical borders, in refugee camps and through a renewed emphasis on internal national sovereignty that excludes Indigenous and stateless peoples from protections (Agamben, 1995). </w:t>
      </w:r>
      <w:r w:rsidRPr="00087A72">
        <w:rPr>
          <w:rFonts w:eastAsia="Calibri" w:cs="Times New Roman"/>
          <w:u w:val="single"/>
        </w:rPr>
        <w:t xml:space="preserve">As climate change continues to strain the basic ecological systems that sustain all forms of life, the conditions of bare nature and bare life will continue to spread around the globe </w:t>
      </w:r>
      <w:r w:rsidRPr="00087A72">
        <w:rPr>
          <w:rFonts w:eastAsia="Calibri" w:cs="Times New Roman"/>
          <w:sz w:val="14"/>
        </w:rPr>
        <w:t xml:space="preserve">(Bauman, 2007). How can local-level cultural and ecological adaptations establish and maintain interdependent life-worlds in the face of globally destabilized environments? In times of scarcity, fear and precarity are powerful mobilizing forces that can lead to the polarization of identity groups, and provide social legitimacy to patterns of exclusionary violence (Homer-Dixon, 1999). </w:t>
      </w:r>
      <w:r w:rsidRPr="00087A72">
        <w:rPr>
          <w:rFonts w:eastAsia="Calibri" w:cs="Times New Roman"/>
          <w:u w:val="single"/>
        </w:rPr>
        <w:t>However, the ontological threat posed by climate change is galvanizing a powerful new network of peoples actively organizing alternatives to the current entangled systems of fossil fuels and capitalism</w:t>
      </w:r>
      <w:r w:rsidRPr="00087A72">
        <w:rPr>
          <w:rFonts w:eastAsia="Calibri" w:cs="Times New Roman"/>
        </w:rPr>
        <w:t xml:space="preserve"> </w:t>
      </w:r>
      <w:r w:rsidRPr="00087A72">
        <w:rPr>
          <w:rFonts w:eastAsia="Calibri" w:cs="Times New Roman"/>
          <w:sz w:val="14"/>
        </w:rPr>
        <w:t>(Klein, 2017). The mitigation of, and adaptation to, climate change has become a common, “superordinate goal” which large groups of people are able to orient toward, creating coordinated and collaborative global movements (Gaertner et al., 2000). Around the world new affective economies are helping to align disparate groups, giving rise to new cultural formations propelled and sustained by interdependent realities that differ from region to region (Ahmed, 2004). Affective alignments involve embodied intergroup relations and place-based ways-of-knowing that are key components of social mobilization (Gould, 2009). Affective alignments based on shared values and practices can create regional conditions for the collaborative cultural practices needed to establish and sustain meaningful social and ecological resilience (Amster, 2015</w:t>
      </w:r>
      <w:r w:rsidRPr="00087A72">
        <w:rPr>
          <w:rFonts w:eastAsia="Calibri" w:cs="Times New Roman"/>
          <w:sz w:val="14"/>
          <w:u w:val="single"/>
        </w:rPr>
        <w:t xml:space="preserve">). </w:t>
      </w:r>
      <w:r w:rsidRPr="00087A72">
        <w:rPr>
          <w:rFonts w:eastAsia="Calibri" w:cs="Times New Roman"/>
          <w:u w:val="single"/>
        </w:rPr>
        <w:t>The capacity for groups of people to create, mobilize, and share local knowledge contributes to effective climate adaptation across and regionally specific difference will be a major factor in determining the future successes and failures of human societies</w:t>
      </w:r>
      <w:r w:rsidRPr="00087A72">
        <w:rPr>
          <w:rFonts w:eastAsia="Calibri" w:cs="Times New Roman"/>
          <w:sz w:val="14"/>
        </w:rPr>
        <w:t xml:space="preserve"> (Henrich, 2016). </w:t>
      </w:r>
      <w:r w:rsidRPr="00087A72">
        <w:rPr>
          <w:rFonts w:eastAsia="Calibri" w:cs="Times New Roman"/>
          <w:u w:val="single"/>
        </w:rPr>
        <w:t>The social conditions, ecological pressures, and affective intensities make up day-to-day conditions that reflect the unparalleled power of the forces of nature</w:t>
      </w:r>
      <w:r w:rsidRPr="00087A72">
        <w:rPr>
          <w:rFonts w:eastAsia="Calibri" w:cs="Times New Roman"/>
        </w:rPr>
        <w:t xml:space="preserve"> </w:t>
      </w:r>
      <w:r w:rsidRPr="00087A72">
        <w:rPr>
          <w:rFonts w:eastAsia="Calibri" w:cs="Times New Roman"/>
          <w:sz w:val="14"/>
        </w:rPr>
        <w:t xml:space="preserve">(Arnold, in press). </w:t>
      </w:r>
      <w:r w:rsidRPr="00087A72">
        <w:rPr>
          <w:rFonts w:eastAsia="Calibri" w:cs="Times New Roman"/>
          <w:u w:val="single"/>
        </w:rPr>
        <w:t>Whether or not forms of 28 Space and Culture 21(1) cultural and ecological homeostasis can be reached and sustained will depend on how the extent to which affective alignments are able to energize ecocultural practices that are well matched to regional threats and accessible to all people equally</w:t>
      </w:r>
    </w:p>
    <w:p w:rsidR="00540BEA" w:rsidRPr="00087A72" w:rsidRDefault="00540BEA" w:rsidP="00D005A2">
      <w:pPr>
        <w:pStyle w:val="Heading3"/>
      </w:pPr>
      <w:r w:rsidRPr="00087A72">
        <w:t>Impact – Black Chattel Slavery</w:t>
      </w:r>
    </w:p>
    <w:p w:rsidR="00540BEA" w:rsidRPr="00087A72" w:rsidRDefault="00540BEA" w:rsidP="00540BEA">
      <w:pPr>
        <w:pStyle w:val="Heading4"/>
      </w:pPr>
      <w:r w:rsidRPr="00087A72">
        <w:t>The treatment of African American slaves by white people in the United States was justified by the same settler colonialist views that the British forced upon the colonists. African Americans were forced by society to assimilate, erasing their identities</w:t>
      </w:r>
    </w:p>
    <w:p w:rsidR="00540BEA" w:rsidRPr="00087A72" w:rsidRDefault="00540BEA" w:rsidP="00540BEA">
      <w:r w:rsidRPr="00087A72">
        <w:rPr>
          <w:rStyle w:val="Style13ptBold"/>
        </w:rPr>
        <w:t>Asaka 17</w:t>
      </w:r>
      <w:r w:rsidRPr="00087A72">
        <w:t>—(Ikuko, PhD from UWMadison for Gender and Women’s History, “Tropical Freedom : Climate, Settler Colonialism, and Black Exclusion in the Age of Emancipation”, pp 66-68)</w:t>
      </w:r>
    </w:p>
    <w:p w:rsidR="00540BEA" w:rsidRPr="00087A72" w:rsidRDefault="00540BEA" w:rsidP="00540BEA">
      <w:pPr>
        <w:rPr>
          <w:u w:val="single"/>
        </w:rPr>
      </w:pPr>
      <w:r w:rsidRPr="00087A72">
        <w:rPr>
          <w:sz w:val="16"/>
        </w:rPr>
        <w:t>Cornish underscored the difference of the republican and monarchical systems to stress African Americans’ separation from and even superiority to black Canadians</w:t>
      </w:r>
      <w:r w:rsidRPr="00087A72">
        <w:rPr>
          <w:u w:val="single"/>
        </w:rPr>
        <w:t>. Creating distinct po liti cal identities for blacks in the republican United States and those in the monarchical British colony, he lauded black Americans for “lov[ing] princi ple better than men, and esteem[ing] it above kings or even queens.”</w:t>
      </w:r>
      <w:r w:rsidRPr="00087A72">
        <w:rPr>
          <w:sz w:val="16"/>
        </w:rPr>
        <w:t xml:space="preserve"> Formerly enslaved people in Canada thus no longer signified the universal po liti cal sensibilities deemed to reside in American slaves; instead, they served as a foil in the construction of a black American subject whose “republican, loyal attachment to home and country bend to nothing.”67 The eventual suppression of the rebellion in 1838 did not remove the black armed force from the border. </w:t>
      </w:r>
      <w:r w:rsidRPr="00087A72">
        <w:rPr>
          <w:u w:val="single"/>
        </w:rPr>
        <w:t>The postrebellion deployment of black soldiers as the main defense force on the Canada- U.S. border drew the attention of the Colored American</w:t>
      </w:r>
      <w:r w:rsidRPr="00087A72">
        <w:rPr>
          <w:sz w:val="16"/>
        </w:rPr>
        <w:t xml:space="preserve">. The paper published a report in 1839 on an all- black regiment stationed at “the most impor tant post” in the area “in consequence of their acknowledged loyalty to the British Crown.”68 </w:t>
      </w:r>
      <w:r w:rsidRPr="00087A72">
        <w:rPr>
          <w:u w:val="single"/>
        </w:rPr>
        <w:t>Hostility toward Canadian black soldiers on the part of white Americans was rekindled in the summer of 1840, when shots were fired at two U.S. steamers on the Niagara River. A complaint was made by the American ambassador in London, who condemned the “gross outrage” committed by the black men</w:t>
      </w:r>
      <w:r w:rsidRPr="00087A72">
        <w:rPr>
          <w:sz w:val="16"/>
        </w:rPr>
        <w:t>.69 The per sis tent presence of black soldiers led black New Yorkers to discontinue material assistance to self- emancipated people in Canada. Aiding in their improvement now seemed an unpatriotic activity that would only help potential enemies and their government. This new approach came to the surface during a debate between Wilson and Ray that unfolded in the pages of the Colored American in early 1841. Wilson wrote to the paper to solicit aid for the sustenance of his mission, for the aass had discontinued his agency in June 1838</w:t>
      </w:r>
      <w:r w:rsidRPr="00087A72">
        <w:rPr>
          <w:u w:val="single"/>
        </w:rPr>
        <w:t>. In response, Ray, who had replaced Cornish as the paper’s editor, debated with the white missionary about whether American abolitionists should feel responsible for supporting relief work for formerly enslaved people in Canada</w:t>
      </w:r>
      <w:r w:rsidRPr="00087A72">
        <w:rPr>
          <w:sz w:val="16"/>
        </w:rPr>
        <w:t xml:space="preserve">. In arguing for support, Wilson put black refugees’ past unpaid labor at the center of their identity, presenting them as former contributors to the prosperity of the U.S. nation who had provided for the material comforts of the American people through their blood, sweat, and tears. </w:t>
      </w:r>
      <w:r w:rsidRPr="00087A72">
        <w:rPr>
          <w:u w:val="single"/>
        </w:rPr>
        <w:t>Wilson called escaped people “ these noble, self- emancipated, self- exiled sons and daughters of the South” worthy of help from “Americans, who are continually warming their bodies and sweetening their beverages with the fruits of their unrequited toil</w:t>
      </w:r>
      <w:r w:rsidRPr="00087A72">
        <w:rPr>
          <w:sz w:val="16"/>
        </w:rPr>
        <w:t xml:space="preserve">.” By connecting American citizens and the black population in Canada through the former’s consumption of goods produced by the latter during enslavement, Wilson urged U.S. abolitionists to “lend a hand to the work of elevating [the Canadians’] condition and character.” Other wise he would “cover his face with everlasting shame for the nation that gave me birth.”70 Dismissing Wilson’s request by saying “ Brother Wilson had our best wishes, but he can consistently have no more,” Ray defined self- emancipated people as a potential enemy and an alien other, po liti cally and culturally British, who were “to be forever protected by British law, and educated, elevated, and improved in character by British charity, and made to become a good British subject, to protect forever the British throne.”71 Ray disavowed Wilson’s mission because it “regards the improvement of subjects of another government, all of whose influence will go directly in support of that government.”72 Nevertheless, Ray acknowledged the need to continue aiding escaping slaves who “must be got to Canada to be safe.”73 At first sight, the New Yorkers’ </w:t>
      </w:r>
      <w:r w:rsidRPr="00087A72">
        <w:rPr>
          <w:u w:val="single"/>
        </w:rPr>
        <w:t>identification of the refugees as a national foe seemed to contradict their perception of Britain as a glorious land of freedom for slaves. Black northerners evidently saw no contradiction, however. One pos si ble reason could have been that, when black New Yorkers engaged with Britain, they did so in the realm of abolition— that is, the business of turning slaves into free people— but they saw no relevance between that business and their campaign for full American citizenship</w:t>
      </w:r>
      <w:r w:rsidRPr="00087A72">
        <w:rPr>
          <w:sz w:val="16"/>
        </w:rPr>
        <w:t xml:space="preserve">. Emancipating slaves was a commendable act, but that did not mean legally free black Americans should embrace Britain in their capacity as U.S. citizens. Especially since free black Americans were in desperate need to prove their loyalty to the republic, it served their purpose to represent Britain as an object of their military action and to lay claim to U.S. citizenship through such patriotic imagery. Relatedly, the act of helping fugitives reach Canada was a pro cess of enacting their American identity. </w:t>
      </w:r>
      <w:r w:rsidRPr="00087A72">
        <w:rPr>
          <w:u w:val="single"/>
        </w:rPr>
        <w:t>The recurrent sending of slaves to Canada worked to bring to light the national grounding of African Americans’ freedom by juxtaposing their domestically gained freedom with that granted by a foreign power</w:t>
      </w:r>
      <w:r w:rsidRPr="00087A72">
        <w:rPr>
          <w:sz w:val="16"/>
        </w:rPr>
        <w:t xml:space="preserve">. Assisting southern runaways provided opportunities to repeatedly mark free black northerners’ Americanness by differentiating between those who needed to leave the United States to achieve freedom and those who were indebted to U.S. law for their freedom. </w:t>
      </w:r>
      <w:r w:rsidRPr="00087A72">
        <w:rPr>
          <w:u w:val="single"/>
        </w:rPr>
        <w:t>This dualism would later fracture with the passage of the Fugitive Slave Law, when the legal status of free black people was put at risk and, consequently, Britain’s commitment to black freedom became extremely appealing to them.</w:t>
      </w:r>
    </w:p>
    <w:p w:rsidR="0021729E" w:rsidRPr="00087A72" w:rsidRDefault="0021729E" w:rsidP="0021729E">
      <w:pPr>
        <w:pStyle w:val="Heading4"/>
      </w:pPr>
      <w:r w:rsidRPr="00087A72">
        <w:t>The Black-White dichotomy that exists because of settler colonialism allows for black bodies to be taken advantage of for labor and thus erases the social identities of black bodies.</w:t>
      </w:r>
    </w:p>
    <w:p w:rsidR="0021729E" w:rsidRPr="00087A72" w:rsidRDefault="0021729E" w:rsidP="0021729E">
      <w:r w:rsidRPr="00087A72">
        <w:rPr>
          <w:rStyle w:val="Style13ptBold"/>
        </w:rPr>
        <w:t>Asaka 17</w:t>
      </w:r>
      <w:r w:rsidRPr="00087A72">
        <w:t>—(Ikuko, PhD from UWMadison for Gender and Women’s History, “Tropical Freedom : Climate, Settler Colonialism, and Black Exclusion in the Age of Emancipation”, pp 148-151)</w:t>
      </w:r>
    </w:p>
    <w:p w:rsidR="0021729E" w:rsidRPr="00087A72" w:rsidRDefault="0021729E" w:rsidP="00540BEA">
      <w:pPr>
        <w:rPr>
          <w:sz w:val="16"/>
        </w:rPr>
      </w:pPr>
      <w:r w:rsidRPr="00087A72">
        <w:rPr>
          <w:sz w:val="16"/>
        </w:rPr>
        <w:t xml:space="preserve">Emigration supporters’ steadfast belief in the race- based spatialization of free labor led some African Canadians to see disconcerting similarities between Ca rib bean emigration and Liberian colonization. </w:t>
      </w:r>
      <w:r w:rsidRPr="00087A72">
        <w:rPr>
          <w:u w:val="single"/>
        </w:rPr>
        <w:t>They observed that these programs were both founded on the view that black freedom was out of place on the North American continent</w:t>
      </w:r>
      <w:r w:rsidRPr="00087A72">
        <w:rPr>
          <w:sz w:val="16"/>
        </w:rPr>
        <w:t xml:space="preserve">. In reference to West Indian emigration, Shadd pointed out that </w:t>
      </w:r>
      <w:r w:rsidRPr="00087A72">
        <w:rPr>
          <w:u w:val="single"/>
        </w:rPr>
        <w:t>“men in Jamaica want lands cultivated, and men in England and elsewhere want this Continent for the ‘white races’ alone</w:t>
      </w:r>
      <w:r w:rsidRPr="00087A72">
        <w:rPr>
          <w:sz w:val="16"/>
        </w:rPr>
        <w:t>.”39 The British were not the only ones to pursue the whitening of “this Continent,” according to a reader of the Provincial Freeman. “This West India scheme,” the reader noted, “</w:t>
      </w:r>
      <w:r w:rsidRPr="00087A72">
        <w:rPr>
          <w:u w:val="single"/>
        </w:rPr>
        <w:t>is twin to the African colonization scheme, which was conceived in iniquity, and is being carried out in cruelty . . . to drain off the free colored from this continent</w:t>
      </w:r>
      <w:r w:rsidRPr="00087A72">
        <w:rPr>
          <w:sz w:val="16"/>
        </w:rPr>
        <w:t>.”40 These observations called attention to the transnational operation and scale of hierarchies of freedom. While Canada and the United States had diff er ent relationships to slavery, the border between them had little impact on the ways settler colonial interests addressed and mapped the labor and location of free blacks. African Canadians were not alone in noticing commonalities between Liberian colonization and Ca rib bean emigration</w:t>
      </w:r>
      <w:r w:rsidRPr="00087A72">
        <w:rPr>
          <w:u w:val="single"/>
        </w:rPr>
        <w:t>. African North Americans on both sides of the border recognized that both schemes included an ideological component that gave them a biological grounding and thus a sense of inevitability: the association between black freedom and tropical labor</w:t>
      </w:r>
      <w:r w:rsidRPr="00087A72">
        <w:rPr>
          <w:sz w:val="16"/>
        </w:rPr>
        <w:t xml:space="preserve">. Awaiting Anderson and Scoble </w:t>
      </w:r>
      <w:r w:rsidRPr="00087A72">
        <w:rPr>
          <w:u w:val="single"/>
        </w:rPr>
        <w:t xml:space="preserve">in North Amer i ca was a transnational battleground over the black body’s relationship to locations in the Atlantic. </w:t>
      </w:r>
      <w:r w:rsidRPr="00087A72">
        <w:rPr>
          <w:sz w:val="16"/>
        </w:rPr>
        <w:t xml:space="preserve">The first war cry was raised in Rochester, New York. Immediately after the North American Convention, Anderson and Scoble proceeded to the United States, hoping that northern black leaders and the American and Foreign Anti- Slavery Society would help them recruit free African Americans.41 Their request was answered by Lewis Tappan, the founder of the society, who invited both men to speak at a West Indian emancipation cele bration at Henry Beecher’s church in Brooklyn and at a Liberty Party convention in Rochester.42 </w:t>
      </w:r>
      <w:r w:rsidRPr="00087A72">
        <w:rPr>
          <w:u w:val="single"/>
        </w:rPr>
        <w:t>In Rochester Anderson aggressively condemned the presence of free black Americans in the United States</w:t>
      </w:r>
      <w:r w:rsidRPr="00087A72">
        <w:rPr>
          <w:sz w:val="16"/>
        </w:rPr>
        <w:t>. As they had done days before in Canada, Anderson and Scoble pressed for Jamaican emigration by submitting a resolution to counter one originally made by delegates at the convention</w:t>
      </w:r>
      <w:r w:rsidRPr="00087A72">
        <w:rPr>
          <w:u w:val="single"/>
        </w:rPr>
        <w:t>. The delegates had already resolved that “the home of the free black man is most emphatically where his black brother is still held as a slave</w:t>
      </w:r>
      <w:r w:rsidRPr="00087A72">
        <w:rPr>
          <w:sz w:val="16"/>
        </w:rPr>
        <w:t>,” but Anderson dared to offer another resolution that designated Jamaica as “the home of the colored man” while rejecting “the American continent, including Canada,” as a place of black residence.43 Reiterating the arguments he had made at the North American Convention</w:t>
      </w:r>
      <w:r w:rsidRPr="00087A72">
        <w:rPr>
          <w:u w:val="single"/>
        </w:rPr>
        <w:t>, Anderson contended that the advantage of Jamaica for black mi grants resided in its racial uniformity as a “colored- community” and the social and po liti cal rights of “ people of color,”</w:t>
      </w:r>
      <w:r w:rsidRPr="00087A72">
        <w:rPr>
          <w:sz w:val="16"/>
        </w:rPr>
        <w:t xml:space="preserve"> exemplified by “colored” members of local and colonial legislatures.44 Notably, in representing Jamaica as a society with a majority of rights- bearing colored people, Anderson did not account for </w:t>
      </w:r>
      <w:r w:rsidRPr="00087A72">
        <w:rPr>
          <w:u w:val="single"/>
        </w:rPr>
        <w:t>the Jamaican color system, which distinguished “colored” from “black” in determining a person’s access to social and po liti cal power</w:t>
      </w:r>
      <w:r w:rsidRPr="00087A72">
        <w:rPr>
          <w:sz w:val="16"/>
        </w:rPr>
        <w:t>—in contrast with the black- white dichotomy of the U.S. racial system.45 So when Anderson claimed that the colony “consists almost entirely of colored persons, there being about 269 thousand colored inhabitants, and only about 16 thousand whites</w:t>
      </w:r>
      <w:r w:rsidRPr="00087A72">
        <w:rPr>
          <w:u w:val="single"/>
        </w:rPr>
        <w:t>,” he erased the category of “blacks” from the racial composition of Jamaica, lumping “blacks” and “ people of color</w:t>
      </w:r>
      <w:r w:rsidRPr="00087A72">
        <w:rPr>
          <w:sz w:val="16"/>
        </w:rPr>
        <w:t xml:space="preserve">” into the “269 thousand colored inhabitants” and leaving the false impression that they all enjoyed the same level of social and po liti cal participation.46 The distortion was followed by Anderson’s recourse to religious and scientific language in grounding his essentialist climatic reasoning. Marshaling the notion of divine will, Anderson asserted that “our Creator did not intend the rigorous countries of the north to be inhabited by the colored man,” while “the country and climate of Jamaica is peculiarly his own.” The next authority he summoned was “medical advisers,” </w:t>
      </w:r>
      <w:r w:rsidRPr="00087A72">
        <w:rPr>
          <w:u w:val="single"/>
        </w:rPr>
        <w:t>who “assure me that the colored race would undoubtedly live much better, and attain a greater degree of vigor and usefulness in a climate so exceedingly fitted for them as these islands within the tropics</w:t>
      </w:r>
      <w:r w:rsidRPr="00087A72">
        <w:rPr>
          <w:sz w:val="16"/>
        </w:rPr>
        <w:t>.”47 A strong refutation of determinist theories came from one of the attendees, Frederick Douglass. To Douglass, Anderson’s ideas smacked of the essentialism that underpinned Liberian colonization. Douglass recognized “the similarity of the reasons given by him [Anderson] for the emigration of colored persons from this country, to those which are given . . . by the agents of the American Colonization Society</w:t>
      </w:r>
      <w:r w:rsidRPr="00087A72">
        <w:rPr>
          <w:u w:val="single"/>
        </w:rPr>
        <w:t>.” Anderson’s racial categorization of national and colonial spaces, Douglass felt, paralleled the logic of colonization advocates that held the United States to be “the land of the white man” and Africa to be “the home of the negro.</w:t>
      </w:r>
      <w:r w:rsidRPr="00087A72">
        <w:rPr>
          <w:sz w:val="16"/>
        </w:rPr>
        <w:t xml:space="preserve">”48 Douglass’s astute insight was a product of the northern black community’s ongoing intellectual fight against the climatic determinism of Liberian colonization. African American thinkers in the early 1850s developed original theories of environment and the body that displayed their awareness of the centrality of climatic discourse to po liti cal questions of national belonging. One example of such alternative theories was to refer to Africa’s climate as foreign to any person born and raised in the United States, including both African Americans and white Americans. </w:t>
      </w:r>
      <w:r w:rsidRPr="00087A72">
        <w:rPr>
          <w:u w:val="single"/>
        </w:rPr>
        <w:t>Here, nativity worked as a biological basis for claims of belonging in the republic. This newly imagined African American body was characterized by its long- term acculturation to temperate climates and not by any inherent traits based on racial difference</w:t>
      </w:r>
      <w:r w:rsidRPr="00087A72">
        <w:rPr>
          <w:sz w:val="16"/>
        </w:rPr>
        <w:t>. An iteration of this construct was on display at a black convention in New York at which the delegates contrasted “our native land,” which was “in every re spect suited to our natures,” and “the burning deserts of Africa,” characterized by “an uncongenial and unwelcome climate.”</w:t>
      </w:r>
      <w:r w:rsidRPr="00087A72">
        <w:rPr>
          <w:u w:val="single"/>
        </w:rPr>
        <w:t>49 Instead of invoking race in defining a body’s functions, the delegates made biological istinctions between bodies native to Africa and bodies “of all complexion” born in “temperate” North Amer i ca and Eu rope</w:t>
      </w:r>
      <w:r w:rsidRPr="00087A72">
        <w:rPr>
          <w:sz w:val="16"/>
        </w:rPr>
        <w:t xml:space="preserve">. </w:t>
      </w:r>
      <w:r w:rsidRPr="00087A72">
        <w:rPr>
          <w:u w:val="single"/>
        </w:rPr>
        <w:t>Africa, they declared, constituted “a foreign land, no more peculiar to their natures” than it was to “any other portion of the American people, or the Eu ro pean nations.”</w:t>
      </w:r>
      <w:r w:rsidRPr="00087A72">
        <w:rPr>
          <w:sz w:val="16"/>
        </w:rPr>
        <w:t xml:space="preserve"> One’s black skin or African origin— “African complexion, or the descendants of Africa”— did not factor into one’s relation to the region. Instead, foreigners to Africa, whether they be black Americans or white Eu ro pe ans, had to go through “the hazard of acclimation.”50 Some took this theory further</w:t>
      </w:r>
      <w:r w:rsidRPr="00087A72">
        <w:rPr>
          <w:u w:val="single"/>
        </w:rPr>
        <w:t>. The idea of collective incompatibility with Africa among “temperate people” was reformulated to posit a new theory: black and white Americans constituted a racial category— the “American race”— whose primary characteristic was unsuitability to “a tropical climate</w:t>
      </w:r>
      <w:r w:rsidRPr="00087A72">
        <w:rPr>
          <w:sz w:val="16"/>
        </w:rPr>
        <w:t xml:space="preserve">.”51 This race was also marked by its superior intellect, molded by the favorable climate unique to the United States. James McCune Smith, a prominent black abolitionist and medical doctor, viewed black and white Americans as sharing “the physical character and the intellectual being of the American people” due to their common exposure to “a climate the most favorable for physical and mental development.”52 </w:t>
      </w:r>
    </w:p>
    <w:p w:rsidR="00F00D9D" w:rsidRPr="00087A72" w:rsidRDefault="00F00D9D" w:rsidP="00D005A2">
      <w:pPr>
        <w:pStyle w:val="Heading3"/>
      </w:pPr>
      <w:r w:rsidRPr="00087A72">
        <w:t>Impact – Black Gendered Violence</w:t>
      </w:r>
    </w:p>
    <w:p w:rsidR="00F00D9D" w:rsidRPr="00087A72" w:rsidRDefault="00F00D9D" w:rsidP="00F00D9D">
      <w:pPr>
        <w:pStyle w:val="Heading4"/>
      </w:pPr>
      <w:r w:rsidRPr="00087A72">
        <w:t>Settler Colonialism reifies the gender binary within African American populations and is the reason that stereotypes of white and black bodies were perpetuated throughout history</w:t>
      </w:r>
    </w:p>
    <w:p w:rsidR="00F00D9D" w:rsidRPr="00087A72" w:rsidRDefault="00F00D9D" w:rsidP="00F00D9D">
      <w:r w:rsidRPr="00087A72">
        <w:rPr>
          <w:rStyle w:val="Style13ptBold"/>
        </w:rPr>
        <w:t>Asaka 17</w:t>
      </w:r>
      <w:r w:rsidRPr="00087A72">
        <w:t>—(Ikuko, PhD from UWMadison for Gender and Women’s History, “Tropical Freedom : Climate, Settler Colonialism, and Black Exclusion in the Age of Emancipation”, pp 101-105)</w:t>
      </w:r>
    </w:p>
    <w:p w:rsidR="00F00D9D" w:rsidRPr="00087A72" w:rsidRDefault="00F00D9D" w:rsidP="00F00D9D">
      <w:pPr>
        <w:rPr>
          <w:sz w:val="16"/>
        </w:rPr>
      </w:pPr>
      <w:r w:rsidRPr="00087A72">
        <w:rPr>
          <w:sz w:val="16"/>
        </w:rPr>
        <w:t xml:space="preserve">Denials and assertions of black conformity to normative domesticity also unfolded on the southern side of the Canada- U.S. border, where family life served as a marker of belonging in the debate about black relocation to Liberia. </w:t>
      </w:r>
      <w:r w:rsidRPr="00087A72">
        <w:rPr>
          <w:u w:val="single"/>
        </w:rPr>
        <w:t>Supporters of Liberian colonization championed the home as the basic unit of the republic. Such ideology translated the lack of home into the lack of the manly and womanly character traits that were essential to gendered republican citizenship.</w:t>
      </w:r>
      <w:r w:rsidRPr="00087A72">
        <w:rPr>
          <w:sz w:val="16"/>
        </w:rPr>
        <w:t xml:space="preserve"> From this perspective, advocates of Liberian </w:t>
      </w:r>
      <w:r w:rsidRPr="00087A72">
        <w:rPr>
          <w:u w:val="single"/>
        </w:rPr>
        <w:t>colonization grounded the necessity of black relocation in the supposed inability of African Americans to practice normative domestic relations in the United States</w:t>
      </w:r>
      <w:r w:rsidRPr="00087A72">
        <w:rPr>
          <w:sz w:val="16"/>
        </w:rPr>
        <w:t>. But in tropical Africa, they contended, the home would come easily to African Americans. By the early nineteenth century</w:t>
      </w:r>
      <w:r w:rsidRPr="00087A72">
        <w:rPr>
          <w:u w:val="single"/>
        </w:rPr>
        <w:t>, white men had become the only category of people who could enjoy manly republican citizenship</w:t>
      </w:r>
      <w:r w:rsidRPr="00087A72">
        <w:rPr>
          <w:sz w:val="16"/>
        </w:rPr>
        <w:t xml:space="preserve">, characterized by the racial privilege of universal male suffrage. </w:t>
      </w:r>
      <w:r w:rsidRPr="00087A72">
        <w:rPr>
          <w:u w:val="single"/>
        </w:rPr>
        <w:t>Ste reo types were ascribed to black men that were “diametrically opposite to those that qualified white men for the rights of citizenship.” Depictions of white men as “intelligent, hardworking, thrifty, self- controlled, and civic- minded” coincided with those of black men as “stupid, lazy, sensual, improvident, drunken, licentious, and other wise unqualified for the privileges of demo cratic self- government</w:t>
      </w:r>
      <w:r w:rsidRPr="00087A72">
        <w:rPr>
          <w:sz w:val="16"/>
        </w:rPr>
        <w:t>.”101 White men’s status as voting republicans intersected with their roles as fathers, husbands, and breadwinners— patriarchal roles that rendered them public. A man’s po liti cal identity as a voter was thus connected with his practice of in de pen dence, virtue, and industry through his familial authority. According to early nineteenth- century notions of female citizenship</w:t>
      </w:r>
      <w:r w:rsidRPr="00087A72">
        <w:rPr>
          <w:u w:val="single"/>
        </w:rPr>
        <w:t xml:space="preserve">, women’s participation in the republic was based on their role as mothers and wives. Through these domestic positions, women were expected to instill in their family members the morality required of good republican citizens in an increasingly demo cratic po liti cal arena. </w:t>
      </w:r>
      <w:r w:rsidRPr="00087A72">
        <w:rPr>
          <w:sz w:val="16"/>
        </w:rPr>
        <w:t>In this way, a daughter could grow up to replicate her mother as the moral vanguard of her family and her nation, while a son could serve the republic through direct po liti cal participation. This idealized model of domestic po liti cal participation positioned the white middle- class woman as the standard female subject and described the character traits she was assumed to possess as true womanhood.</w:t>
      </w:r>
      <w:r w:rsidRPr="00087A72">
        <w:rPr>
          <w:u w:val="single"/>
        </w:rPr>
        <w:t>102 Colonizationist efforts to rhetorically exclude free African Americans from the republican polity relied on this gendered ideology of citizenship. Free blacks were depicted to have no home in the United States and thus be devoid of the institution within which men and women connected themselves to the republic.</w:t>
      </w:r>
      <w:r w:rsidRPr="00087A72">
        <w:rPr>
          <w:sz w:val="16"/>
        </w:rPr>
        <w:t xml:space="preserve"> In other words, the absence of black homes equaled African Americans’ incapacity to serve as republican citizens. </w:t>
      </w:r>
      <w:r w:rsidRPr="00087A72">
        <w:rPr>
          <w:u w:val="single"/>
        </w:rPr>
        <w:t>They were cast as “a thriftless race of vagabonds” with “no home, no country, no kindred, no friends</w:t>
      </w:r>
      <w:r w:rsidRPr="00087A72">
        <w:rPr>
          <w:sz w:val="16"/>
        </w:rPr>
        <w:t xml:space="preserve">” who were overcrowding “our penitentiaries, and jails, and poor houses” or “wandering like foreigners and outcasts, in the land which has given them birth.”103 A procolonization newspaper in Connecticut portrayed the male portion of these “homeless” blacks as “bound by no po liti cal ties to the community in which they dwell, and excluded for the most part from exercising the rights and privileges of freemen.”104 By having “no home, no country, no such personal interest in the welfare of the community,” </w:t>
      </w:r>
      <w:r w:rsidRPr="00087A72">
        <w:rPr>
          <w:u w:val="single"/>
        </w:rPr>
        <w:t>black men were deprived of “a certain degree of manliness” that allegedly resided in “almost every white man</w:t>
      </w:r>
      <w:r w:rsidRPr="00087A72">
        <w:rPr>
          <w:sz w:val="16"/>
        </w:rPr>
        <w:t>.” Without his home, one colonization proponent concluded, “the negro cannot, in this country, become an enlightened and useful citizen.”105 This repre sen ta tion of the United States as infertile ground for free black family life was accompanied by the contrasting image of Liberia as a natu ral environment suitable for black domesticity. Colonization supporters advertised the great fa cil i ty with which a black man could attain patriarchal manhood in Liberia</w:t>
      </w:r>
      <w:r w:rsidRPr="00087A72">
        <w:rPr>
          <w:u w:val="single"/>
        </w:rPr>
        <w:t>. The colony was portrayed as a “fertile country” with much potential for “honest, upright, and enterprising men” to establish themselves and support their families.106 Such descriptions often went along with depictions of the settlers’ acculturation to the tropics, thereby postulating a black version of domesticity tethered to tropical surroundings</w:t>
      </w:r>
      <w:r w:rsidRPr="00087A72">
        <w:rPr>
          <w:sz w:val="16"/>
        </w:rPr>
        <w:t xml:space="preserve">. In what one might call the concept of tropical black domesticity, black family life was rendered impossible in the United States and strictly confined to tropical regions where “the colonists became acclimated and healthy—[and] have erected comfortable houses for themselves and families.”107 In response to the claims of tropical black domesticity, </w:t>
      </w:r>
      <w:r w:rsidRPr="00087A72">
        <w:rPr>
          <w:u w:val="single"/>
        </w:rPr>
        <w:t>free black leaders portrayed the African colony as climatically unsuitable for maintaining a family life and as destructive to domestic unions that free African Americans had established in the United States.</w:t>
      </w:r>
      <w:r w:rsidRPr="00087A72">
        <w:rPr>
          <w:sz w:val="16"/>
        </w:rPr>
        <w:t xml:space="preserve"> Samuel Cornish and Theodore Wright sarcastically identified one of the “benefits” of relocating free blacks to Liberia as “breaking up their domestic relations— relations singularly dear to them,” by risking their lives in “the death- damps of Africa under an equatorial sun.”108 Reporting on an anticolonization meeting for an abolitionist newspaper, David Ruggles also stressed that the African climate was fatal to black familial integrity. The meeting featured black mi grants who had just returned from Liberia after their unsuccessful endeavor to start a new life in Africa. Ruggles wrote that one of the returnees had lost his family, which had been “flourishing” before they went to Liberia. </w:t>
      </w:r>
      <w:r w:rsidRPr="00087A72">
        <w:rPr>
          <w:u w:val="single"/>
        </w:rPr>
        <w:t>The grieving man stated, “with tears rolling down his face, that in a few days after his arrival there, death visited his family, and took from him his wife, and three promising daughters!</w:t>
      </w:r>
      <w:r w:rsidRPr="00087A72">
        <w:rPr>
          <w:sz w:val="16"/>
        </w:rPr>
        <w:t>” The report juxtaposed the former mi grant’s enjoyment of family life in the North with his loss of it in Liberia, creating the opposite image of the one used by advocates of colonization.109 Another anticolonization meeting also focused on the repercussions of Liberian migration on African American families. Among the questions asked of one returned mi grant were “How soon after your arrival were you and your family taken sick?” and “How many of your family died, and who</w:t>
      </w:r>
      <w:r w:rsidRPr="00087A72">
        <w:rPr>
          <w:u w:val="single"/>
        </w:rPr>
        <w:t>?” The answer to the latter question was two of his children and his brother and sister.110 In addition to contending with proponents of Liberian colonization, northern black communities had to address Ca rib bean planters’ attempt to incorporate them into the postemancipation restructuring of colonial labor</w:t>
      </w:r>
      <w:r w:rsidRPr="00087A72">
        <w:rPr>
          <w:sz w:val="16"/>
        </w:rPr>
        <w:t xml:space="preserve">. Representatives of Trinidad and Jamaica were the main actors, and they tried to attract to their colonies free blacks on the Atlantic seaboard, including those in New York, New Jersey, Pennsylvania, Mary land, and Delaware.111 Trinidad was the first to send its agent— William Burnley, who had been performing the same role in Nova Scotia—to the region, and thus it received the most attention among northern African Americans. Arriving in New York sometime before August 31, 1839, Burnley advertised emigration in lecture halls and the pages of the Colored American.112 In the Colored American </w:t>
      </w:r>
      <w:r w:rsidRPr="00087A72">
        <w:rPr>
          <w:u w:val="single"/>
        </w:rPr>
        <w:t>Burnley published a very favorable article about the colony that advertised the possibility of landownership, the enjoyment of equal rights, and the colony’s proximity to the United States</w:t>
      </w:r>
      <w:r w:rsidRPr="00087A72">
        <w:rPr>
          <w:sz w:val="16"/>
        </w:rPr>
        <w:t xml:space="preserve">. Land was said to be available for purchase on arrival or by saving wages from working on sugarcane and cocoa plantations— which, as we will see below, turned out to be false. </w:t>
      </w:r>
      <w:r w:rsidRPr="00087A72">
        <w:rPr>
          <w:u w:val="single"/>
        </w:rPr>
        <w:t>Po liti cal and social equality was also featured in the article.113 Burnley expected the guarantee of equal rights to be a great attraction to free black Americans</w:t>
      </w:r>
      <w:r w:rsidRPr="00087A72">
        <w:rPr>
          <w:sz w:val="16"/>
        </w:rPr>
        <w:t xml:space="preserve">, who he believed would readily leave their “uncomfortable state” in their own country.114 Trinidad’s relative proximity to the United States was advertised as allowing the mi grants to enjoy frequent communication with the United States and thus not to have to sever ties with their peers back home.115 These alleged advantages initially appealed to Charles Ray, the newspaper’s editor, but </w:t>
      </w:r>
      <w:r w:rsidRPr="00087A72">
        <w:rPr>
          <w:u w:val="single"/>
        </w:rPr>
        <w:t>he soon realized that the interests of urban black communities were in conflict with those of the plantation colony</w:t>
      </w:r>
      <w:r w:rsidRPr="00087A72">
        <w:rPr>
          <w:sz w:val="16"/>
        </w:rPr>
        <w:t xml:space="preserve">. Initially, the paper proclaimed Trinidad emigration to be “worthy [of] the attention and careful consideration of our brethren” and promised to “endeavor to collect all the information in our power” to gauge the advisability of emigration.116 By October 1839, however, </w:t>
      </w:r>
      <w:r w:rsidRPr="00087A72">
        <w:rPr>
          <w:u w:val="single"/>
        </w:rPr>
        <w:t xml:space="preserve">the paper had come to the conclusion that the emigration scheme would not benefit free blacks or the government of Trinidad, due to the former’s lack of enthusiasm for tropical agricultural labor. </w:t>
      </w:r>
      <w:r w:rsidRPr="00087A72">
        <w:rPr>
          <w:sz w:val="16"/>
        </w:rPr>
        <w:t xml:space="preserve">Ray wrote in an editorial that “we do not at all, like the course things are taking in re spect to emigration to the island of Trinidad.”117 Cornish explained a fundamental flaw in the scheme: “500 persons who either wished or talked of going” since the first communication from Burnley, “not a single one [was] willing to make his living by working in the sun with his hoe.”118 Ironically, it was the very network of communication that Burnley advertised as an advantage of moving to Trinidad that warned those back home of the sufferings on the plantations. </w:t>
      </w:r>
      <w:r w:rsidRPr="00087A72">
        <w:rPr>
          <w:u w:val="single"/>
        </w:rPr>
        <w:t>A copy of the minutes of a meeting of aggrieved mi grants was sent to Wright to be published in the Colored American</w:t>
      </w:r>
      <w:r w:rsidRPr="00087A72">
        <w:rPr>
          <w:sz w:val="16"/>
        </w:rPr>
        <w:t>. The document reached Wright supposedly through his connection with Thomas P. Hunt, the pastor of the Colored Presbyterian Church in Newark, who had left for Trinidad with more than a hundred emigrants</w:t>
      </w:r>
      <w:r w:rsidRPr="00087A72">
        <w:rPr>
          <w:u w:val="single"/>
        </w:rPr>
        <w:t>. Participants at the meeting in Trinidad criticized the colony’s exploitative labor conditions, or what they called “a substitute for slavery.” The minutes reported their experience of having been “brutally dragged in little groups to the diff er ent plantations” after disembarking from the ship and of being “only allowed from 30–60 cents per task, and three pounds of codfish and one bottle of rum, as their weekly allowance.</w:t>
      </w:r>
      <w:r w:rsidRPr="00087A72">
        <w:rPr>
          <w:sz w:val="16"/>
        </w:rPr>
        <w:t xml:space="preserve">”119 Those at the meeting concluded that half of Burnley’s statements were “utterly false and deceptive.”120 The northern black community also rebutted the notions of racialized climatic aptitude that lay at the core of the scheme’s professed advantage. Citing “the known unhealthiness of the climate” as one of “the princi ple objections to the West Indies,” Ray expressed his skepticism of a report that based its conclusion— that “the climate [of the West Indies] has no injurious effect on colored emigrants”—on the “fact” that an eighteenth- century outbreak of yellow fever in British Guiana killed white soldiers in large numbers but “not a single soldier in the regiments of blacks.” </w:t>
      </w:r>
      <w:r w:rsidRPr="00087A72">
        <w:rPr>
          <w:u w:val="single"/>
        </w:rPr>
        <w:t>Ray denied such essentialist reasoning by attributing the difference between black and white mortality to “the white soldiers [being] foreigners from  England, while the  others [being] natives.”</w:t>
      </w:r>
      <w:r w:rsidRPr="00087A72">
        <w:rPr>
          <w:sz w:val="16"/>
        </w:rPr>
        <w:t>121 His theory of native immunity was in direct contradiction to the notion of racially inherent disease re sis tance that had materialized in an imperial military policy in the aftermath of the catastrophe in Guiana. The alleged racial immunity of the black body to yellow fever had impressed the British government so much that in 1795 it formed twelve black regiments and decreased the number of white troops stationed in the West Indies.122</w:t>
      </w:r>
    </w:p>
    <w:p w:rsidR="00D005A2" w:rsidRPr="00087A72" w:rsidRDefault="00D005A2" w:rsidP="00D005A2">
      <w:pPr>
        <w:pStyle w:val="Heading3"/>
      </w:pPr>
      <w:r w:rsidRPr="00087A72">
        <w:t>Impact – Capitalism</w:t>
      </w:r>
    </w:p>
    <w:p w:rsidR="00D005A2" w:rsidRPr="00087A72" w:rsidRDefault="00D005A2" w:rsidP="00D005A2">
      <w:pPr>
        <w:pStyle w:val="Heading4"/>
      </w:pPr>
      <w:r w:rsidRPr="00087A72">
        <w:t xml:space="preserve">The disguise of capitalist violence is manifest in racialized desires and colonial naturalization. </w:t>
      </w:r>
    </w:p>
    <w:p w:rsidR="00D005A2" w:rsidRPr="00087A72" w:rsidRDefault="00D005A2" w:rsidP="00D005A2">
      <w:r w:rsidRPr="00087A72">
        <w:rPr>
          <w:b/>
          <w:bCs/>
        </w:rPr>
        <w:t xml:space="preserve">Upadhyay 16 </w:t>
      </w:r>
      <w:r w:rsidRPr="00087A72">
        <w:t>(Nishant, Assistant Professor in Women's and Gender Studies at University of Massachusetts Dartmouth, Ph.D. in Graduate Program in Social and Political Thought at York University, South Asian</w:t>
      </w:r>
      <w:r w:rsidRPr="00087A72">
        <w:rPr>
          <w:i/>
        </w:rPr>
        <w:t xml:space="preserve"> “We’ll Sail Like Columbus”: Race, Indigeneity, Settler Colonialism, and the Making of South Asian Diasporas in Canada.</w:t>
      </w:r>
      <w:r w:rsidRPr="00087A72">
        <w:t xml:space="preserve"> pp. 234-236) OD</w:t>
      </w:r>
    </w:p>
    <w:p w:rsidR="00D005A2" w:rsidRPr="00087A72" w:rsidRDefault="00D005A2" w:rsidP="00D005A2">
      <w:pPr>
        <w:rPr>
          <w:sz w:val="12"/>
        </w:rPr>
      </w:pPr>
      <w:r w:rsidRPr="00087A72">
        <w:rPr>
          <w:u w:val="single"/>
        </w:rPr>
        <w:t>Migrant aspirations in</w:t>
      </w:r>
      <w:r w:rsidRPr="00087A72">
        <w:rPr>
          <w:sz w:val="12"/>
        </w:rPr>
        <w:t xml:space="preserve"> Canada and </w:t>
      </w:r>
      <w:r w:rsidRPr="00087A72">
        <w:rPr>
          <w:u w:val="single"/>
        </w:rPr>
        <w:t xml:space="preserve">the U.S. are often captured by phrases such as the </w:t>
      </w:r>
      <w:r w:rsidRPr="00087A72">
        <w:rPr>
          <w:sz w:val="12"/>
        </w:rPr>
        <w:t>“Canadian dream,” “</w:t>
      </w:r>
      <w:r w:rsidRPr="00087A72">
        <w:rPr>
          <w:u w:val="single"/>
        </w:rPr>
        <w:t>American dream,”</w:t>
      </w:r>
      <w:r w:rsidRPr="00087A72">
        <w:rPr>
          <w:sz w:val="12"/>
        </w:rPr>
        <w:t xml:space="preserve"> “North American dream</w:t>
      </w:r>
      <w:r w:rsidRPr="00087A72">
        <w:rPr>
          <w:u w:val="single"/>
        </w:rPr>
        <w:t>,” and the “land of opportunity</w:t>
      </w:r>
      <w:r w:rsidRPr="00087A72">
        <w:rPr>
          <w:sz w:val="12"/>
        </w:rPr>
        <w:t xml:space="preserve">.” By invoking fantasy, such phrases are deployed as motives for why people choose to move to Turtle Island. </w:t>
      </w:r>
      <w:r w:rsidRPr="00087A72">
        <w:rPr>
          <w:u w:val="single"/>
        </w:rPr>
        <w:t>The dream may be for a better life. Free of poverty and precarity. Or for more luxuries. Away from war, disease, disasters that are not so natural</w:t>
      </w:r>
      <w:r w:rsidRPr="00087A72">
        <w:rPr>
          <w:sz w:val="12"/>
        </w:rPr>
        <w:t xml:space="preserve">. Death. Loss. Grief. Away from violences. Desire for better education and health. For themselves. For their children. For their family. For love and intimacy. Aspirations. Needs and wants. There is no one reason. People move because they move, (as) they have always moved. How are these desires and dreams manufactured? The “American dream,” Inderpal Grewal explains, is “a search for a future in which the desire for consumption, for liberal citizenship, and for work come together to produce a specific subject of migration” (Transnational America 5). </w:t>
      </w:r>
      <w:r w:rsidRPr="00087A72">
        <w:rPr>
          <w:b/>
          <w:iCs/>
          <w:u w:val="single"/>
        </w:rPr>
        <w:t>Neoliberal practices and hegemonic imaginations produce nationalist discourses both inside and outside the territorial boundaries of the U.S</w:t>
      </w:r>
      <w:r w:rsidRPr="00087A72">
        <w:rPr>
          <w:sz w:val="12"/>
        </w:rPr>
        <w:t xml:space="preserve">. Thus, Grewal argues, first, </w:t>
      </w:r>
      <w:r w:rsidRPr="00087A72">
        <w:rPr>
          <w:u w:val="single"/>
        </w:rPr>
        <w:t>America cannot be studied within the territories of the U.S.; and, second, emphasis must be given to ground “transnational connectivities</w:t>
      </w:r>
      <w:r w:rsidRPr="00087A72">
        <w:rPr>
          <w:sz w:val="12"/>
        </w:rPr>
        <w:t xml:space="preserve">” within which subjects, technologies, and practices are produced (2-3). Further, </w:t>
      </w:r>
      <w:r w:rsidRPr="00087A72">
        <w:rPr>
          <w:u w:val="single"/>
        </w:rPr>
        <w:t>subjects of the “American dream” are not just territorially-bound to the U.S., but rather are also im/migrants, global consumers, and subjects of other nations</w:t>
      </w:r>
      <w:r w:rsidRPr="00087A72">
        <w:rPr>
          <w:sz w:val="12"/>
        </w:rPr>
        <w:t xml:space="preserve"> (7). While, there are significant differences between the U.S. and Canada, racialized diasporic formations in these white settler states are similar. The racialized dreams that Canada and the U.S. produce are indeed the same. 234 However, what happens when the territories are occupied, boundaries are constructed through violence, national subjects are settlers, original inhabitants are dispossessed, and citizenships are racially exclusive? </w:t>
      </w:r>
      <w:r w:rsidRPr="00087A72">
        <w:rPr>
          <w:u w:val="single"/>
        </w:rPr>
        <w:t>What if the pull-factors are dubious and misleading, consumption is enabled through exploitation of lands and peoples</w:t>
      </w:r>
      <w:r w:rsidRPr="00087A72">
        <w:rPr>
          <w:sz w:val="12"/>
        </w:rPr>
        <w:t xml:space="preserve">, transnationalism is produced through denial of the self-determination of the colonized nations, and immigrants, while excluded on one hand, are complicit in all these violences on the other hand? </w:t>
      </w:r>
      <w:r w:rsidRPr="00087A72">
        <w:rPr>
          <w:b/>
          <w:iCs/>
          <w:u w:val="single"/>
        </w:rPr>
        <w:t>I argue that American</w:t>
      </w:r>
      <w:r w:rsidRPr="00087A72">
        <w:rPr>
          <w:sz w:val="12"/>
        </w:rPr>
        <w:t xml:space="preserve"> and Canadian </w:t>
      </w:r>
      <w:r w:rsidRPr="00087A72">
        <w:rPr>
          <w:b/>
          <w:iCs/>
          <w:u w:val="single"/>
        </w:rPr>
        <w:t>desires are not simply neoliberal: they are settler colonial and white supremacist as well</w:t>
      </w:r>
      <w:r w:rsidRPr="00087A72">
        <w:rPr>
          <w:sz w:val="12"/>
        </w:rPr>
        <w:t xml:space="preserve">. </w:t>
      </w:r>
      <w:r w:rsidRPr="00087A72">
        <w:rPr>
          <w:b/>
          <w:iCs/>
          <w:u w:val="single"/>
        </w:rPr>
        <w:t>These dreams are manufactured by erasing colonial violences and realities</w:t>
      </w:r>
      <w:r w:rsidRPr="00087A72">
        <w:rPr>
          <w:sz w:val="12"/>
        </w:rPr>
        <w:t xml:space="preserve">. The lands these so-called multicultural liberal nations stand on remain colonized. Theorizing European colonial process, Anibal Quijano argues that European colonial culture is made seductive by promising power and privileges to colonized societies (“Coloniality of Power” 42); this seduction becomes a mean of “participating in colonial power” (43). For the last five hundred years, </w:t>
      </w:r>
      <w:r w:rsidRPr="00087A72">
        <w:rPr>
          <w:b/>
          <w:iCs/>
          <w:u w:val="single"/>
        </w:rPr>
        <w:t>the “new world” has continued to disguise colonial and capitalist violences as racialized desires and dreams.</w:t>
      </w:r>
      <w:r w:rsidRPr="00087A72">
        <w:rPr>
          <w:sz w:val="12"/>
        </w:rPr>
        <w:t xml:space="preserve"> How do we critically understand racialized desires within processes of colonialism, neoliberalism, transnationalism, migration, and diasporic formations? Beenash Jafri proposes </w:t>
      </w:r>
      <w:r w:rsidRPr="00087A72">
        <w:rPr>
          <w:u w:val="single"/>
        </w:rPr>
        <w:t>studying racialized desires in the making of the white settler colonial projects</w:t>
      </w:r>
      <w:r w:rsidRPr="00087A72">
        <w:rPr>
          <w:sz w:val="12"/>
        </w:rPr>
        <w:t xml:space="preserve">. In her examination of the racialized cowboy figure in a South Asian diasporic film, Jafri argues that </w:t>
      </w:r>
      <w:r w:rsidRPr="00087A72">
        <w:rPr>
          <w:u w:val="single"/>
        </w:rPr>
        <w:t>desires of racialized subjects reproduce the setter state</w:t>
      </w:r>
      <w:r w:rsidRPr="00087A72">
        <w:rPr>
          <w:sz w:val="12"/>
        </w:rPr>
        <w:t xml:space="preserve"> (“Desire, Settler Colonialism” 74). By looking at settler colonialism as “a project of desire” (73), Jafri contends: </w:t>
      </w:r>
      <w:r w:rsidRPr="00087A72">
        <w:rPr>
          <w:u w:val="single"/>
        </w:rPr>
        <w:t xml:space="preserve">Settlerhood is not only an object of desire in and of itself, but desires which appear innate </w:t>
      </w:r>
      <w:r w:rsidRPr="00087A72">
        <w:rPr>
          <w:sz w:val="12"/>
        </w:rPr>
        <w:t xml:space="preserve">and ahistorical do the work of </w:t>
      </w:r>
      <w:r w:rsidRPr="00087A72">
        <w:rPr>
          <w:u w:val="single"/>
        </w:rPr>
        <w:t>naturalizing the colonial imperative to indigenize the settler</w:t>
      </w:r>
      <w:r w:rsidRPr="00087A72">
        <w:rPr>
          <w:sz w:val="12"/>
        </w:rPr>
        <w:t xml:space="preserve">, while erasing Indigenous histories of, and claims to, land. (83) 235 Thus, racialized desires do the work of maintaining the settler state, and in the process legitimizing the colonial state and racialized peoples’ presence in these state. Jafri focuses on </w:t>
      </w:r>
      <w:r w:rsidRPr="00087A72">
        <w:rPr>
          <w:u w:val="single"/>
        </w:rPr>
        <w:t>love, marriages, and “settling down” as racialized desires that produce the settler state</w:t>
      </w:r>
      <w:r w:rsidRPr="00087A72">
        <w:rPr>
          <w:sz w:val="12"/>
        </w:rPr>
        <w:t xml:space="preserve">. </w:t>
      </w:r>
      <w:r w:rsidRPr="00087A72">
        <w:rPr>
          <w:u w:val="single"/>
        </w:rPr>
        <w:t>I add to this work by looking at modalities of desire and labour together which produce the settler state</w:t>
      </w:r>
      <w:r w:rsidRPr="00087A72">
        <w:rPr>
          <w:sz w:val="12"/>
        </w:rPr>
        <w:t xml:space="preserve">. Instead of separating the affective from the material, and reducing diasporic formations to either logics of desire or logics of labour, in this chapter, I argue that </w:t>
      </w:r>
      <w:r w:rsidRPr="00087A72">
        <w:rPr>
          <w:b/>
          <w:iCs/>
          <w:u w:val="single"/>
        </w:rPr>
        <w:t>the desiring racialized body is the same as the labouring racialized body.</w:t>
      </w:r>
      <w:r w:rsidRPr="00087A72">
        <w:rPr>
          <w:sz w:val="12"/>
        </w:rPr>
        <w:t xml:space="preserve">1 Seen together, </w:t>
      </w:r>
      <w:r w:rsidRPr="00087A72">
        <w:rPr>
          <w:u w:val="single"/>
        </w:rPr>
        <w:t>the desiring/labouring racialized bodies help us understand the logics of varying racial and colonial processes</w:t>
      </w:r>
      <w:r w:rsidRPr="00087A72">
        <w:rPr>
          <w:sz w:val="12"/>
        </w:rPr>
        <w:t xml:space="preserve"> in the making of white settler states. Further, it is through racialized desires and labour that the settler state maintains itself and normalizes ongoing colonization of Indigenous peoples. </w:t>
      </w:r>
      <w:r w:rsidRPr="00087A72">
        <w:rPr>
          <w:u w:val="single"/>
        </w:rPr>
        <w:t>Desiring/labouring racialized bodies, thus, are complicit in reproducing the settler state</w:t>
      </w:r>
      <w:r w:rsidRPr="00087A72">
        <w:rPr>
          <w:sz w:val="12"/>
        </w:rPr>
        <w:t xml:space="preserve">. </w:t>
      </w:r>
    </w:p>
    <w:p w:rsidR="00D005A2" w:rsidRPr="00087A72" w:rsidRDefault="00D005A2" w:rsidP="00D005A2"/>
    <w:p w:rsidR="00C72150" w:rsidRPr="00087A72" w:rsidRDefault="00C72150" w:rsidP="00D005A2">
      <w:pPr>
        <w:pStyle w:val="Heading3"/>
      </w:pPr>
      <w:r w:rsidRPr="00087A72">
        <w:t>Impact – Cisheteropatriarchy</w:t>
      </w:r>
    </w:p>
    <w:p w:rsidR="00C72150" w:rsidRPr="00087A72" w:rsidRDefault="00C72150" w:rsidP="00C72150">
      <w:pPr>
        <w:pStyle w:val="Heading4"/>
      </w:pPr>
      <w:r w:rsidRPr="00087A72">
        <w:t xml:space="preserve">Settlers create a society </w:t>
      </w:r>
      <w:r w:rsidR="006B227D" w:rsidRPr="00087A72">
        <w:t>where they “exact</w:t>
      </w:r>
      <w:r w:rsidRPr="00087A72">
        <w:t xml:space="preserve"> a sovereign right of death” to breed and control the </w:t>
      </w:r>
      <w:r w:rsidR="006B227D" w:rsidRPr="00087A72">
        <w:t>Indigenous-as-Queer</w:t>
      </w:r>
      <w:r w:rsidRPr="00087A72">
        <w:t xml:space="preserve"> body </w:t>
      </w:r>
      <w:r w:rsidR="006B227D" w:rsidRPr="00087A72">
        <w:t>as a means of e</w:t>
      </w:r>
      <w:r w:rsidRPr="00087A72">
        <w:t>ducating and assimila</w:t>
      </w:r>
      <w:r w:rsidR="006B227D" w:rsidRPr="00087A72">
        <w:t>ting them into the new culture.</w:t>
      </w:r>
    </w:p>
    <w:p w:rsidR="00C72150" w:rsidRPr="00087A72" w:rsidRDefault="00C72150" w:rsidP="00C72150">
      <w:pPr>
        <w:rPr>
          <w:b/>
          <w:spacing w:val="-5"/>
          <w:sz w:val="26"/>
          <w:szCs w:val="26"/>
        </w:rPr>
      </w:pPr>
      <w:r w:rsidRPr="00087A72">
        <w:rPr>
          <w:rStyle w:val="Style13ptBold"/>
        </w:rPr>
        <w:t xml:space="preserve">Morgenson 2011 </w:t>
      </w:r>
      <w:r w:rsidRPr="00087A72">
        <w:t>(Scott,</w:t>
      </w:r>
      <w:r w:rsidRPr="00087A72">
        <w:rPr>
          <w:rFonts w:cs="Lucida Grande"/>
          <w:color w:val="000000"/>
          <w:sz w:val="21"/>
          <w:szCs w:val="21"/>
          <w:shd w:val="clear" w:color="auto" w:fill="FFFFFF"/>
        </w:rPr>
        <w:t xml:space="preserve"> Associate Professor in Gender Studies and the Graduate Program in Cultural Studies, Graduate Coordinator for Gender Studies</w:t>
      </w:r>
      <w:r w:rsidRPr="00087A72">
        <w:rPr>
          <w:rFonts w:cs="Lucida Grande"/>
          <w:color w:val="000000"/>
          <w:sz w:val="21"/>
          <w:szCs w:val="21"/>
        </w:rPr>
        <w:t xml:space="preserve"> </w:t>
      </w:r>
      <w:r w:rsidRPr="00087A72">
        <w:rPr>
          <w:rFonts w:cs="Lucida Grande"/>
          <w:color w:val="000000"/>
          <w:sz w:val="21"/>
          <w:szCs w:val="21"/>
          <w:shd w:val="clear" w:color="auto" w:fill="FFFFFF"/>
        </w:rPr>
        <w:t>Ethnography of social movements; anti-racism and anti-colonialism within queer and feminist politics; white settler colonialism; transnational HIV/AIDS activism “ Spaces Between Us” pp 64-72) (Tsar Adam.k)</w:t>
      </w:r>
    </w:p>
    <w:p w:rsidR="00C72150" w:rsidRPr="00087A72" w:rsidRDefault="00C72150" w:rsidP="00C72150">
      <w:pPr>
        <w:rPr>
          <w:b/>
          <w:iCs/>
          <w:sz w:val="26"/>
          <w:u w:val="single"/>
        </w:rPr>
      </w:pPr>
      <w:r w:rsidRPr="00087A72">
        <w:rPr>
          <w:rStyle w:val="Emphasis"/>
        </w:rPr>
        <w:t>Early colonists recurrently exacted a terrorizing sovereign right of death in order to educate Native people in the new colonial moral order.</w:t>
      </w:r>
      <w:r w:rsidRPr="00087A72">
        <w:rPr>
          <w:sz w:val="16"/>
          <w:szCs w:val="16"/>
        </w:rPr>
        <w:t xml:space="preserve"> </w:t>
      </w:r>
      <w:r w:rsidRPr="00087A72">
        <w:rPr>
          <w:spacing w:val="-3"/>
          <w:sz w:val="16"/>
          <w:szCs w:val="16"/>
        </w:rPr>
        <w:t xml:space="preserve">While </w:t>
      </w:r>
      <w:r w:rsidRPr="00087A72">
        <w:rPr>
          <w:spacing w:val="2"/>
          <w:sz w:val="16"/>
          <w:szCs w:val="16"/>
        </w:rPr>
        <w:t xml:space="preserve">interpreting </w:t>
      </w:r>
      <w:r w:rsidRPr="00087A72">
        <w:rPr>
          <w:sz w:val="16"/>
          <w:szCs w:val="16"/>
        </w:rPr>
        <w:t xml:space="preserve">Peter Martyr's </w:t>
      </w:r>
      <w:r w:rsidRPr="00087A72">
        <w:rPr>
          <w:spacing w:val="4"/>
          <w:sz w:val="16"/>
          <w:szCs w:val="16"/>
        </w:rPr>
        <w:t xml:space="preserve">account </w:t>
      </w:r>
      <w:r w:rsidRPr="00087A72">
        <w:rPr>
          <w:spacing w:val="5"/>
          <w:sz w:val="16"/>
          <w:szCs w:val="16"/>
        </w:rPr>
        <w:t xml:space="preserve">of </w:t>
      </w:r>
      <w:r w:rsidRPr="00087A72">
        <w:rPr>
          <w:spacing w:val="-7"/>
          <w:sz w:val="16"/>
          <w:szCs w:val="16"/>
        </w:rPr>
        <w:t xml:space="preserve">Vasco </w:t>
      </w:r>
      <w:r w:rsidRPr="00087A72">
        <w:rPr>
          <w:spacing w:val="3"/>
          <w:sz w:val="16"/>
          <w:szCs w:val="16"/>
        </w:rPr>
        <w:t xml:space="preserve">Nunez </w:t>
      </w:r>
      <w:r w:rsidRPr="00087A72">
        <w:rPr>
          <w:sz w:val="16"/>
          <w:szCs w:val="16"/>
        </w:rPr>
        <w:t xml:space="preserve">de Balboa's </w:t>
      </w:r>
      <w:r w:rsidRPr="00087A72">
        <w:rPr>
          <w:spacing w:val="7"/>
          <w:sz w:val="16"/>
          <w:szCs w:val="16"/>
        </w:rPr>
        <w:t xml:space="preserve">1513 </w:t>
      </w:r>
      <w:r w:rsidRPr="00087A72">
        <w:rPr>
          <w:sz w:val="16"/>
          <w:szCs w:val="16"/>
        </w:rPr>
        <w:t xml:space="preserve">expedition </w:t>
      </w:r>
      <w:r w:rsidRPr="00087A72">
        <w:rPr>
          <w:spacing w:val="-3"/>
          <w:sz w:val="16"/>
          <w:szCs w:val="16"/>
        </w:rPr>
        <w:t xml:space="preserve">in Panama, </w:t>
      </w:r>
      <w:r w:rsidRPr="00087A72">
        <w:rPr>
          <w:sz w:val="16"/>
          <w:szCs w:val="16"/>
        </w:rPr>
        <w:t xml:space="preserve">Jonathan </w:t>
      </w:r>
      <w:r w:rsidRPr="00087A72">
        <w:rPr>
          <w:spacing w:val="3"/>
          <w:sz w:val="16"/>
          <w:szCs w:val="16"/>
        </w:rPr>
        <w:t xml:space="preserve">Goldberg </w:t>
      </w:r>
      <w:r w:rsidRPr="00087A72">
        <w:rPr>
          <w:spacing w:val="4"/>
          <w:sz w:val="16"/>
          <w:szCs w:val="16"/>
        </w:rPr>
        <w:t xml:space="preserve">notes </w:t>
      </w:r>
      <w:r w:rsidRPr="00087A72">
        <w:rPr>
          <w:sz w:val="16"/>
          <w:szCs w:val="16"/>
        </w:rPr>
        <w:t xml:space="preserve">that Balboa's </w:t>
      </w:r>
      <w:r w:rsidRPr="00087A72">
        <w:rPr>
          <w:spacing w:val="3"/>
          <w:sz w:val="16"/>
          <w:szCs w:val="16"/>
        </w:rPr>
        <w:t xml:space="preserve">victorious </w:t>
      </w:r>
      <w:r w:rsidRPr="00087A72">
        <w:rPr>
          <w:spacing w:val="5"/>
          <w:sz w:val="16"/>
          <w:szCs w:val="16"/>
        </w:rPr>
        <w:t xml:space="preserve">arrival </w:t>
      </w:r>
      <w:r w:rsidRPr="00087A72">
        <w:rPr>
          <w:spacing w:val="3"/>
          <w:sz w:val="16"/>
          <w:szCs w:val="16"/>
        </w:rPr>
        <w:t xml:space="preserve">after </w:t>
      </w:r>
      <w:r w:rsidRPr="00087A72">
        <w:rPr>
          <w:sz w:val="16"/>
          <w:szCs w:val="16"/>
        </w:rPr>
        <w:t xml:space="preserve">battle at the house </w:t>
      </w:r>
      <w:r w:rsidRPr="00087A72">
        <w:rPr>
          <w:spacing w:val="5"/>
          <w:sz w:val="16"/>
          <w:szCs w:val="16"/>
        </w:rPr>
        <w:t xml:space="preserve">of </w:t>
      </w:r>
      <w:r w:rsidRPr="00087A72">
        <w:rPr>
          <w:sz w:val="16"/>
          <w:szCs w:val="16"/>
        </w:rPr>
        <w:t xml:space="preserve">the </w:t>
      </w:r>
      <w:r w:rsidRPr="00087A72">
        <w:rPr>
          <w:spacing w:val="2"/>
          <w:sz w:val="16"/>
          <w:szCs w:val="16"/>
        </w:rPr>
        <w:t xml:space="preserve">Indigenous </w:t>
      </w:r>
      <w:r w:rsidRPr="00087A72">
        <w:rPr>
          <w:sz w:val="16"/>
          <w:szCs w:val="16"/>
        </w:rPr>
        <w:t xml:space="preserve">king was framed </w:t>
      </w:r>
      <w:r w:rsidRPr="00087A72">
        <w:rPr>
          <w:spacing w:val="-8"/>
          <w:sz w:val="16"/>
          <w:szCs w:val="16"/>
        </w:rPr>
        <w:t xml:space="preserve">by </w:t>
      </w:r>
      <w:r w:rsidRPr="00087A72">
        <w:rPr>
          <w:sz w:val="16"/>
          <w:szCs w:val="16"/>
        </w:rPr>
        <w:t xml:space="preserve">his </w:t>
      </w:r>
      <w:r w:rsidRPr="00087A72">
        <w:rPr>
          <w:spacing w:val="2"/>
          <w:sz w:val="16"/>
          <w:szCs w:val="16"/>
        </w:rPr>
        <w:t xml:space="preserve">condemnation </w:t>
      </w:r>
      <w:r w:rsidRPr="00087A72">
        <w:rPr>
          <w:sz w:val="16"/>
          <w:szCs w:val="16"/>
        </w:rPr>
        <w:t xml:space="preserve">and elimination </w:t>
      </w:r>
      <w:r w:rsidRPr="00087A72">
        <w:rPr>
          <w:spacing w:val="5"/>
          <w:sz w:val="16"/>
          <w:szCs w:val="16"/>
        </w:rPr>
        <w:t xml:space="preserve">of </w:t>
      </w:r>
      <w:r w:rsidRPr="00087A72">
        <w:rPr>
          <w:sz w:val="16"/>
          <w:szCs w:val="16"/>
        </w:rPr>
        <w:t xml:space="preserve">what he perceived to be </w:t>
      </w:r>
      <w:r w:rsidRPr="00087A72">
        <w:rPr>
          <w:spacing w:val="2"/>
          <w:sz w:val="16"/>
          <w:szCs w:val="16"/>
        </w:rPr>
        <w:t xml:space="preserve">gender </w:t>
      </w:r>
      <w:r w:rsidRPr="00087A72">
        <w:rPr>
          <w:sz w:val="16"/>
          <w:szCs w:val="16"/>
        </w:rPr>
        <w:t>and</w:t>
      </w:r>
      <w:r w:rsidRPr="00087A72">
        <w:rPr>
          <w:spacing w:val="38"/>
          <w:sz w:val="16"/>
          <w:szCs w:val="16"/>
        </w:rPr>
        <w:t xml:space="preserve"> </w:t>
      </w:r>
      <w:r w:rsidRPr="00087A72">
        <w:rPr>
          <w:sz w:val="16"/>
          <w:szCs w:val="16"/>
        </w:rPr>
        <w:t xml:space="preserve">sexual transgression. </w:t>
      </w:r>
      <w:r w:rsidRPr="00087A72">
        <w:rPr>
          <w:rStyle w:val="Emphasis"/>
        </w:rPr>
        <w:t>On reportedly ﬁnding the king's brother and about forty other men dressed in women's apparel or living in sexual relationships, Balboa threw them out to be eaten alive by his dogs.</w:t>
      </w:r>
      <w:r w:rsidRPr="00087A72">
        <w:rPr>
          <w:sz w:val="16"/>
          <w:szCs w:val="16"/>
        </w:rPr>
        <w:t xml:space="preserve"> </w:t>
      </w:r>
      <w:r w:rsidRPr="00087A72">
        <w:rPr>
          <w:spacing w:val="3"/>
          <w:sz w:val="16"/>
          <w:szCs w:val="16"/>
        </w:rPr>
        <w:t xml:space="preserve">Goldberg </w:t>
      </w:r>
      <w:r w:rsidRPr="00087A72">
        <w:rPr>
          <w:spacing w:val="-3"/>
          <w:sz w:val="16"/>
          <w:szCs w:val="16"/>
        </w:rPr>
        <w:t xml:space="preserve">says </w:t>
      </w:r>
      <w:r w:rsidRPr="00087A72">
        <w:rPr>
          <w:sz w:val="16"/>
          <w:szCs w:val="16"/>
        </w:rPr>
        <w:t xml:space="preserve">that this </w:t>
      </w:r>
      <w:r w:rsidRPr="00087A72">
        <w:rPr>
          <w:spacing w:val="2"/>
          <w:sz w:val="16"/>
          <w:szCs w:val="16"/>
        </w:rPr>
        <w:t xml:space="preserve">act </w:t>
      </w:r>
      <w:r w:rsidRPr="00087A72">
        <w:rPr>
          <w:sz w:val="16"/>
          <w:szCs w:val="16"/>
        </w:rPr>
        <w:t xml:space="preserve">"retrospectively justiﬁes" the </w:t>
      </w:r>
      <w:r w:rsidRPr="00087A72">
        <w:rPr>
          <w:spacing w:val="2"/>
          <w:sz w:val="16"/>
          <w:szCs w:val="16"/>
        </w:rPr>
        <w:t xml:space="preserve">conqueror's </w:t>
      </w:r>
      <w:r w:rsidRPr="00087A72">
        <w:rPr>
          <w:sz w:val="16"/>
          <w:szCs w:val="16"/>
        </w:rPr>
        <w:t xml:space="preserve">earlier slaughters </w:t>
      </w:r>
      <w:r w:rsidRPr="00087A72">
        <w:rPr>
          <w:spacing w:val="-3"/>
          <w:sz w:val="16"/>
          <w:szCs w:val="16"/>
        </w:rPr>
        <w:t xml:space="preserve">in </w:t>
      </w:r>
      <w:r w:rsidRPr="00087A72">
        <w:rPr>
          <w:sz w:val="16"/>
          <w:szCs w:val="16"/>
        </w:rPr>
        <w:t xml:space="preserve">battle-in which Spanish soldiers killed Indians </w:t>
      </w:r>
      <w:r w:rsidRPr="00087A72">
        <w:rPr>
          <w:spacing w:val="-3"/>
          <w:sz w:val="16"/>
          <w:szCs w:val="16"/>
        </w:rPr>
        <w:t xml:space="preserve">"as </w:t>
      </w:r>
      <w:r w:rsidRPr="00087A72">
        <w:rPr>
          <w:spacing w:val="-5"/>
          <w:sz w:val="16"/>
          <w:szCs w:val="16"/>
        </w:rPr>
        <w:t xml:space="preserve">animals"-or, </w:t>
      </w:r>
      <w:r w:rsidRPr="00087A72">
        <w:rPr>
          <w:sz w:val="16"/>
          <w:szCs w:val="16"/>
        </w:rPr>
        <w:t xml:space="preserve">to </w:t>
      </w:r>
      <w:r w:rsidRPr="00087A72">
        <w:rPr>
          <w:spacing w:val="4"/>
          <w:sz w:val="16"/>
          <w:szCs w:val="16"/>
        </w:rPr>
        <w:t xml:space="preserve">quote </w:t>
      </w:r>
      <w:r w:rsidRPr="00087A72">
        <w:rPr>
          <w:spacing w:val="-5"/>
          <w:sz w:val="16"/>
          <w:szCs w:val="16"/>
        </w:rPr>
        <w:t xml:space="preserve">Martyr, </w:t>
      </w:r>
      <w:r w:rsidRPr="00087A72">
        <w:rPr>
          <w:sz w:val="16"/>
          <w:szCs w:val="16"/>
        </w:rPr>
        <w:t xml:space="preserve">"hewed </w:t>
      </w:r>
      <w:r w:rsidRPr="00087A72">
        <w:rPr>
          <w:spacing w:val="-4"/>
          <w:sz w:val="16"/>
          <w:szCs w:val="16"/>
        </w:rPr>
        <w:t xml:space="preserve">... </w:t>
      </w:r>
      <w:r w:rsidRPr="00087A72">
        <w:rPr>
          <w:spacing w:val="-3"/>
          <w:sz w:val="16"/>
          <w:szCs w:val="16"/>
        </w:rPr>
        <w:t xml:space="preserve">in </w:t>
      </w:r>
      <w:r w:rsidRPr="00087A72">
        <w:rPr>
          <w:spacing w:val="3"/>
          <w:sz w:val="16"/>
          <w:szCs w:val="16"/>
        </w:rPr>
        <w:t xml:space="preserve">pieces </w:t>
      </w:r>
      <w:r w:rsidRPr="00087A72">
        <w:rPr>
          <w:sz w:val="16"/>
          <w:szCs w:val="16"/>
        </w:rPr>
        <w:t xml:space="preserve">as the butchers </w:t>
      </w:r>
      <w:r w:rsidRPr="00087A72">
        <w:rPr>
          <w:spacing w:val="4"/>
          <w:sz w:val="16"/>
          <w:szCs w:val="16"/>
        </w:rPr>
        <w:t xml:space="preserve">doo </w:t>
      </w:r>
      <w:r w:rsidRPr="00087A72">
        <w:rPr>
          <w:sz w:val="16"/>
          <w:szCs w:val="16"/>
        </w:rPr>
        <w:t xml:space="preserve">ﬂeshe." </w:t>
      </w:r>
      <w:r w:rsidRPr="00087A72">
        <w:rPr>
          <w:spacing w:val="-5"/>
          <w:sz w:val="16"/>
          <w:szCs w:val="16"/>
        </w:rPr>
        <w:t xml:space="preserve">For </w:t>
      </w:r>
      <w:r w:rsidRPr="00087A72">
        <w:rPr>
          <w:spacing w:val="2"/>
          <w:sz w:val="16"/>
          <w:szCs w:val="16"/>
        </w:rPr>
        <w:t xml:space="preserve">Goldberg, </w:t>
      </w:r>
      <w:r w:rsidRPr="00087A72">
        <w:rPr>
          <w:sz w:val="16"/>
          <w:szCs w:val="16"/>
        </w:rPr>
        <w:t xml:space="preserve">"post-facto, the </w:t>
      </w:r>
      <w:r w:rsidRPr="00087A72">
        <w:rPr>
          <w:spacing w:val="4"/>
          <w:sz w:val="16"/>
          <w:szCs w:val="16"/>
        </w:rPr>
        <w:t xml:space="preserve">body </w:t>
      </w:r>
      <w:r w:rsidRPr="00087A72">
        <w:rPr>
          <w:spacing w:val="5"/>
          <w:sz w:val="16"/>
          <w:szCs w:val="16"/>
        </w:rPr>
        <w:t xml:space="preserve">of </w:t>
      </w:r>
      <w:r w:rsidRPr="00087A72">
        <w:rPr>
          <w:sz w:val="16"/>
          <w:szCs w:val="16"/>
        </w:rPr>
        <w:t xml:space="preserve">the sodomite takes </w:t>
      </w:r>
      <w:r w:rsidRPr="00087A72">
        <w:rPr>
          <w:spacing w:val="5"/>
          <w:sz w:val="16"/>
          <w:szCs w:val="16"/>
        </w:rPr>
        <w:t xml:space="preserve">on </w:t>
      </w:r>
      <w:r w:rsidRPr="00087A72">
        <w:rPr>
          <w:sz w:val="16"/>
          <w:szCs w:val="16"/>
        </w:rPr>
        <w:t xml:space="preserve">an originary status, as the cause for what was </w:t>
      </w:r>
      <w:r w:rsidRPr="00087A72">
        <w:rPr>
          <w:spacing w:val="3"/>
          <w:sz w:val="16"/>
          <w:szCs w:val="16"/>
        </w:rPr>
        <w:t xml:space="preserve">done </w:t>
      </w:r>
      <w:r w:rsidRPr="00087A72">
        <w:rPr>
          <w:sz w:val="16"/>
          <w:szCs w:val="16"/>
        </w:rPr>
        <w:t xml:space="preserve">to the Indians </w:t>
      </w:r>
      <w:r w:rsidRPr="00087A72">
        <w:rPr>
          <w:spacing w:val="-3"/>
          <w:sz w:val="16"/>
          <w:szCs w:val="16"/>
        </w:rPr>
        <w:t xml:space="preserve">in </w:t>
      </w:r>
      <w:r w:rsidRPr="00087A72">
        <w:rPr>
          <w:sz w:val="16"/>
          <w:szCs w:val="16"/>
        </w:rPr>
        <w:t xml:space="preserve">the ﬁrst </w:t>
      </w:r>
      <w:r w:rsidRPr="00087A72">
        <w:rPr>
          <w:spacing w:val="-3"/>
          <w:sz w:val="16"/>
          <w:szCs w:val="16"/>
        </w:rPr>
        <w:t>place</w:t>
      </w:r>
      <w:r w:rsidRPr="00087A72">
        <w:rPr>
          <w:rStyle w:val="Emphasis"/>
        </w:rPr>
        <w:t>."" Linking ascriptions of savagery to transgressions of a sexual nature thus defined European rule as sexual colonization</w:t>
      </w:r>
      <w:r w:rsidRPr="00087A72">
        <w:rPr>
          <w:spacing w:val="2"/>
          <w:sz w:val="16"/>
          <w:szCs w:val="16"/>
        </w:rPr>
        <w:t>.</w:t>
      </w:r>
      <w:r w:rsidRPr="00087A72">
        <w:rPr>
          <w:sz w:val="16"/>
          <w:szCs w:val="16"/>
        </w:rPr>
        <w:t xml:space="preserve"> The </w:t>
      </w:r>
      <w:r w:rsidRPr="00087A72">
        <w:rPr>
          <w:spacing w:val="4"/>
          <w:sz w:val="16"/>
          <w:szCs w:val="16"/>
        </w:rPr>
        <w:t xml:space="preserve">account </w:t>
      </w:r>
      <w:r w:rsidRPr="00087A72">
        <w:rPr>
          <w:spacing w:val="5"/>
          <w:sz w:val="16"/>
          <w:szCs w:val="16"/>
        </w:rPr>
        <w:t xml:space="preserve">of </w:t>
      </w:r>
      <w:r w:rsidRPr="00087A72">
        <w:rPr>
          <w:sz w:val="16"/>
          <w:szCs w:val="16"/>
        </w:rPr>
        <w:t xml:space="preserve">Balboa </w:t>
      </w:r>
      <w:r w:rsidRPr="00087A72">
        <w:rPr>
          <w:spacing w:val="3"/>
          <w:sz w:val="16"/>
          <w:szCs w:val="16"/>
        </w:rPr>
        <w:t xml:space="preserve">evokes </w:t>
      </w:r>
      <w:r w:rsidRPr="00087A72">
        <w:rPr>
          <w:sz w:val="16"/>
          <w:szCs w:val="16"/>
        </w:rPr>
        <w:t xml:space="preserve">qualities that </w:t>
      </w:r>
      <w:r w:rsidRPr="00087A72">
        <w:rPr>
          <w:spacing w:val="3"/>
          <w:sz w:val="16"/>
          <w:szCs w:val="16"/>
        </w:rPr>
        <w:t xml:space="preserve">inﬂected </w:t>
      </w:r>
      <w:r w:rsidRPr="00087A72">
        <w:rPr>
          <w:spacing w:val="4"/>
          <w:sz w:val="16"/>
          <w:szCs w:val="16"/>
        </w:rPr>
        <w:t xml:space="preserve">other </w:t>
      </w:r>
      <w:r w:rsidRPr="00087A72">
        <w:rPr>
          <w:spacing w:val="-3"/>
          <w:sz w:val="16"/>
          <w:szCs w:val="16"/>
        </w:rPr>
        <w:t xml:space="preserve">early </w:t>
      </w:r>
      <w:r w:rsidRPr="00087A72">
        <w:rPr>
          <w:sz w:val="16"/>
          <w:szCs w:val="16"/>
        </w:rPr>
        <w:t xml:space="preserve">Spanish, </w:t>
      </w:r>
      <w:r w:rsidRPr="00087A72">
        <w:rPr>
          <w:spacing w:val="-4"/>
          <w:sz w:val="16"/>
          <w:szCs w:val="16"/>
        </w:rPr>
        <w:t xml:space="preserve">French, </w:t>
      </w:r>
      <w:r w:rsidRPr="00087A72">
        <w:rPr>
          <w:sz w:val="16"/>
          <w:szCs w:val="16"/>
        </w:rPr>
        <w:t xml:space="preserve">and British </w:t>
      </w:r>
      <w:r w:rsidRPr="00087A72">
        <w:rPr>
          <w:spacing w:val="4"/>
          <w:sz w:val="16"/>
          <w:szCs w:val="16"/>
        </w:rPr>
        <w:t xml:space="preserve">encounters </w:t>
      </w:r>
      <w:r w:rsidRPr="00087A72">
        <w:rPr>
          <w:sz w:val="16"/>
          <w:szCs w:val="16"/>
        </w:rPr>
        <w:t xml:space="preserve">with Native </w:t>
      </w:r>
      <w:r w:rsidRPr="00087A72">
        <w:rPr>
          <w:spacing w:val="3"/>
          <w:sz w:val="16"/>
          <w:szCs w:val="16"/>
        </w:rPr>
        <w:t xml:space="preserve">peoples </w:t>
      </w:r>
      <w:r w:rsidRPr="00087A72">
        <w:rPr>
          <w:spacing w:val="2"/>
          <w:sz w:val="16"/>
          <w:szCs w:val="16"/>
        </w:rPr>
        <w:t xml:space="preserve">narrated </w:t>
      </w:r>
      <w:r w:rsidRPr="00087A72">
        <w:rPr>
          <w:spacing w:val="-8"/>
          <w:sz w:val="16"/>
          <w:szCs w:val="16"/>
        </w:rPr>
        <w:t xml:space="preserve">by </w:t>
      </w:r>
      <w:r w:rsidRPr="00087A72">
        <w:rPr>
          <w:sz w:val="16"/>
          <w:szCs w:val="16"/>
        </w:rPr>
        <w:t xml:space="preserve">the </w:t>
      </w:r>
      <w:r w:rsidRPr="00087A72">
        <w:rPr>
          <w:spacing w:val="3"/>
          <w:sz w:val="16"/>
          <w:szCs w:val="16"/>
        </w:rPr>
        <w:t xml:space="preserve">category </w:t>
      </w:r>
      <w:r w:rsidRPr="00087A72">
        <w:rPr>
          <w:spacing w:val="5"/>
          <w:sz w:val="16"/>
          <w:szCs w:val="16"/>
        </w:rPr>
        <w:t xml:space="preserve">of </w:t>
      </w:r>
      <w:r w:rsidRPr="00087A72">
        <w:rPr>
          <w:sz w:val="16"/>
          <w:szCs w:val="16"/>
        </w:rPr>
        <w:t xml:space="preserve">berdache. This Orientalist </w:t>
      </w:r>
      <w:r w:rsidRPr="00087A72">
        <w:rPr>
          <w:spacing w:val="3"/>
          <w:sz w:val="16"/>
          <w:szCs w:val="16"/>
        </w:rPr>
        <w:t xml:space="preserve">term </w:t>
      </w:r>
      <w:r w:rsidRPr="00087A72">
        <w:rPr>
          <w:spacing w:val="-3"/>
          <w:sz w:val="16"/>
          <w:szCs w:val="16"/>
        </w:rPr>
        <w:t xml:space="preserve">arose </w:t>
      </w:r>
      <w:r w:rsidRPr="00087A72">
        <w:rPr>
          <w:sz w:val="16"/>
          <w:szCs w:val="16"/>
        </w:rPr>
        <w:t xml:space="preserve">ﬁrst to </w:t>
      </w:r>
      <w:r w:rsidRPr="00087A72">
        <w:rPr>
          <w:spacing w:val="2"/>
          <w:sz w:val="16"/>
          <w:szCs w:val="16"/>
        </w:rPr>
        <w:t xml:space="preserve">condemn </w:t>
      </w:r>
      <w:r w:rsidRPr="00087A72">
        <w:rPr>
          <w:sz w:val="16"/>
          <w:szCs w:val="16"/>
        </w:rPr>
        <w:t xml:space="preserve">Middle Eastern and </w:t>
      </w:r>
      <w:r w:rsidRPr="00087A72">
        <w:rPr>
          <w:spacing w:val="-3"/>
          <w:sz w:val="16"/>
          <w:szCs w:val="16"/>
        </w:rPr>
        <w:t xml:space="preserve">Muslim </w:t>
      </w:r>
      <w:r w:rsidRPr="00087A72">
        <w:rPr>
          <w:sz w:val="16"/>
          <w:szCs w:val="16"/>
        </w:rPr>
        <w:t xml:space="preserve">men as racial enemies </w:t>
      </w:r>
      <w:r w:rsidRPr="00087A72">
        <w:rPr>
          <w:spacing w:val="5"/>
          <w:sz w:val="16"/>
          <w:szCs w:val="16"/>
        </w:rPr>
        <w:t xml:space="preserve">of </w:t>
      </w:r>
      <w:r w:rsidRPr="00087A72">
        <w:rPr>
          <w:sz w:val="16"/>
          <w:szCs w:val="16"/>
        </w:rPr>
        <w:t xml:space="preserve">Christian civilization, </w:t>
      </w:r>
      <w:r w:rsidRPr="00087A72">
        <w:rPr>
          <w:spacing w:val="-8"/>
          <w:sz w:val="16"/>
          <w:szCs w:val="16"/>
        </w:rPr>
        <w:t xml:space="preserve">by </w:t>
      </w:r>
      <w:r w:rsidRPr="00087A72">
        <w:rPr>
          <w:sz w:val="16"/>
          <w:szCs w:val="16"/>
        </w:rPr>
        <w:t xml:space="preserve">linking </w:t>
      </w:r>
      <w:r w:rsidRPr="00087A72">
        <w:rPr>
          <w:spacing w:val="2"/>
          <w:sz w:val="16"/>
          <w:szCs w:val="16"/>
        </w:rPr>
        <w:t xml:space="preserve">them </w:t>
      </w:r>
      <w:r w:rsidRPr="00087A72">
        <w:rPr>
          <w:sz w:val="16"/>
          <w:szCs w:val="16"/>
        </w:rPr>
        <w:t xml:space="preserve">to the </w:t>
      </w:r>
      <w:r w:rsidRPr="00087A72">
        <w:rPr>
          <w:spacing w:val="3"/>
          <w:sz w:val="16"/>
          <w:szCs w:val="16"/>
        </w:rPr>
        <w:t xml:space="preserve">creation </w:t>
      </w:r>
      <w:r w:rsidRPr="00087A72">
        <w:rPr>
          <w:spacing w:val="5"/>
          <w:sz w:val="16"/>
          <w:szCs w:val="16"/>
        </w:rPr>
        <w:t xml:space="preserve">of </w:t>
      </w:r>
      <w:r w:rsidRPr="00087A72">
        <w:rPr>
          <w:sz w:val="16"/>
          <w:szCs w:val="16"/>
        </w:rPr>
        <w:t xml:space="preserve">berdache </w:t>
      </w:r>
      <w:r w:rsidRPr="00087A72">
        <w:rPr>
          <w:spacing w:val="-3"/>
          <w:sz w:val="16"/>
          <w:szCs w:val="16"/>
        </w:rPr>
        <w:t xml:space="preserve">(in </w:t>
      </w:r>
      <w:r w:rsidRPr="00087A72">
        <w:rPr>
          <w:sz w:val="16"/>
          <w:szCs w:val="16"/>
        </w:rPr>
        <w:t xml:space="preserve">translation) as "kept </w:t>
      </w:r>
      <w:r w:rsidRPr="00087A72">
        <w:rPr>
          <w:spacing w:val="-3"/>
          <w:sz w:val="16"/>
          <w:szCs w:val="16"/>
        </w:rPr>
        <w:t xml:space="preserve">boys" </w:t>
      </w:r>
      <w:r w:rsidRPr="00087A72">
        <w:rPr>
          <w:spacing w:val="5"/>
          <w:sz w:val="16"/>
          <w:szCs w:val="16"/>
        </w:rPr>
        <w:t xml:space="preserve">or </w:t>
      </w:r>
      <w:r w:rsidRPr="00087A72">
        <w:rPr>
          <w:spacing w:val="-3"/>
          <w:sz w:val="16"/>
          <w:szCs w:val="16"/>
        </w:rPr>
        <w:t xml:space="preserve">"boy </w:t>
      </w:r>
      <w:r w:rsidRPr="00087A72">
        <w:rPr>
          <w:sz w:val="16"/>
          <w:szCs w:val="16"/>
        </w:rPr>
        <w:t xml:space="preserve">slaves" whose sex was </w:t>
      </w:r>
      <w:r w:rsidRPr="00087A72">
        <w:rPr>
          <w:spacing w:val="-4"/>
          <w:sz w:val="16"/>
          <w:szCs w:val="16"/>
        </w:rPr>
        <w:t xml:space="preserve">said </w:t>
      </w:r>
      <w:r w:rsidRPr="00087A72">
        <w:rPr>
          <w:sz w:val="16"/>
          <w:szCs w:val="16"/>
        </w:rPr>
        <w:t xml:space="preserve">to have </w:t>
      </w:r>
      <w:r w:rsidRPr="00087A72">
        <w:rPr>
          <w:spacing w:val="4"/>
          <w:sz w:val="16"/>
          <w:szCs w:val="16"/>
        </w:rPr>
        <w:t xml:space="preserve">been </w:t>
      </w:r>
      <w:r w:rsidRPr="00087A72">
        <w:rPr>
          <w:spacing w:val="2"/>
          <w:sz w:val="16"/>
          <w:szCs w:val="16"/>
        </w:rPr>
        <w:t xml:space="preserve">altered </w:t>
      </w:r>
      <w:r w:rsidRPr="00087A72">
        <w:rPr>
          <w:spacing w:val="-8"/>
          <w:sz w:val="16"/>
          <w:szCs w:val="16"/>
        </w:rPr>
        <w:t xml:space="preserve">by </w:t>
      </w:r>
      <w:r w:rsidRPr="00087A72">
        <w:rPr>
          <w:sz w:val="16"/>
          <w:szCs w:val="16"/>
        </w:rPr>
        <w:t xml:space="preserve">immoral </w:t>
      </w:r>
      <w:r w:rsidRPr="00087A72">
        <w:rPr>
          <w:spacing w:val="-4"/>
          <w:sz w:val="16"/>
          <w:szCs w:val="16"/>
        </w:rPr>
        <w:t xml:space="preserve">male </w:t>
      </w:r>
      <w:r w:rsidRPr="00087A72">
        <w:rPr>
          <w:sz w:val="16"/>
          <w:szCs w:val="16"/>
        </w:rPr>
        <w:t xml:space="preserve">desire. Like the </w:t>
      </w:r>
      <w:r w:rsidRPr="00087A72">
        <w:rPr>
          <w:spacing w:val="3"/>
          <w:sz w:val="16"/>
          <w:szCs w:val="16"/>
        </w:rPr>
        <w:t xml:space="preserve">category </w:t>
      </w:r>
      <w:r w:rsidRPr="00087A72">
        <w:rPr>
          <w:sz w:val="16"/>
          <w:szCs w:val="16"/>
        </w:rPr>
        <w:t xml:space="preserve">berdache, the transgressions Balboa </w:t>
      </w:r>
      <w:r w:rsidRPr="00087A72">
        <w:rPr>
          <w:spacing w:val="2"/>
          <w:sz w:val="16"/>
          <w:szCs w:val="16"/>
        </w:rPr>
        <w:t xml:space="preserve">described </w:t>
      </w:r>
      <w:r w:rsidRPr="00087A72">
        <w:rPr>
          <w:sz w:val="16"/>
          <w:szCs w:val="16"/>
        </w:rPr>
        <w:t xml:space="preserve">did </w:t>
      </w:r>
      <w:r w:rsidRPr="00087A72">
        <w:rPr>
          <w:spacing w:val="3"/>
          <w:sz w:val="16"/>
          <w:szCs w:val="16"/>
        </w:rPr>
        <w:t xml:space="preserve">not </w:t>
      </w:r>
      <w:r w:rsidRPr="00087A72">
        <w:rPr>
          <w:spacing w:val="-7"/>
          <w:sz w:val="16"/>
          <w:szCs w:val="16"/>
        </w:rPr>
        <w:t xml:space="preserve">mark </w:t>
      </w:r>
      <w:r w:rsidRPr="00087A72">
        <w:rPr>
          <w:sz w:val="16"/>
          <w:szCs w:val="16"/>
        </w:rPr>
        <w:t xml:space="preserve">just </w:t>
      </w:r>
      <w:r w:rsidRPr="00087A72">
        <w:rPr>
          <w:spacing w:val="2"/>
          <w:sz w:val="16"/>
          <w:szCs w:val="16"/>
        </w:rPr>
        <w:t xml:space="preserve">gender </w:t>
      </w:r>
      <w:r w:rsidRPr="00087A72">
        <w:rPr>
          <w:spacing w:val="5"/>
          <w:sz w:val="16"/>
          <w:szCs w:val="16"/>
        </w:rPr>
        <w:t xml:space="preserve">or </w:t>
      </w:r>
      <w:r w:rsidRPr="00087A72">
        <w:rPr>
          <w:sz w:val="16"/>
          <w:szCs w:val="16"/>
        </w:rPr>
        <w:t xml:space="preserve">sexual transgressions </w:t>
      </w:r>
      <w:r w:rsidRPr="00087A72">
        <w:rPr>
          <w:spacing w:val="2"/>
          <w:sz w:val="16"/>
          <w:szCs w:val="16"/>
        </w:rPr>
        <w:t xml:space="preserve">but </w:t>
      </w:r>
      <w:r w:rsidRPr="00087A72">
        <w:rPr>
          <w:sz w:val="16"/>
          <w:szCs w:val="16"/>
        </w:rPr>
        <w:t xml:space="preserve">the </w:t>
      </w:r>
      <w:r w:rsidRPr="00087A72">
        <w:rPr>
          <w:spacing w:val="2"/>
          <w:sz w:val="16"/>
          <w:szCs w:val="16"/>
        </w:rPr>
        <w:t xml:space="preserve">acts </w:t>
      </w:r>
      <w:r w:rsidRPr="00087A72">
        <w:rPr>
          <w:spacing w:val="5"/>
          <w:sz w:val="16"/>
          <w:szCs w:val="16"/>
        </w:rPr>
        <w:t xml:space="preserve">of </w:t>
      </w:r>
      <w:r w:rsidRPr="00087A72">
        <w:rPr>
          <w:spacing w:val="2"/>
          <w:sz w:val="16"/>
          <w:szCs w:val="16"/>
        </w:rPr>
        <w:t xml:space="preserve">powerful </w:t>
      </w:r>
      <w:r w:rsidRPr="00087A72">
        <w:rPr>
          <w:sz w:val="16"/>
          <w:szCs w:val="16"/>
        </w:rPr>
        <w:t xml:space="preserve">men that </w:t>
      </w:r>
      <w:r w:rsidRPr="00087A72">
        <w:rPr>
          <w:spacing w:val="3"/>
          <w:sz w:val="16"/>
          <w:szCs w:val="16"/>
        </w:rPr>
        <w:t xml:space="preserve">turned </w:t>
      </w:r>
      <w:r w:rsidRPr="00087A72">
        <w:rPr>
          <w:spacing w:val="2"/>
          <w:sz w:val="16"/>
          <w:szCs w:val="16"/>
        </w:rPr>
        <w:t xml:space="preserve">them </w:t>
      </w:r>
      <w:r w:rsidRPr="00087A72">
        <w:rPr>
          <w:spacing w:val="5"/>
          <w:sz w:val="16"/>
          <w:szCs w:val="16"/>
        </w:rPr>
        <w:t xml:space="preserve">or </w:t>
      </w:r>
      <w:r w:rsidRPr="00087A72">
        <w:rPr>
          <w:spacing w:val="4"/>
          <w:sz w:val="16"/>
          <w:szCs w:val="16"/>
        </w:rPr>
        <w:t xml:space="preserve">others </w:t>
      </w:r>
      <w:r w:rsidRPr="00087A72">
        <w:rPr>
          <w:spacing w:val="-3"/>
          <w:sz w:val="16"/>
          <w:szCs w:val="16"/>
        </w:rPr>
        <w:t xml:space="preserve">against </w:t>
      </w:r>
      <w:r w:rsidRPr="00087A72">
        <w:rPr>
          <w:sz w:val="16"/>
          <w:szCs w:val="16"/>
        </w:rPr>
        <w:t xml:space="preserve">nature, resulting </w:t>
      </w:r>
      <w:r w:rsidRPr="00087A72">
        <w:rPr>
          <w:spacing w:val="-3"/>
          <w:sz w:val="16"/>
          <w:szCs w:val="16"/>
        </w:rPr>
        <w:t xml:space="preserve">in </w:t>
      </w:r>
      <w:r w:rsidRPr="00087A72">
        <w:rPr>
          <w:sz w:val="16"/>
          <w:szCs w:val="16"/>
        </w:rPr>
        <w:t xml:space="preserve">an immoral and effeminized </w:t>
      </w:r>
      <w:r w:rsidRPr="00087A72">
        <w:rPr>
          <w:spacing w:val="-4"/>
          <w:sz w:val="16"/>
          <w:szCs w:val="16"/>
        </w:rPr>
        <w:t xml:space="preserve">male </w:t>
      </w:r>
      <w:r w:rsidRPr="00087A72">
        <w:rPr>
          <w:sz w:val="16"/>
          <w:szCs w:val="16"/>
        </w:rPr>
        <w:t xml:space="preserve">leadership that invited and justiﬁed </w:t>
      </w:r>
      <w:r w:rsidRPr="00087A72">
        <w:rPr>
          <w:spacing w:val="3"/>
          <w:sz w:val="16"/>
          <w:szCs w:val="16"/>
        </w:rPr>
        <w:t xml:space="preserve">conquest. </w:t>
      </w:r>
      <w:r w:rsidRPr="00087A72">
        <w:rPr>
          <w:spacing w:val="-3"/>
          <w:sz w:val="16"/>
          <w:szCs w:val="16"/>
        </w:rPr>
        <w:t xml:space="preserve">Such </w:t>
      </w:r>
      <w:r w:rsidRPr="00087A72">
        <w:rPr>
          <w:sz w:val="16"/>
          <w:szCs w:val="16"/>
        </w:rPr>
        <w:t xml:space="preserve">an </w:t>
      </w:r>
      <w:r w:rsidRPr="00087A72">
        <w:rPr>
          <w:spacing w:val="4"/>
          <w:sz w:val="16"/>
          <w:szCs w:val="16"/>
        </w:rPr>
        <w:t xml:space="preserve">account </w:t>
      </w:r>
      <w:r w:rsidRPr="00087A72">
        <w:rPr>
          <w:spacing w:val="5"/>
          <w:sz w:val="16"/>
          <w:szCs w:val="16"/>
        </w:rPr>
        <w:t xml:space="preserve">reﬂects </w:t>
      </w:r>
      <w:r w:rsidRPr="00087A72">
        <w:rPr>
          <w:spacing w:val="-3"/>
          <w:sz w:val="16"/>
          <w:szCs w:val="16"/>
        </w:rPr>
        <w:t xml:space="preserve">how </w:t>
      </w:r>
      <w:r w:rsidRPr="00087A72">
        <w:rPr>
          <w:sz w:val="16"/>
          <w:szCs w:val="16"/>
        </w:rPr>
        <w:t xml:space="preserve">early-modern </w:t>
      </w:r>
      <w:r w:rsidRPr="00087A72">
        <w:rPr>
          <w:spacing w:val="3"/>
          <w:sz w:val="16"/>
          <w:szCs w:val="16"/>
        </w:rPr>
        <w:t>European</w:t>
      </w:r>
      <w:r w:rsidRPr="00087A72">
        <w:rPr>
          <w:spacing w:val="-19"/>
          <w:sz w:val="16"/>
          <w:szCs w:val="16"/>
        </w:rPr>
        <w:t xml:space="preserve"> </w:t>
      </w:r>
      <w:r w:rsidRPr="00087A72">
        <w:rPr>
          <w:sz w:val="16"/>
          <w:szCs w:val="16"/>
        </w:rPr>
        <w:t>systems</w:t>
      </w:r>
      <w:r w:rsidRPr="00087A72">
        <w:rPr>
          <w:spacing w:val="-24"/>
          <w:sz w:val="16"/>
          <w:szCs w:val="16"/>
        </w:rPr>
        <w:t xml:space="preserve"> </w:t>
      </w:r>
      <w:r w:rsidRPr="00087A72">
        <w:rPr>
          <w:spacing w:val="5"/>
          <w:sz w:val="16"/>
          <w:szCs w:val="16"/>
        </w:rPr>
        <w:t>of</w:t>
      </w:r>
      <w:r w:rsidRPr="00087A72">
        <w:rPr>
          <w:spacing w:val="-12"/>
          <w:sz w:val="16"/>
          <w:szCs w:val="16"/>
        </w:rPr>
        <w:t xml:space="preserve"> </w:t>
      </w:r>
      <w:r w:rsidRPr="00087A72">
        <w:rPr>
          <w:sz w:val="16"/>
          <w:szCs w:val="16"/>
        </w:rPr>
        <w:t>sex</w:t>
      </w:r>
      <w:r w:rsidRPr="00087A72">
        <w:rPr>
          <w:spacing w:val="-22"/>
          <w:sz w:val="16"/>
          <w:szCs w:val="16"/>
        </w:rPr>
        <w:t xml:space="preserve"> </w:t>
      </w:r>
      <w:r w:rsidRPr="00087A72">
        <w:rPr>
          <w:spacing w:val="4"/>
          <w:sz w:val="16"/>
          <w:szCs w:val="16"/>
        </w:rPr>
        <w:t>fostered</w:t>
      </w:r>
      <w:r w:rsidRPr="00087A72">
        <w:rPr>
          <w:spacing w:val="-16"/>
          <w:sz w:val="16"/>
          <w:szCs w:val="16"/>
        </w:rPr>
        <w:t xml:space="preserve"> </w:t>
      </w:r>
      <w:r w:rsidRPr="00087A72">
        <w:rPr>
          <w:spacing w:val="-3"/>
          <w:sz w:val="16"/>
          <w:szCs w:val="16"/>
        </w:rPr>
        <w:t>misogynist</w:t>
      </w:r>
      <w:r w:rsidRPr="00087A72">
        <w:rPr>
          <w:spacing w:val="-16"/>
          <w:sz w:val="16"/>
          <w:szCs w:val="16"/>
        </w:rPr>
        <w:t xml:space="preserve"> </w:t>
      </w:r>
      <w:r w:rsidRPr="00087A72">
        <w:rPr>
          <w:spacing w:val="-3"/>
          <w:sz w:val="16"/>
          <w:szCs w:val="16"/>
        </w:rPr>
        <w:t>hierarchies,</w:t>
      </w:r>
      <w:r w:rsidRPr="00087A72">
        <w:rPr>
          <w:spacing w:val="-18"/>
          <w:sz w:val="16"/>
          <w:szCs w:val="16"/>
        </w:rPr>
        <w:t xml:space="preserve"> </w:t>
      </w:r>
      <w:r w:rsidRPr="00087A72">
        <w:rPr>
          <w:spacing w:val="-3"/>
          <w:sz w:val="16"/>
          <w:szCs w:val="16"/>
        </w:rPr>
        <w:t>in</w:t>
      </w:r>
      <w:r w:rsidRPr="00087A72">
        <w:rPr>
          <w:spacing w:val="-13"/>
          <w:sz w:val="16"/>
          <w:szCs w:val="16"/>
        </w:rPr>
        <w:t xml:space="preserve"> </w:t>
      </w:r>
      <w:r w:rsidRPr="00087A72">
        <w:rPr>
          <w:spacing w:val="-3"/>
          <w:sz w:val="16"/>
          <w:szCs w:val="16"/>
        </w:rPr>
        <w:t>which</w:t>
      </w:r>
      <w:r w:rsidRPr="00087A72">
        <w:rPr>
          <w:spacing w:val="-12"/>
          <w:sz w:val="16"/>
          <w:szCs w:val="16"/>
        </w:rPr>
        <w:t xml:space="preserve"> </w:t>
      </w:r>
      <w:r w:rsidRPr="00087A72">
        <w:rPr>
          <w:sz w:val="16"/>
          <w:szCs w:val="16"/>
        </w:rPr>
        <w:t xml:space="preserve">transgressive desires </w:t>
      </w:r>
      <w:r w:rsidRPr="00087A72">
        <w:rPr>
          <w:spacing w:val="3"/>
          <w:sz w:val="16"/>
          <w:szCs w:val="16"/>
        </w:rPr>
        <w:t xml:space="preserve">could </w:t>
      </w:r>
      <w:r w:rsidRPr="00087A72">
        <w:rPr>
          <w:sz w:val="16"/>
          <w:szCs w:val="16"/>
        </w:rPr>
        <w:t xml:space="preserve">be </w:t>
      </w:r>
      <w:r w:rsidRPr="00087A72">
        <w:rPr>
          <w:spacing w:val="4"/>
          <w:sz w:val="16"/>
          <w:szCs w:val="16"/>
        </w:rPr>
        <w:t xml:space="preserve">feared </w:t>
      </w:r>
      <w:r w:rsidRPr="00087A72">
        <w:rPr>
          <w:sz w:val="16"/>
          <w:szCs w:val="16"/>
        </w:rPr>
        <w:t xml:space="preserve">for threatening a reversal </w:t>
      </w:r>
      <w:r w:rsidRPr="00087A72">
        <w:rPr>
          <w:spacing w:val="5"/>
          <w:sz w:val="16"/>
          <w:szCs w:val="16"/>
        </w:rPr>
        <w:t xml:space="preserve">of </w:t>
      </w:r>
      <w:r w:rsidRPr="00087A72">
        <w:rPr>
          <w:sz w:val="16"/>
          <w:szCs w:val="16"/>
        </w:rPr>
        <w:t xml:space="preserve">sex.15 </w:t>
      </w:r>
      <w:r w:rsidRPr="00087A72">
        <w:rPr>
          <w:spacing w:val="3"/>
          <w:sz w:val="16"/>
          <w:szCs w:val="16"/>
        </w:rPr>
        <w:t xml:space="preserve">In </w:t>
      </w:r>
      <w:r w:rsidRPr="00087A72">
        <w:rPr>
          <w:sz w:val="16"/>
          <w:szCs w:val="16"/>
        </w:rPr>
        <w:t xml:space="preserve">this </w:t>
      </w:r>
      <w:r w:rsidRPr="00087A72">
        <w:rPr>
          <w:spacing w:val="3"/>
          <w:sz w:val="16"/>
          <w:szCs w:val="16"/>
        </w:rPr>
        <w:t xml:space="preserve">context, </w:t>
      </w:r>
      <w:r w:rsidRPr="00087A72">
        <w:rPr>
          <w:sz w:val="16"/>
          <w:szCs w:val="16"/>
        </w:rPr>
        <w:t>the privileges</w:t>
      </w:r>
      <w:r w:rsidRPr="00087A72">
        <w:rPr>
          <w:spacing w:val="-16"/>
          <w:sz w:val="16"/>
          <w:szCs w:val="16"/>
        </w:rPr>
        <w:t xml:space="preserve"> </w:t>
      </w:r>
      <w:r w:rsidRPr="00087A72">
        <w:rPr>
          <w:spacing w:val="5"/>
          <w:sz w:val="16"/>
          <w:szCs w:val="16"/>
        </w:rPr>
        <w:t>of</w:t>
      </w:r>
      <w:r w:rsidRPr="00087A72">
        <w:rPr>
          <w:sz w:val="16"/>
          <w:szCs w:val="16"/>
        </w:rPr>
        <w:t xml:space="preserve"> manhood</w:t>
      </w:r>
      <w:r w:rsidRPr="00087A72">
        <w:rPr>
          <w:spacing w:val="-5"/>
          <w:sz w:val="16"/>
          <w:szCs w:val="16"/>
        </w:rPr>
        <w:t xml:space="preserve"> </w:t>
      </w:r>
      <w:r w:rsidRPr="00087A72">
        <w:rPr>
          <w:spacing w:val="3"/>
          <w:sz w:val="16"/>
          <w:szCs w:val="16"/>
        </w:rPr>
        <w:t>were</w:t>
      </w:r>
      <w:r w:rsidRPr="00087A72">
        <w:rPr>
          <w:spacing w:val="-3"/>
          <w:sz w:val="16"/>
          <w:szCs w:val="16"/>
        </w:rPr>
        <w:t xml:space="preserve"> </w:t>
      </w:r>
      <w:r w:rsidRPr="00087A72">
        <w:rPr>
          <w:spacing w:val="3"/>
          <w:sz w:val="16"/>
          <w:szCs w:val="16"/>
        </w:rPr>
        <w:t>defined</w:t>
      </w:r>
      <w:r w:rsidRPr="00087A72">
        <w:rPr>
          <w:spacing w:val="-5"/>
          <w:sz w:val="16"/>
          <w:szCs w:val="16"/>
        </w:rPr>
        <w:t xml:space="preserve"> </w:t>
      </w:r>
      <w:r w:rsidRPr="00087A72">
        <w:rPr>
          <w:sz w:val="16"/>
          <w:szCs w:val="16"/>
        </w:rPr>
        <w:t>restrictively</w:t>
      </w:r>
      <w:r w:rsidRPr="00087A72">
        <w:rPr>
          <w:spacing w:val="-9"/>
          <w:sz w:val="16"/>
          <w:szCs w:val="16"/>
        </w:rPr>
        <w:t xml:space="preserve"> </w:t>
      </w:r>
      <w:r w:rsidRPr="00087A72">
        <w:rPr>
          <w:sz w:val="16"/>
          <w:szCs w:val="16"/>
        </w:rPr>
        <w:t>by</w:t>
      </w:r>
      <w:r w:rsidRPr="00087A72">
        <w:rPr>
          <w:spacing w:val="-8"/>
          <w:sz w:val="16"/>
          <w:szCs w:val="16"/>
        </w:rPr>
        <w:t xml:space="preserve"> </w:t>
      </w:r>
      <w:r w:rsidRPr="00087A72">
        <w:rPr>
          <w:sz w:val="16"/>
          <w:szCs w:val="16"/>
        </w:rPr>
        <w:t>achievement,</w:t>
      </w:r>
      <w:r w:rsidRPr="00087A72">
        <w:rPr>
          <w:spacing w:val="-14"/>
          <w:sz w:val="16"/>
          <w:szCs w:val="16"/>
        </w:rPr>
        <w:t xml:space="preserve"> </w:t>
      </w:r>
      <w:r w:rsidRPr="00087A72">
        <w:rPr>
          <w:spacing w:val="-4"/>
          <w:sz w:val="16"/>
          <w:szCs w:val="16"/>
        </w:rPr>
        <w:t>so</w:t>
      </w:r>
      <w:r w:rsidRPr="00087A72">
        <w:rPr>
          <w:spacing w:val="1"/>
          <w:sz w:val="16"/>
          <w:szCs w:val="16"/>
        </w:rPr>
        <w:t xml:space="preserve"> </w:t>
      </w:r>
      <w:r w:rsidRPr="00087A72">
        <w:rPr>
          <w:sz w:val="16"/>
          <w:szCs w:val="16"/>
        </w:rPr>
        <w:t>that</w:t>
      </w:r>
      <w:r w:rsidRPr="00087A72">
        <w:rPr>
          <w:spacing w:val="-5"/>
          <w:sz w:val="16"/>
          <w:szCs w:val="16"/>
        </w:rPr>
        <w:t xml:space="preserve"> </w:t>
      </w:r>
      <w:r w:rsidRPr="00087A72">
        <w:rPr>
          <w:sz w:val="16"/>
          <w:szCs w:val="16"/>
        </w:rPr>
        <w:t>males whose age,</w:t>
      </w:r>
      <w:r w:rsidRPr="00087A72">
        <w:rPr>
          <w:spacing w:val="-10"/>
          <w:sz w:val="16"/>
          <w:szCs w:val="16"/>
        </w:rPr>
        <w:t xml:space="preserve"> </w:t>
      </w:r>
      <w:r w:rsidRPr="00087A72">
        <w:rPr>
          <w:sz w:val="16"/>
          <w:szCs w:val="16"/>
        </w:rPr>
        <w:t>class,</w:t>
      </w:r>
      <w:r w:rsidRPr="00087A72">
        <w:rPr>
          <w:spacing w:val="-10"/>
          <w:sz w:val="16"/>
          <w:szCs w:val="16"/>
        </w:rPr>
        <w:t xml:space="preserve"> </w:t>
      </w:r>
      <w:r w:rsidRPr="00087A72">
        <w:rPr>
          <w:sz w:val="16"/>
          <w:szCs w:val="16"/>
        </w:rPr>
        <w:t>nationality,</w:t>
      </w:r>
      <w:r w:rsidRPr="00087A72">
        <w:rPr>
          <w:spacing w:val="-10"/>
          <w:sz w:val="16"/>
          <w:szCs w:val="16"/>
        </w:rPr>
        <w:t xml:space="preserve"> </w:t>
      </w:r>
      <w:r w:rsidRPr="00087A72">
        <w:rPr>
          <w:spacing w:val="5"/>
          <w:sz w:val="16"/>
          <w:szCs w:val="16"/>
        </w:rPr>
        <w:t>or</w:t>
      </w:r>
      <w:r w:rsidRPr="00087A72">
        <w:rPr>
          <w:sz w:val="16"/>
          <w:szCs w:val="16"/>
        </w:rPr>
        <w:t xml:space="preserve"> </w:t>
      </w:r>
      <w:r w:rsidRPr="00087A72">
        <w:rPr>
          <w:spacing w:val="2"/>
          <w:sz w:val="16"/>
          <w:szCs w:val="16"/>
        </w:rPr>
        <w:t>race</w:t>
      </w:r>
      <w:r w:rsidRPr="00087A72">
        <w:rPr>
          <w:spacing w:val="1"/>
          <w:sz w:val="16"/>
          <w:szCs w:val="16"/>
        </w:rPr>
        <w:t xml:space="preserve"> </w:t>
      </w:r>
      <w:r w:rsidRPr="00087A72">
        <w:rPr>
          <w:sz w:val="16"/>
          <w:szCs w:val="16"/>
        </w:rPr>
        <w:t>made</w:t>
      </w:r>
      <w:r w:rsidRPr="00087A72">
        <w:rPr>
          <w:spacing w:val="1"/>
          <w:sz w:val="16"/>
          <w:szCs w:val="16"/>
        </w:rPr>
        <w:t xml:space="preserve"> </w:t>
      </w:r>
      <w:r w:rsidRPr="00087A72">
        <w:rPr>
          <w:spacing w:val="2"/>
          <w:sz w:val="16"/>
          <w:szCs w:val="16"/>
        </w:rPr>
        <w:t>them</w:t>
      </w:r>
      <w:r w:rsidRPr="00087A72">
        <w:rPr>
          <w:spacing w:val="-14"/>
          <w:sz w:val="16"/>
          <w:szCs w:val="16"/>
        </w:rPr>
        <w:t xml:space="preserve"> </w:t>
      </w:r>
      <w:r w:rsidRPr="00087A72">
        <w:rPr>
          <w:sz w:val="16"/>
          <w:szCs w:val="16"/>
        </w:rPr>
        <w:t>capable</w:t>
      </w:r>
      <w:r w:rsidRPr="00087A72">
        <w:rPr>
          <w:spacing w:val="1"/>
          <w:sz w:val="16"/>
          <w:szCs w:val="16"/>
        </w:rPr>
        <w:t xml:space="preserve"> </w:t>
      </w:r>
      <w:r w:rsidRPr="00087A72">
        <w:rPr>
          <w:spacing w:val="5"/>
          <w:sz w:val="16"/>
          <w:szCs w:val="16"/>
        </w:rPr>
        <w:t>of</w:t>
      </w:r>
      <w:r w:rsidRPr="00087A72">
        <w:rPr>
          <w:spacing w:val="4"/>
          <w:sz w:val="16"/>
          <w:szCs w:val="16"/>
        </w:rPr>
        <w:t xml:space="preserve"> </w:t>
      </w:r>
      <w:r w:rsidRPr="00087A72">
        <w:rPr>
          <w:sz w:val="16"/>
          <w:szCs w:val="16"/>
        </w:rPr>
        <w:t>manhood</w:t>
      </w:r>
      <w:r w:rsidRPr="00087A72">
        <w:rPr>
          <w:spacing w:val="-1"/>
          <w:sz w:val="16"/>
          <w:szCs w:val="16"/>
        </w:rPr>
        <w:t xml:space="preserve"> </w:t>
      </w:r>
      <w:r w:rsidRPr="00087A72">
        <w:rPr>
          <w:spacing w:val="-3"/>
          <w:sz w:val="16"/>
          <w:szCs w:val="16"/>
        </w:rPr>
        <w:t>still</w:t>
      </w:r>
      <w:r w:rsidRPr="00087A72">
        <w:rPr>
          <w:spacing w:val="-8"/>
          <w:sz w:val="16"/>
          <w:szCs w:val="16"/>
        </w:rPr>
        <w:t xml:space="preserve"> </w:t>
      </w:r>
      <w:r w:rsidRPr="00087A72">
        <w:rPr>
          <w:spacing w:val="3"/>
          <w:sz w:val="16"/>
          <w:szCs w:val="16"/>
        </w:rPr>
        <w:t xml:space="preserve">were exhorted </w:t>
      </w:r>
      <w:r w:rsidRPr="00087A72">
        <w:rPr>
          <w:sz w:val="16"/>
          <w:szCs w:val="16"/>
        </w:rPr>
        <w:t xml:space="preserve">to attain it. </w:t>
      </w:r>
      <w:r w:rsidRPr="00087A72">
        <w:rPr>
          <w:rStyle w:val="Emphasis"/>
        </w:rPr>
        <w:t>Manhood was achieved by practicing natural law, but it remained limited and malleable, particularly if unnatural desires created conditions to become unmanned and unsexed</w:t>
      </w:r>
      <w:r w:rsidRPr="00087A72">
        <w:rPr>
          <w:sz w:val="16"/>
          <w:szCs w:val="16"/>
        </w:rPr>
        <w:t xml:space="preserve">.16 Because berdache </w:t>
      </w:r>
      <w:r w:rsidRPr="00087A72">
        <w:rPr>
          <w:spacing w:val="-3"/>
          <w:sz w:val="16"/>
          <w:szCs w:val="16"/>
        </w:rPr>
        <w:t xml:space="preserve">in </w:t>
      </w:r>
      <w:r w:rsidRPr="00087A72">
        <w:rPr>
          <w:spacing w:val="3"/>
          <w:sz w:val="16"/>
          <w:szCs w:val="16"/>
        </w:rPr>
        <w:t>fact defined</w:t>
      </w:r>
      <w:r w:rsidRPr="00087A72">
        <w:rPr>
          <w:spacing w:val="-9"/>
          <w:sz w:val="16"/>
          <w:szCs w:val="16"/>
        </w:rPr>
        <w:t xml:space="preserve"> </w:t>
      </w:r>
      <w:r w:rsidRPr="00087A72">
        <w:rPr>
          <w:sz w:val="16"/>
          <w:szCs w:val="16"/>
        </w:rPr>
        <w:t>the</w:t>
      </w:r>
      <w:r w:rsidRPr="00087A72">
        <w:rPr>
          <w:spacing w:val="-6"/>
          <w:sz w:val="16"/>
          <w:szCs w:val="16"/>
        </w:rPr>
        <w:t xml:space="preserve"> </w:t>
      </w:r>
      <w:r w:rsidRPr="00087A72">
        <w:rPr>
          <w:sz w:val="16"/>
          <w:szCs w:val="16"/>
        </w:rPr>
        <w:t>primitivity</w:t>
      </w:r>
      <w:r w:rsidRPr="00087A72">
        <w:rPr>
          <w:spacing w:val="-12"/>
          <w:sz w:val="16"/>
          <w:szCs w:val="16"/>
        </w:rPr>
        <w:t xml:space="preserve"> </w:t>
      </w:r>
      <w:r w:rsidRPr="00087A72">
        <w:rPr>
          <w:spacing w:val="3"/>
          <w:sz w:val="16"/>
          <w:szCs w:val="16"/>
        </w:rPr>
        <w:t>not</w:t>
      </w:r>
      <w:r w:rsidRPr="00087A72">
        <w:rPr>
          <w:spacing w:val="-8"/>
          <w:sz w:val="16"/>
          <w:szCs w:val="16"/>
        </w:rPr>
        <w:t xml:space="preserve"> </w:t>
      </w:r>
      <w:r w:rsidRPr="00087A72">
        <w:rPr>
          <w:sz w:val="16"/>
          <w:szCs w:val="16"/>
        </w:rPr>
        <w:t>just</w:t>
      </w:r>
      <w:r w:rsidRPr="00087A72">
        <w:rPr>
          <w:spacing w:val="-8"/>
          <w:sz w:val="16"/>
          <w:szCs w:val="16"/>
        </w:rPr>
        <w:t xml:space="preserve"> </w:t>
      </w:r>
      <w:r w:rsidRPr="00087A72">
        <w:rPr>
          <w:spacing w:val="5"/>
          <w:sz w:val="16"/>
          <w:szCs w:val="16"/>
        </w:rPr>
        <w:t>of</w:t>
      </w:r>
      <w:r w:rsidRPr="00087A72">
        <w:rPr>
          <w:spacing w:val="-3"/>
          <w:sz w:val="16"/>
          <w:szCs w:val="16"/>
        </w:rPr>
        <w:t xml:space="preserve"> </w:t>
      </w:r>
      <w:r w:rsidRPr="00087A72">
        <w:rPr>
          <w:sz w:val="16"/>
          <w:szCs w:val="16"/>
        </w:rPr>
        <w:t>a</w:t>
      </w:r>
      <w:r w:rsidRPr="00087A72">
        <w:rPr>
          <w:spacing w:val="-14"/>
          <w:sz w:val="16"/>
          <w:szCs w:val="16"/>
        </w:rPr>
        <w:t xml:space="preserve"> </w:t>
      </w:r>
      <w:r w:rsidRPr="00087A72">
        <w:rPr>
          <w:sz w:val="16"/>
          <w:szCs w:val="16"/>
        </w:rPr>
        <w:t>distinctive</w:t>
      </w:r>
      <w:r w:rsidRPr="00087A72">
        <w:rPr>
          <w:spacing w:val="-6"/>
          <w:sz w:val="16"/>
          <w:szCs w:val="16"/>
        </w:rPr>
        <w:t xml:space="preserve"> </w:t>
      </w:r>
      <w:r w:rsidRPr="00087A72">
        <w:rPr>
          <w:sz w:val="16"/>
          <w:szCs w:val="16"/>
        </w:rPr>
        <w:t>subject</w:t>
      </w:r>
      <w:r w:rsidRPr="00087A72">
        <w:rPr>
          <w:spacing w:val="-8"/>
          <w:sz w:val="16"/>
          <w:szCs w:val="16"/>
        </w:rPr>
        <w:t xml:space="preserve"> </w:t>
      </w:r>
      <w:r w:rsidRPr="00087A72">
        <w:rPr>
          <w:spacing w:val="2"/>
          <w:sz w:val="16"/>
          <w:szCs w:val="16"/>
        </w:rPr>
        <w:t>but</w:t>
      </w:r>
      <w:r w:rsidRPr="00087A72">
        <w:rPr>
          <w:spacing w:val="-8"/>
          <w:sz w:val="16"/>
          <w:szCs w:val="16"/>
        </w:rPr>
        <w:t xml:space="preserve"> </w:t>
      </w:r>
      <w:r w:rsidRPr="00087A72">
        <w:rPr>
          <w:spacing w:val="5"/>
          <w:sz w:val="16"/>
          <w:szCs w:val="16"/>
        </w:rPr>
        <w:t>of</w:t>
      </w:r>
      <w:r w:rsidRPr="00087A72">
        <w:rPr>
          <w:spacing w:val="-4"/>
          <w:sz w:val="16"/>
          <w:szCs w:val="16"/>
        </w:rPr>
        <w:t xml:space="preserve"> </w:t>
      </w:r>
      <w:r w:rsidRPr="00087A72">
        <w:rPr>
          <w:sz w:val="16"/>
          <w:szCs w:val="16"/>
        </w:rPr>
        <w:t>the</w:t>
      </w:r>
      <w:r w:rsidRPr="00087A72">
        <w:rPr>
          <w:spacing w:val="-6"/>
          <w:sz w:val="16"/>
          <w:szCs w:val="16"/>
        </w:rPr>
        <w:t xml:space="preserve"> </w:t>
      </w:r>
      <w:r w:rsidRPr="00087A72">
        <w:rPr>
          <w:spacing w:val="2"/>
          <w:sz w:val="16"/>
          <w:szCs w:val="16"/>
        </w:rPr>
        <w:t>society</w:t>
      </w:r>
      <w:r w:rsidRPr="00087A72">
        <w:rPr>
          <w:spacing w:val="-12"/>
          <w:sz w:val="16"/>
          <w:szCs w:val="16"/>
        </w:rPr>
        <w:t xml:space="preserve"> </w:t>
      </w:r>
      <w:r w:rsidRPr="00087A72">
        <w:rPr>
          <w:spacing w:val="5"/>
          <w:sz w:val="16"/>
          <w:szCs w:val="16"/>
        </w:rPr>
        <w:t>of</w:t>
      </w:r>
      <w:r w:rsidRPr="00087A72">
        <w:rPr>
          <w:spacing w:val="-4"/>
          <w:sz w:val="16"/>
          <w:szCs w:val="16"/>
        </w:rPr>
        <w:t xml:space="preserve"> </w:t>
      </w:r>
      <w:r w:rsidRPr="00087A72">
        <w:rPr>
          <w:sz w:val="16"/>
          <w:szCs w:val="16"/>
        </w:rPr>
        <w:t xml:space="preserve">men producing it, the </w:t>
      </w:r>
      <w:r w:rsidRPr="00087A72">
        <w:rPr>
          <w:spacing w:val="3"/>
          <w:sz w:val="16"/>
          <w:szCs w:val="16"/>
        </w:rPr>
        <w:t xml:space="preserve">object </w:t>
      </w:r>
      <w:r w:rsidRPr="00087A72">
        <w:rPr>
          <w:spacing w:val="2"/>
          <w:sz w:val="16"/>
          <w:szCs w:val="16"/>
        </w:rPr>
        <w:t xml:space="preserve">extended </w:t>
      </w:r>
      <w:r w:rsidRPr="00087A72">
        <w:rPr>
          <w:sz w:val="16"/>
          <w:szCs w:val="16"/>
        </w:rPr>
        <w:t xml:space="preserve">early-modern European policing </w:t>
      </w:r>
      <w:r w:rsidRPr="00087A72">
        <w:rPr>
          <w:spacing w:val="5"/>
          <w:sz w:val="16"/>
          <w:szCs w:val="16"/>
        </w:rPr>
        <w:t xml:space="preserve">of </w:t>
      </w:r>
      <w:r w:rsidRPr="00087A72">
        <w:rPr>
          <w:sz w:val="16"/>
          <w:szCs w:val="16"/>
        </w:rPr>
        <w:t>sex</w:t>
      </w:r>
      <w:r w:rsidRPr="00087A72">
        <w:rPr>
          <w:rStyle w:val="Emphasis"/>
        </w:rPr>
        <w:t>. Persons marked as berdache became targets of violent efforts to reconﬁgure Indigenous society in colonial and masculinist terms, by exacting a responsibility from Indigenous men to defend colonial sexual morality in their own and all Indigenous people's lives.</w:t>
      </w:r>
      <w:r w:rsidRPr="00087A72">
        <w:rPr>
          <w:sz w:val="16"/>
          <w:szCs w:val="16"/>
        </w:rPr>
        <w:t xml:space="preserve"> </w:t>
      </w:r>
      <w:r w:rsidRPr="00087A72">
        <w:rPr>
          <w:rStyle w:val="Emphasis"/>
        </w:rPr>
        <w:t>Moreover, by imputing sexual primitivity to racialized targets of conquest, early-modern narratives of berdache afﬁrmed the fulﬁllment of natural sex and desire by conquerors. Berdache thus marked a relationality not only among Indigenous males, but also between Indigenous societies and the civilizational sex and sexuality of Europeans.</w:t>
      </w:r>
      <w:r w:rsidRPr="00087A72">
        <w:rPr>
          <w:sz w:val="16"/>
          <w:szCs w:val="16"/>
        </w:rPr>
        <w:t xml:space="preserve"> Stoler's feminist </w:t>
      </w:r>
      <w:r w:rsidRPr="00087A72">
        <w:rPr>
          <w:spacing w:val="4"/>
          <w:sz w:val="16"/>
          <w:szCs w:val="16"/>
        </w:rPr>
        <w:t xml:space="preserve">accounts </w:t>
      </w:r>
      <w:r w:rsidRPr="00087A72">
        <w:rPr>
          <w:spacing w:val="5"/>
          <w:sz w:val="16"/>
          <w:szCs w:val="16"/>
        </w:rPr>
        <w:t xml:space="preserve">of </w:t>
      </w:r>
      <w:r w:rsidRPr="00087A72">
        <w:rPr>
          <w:spacing w:val="2"/>
          <w:sz w:val="16"/>
          <w:szCs w:val="16"/>
        </w:rPr>
        <w:t xml:space="preserve">colonial </w:t>
      </w:r>
      <w:r w:rsidRPr="00087A72">
        <w:rPr>
          <w:sz w:val="16"/>
          <w:szCs w:val="16"/>
        </w:rPr>
        <w:t>power indicate that imposition</w:t>
      </w:r>
      <w:r w:rsidRPr="00087A72">
        <w:rPr>
          <w:spacing w:val="-10"/>
          <w:sz w:val="16"/>
          <w:szCs w:val="16"/>
        </w:rPr>
        <w:t xml:space="preserve"> </w:t>
      </w:r>
      <w:r w:rsidRPr="00087A72">
        <w:rPr>
          <w:spacing w:val="5"/>
          <w:sz w:val="16"/>
          <w:szCs w:val="16"/>
        </w:rPr>
        <w:t>of</w:t>
      </w:r>
      <w:r w:rsidRPr="00087A72">
        <w:rPr>
          <w:spacing w:val="12"/>
          <w:sz w:val="16"/>
          <w:szCs w:val="16"/>
        </w:rPr>
        <w:t xml:space="preserve"> </w:t>
      </w:r>
      <w:r w:rsidRPr="00087A72">
        <w:rPr>
          <w:spacing w:val="2"/>
          <w:sz w:val="16"/>
          <w:szCs w:val="16"/>
        </w:rPr>
        <w:t>colonial</w:t>
      </w:r>
      <w:r w:rsidRPr="00087A72">
        <w:rPr>
          <w:spacing w:val="-36"/>
          <w:sz w:val="16"/>
          <w:szCs w:val="16"/>
        </w:rPr>
        <w:t xml:space="preserve"> </w:t>
      </w:r>
      <w:r w:rsidRPr="00087A72">
        <w:rPr>
          <w:sz w:val="16"/>
          <w:szCs w:val="16"/>
        </w:rPr>
        <w:t>rule</w:t>
      </w:r>
      <w:r w:rsidRPr="00087A72">
        <w:rPr>
          <w:spacing w:val="-7"/>
          <w:sz w:val="16"/>
          <w:szCs w:val="16"/>
        </w:rPr>
        <w:t xml:space="preserve"> </w:t>
      </w:r>
      <w:r w:rsidRPr="00087A72">
        <w:rPr>
          <w:sz w:val="16"/>
          <w:szCs w:val="16"/>
        </w:rPr>
        <w:t>was</w:t>
      </w:r>
      <w:r w:rsidRPr="00087A72">
        <w:rPr>
          <w:spacing w:val="-16"/>
          <w:sz w:val="16"/>
          <w:szCs w:val="16"/>
        </w:rPr>
        <w:t xml:space="preserve"> </w:t>
      </w:r>
      <w:r w:rsidRPr="00087A72">
        <w:rPr>
          <w:sz w:val="16"/>
          <w:szCs w:val="16"/>
        </w:rPr>
        <w:t>justiﬁed</w:t>
      </w:r>
      <w:r w:rsidRPr="00087A72">
        <w:rPr>
          <w:spacing w:val="-8"/>
          <w:sz w:val="16"/>
          <w:szCs w:val="16"/>
        </w:rPr>
        <w:t xml:space="preserve"> by</w:t>
      </w:r>
      <w:r w:rsidRPr="00087A72">
        <w:rPr>
          <w:spacing w:val="-11"/>
          <w:sz w:val="16"/>
          <w:szCs w:val="16"/>
        </w:rPr>
        <w:t xml:space="preserve"> </w:t>
      </w:r>
      <w:r w:rsidRPr="00087A72">
        <w:rPr>
          <w:sz w:val="16"/>
          <w:szCs w:val="16"/>
        </w:rPr>
        <w:t>discovering</w:t>
      </w:r>
      <w:r w:rsidRPr="00087A72">
        <w:rPr>
          <w:spacing w:val="-14"/>
          <w:sz w:val="16"/>
          <w:szCs w:val="16"/>
        </w:rPr>
        <w:t xml:space="preserve"> </w:t>
      </w:r>
      <w:r w:rsidRPr="00087A72">
        <w:rPr>
          <w:spacing w:val="-3"/>
          <w:sz w:val="16"/>
          <w:szCs w:val="16"/>
        </w:rPr>
        <w:t>signs</w:t>
      </w:r>
      <w:r w:rsidRPr="00087A72">
        <w:rPr>
          <w:spacing w:val="-17"/>
          <w:sz w:val="16"/>
          <w:szCs w:val="16"/>
        </w:rPr>
        <w:t xml:space="preserve"> </w:t>
      </w:r>
      <w:r w:rsidRPr="00087A72">
        <w:rPr>
          <w:spacing w:val="5"/>
          <w:sz w:val="16"/>
          <w:szCs w:val="16"/>
        </w:rPr>
        <w:t>of</w:t>
      </w:r>
      <w:r w:rsidRPr="00087A72">
        <w:rPr>
          <w:spacing w:val="12"/>
          <w:sz w:val="16"/>
          <w:szCs w:val="16"/>
        </w:rPr>
        <w:t xml:space="preserve"> </w:t>
      </w:r>
      <w:r w:rsidRPr="00087A72">
        <w:rPr>
          <w:sz w:val="16"/>
          <w:szCs w:val="16"/>
        </w:rPr>
        <w:t>a</w:t>
      </w:r>
      <w:r w:rsidRPr="00087A72">
        <w:rPr>
          <w:spacing w:val="-13"/>
          <w:sz w:val="16"/>
          <w:szCs w:val="16"/>
        </w:rPr>
        <w:t xml:space="preserve"> </w:t>
      </w:r>
      <w:r w:rsidRPr="00087A72">
        <w:rPr>
          <w:sz w:val="16"/>
          <w:szCs w:val="16"/>
        </w:rPr>
        <w:t>primitive</w:t>
      </w:r>
      <w:r w:rsidRPr="00087A72">
        <w:rPr>
          <w:spacing w:val="-6"/>
          <w:sz w:val="16"/>
          <w:szCs w:val="16"/>
        </w:rPr>
        <w:t xml:space="preserve"> </w:t>
      </w:r>
      <w:r w:rsidRPr="00087A72">
        <w:rPr>
          <w:sz w:val="16"/>
          <w:szCs w:val="16"/>
        </w:rPr>
        <w:t xml:space="preserve">lack </w:t>
      </w:r>
      <w:r w:rsidRPr="00087A72">
        <w:rPr>
          <w:spacing w:val="5"/>
          <w:sz w:val="16"/>
          <w:szCs w:val="16"/>
        </w:rPr>
        <w:t xml:space="preserve">of </w:t>
      </w:r>
      <w:r w:rsidRPr="00087A72">
        <w:rPr>
          <w:spacing w:val="2"/>
          <w:sz w:val="16"/>
          <w:szCs w:val="16"/>
        </w:rPr>
        <w:t>differentiation</w:t>
      </w:r>
      <w:r w:rsidRPr="00087A72">
        <w:rPr>
          <w:spacing w:val="-25"/>
          <w:sz w:val="16"/>
          <w:szCs w:val="16"/>
        </w:rPr>
        <w:t xml:space="preserve"> </w:t>
      </w:r>
      <w:r w:rsidRPr="00087A72">
        <w:rPr>
          <w:spacing w:val="4"/>
          <w:sz w:val="16"/>
          <w:szCs w:val="16"/>
        </w:rPr>
        <w:t xml:space="preserve">between </w:t>
      </w:r>
      <w:r w:rsidRPr="00087A72">
        <w:rPr>
          <w:sz w:val="16"/>
          <w:szCs w:val="16"/>
        </w:rPr>
        <w:t xml:space="preserve">the sexes. Knowing European manhood's </w:t>
      </w:r>
      <w:r w:rsidRPr="00087A72">
        <w:rPr>
          <w:spacing w:val="2"/>
          <w:sz w:val="16"/>
          <w:szCs w:val="16"/>
        </w:rPr>
        <w:t xml:space="preserve">boundaries </w:t>
      </w:r>
      <w:r w:rsidRPr="00087A72">
        <w:rPr>
          <w:sz w:val="16"/>
          <w:szCs w:val="16"/>
        </w:rPr>
        <w:t xml:space="preserve">to be </w:t>
      </w:r>
      <w:r w:rsidRPr="00087A72">
        <w:rPr>
          <w:spacing w:val="2"/>
          <w:sz w:val="16"/>
          <w:szCs w:val="16"/>
        </w:rPr>
        <w:t xml:space="preserve">porous </w:t>
      </w:r>
      <w:r w:rsidRPr="00087A72">
        <w:rPr>
          <w:sz w:val="16"/>
          <w:szCs w:val="16"/>
        </w:rPr>
        <w:t xml:space="preserve">and needing reinforcement, and meeting </w:t>
      </w:r>
      <w:r w:rsidRPr="00087A72">
        <w:rPr>
          <w:spacing w:val="2"/>
          <w:sz w:val="16"/>
          <w:szCs w:val="16"/>
        </w:rPr>
        <w:t xml:space="preserve">Indigenous </w:t>
      </w:r>
      <w:r w:rsidRPr="00087A72">
        <w:rPr>
          <w:sz w:val="16"/>
          <w:szCs w:val="16"/>
        </w:rPr>
        <w:t xml:space="preserve">possibilities that </w:t>
      </w:r>
      <w:r w:rsidRPr="00087A72">
        <w:rPr>
          <w:spacing w:val="3"/>
          <w:sz w:val="16"/>
          <w:szCs w:val="16"/>
        </w:rPr>
        <w:t xml:space="preserve">threw </w:t>
      </w:r>
      <w:r w:rsidRPr="00087A72">
        <w:rPr>
          <w:spacing w:val="-4"/>
          <w:sz w:val="16"/>
          <w:szCs w:val="16"/>
        </w:rPr>
        <w:t xml:space="preserve">such </w:t>
      </w:r>
      <w:r w:rsidRPr="00087A72">
        <w:rPr>
          <w:spacing w:val="2"/>
          <w:sz w:val="16"/>
          <w:szCs w:val="16"/>
        </w:rPr>
        <w:t xml:space="preserve">boundaries </w:t>
      </w:r>
      <w:r w:rsidRPr="00087A72">
        <w:rPr>
          <w:sz w:val="16"/>
          <w:szCs w:val="16"/>
        </w:rPr>
        <w:t>into question,</w:t>
      </w:r>
      <w:r w:rsidRPr="00087A72">
        <w:rPr>
          <w:rStyle w:val="Emphasis"/>
        </w:rPr>
        <w:t xml:space="preserve"> early conquerors invoked berdache as if assigning a failure to differentiate sex to Indigenous people, but they did so to deﬁne sexual normativity for them all. </w:t>
      </w:r>
      <w:r w:rsidRPr="00087A72">
        <w:rPr>
          <w:sz w:val="16"/>
          <w:szCs w:val="16"/>
        </w:rPr>
        <w:t xml:space="preserve">Thus, </w:t>
      </w:r>
      <w:r w:rsidRPr="00087A72">
        <w:rPr>
          <w:spacing w:val="-3"/>
          <w:sz w:val="16"/>
          <w:szCs w:val="16"/>
        </w:rPr>
        <w:t xml:space="preserve">if </w:t>
      </w:r>
      <w:r w:rsidRPr="00087A72">
        <w:rPr>
          <w:spacing w:val="2"/>
          <w:sz w:val="16"/>
          <w:szCs w:val="16"/>
        </w:rPr>
        <w:t xml:space="preserve">colonial </w:t>
      </w:r>
      <w:r w:rsidRPr="00087A72">
        <w:rPr>
          <w:spacing w:val="3"/>
          <w:sz w:val="16"/>
          <w:szCs w:val="16"/>
        </w:rPr>
        <w:t xml:space="preserve">observers </w:t>
      </w:r>
      <w:r w:rsidRPr="00087A72">
        <w:rPr>
          <w:sz w:val="16"/>
          <w:szCs w:val="16"/>
        </w:rPr>
        <w:t xml:space="preserve">invoked berdache to </w:t>
      </w:r>
      <w:r w:rsidRPr="00087A72">
        <w:rPr>
          <w:spacing w:val="-7"/>
          <w:sz w:val="16"/>
          <w:szCs w:val="16"/>
        </w:rPr>
        <w:t xml:space="preserve">mark </w:t>
      </w:r>
      <w:r w:rsidRPr="00087A72">
        <w:rPr>
          <w:spacing w:val="2"/>
          <w:sz w:val="16"/>
          <w:szCs w:val="16"/>
        </w:rPr>
        <w:t xml:space="preserve">Indigenous difference, </w:t>
      </w:r>
      <w:r w:rsidRPr="00087A72">
        <w:rPr>
          <w:sz w:val="16"/>
          <w:szCs w:val="16"/>
        </w:rPr>
        <w:t xml:space="preserve">the </w:t>
      </w:r>
      <w:r w:rsidRPr="00087A72">
        <w:rPr>
          <w:spacing w:val="-3"/>
          <w:sz w:val="16"/>
          <w:szCs w:val="16"/>
        </w:rPr>
        <w:t xml:space="preserve">aim </w:t>
      </w:r>
      <w:r w:rsidRPr="00087A72">
        <w:rPr>
          <w:sz w:val="16"/>
          <w:szCs w:val="16"/>
        </w:rPr>
        <w:t xml:space="preserve">was to teach </w:t>
      </w:r>
      <w:r w:rsidRPr="00087A72">
        <w:rPr>
          <w:spacing w:val="4"/>
          <w:sz w:val="16"/>
          <w:szCs w:val="16"/>
        </w:rPr>
        <w:t xml:space="preserve">both </w:t>
      </w:r>
      <w:r w:rsidRPr="00087A72">
        <w:rPr>
          <w:spacing w:val="2"/>
          <w:sz w:val="16"/>
          <w:szCs w:val="16"/>
        </w:rPr>
        <w:t xml:space="preserve">colonial </w:t>
      </w:r>
      <w:r w:rsidRPr="00087A72">
        <w:rPr>
          <w:sz w:val="16"/>
          <w:szCs w:val="16"/>
        </w:rPr>
        <w:t xml:space="preserve">and </w:t>
      </w:r>
      <w:r w:rsidRPr="00087A72">
        <w:rPr>
          <w:spacing w:val="2"/>
          <w:sz w:val="16"/>
          <w:szCs w:val="16"/>
        </w:rPr>
        <w:t xml:space="preserve">Indigenous </w:t>
      </w:r>
      <w:r w:rsidRPr="00087A72">
        <w:rPr>
          <w:sz w:val="16"/>
          <w:szCs w:val="16"/>
        </w:rPr>
        <w:t xml:space="preserve">subjects the relational terms </w:t>
      </w:r>
      <w:r w:rsidRPr="00087A72">
        <w:rPr>
          <w:spacing w:val="5"/>
          <w:sz w:val="16"/>
          <w:szCs w:val="16"/>
        </w:rPr>
        <w:t xml:space="preserve">of </w:t>
      </w:r>
      <w:r w:rsidRPr="00087A72">
        <w:rPr>
          <w:spacing w:val="2"/>
          <w:sz w:val="16"/>
          <w:szCs w:val="16"/>
        </w:rPr>
        <w:t xml:space="preserve">colonial </w:t>
      </w:r>
      <w:r w:rsidRPr="00087A72">
        <w:rPr>
          <w:spacing w:val="-3"/>
          <w:sz w:val="16"/>
          <w:szCs w:val="16"/>
        </w:rPr>
        <w:t xml:space="preserve">heteropatriarchy. </w:t>
      </w:r>
      <w:r w:rsidRPr="00087A72">
        <w:rPr>
          <w:spacing w:val="-4"/>
          <w:sz w:val="16"/>
          <w:szCs w:val="16"/>
        </w:rPr>
        <w:t xml:space="preserve">Earlier </w:t>
      </w:r>
      <w:r w:rsidRPr="00087A72">
        <w:rPr>
          <w:spacing w:val="2"/>
          <w:sz w:val="16"/>
          <w:szCs w:val="16"/>
        </w:rPr>
        <w:t xml:space="preserve">generations </w:t>
      </w:r>
      <w:r w:rsidRPr="00087A72">
        <w:rPr>
          <w:spacing w:val="5"/>
          <w:sz w:val="16"/>
          <w:szCs w:val="16"/>
        </w:rPr>
        <w:t xml:space="preserve">of </w:t>
      </w:r>
      <w:r w:rsidRPr="00087A72">
        <w:rPr>
          <w:sz w:val="16"/>
          <w:szCs w:val="16"/>
        </w:rPr>
        <w:t xml:space="preserve">feminist scholars argued that a bias </w:t>
      </w:r>
      <w:r w:rsidRPr="00087A72">
        <w:rPr>
          <w:spacing w:val="-3"/>
          <w:sz w:val="16"/>
          <w:szCs w:val="16"/>
        </w:rPr>
        <w:t xml:space="preserve">in </w:t>
      </w:r>
      <w:r w:rsidRPr="00087A72">
        <w:rPr>
          <w:spacing w:val="2"/>
          <w:sz w:val="16"/>
          <w:szCs w:val="16"/>
        </w:rPr>
        <w:t xml:space="preserve">colonial </w:t>
      </w:r>
      <w:r w:rsidRPr="00087A72">
        <w:rPr>
          <w:sz w:val="16"/>
          <w:szCs w:val="16"/>
        </w:rPr>
        <w:t xml:space="preserve">tales </w:t>
      </w:r>
      <w:r w:rsidRPr="00087A72">
        <w:rPr>
          <w:spacing w:val="5"/>
          <w:sz w:val="16"/>
          <w:szCs w:val="16"/>
        </w:rPr>
        <w:t xml:space="preserve">of </w:t>
      </w:r>
      <w:r w:rsidRPr="00087A72">
        <w:rPr>
          <w:sz w:val="16"/>
          <w:szCs w:val="16"/>
        </w:rPr>
        <w:t xml:space="preserve">berdache erased female embodiment from </w:t>
      </w:r>
      <w:r w:rsidRPr="00087A72">
        <w:rPr>
          <w:spacing w:val="4"/>
          <w:sz w:val="16"/>
          <w:szCs w:val="16"/>
        </w:rPr>
        <w:t xml:space="preserve">accounts </w:t>
      </w:r>
      <w:r w:rsidRPr="00087A72">
        <w:rPr>
          <w:sz w:val="16"/>
          <w:szCs w:val="16"/>
        </w:rPr>
        <w:t xml:space="preserve">o f Native </w:t>
      </w:r>
      <w:r w:rsidRPr="00087A72">
        <w:rPr>
          <w:spacing w:val="2"/>
          <w:sz w:val="16"/>
          <w:szCs w:val="16"/>
        </w:rPr>
        <w:t xml:space="preserve">gender </w:t>
      </w:r>
      <w:r w:rsidRPr="00087A72">
        <w:rPr>
          <w:sz w:val="16"/>
          <w:szCs w:val="16"/>
        </w:rPr>
        <w:t xml:space="preserve">and sexual </w:t>
      </w:r>
      <w:r w:rsidRPr="00087A72">
        <w:rPr>
          <w:spacing w:val="-4"/>
          <w:sz w:val="16"/>
          <w:szCs w:val="16"/>
        </w:rPr>
        <w:t xml:space="preserve">diversity. </w:t>
      </w:r>
      <w:r w:rsidRPr="00087A72">
        <w:rPr>
          <w:sz w:val="16"/>
          <w:szCs w:val="16"/>
        </w:rPr>
        <w:t xml:space="preserve">But feminist </w:t>
      </w:r>
      <w:r w:rsidRPr="00087A72">
        <w:rPr>
          <w:spacing w:val="2"/>
          <w:sz w:val="16"/>
          <w:szCs w:val="16"/>
        </w:rPr>
        <w:t xml:space="preserve">critiques </w:t>
      </w:r>
      <w:r w:rsidRPr="00087A72">
        <w:rPr>
          <w:spacing w:val="-3"/>
          <w:sz w:val="16"/>
          <w:szCs w:val="16"/>
        </w:rPr>
        <w:t xml:space="preserve">in </w:t>
      </w:r>
      <w:r w:rsidRPr="00087A72">
        <w:rPr>
          <w:sz w:val="16"/>
          <w:szCs w:val="16"/>
        </w:rPr>
        <w:t xml:space="preserve">the wake </w:t>
      </w:r>
      <w:r w:rsidRPr="00087A72">
        <w:rPr>
          <w:spacing w:val="5"/>
          <w:sz w:val="16"/>
          <w:szCs w:val="16"/>
        </w:rPr>
        <w:t xml:space="preserve">of </w:t>
      </w:r>
      <w:r w:rsidRPr="00087A72">
        <w:rPr>
          <w:spacing w:val="2"/>
          <w:sz w:val="16"/>
          <w:szCs w:val="16"/>
        </w:rPr>
        <w:t xml:space="preserve">Stoler </w:t>
      </w:r>
      <w:r w:rsidRPr="00087A72">
        <w:rPr>
          <w:sz w:val="16"/>
          <w:szCs w:val="16"/>
        </w:rPr>
        <w:t xml:space="preserve">and </w:t>
      </w:r>
      <w:r w:rsidRPr="00087A72">
        <w:rPr>
          <w:spacing w:val="-3"/>
          <w:sz w:val="16"/>
          <w:szCs w:val="16"/>
        </w:rPr>
        <w:t xml:space="preserve">Smith </w:t>
      </w:r>
      <w:r w:rsidRPr="00087A72">
        <w:rPr>
          <w:spacing w:val="3"/>
          <w:sz w:val="16"/>
          <w:szCs w:val="16"/>
        </w:rPr>
        <w:t xml:space="preserve">note </w:t>
      </w:r>
      <w:r w:rsidRPr="00087A72">
        <w:rPr>
          <w:sz w:val="16"/>
          <w:szCs w:val="16"/>
        </w:rPr>
        <w:t xml:space="preserve">that </w:t>
      </w:r>
      <w:r w:rsidRPr="00087A72">
        <w:rPr>
          <w:rStyle w:val="Emphasis"/>
        </w:rPr>
        <w:t xml:space="preserve">the condemnation of Native male embodiment in colonial accounts of berdache established the masculinist and heteropatriarchal terms of colonial power. </w:t>
      </w:r>
      <w:r w:rsidRPr="00087A72">
        <w:rPr>
          <w:sz w:val="16"/>
          <w:szCs w:val="16"/>
        </w:rPr>
        <w:t xml:space="preserve">Thus, I invoke berdache to </w:t>
      </w:r>
      <w:r w:rsidRPr="00087A72">
        <w:rPr>
          <w:spacing w:val="7"/>
          <w:sz w:val="16"/>
          <w:szCs w:val="16"/>
        </w:rPr>
        <w:t xml:space="preserve">indicate </w:t>
      </w:r>
      <w:r w:rsidRPr="00087A72">
        <w:rPr>
          <w:spacing w:val="3"/>
          <w:sz w:val="16"/>
          <w:szCs w:val="16"/>
        </w:rPr>
        <w:t xml:space="preserve">not </w:t>
      </w:r>
      <w:r w:rsidRPr="00087A72">
        <w:rPr>
          <w:spacing w:val="2"/>
          <w:sz w:val="16"/>
          <w:szCs w:val="16"/>
        </w:rPr>
        <w:t xml:space="preserve">persons but </w:t>
      </w:r>
      <w:r w:rsidRPr="00087A72">
        <w:rPr>
          <w:sz w:val="16"/>
          <w:szCs w:val="16"/>
        </w:rPr>
        <w:t xml:space="preserve">a logic </w:t>
      </w:r>
      <w:r w:rsidRPr="00087A72">
        <w:rPr>
          <w:spacing w:val="5"/>
          <w:sz w:val="16"/>
          <w:szCs w:val="16"/>
        </w:rPr>
        <w:t xml:space="preserve">of </w:t>
      </w:r>
      <w:r w:rsidRPr="00087A72">
        <w:rPr>
          <w:sz w:val="16"/>
          <w:szCs w:val="16"/>
        </w:rPr>
        <w:t xml:space="preserve">sexual primitivity and civilization that </w:t>
      </w:r>
      <w:r w:rsidRPr="00087A72">
        <w:rPr>
          <w:spacing w:val="9"/>
          <w:sz w:val="16"/>
          <w:szCs w:val="16"/>
        </w:rPr>
        <w:t xml:space="preserve">created </w:t>
      </w:r>
      <w:r w:rsidRPr="00087A72">
        <w:rPr>
          <w:spacing w:val="2"/>
          <w:sz w:val="16"/>
          <w:szCs w:val="16"/>
        </w:rPr>
        <w:t xml:space="preserve">Indigenous </w:t>
      </w:r>
      <w:r w:rsidRPr="00087A72">
        <w:rPr>
          <w:spacing w:val="3"/>
          <w:sz w:val="16"/>
          <w:szCs w:val="16"/>
        </w:rPr>
        <w:t xml:space="preserve">people </w:t>
      </w:r>
      <w:r w:rsidRPr="00087A72">
        <w:rPr>
          <w:sz w:val="16"/>
          <w:szCs w:val="16"/>
        </w:rPr>
        <w:t xml:space="preserve">and </w:t>
      </w:r>
      <w:r w:rsidRPr="00087A72">
        <w:rPr>
          <w:spacing w:val="2"/>
          <w:sz w:val="16"/>
          <w:szCs w:val="16"/>
        </w:rPr>
        <w:t xml:space="preserve">colonists </w:t>
      </w:r>
      <w:r w:rsidRPr="00087A72">
        <w:rPr>
          <w:spacing w:val="-3"/>
          <w:sz w:val="16"/>
          <w:szCs w:val="16"/>
        </w:rPr>
        <w:t xml:space="preserve">in </w:t>
      </w:r>
      <w:r w:rsidRPr="00087A72">
        <w:rPr>
          <w:sz w:val="16"/>
          <w:szCs w:val="16"/>
        </w:rPr>
        <w:t xml:space="preserve">relation to each </w:t>
      </w:r>
      <w:r w:rsidRPr="00087A72">
        <w:rPr>
          <w:spacing w:val="-3"/>
          <w:sz w:val="16"/>
          <w:szCs w:val="16"/>
        </w:rPr>
        <w:t xml:space="preserve">other. </w:t>
      </w:r>
      <w:r w:rsidRPr="00087A72">
        <w:rPr>
          <w:spacing w:val="3"/>
          <w:sz w:val="16"/>
          <w:szCs w:val="16"/>
        </w:rPr>
        <w:t xml:space="preserve">In </w:t>
      </w:r>
      <w:r w:rsidRPr="00087A72">
        <w:rPr>
          <w:sz w:val="16"/>
          <w:szCs w:val="16"/>
        </w:rPr>
        <w:t xml:space="preserve">the </w:t>
      </w:r>
      <w:r w:rsidRPr="00087A72">
        <w:rPr>
          <w:spacing w:val="2"/>
          <w:sz w:val="16"/>
          <w:szCs w:val="16"/>
        </w:rPr>
        <w:t xml:space="preserve">process, </w:t>
      </w:r>
      <w:r w:rsidRPr="00087A72">
        <w:rPr>
          <w:rStyle w:val="Emphasis"/>
        </w:rPr>
        <w:t>colonial discourses of race and sexuality came to mark transgressive individuals and entire communities when they meted out spectacular death to educate Native peoples in the moral order of colonization. Histories of colonial control over Indigenous male sexuality support Foucault's claim that a sovereign right of death joined the rationalizing management of populations to produce modern disciplinary power.</w:t>
      </w:r>
      <w:r w:rsidRPr="00087A72">
        <w:rPr>
          <w:spacing w:val="-6"/>
          <w:sz w:val="16"/>
          <w:szCs w:val="16"/>
        </w:rPr>
        <w:t xml:space="preserve"> </w:t>
      </w:r>
      <w:r w:rsidRPr="00087A72">
        <w:rPr>
          <w:sz w:val="16"/>
          <w:szCs w:val="16"/>
        </w:rPr>
        <w:t xml:space="preserve">Zeb </w:t>
      </w:r>
      <w:r w:rsidRPr="00087A72">
        <w:rPr>
          <w:spacing w:val="12"/>
          <w:sz w:val="16"/>
          <w:szCs w:val="16"/>
        </w:rPr>
        <w:t xml:space="preserve">Tortorici </w:t>
      </w:r>
      <w:r w:rsidRPr="00087A72">
        <w:rPr>
          <w:sz w:val="16"/>
          <w:szCs w:val="16"/>
        </w:rPr>
        <w:t xml:space="preserve">examined a </w:t>
      </w:r>
      <w:r w:rsidRPr="00087A72">
        <w:rPr>
          <w:spacing w:val="7"/>
          <w:sz w:val="16"/>
          <w:szCs w:val="16"/>
        </w:rPr>
        <w:t xml:space="preserve">1604 </w:t>
      </w:r>
      <w:r w:rsidRPr="00087A72">
        <w:rPr>
          <w:sz w:val="16"/>
          <w:szCs w:val="16"/>
        </w:rPr>
        <w:t xml:space="preserve">case </w:t>
      </w:r>
      <w:r w:rsidRPr="00087A72">
        <w:rPr>
          <w:spacing w:val="5"/>
          <w:sz w:val="16"/>
          <w:szCs w:val="16"/>
        </w:rPr>
        <w:t xml:space="preserve">of </w:t>
      </w:r>
      <w:r w:rsidRPr="00087A72">
        <w:rPr>
          <w:sz w:val="16"/>
          <w:szCs w:val="16"/>
        </w:rPr>
        <w:t xml:space="preserve">sodomy accusations </w:t>
      </w:r>
      <w:r w:rsidRPr="00087A72">
        <w:rPr>
          <w:spacing w:val="-3"/>
          <w:sz w:val="16"/>
          <w:szCs w:val="16"/>
        </w:rPr>
        <w:t xml:space="preserve">in Valladolid, </w:t>
      </w:r>
      <w:r w:rsidRPr="00087A72">
        <w:rPr>
          <w:sz w:val="16"/>
          <w:szCs w:val="16"/>
        </w:rPr>
        <w:t xml:space="preserve">Michoacan, Mexico, that illuminates this transition. </w:t>
      </w:r>
      <w:r w:rsidRPr="00087A72">
        <w:rPr>
          <w:spacing w:val="4"/>
          <w:sz w:val="16"/>
          <w:szCs w:val="16"/>
        </w:rPr>
        <w:t xml:space="preserve">After </w:t>
      </w:r>
      <w:r w:rsidRPr="00087A72">
        <w:rPr>
          <w:sz w:val="16"/>
          <w:szCs w:val="16"/>
        </w:rPr>
        <w:t xml:space="preserve">the </w:t>
      </w:r>
      <w:r w:rsidRPr="00087A72">
        <w:rPr>
          <w:spacing w:val="3"/>
          <w:sz w:val="16"/>
          <w:szCs w:val="16"/>
        </w:rPr>
        <w:t xml:space="preserve">capture </w:t>
      </w:r>
      <w:r w:rsidRPr="00087A72">
        <w:rPr>
          <w:spacing w:val="5"/>
          <w:sz w:val="16"/>
          <w:szCs w:val="16"/>
        </w:rPr>
        <w:t xml:space="preserve">of </w:t>
      </w:r>
      <w:r w:rsidRPr="00087A72">
        <w:rPr>
          <w:spacing w:val="2"/>
          <w:sz w:val="16"/>
          <w:szCs w:val="16"/>
        </w:rPr>
        <w:t xml:space="preserve">two Indigenous </w:t>
      </w:r>
      <w:r w:rsidRPr="00087A72">
        <w:rPr>
          <w:spacing w:val="3"/>
          <w:sz w:val="16"/>
          <w:szCs w:val="16"/>
        </w:rPr>
        <w:t xml:space="preserve">Purepecha </w:t>
      </w:r>
      <w:r w:rsidRPr="00087A72">
        <w:rPr>
          <w:sz w:val="16"/>
          <w:szCs w:val="16"/>
        </w:rPr>
        <w:t xml:space="preserve">men "committing the </w:t>
      </w:r>
      <w:r w:rsidRPr="00087A72">
        <w:rPr>
          <w:spacing w:val="3"/>
          <w:sz w:val="16"/>
          <w:szCs w:val="16"/>
        </w:rPr>
        <w:t xml:space="preserve">pecado </w:t>
      </w:r>
      <w:r w:rsidRPr="00087A72">
        <w:rPr>
          <w:spacing w:val="2"/>
          <w:sz w:val="16"/>
          <w:szCs w:val="16"/>
        </w:rPr>
        <w:t xml:space="preserve">nefando-the </w:t>
      </w:r>
      <w:r w:rsidRPr="00087A72">
        <w:rPr>
          <w:spacing w:val="3"/>
          <w:sz w:val="16"/>
          <w:szCs w:val="16"/>
        </w:rPr>
        <w:t xml:space="preserve">nefarious </w:t>
      </w:r>
      <w:r w:rsidRPr="00087A72">
        <w:rPr>
          <w:spacing w:val="-4"/>
          <w:sz w:val="16"/>
          <w:szCs w:val="16"/>
        </w:rPr>
        <w:t xml:space="preserve">sin </w:t>
      </w:r>
      <w:r w:rsidRPr="00087A72">
        <w:rPr>
          <w:spacing w:val="5"/>
          <w:sz w:val="16"/>
          <w:szCs w:val="16"/>
        </w:rPr>
        <w:t xml:space="preserve">of </w:t>
      </w:r>
      <w:r w:rsidRPr="00087A72">
        <w:rPr>
          <w:spacing w:val="-5"/>
          <w:sz w:val="16"/>
          <w:szCs w:val="16"/>
        </w:rPr>
        <w:t xml:space="preserve">sodomy," </w:t>
      </w:r>
      <w:r w:rsidRPr="00087A72">
        <w:rPr>
          <w:sz w:val="16"/>
          <w:szCs w:val="16"/>
        </w:rPr>
        <w:t xml:space="preserve">a regional investigation resulted </w:t>
      </w:r>
      <w:r w:rsidRPr="00087A72">
        <w:rPr>
          <w:spacing w:val="-3"/>
          <w:sz w:val="16"/>
          <w:szCs w:val="16"/>
        </w:rPr>
        <w:t xml:space="preserve">in </w:t>
      </w:r>
      <w:r w:rsidRPr="00087A72">
        <w:rPr>
          <w:sz w:val="16"/>
          <w:szCs w:val="16"/>
        </w:rPr>
        <w:t xml:space="preserve">sodomy charges </w:t>
      </w:r>
      <w:r w:rsidRPr="00087A72">
        <w:rPr>
          <w:spacing w:val="-3"/>
          <w:sz w:val="16"/>
          <w:szCs w:val="16"/>
        </w:rPr>
        <w:t xml:space="preserve">against </w:t>
      </w:r>
      <w:r w:rsidRPr="00087A72">
        <w:rPr>
          <w:spacing w:val="2"/>
          <w:sz w:val="16"/>
          <w:szCs w:val="16"/>
        </w:rPr>
        <w:t>thirteen</w:t>
      </w:r>
      <w:r w:rsidRPr="00087A72">
        <w:rPr>
          <w:spacing w:val="-5"/>
          <w:sz w:val="16"/>
          <w:szCs w:val="16"/>
        </w:rPr>
        <w:t xml:space="preserve"> </w:t>
      </w:r>
      <w:r w:rsidRPr="00087A72">
        <w:rPr>
          <w:spacing w:val="2"/>
          <w:sz w:val="16"/>
          <w:szCs w:val="16"/>
        </w:rPr>
        <w:t>Indigenous</w:t>
      </w:r>
      <w:r w:rsidRPr="00087A72">
        <w:rPr>
          <w:spacing w:val="-12"/>
          <w:sz w:val="16"/>
          <w:szCs w:val="16"/>
        </w:rPr>
        <w:t xml:space="preserve"> </w:t>
      </w:r>
      <w:r w:rsidRPr="00087A72">
        <w:rPr>
          <w:sz w:val="16"/>
          <w:szCs w:val="16"/>
        </w:rPr>
        <w:t>and</w:t>
      </w:r>
      <w:r w:rsidRPr="00087A72">
        <w:rPr>
          <w:spacing w:val="-2"/>
          <w:sz w:val="16"/>
          <w:szCs w:val="16"/>
        </w:rPr>
        <w:t xml:space="preserve"> </w:t>
      </w:r>
      <w:r w:rsidRPr="00087A72">
        <w:rPr>
          <w:sz w:val="16"/>
          <w:szCs w:val="16"/>
        </w:rPr>
        <w:t>mestizo</w:t>
      </w:r>
      <w:r w:rsidRPr="00087A72">
        <w:rPr>
          <w:spacing w:val="5"/>
          <w:sz w:val="16"/>
          <w:szCs w:val="16"/>
        </w:rPr>
        <w:t xml:space="preserve"> </w:t>
      </w:r>
      <w:r w:rsidRPr="00087A72">
        <w:rPr>
          <w:sz w:val="16"/>
          <w:szCs w:val="16"/>
        </w:rPr>
        <w:t>men,</w:t>
      </w:r>
      <w:r w:rsidRPr="00087A72">
        <w:rPr>
          <w:spacing w:val="-10"/>
          <w:sz w:val="16"/>
          <w:szCs w:val="16"/>
        </w:rPr>
        <w:t xml:space="preserve"> </w:t>
      </w:r>
      <w:r w:rsidRPr="00087A72">
        <w:rPr>
          <w:sz w:val="16"/>
          <w:szCs w:val="16"/>
        </w:rPr>
        <w:t xml:space="preserve">some </w:t>
      </w:r>
      <w:r w:rsidRPr="00087A72">
        <w:rPr>
          <w:spacing w:val="5"/>
          <w:sz w:val="16"/>
          <w:szCs w:val="16"/>
        </w:rPr>
        <w:t>of</w:t>
      </w:r>
      <w:r w:rsidRPr="00087A72">
        <w:rPr>
          <w:spacing w:val="4"/>
          <w:sz w:val="16"/>
          <w:szCs w:val="16"/>
        </w:rPr>
        <w:t xml:space="preserve"> </w:t>
      </w:r>
      <w:r w:rsidRPr="00087A72">
        <w:rPr>
          <w:spacing w:val="3"/>
          <w:sz w:val="16"/>
          <w:szCs w:val="16"/>
        </w:rPr>
        <w:t>whom</w:t>
      </w:r>
      <w:r w:rsidRPr="00087A72">
        <w:rPr>
          <w:spacing w:val="-15"/>
          <w:sz w:val="16"/>
          <w:szCs w:val="16"/>
        </w:rPr>
        <w:t xml:space="preserve"> </w:t>
      </w:r>
      <w:r w:rsidRPr="00087A72">
        <w:rPr>
          <w:spacing w:val="3"/>
          <w:sz w:val="16"/>
          <w:szCs w:val="16"/>
        </w:rPr>
        <w:t>were</w:t>
      </w:r>
      <w:r w:rsidRPr="00087A72">
        <w:rPr>
          <w:spacing w:val="1"/>
          <w:sz w:val="16"/>
          <w:szCs w:val="16"/>
        </w:rPr>
        <w:t xml:space="preserve"> </w:t>
      </w:r>
      <w:r w:rsidRPr="00087A72">
        <w:rPr>
          <w:sz w:val="16"/>
          <w:szCs w:val="16"/>
        </w:rPr>
        <w:t>relatives</w:t>
      </w:r>
      <w:r w:rsidRPr="00087A72">
        <w:rPr>
          <w:spacing w:val="-12"/>
          <w:sz w:val="16"/>
          <w:szCs w:val="16"/>
        </w:rPr>
        <w:t xml:space="preserve"> </w:t>
      </w:r>
      <w:r w:rsidRPr="00087A72">
        <w:rPr>
          <w:spacing w:val="5"/>
          <w:sz w:val="16"/>
          <w:szCs w:val="16"/>
        </w:rPr>
        <w:t>or</w:t>
      </w:r>
      <w:r w:rsidRPr="00087A72">
        <w:rPr>
          <w:spacing w:val="-1"/>
          <w:sz w:val="16"/>
          <w:szCs w:val="16"/>
        </w:rPr>
        <w:t xml:space="preserve"> </w:t>
      </w:r>
      <w:r w:rsidRPr="00087A72">
        <w:rPr>
          <w:spacing w:val="-3"/>
          <w:sz w:val="16"/>
          <w:szCs w:val="16"/>
        </w:rPr>
        <w:t>in</w:t>
      </w:r>
      <w:r w:rsidRPr="00087A72">
        <w:rPr>
          <w:spacing w:val="-4"/>
          <w:sz w:val="16"/>
          <w:szCs w:val="16"/>
        </w:rPr>
        <w:t xml:space="preserve"> </w:t>
      </w:r>
      <w:r w:rsidRPr="00087A72">
        <w:rPr>
          <w:sz w:val="16"/>
          <w:szCs w:val="16"/>
        </w:rPr>
        <w:t xml:space="preserve">long- </w:t>
      </w:r>
      <w:r w:rsidRPr="00087A72">
        <w:rPr>
          <w:spacing w:val="3"/>
          <w:sz w:val="16"/>
          <w:szCs w:val="16"/>
        </w:rPr>
        <w:t xml:space="preserve">term </w:t>
      </w:r>
      <w:r w:rsidRPr="00087A72">
        <w:rPr>
          <w:sz w:val="16"/>
          <w:szCs w:val="16"/>
        </w:rPr>
        <w:t xml:space="preserve">relationships. </w:t>
      </w:r>
      <w:r w:rsidRPr="00087A72">
        <w:rPr>
          <w:spacing w:val="5"/>
          <w:sz w:val="16"/>
          <w:szCs w:val="16"/>
        </w:rPr>
        <w:t xml:space="preserve">17 </w:t>
      </w:r>
      <w:r w:rsidRPr="00087A72">
        <w:rPr>
          <w:spacing w:val="-5"/>
          <w:sz w:val="16"/>
          <w:szCs w:val="16"/>
        </w:rPr>
        <w:t xml:space="preserve">For </w:t>
      </w:r>
      <w:r w:rsidRPr="00087A72">
        <w:rPr>
          <w:spacing w:val="2"/>
          <w:sz w:val="16"/>
          <w:szCs w:val="16"/>
        </w:rPr>
        <w:t xml:space="preserve">two </w:t>
      </w:r>
      <w:r w:rsidRPr="00087A72">
        <w:rPr>
          <w:sz w:val="16"/>
          <w:szCs w:val="16"/>
        </w:rPr>
        <w:t xml:space="preserve">months, legal and religious authorities </w:t>
      </w:r>
      <w:r w:rsidRPr="00087A72">
        <w:rPr>
          <w:spacing w:val="2"/>
          <w:sz w:val="16"/>
          <w:szCs w:val="16"/>
        </w:rPr>
        <w:t xml:space="preserve">exacted confessions </w:t>
      </w:r>
      <w:r w:rsidRPr="00087A72">
        <w:rPr>
          <w:sz w:val="16"/>
          <w:szCs w:val="16"/>
        </w:rPr>
        <w:t xml:space="preserve">and implications that tried to determine the </w:t>
      </w:r>
      <w:r w:rsidRPr="00087A72">
        <w:rPr>
          <w:spacing w:val="3"/>
          <w:sz w:val="16"/>
          <w:szCs w:val="16"/>
        </w:rPr>
        <w:t xml:space="preserve">degree </w:t>
      </w:r>
      <w:r w:rsidRPr="00087A72">
        <w:rPr>
          <w:spacing w:val="5"/>
          <w:sz w:val="16"/>
          <w:szCs w:val="16"/>
        </w:rPr>
        <w:t xml:space="preserve">of </w:t>
      </w:r>
      <w:r w:rsidRPr="00087A72">
        <w:rPr>
          <w:sz w:val="16"/>
          <w:szCs w:val="16"/>
        </w:rPr>
        <w:t xml:space="preserve">interest </w:t>
      </w:r>
      <w:r w:rsidRPr="00087A72">
        <w:rPr>
          <w:spacing w:val="5"/>
          <w:sz w:val="16"/>
          <w:szCs w:val="16"/>
        </w:rPr>
        <w:t xml:space="preserve">or </w:t>
      </w:r>
      <w:r w:rsidRPr="00087A72">
        <w:rPr>
          <w:sz w:val="16"/>
          <w:szCs w:val="16"/>
        </w:rPr>
        <w:t xml:space="preserve">culpability </w:t>
      </w:r>
      <w:r w:rsidRPr="00087A72">
        <w:rPr>
          <w:spacing w:val="-3"/>
          <w:sz w:val="16"/>
          <w:szCs w:val="16"/>
        </w:rPr>
        <w:t xml:space="preserve">in </w:t>
      </w:r>
      <w:r w:rsidRPr="00087A72">
        <w:rPr>
          <w:sz w:val="16"/>
          <w:szCs w:val="16"/>
        </w:rPr>
        <w:t xml:space="preserve">the alleged </w:t>
      </w:r>
      <w:r w:rsidRPr="00087A72">
        <w:rPr>
          <w:spacing w:val="2"/>
          <w:sz w:val="16"/>
          <w:szCs w:val="16"/>
        </w:rPr>
        <w:t xml:space="preserve">acts </w:t>
      </w:r>
      <w:r w:rsidRPr="00087A72">
        <w:rPr>
          <w:sz w:val="16"/>
          <w:szCs w:val="16"/>
        </w:rPr>
        <w:t xml:space="preserve">for each </w:t>
      </w:r>
      <w:r w:rsidRPr="00087A72">
        <w:rPr>
          <w:spacing w:val="5"/>
          <w:sz w:val="16"/>
          <w:szCs w:val="16"/>
        </w:rPr>
        <w:t xml:space="preserve">of </w:t>
      </w:r>
      <w:r w:rsidRPr="00087A72">
        <w:rPr>
          <w:sz w:val="16"/>
          <w:szCs w:val="16"/>
        </w:rPr>
        <w:t xml:space="preserve">the </w:t>
      </w:r>
      <w:r w:rsidRPr="00087A72">
        <w:rPr>
          <w:spacing w:val="2"/>
          <w:sz w:val="16"/>
          <w:szCs w:val="16"/>
        </w:rPr>
        <w:t xml:space="preserve">accused </w:t>
      </w:r>
      <w:r w:rsidRPr="00087A72">
        <w:rPr>
          <w:sz w:val="16"/>
          <w:szCs w:val="16"/>
        </w:rPr>
        <w:t xml:space="preserve">while threatening </w:t>
      </w:r>
      <w:r w:rsidRPr="00087A72">
        <w:rPr>
          <w:spacing w:val="4"/>
          <w:sz w:val="16"/>
          <w:szCs w:val="16"/>
        </w:rPr>
        <w:t xml:space="preserve">torture </w:t>
      </w:r>
      <w:r w:rsidRPr="00087A72">
        <w:rPr>
          <w:spacing w:val="5"/>
          <w:sz w:val="16"/>
          <w:szCs w:val="16"/>
        </w:rPr>
        <w:t xml:space="preserve">or </w:t>
      </w:r>
      <w:r w:rsidRPr="00087A72">
        <w:rPr>
          <w:sz w:val="16"/>
          <w:szCs w:val="16"/>
        </w:rPr>
        <w:t xml:space="preserve">public </w:t>
      </w:r>
      <w:r w:rsidRPr="00087A72">
        <w:rPr>
          <w:spacing w:val="3"/>
          <w:sz w:val="16"/>
          <w:szCs w:val="16"/>
        </w:rPr>
        <w:t xml:space="preserve">execution </w:t>
      </w:r>
      <w:r w:rsidRPr="00087A72">
        <w:rPr>
          <w:sz w:val="16"/>
          <w:szCs w:val="16"/>
        </w:rPr>
        <w:t xml:space="preserve">as punishments. </w:t>
      </w:r>
      <w:r w:rsidRPr="00087A72">
        <w:rPr>
          <w:spacing w:val="-11"/>
          <w:sz w:val="16"/>
          <w:szCs w:val="16"/>
        </w:rPr>
        <w:t xml:space="preserve">Yet </w:t>
      </w:r>
      <w:r w:rsidRPr="00087A72">
        <w:rPr>
          <w:sz w:val="16"/>
          <w:szCs w:val="16"/>
        </w:rPr>
        <w:t xml:space="preserve">the investigation </w:t>
      </w:r>
      <w:r w:rsidRPr="00087A72">
        <w:rPr>
          <w:spacing w:val="5"/>
          <w:sz w:val="16"/>
          <w:szCs w:val="16"/>
        </w:rPr>
        <w:t xml:space="preserve">deferred </w:t>
      </w:r>
      <w:r w:rsidRPr="00087A72">
        <w:rPr>
          <w:sz w:val="16"/>
          <w:szCs w:val="16"/>
        </w:rPr>
        <w:t xml:space="preserve">its </w:t>
      </w:r>
      <w:r w:rsidRPr="00087A72">
        <w:rPr>
          <w:spacing w:val="3"/>
          <w:sz w:val="16"/>
          <w:szCs w:val="16"/>
        </w:rPr>
        <w:t xml:space="preserve">threatened </w:t>
      </w:r>
      <w:r w:rsidRPr="00087A72">
        <w:rPr>
          <w:spacing w:val="4"/>
          <w:sz w:val="16"/>
          <w:szCs w:val="16"/>
        </w:rPr>
        <w:t xml:space="preserve">outcomes </w:t>
      </w:r>
      <w:r w:rsidRPr="00087A72">
        <w:rPr>
          <w:sz w:val="16"/>
          <w:szCs w:val="16"/>
        </w:rPr>
        <w:t xml:space="preserve">to serve as a </w:t>
      </w:r>
      <w:r w:rsidRPr="00087A72">
        <w:rPr>
          <w:spacing w:val="2"/>
          <w:sz w:val="16"/>
          <w:szCs w:val="16"/>
        </w:rPr>
        <w:t xml:space="preserve">fact-ﬁnding </w:t>
      </w:r>
      <w:r w:rsidRPr="00087A72">
        <w:rPr>
          <w:spacing w:val="-3"/>
          <w:sz w:val="16"/>
          <w:szCs w:val="16"/>
        </w:rPr>
        <w:t xml:space="preserve">exercise, which </w:t>
      </w:r>
      <w:r w:rsidRPr="00087A72">
        <w:rPr>
          <w:sz w:val="16"/>
          <w:szCs w:val="16"/>
        </w:rPr>
        <w:t xml:space="preserve">mapped social networks along </w:t>
      </w:r>
      <w:r w:rsidRPr="00087A72">
        <w:rPr>
          <w:spacing w:val="-3"/>
          <w:sz w:val="16"/>
          <w:szCs w:val="16"/>
        </w:rPr>
        <w:t xml:space="preserve">which </w:t>
      </w:r>
      <w:r w:rsidRPr="00087A72">
        <w:rPr>
          <w:sz w:val="16"/>
          <w:szCs w:val="16"/>
        </w:rPr>
        <w:t xml:space="preserve">the </w:t>
      </w:r>
      <w:r w:rsidRPr="00087A72">
        <w:rPr>
          <w:spacing w:val="-6"/>
          <w:sz w:val="16"/>
          <w:szCs w:val="16"/>
        </w:rPr>
        <w:t xml:space="preserve">church </w:t>
      </w:r>
      <w:r w:rsidRPr="00087A72">
        <w:rPr>
          <w:sz w:val="16"/>
          <w:szCs w:val="16"/>
        </w:rPr>
        <w:t xml:space="preserve">and government began to chart </w:t>
      </w:r>
      <w:r w:rsidRPr="00087A72">
        <w:rPr>
          <w:spacing w:val="2"/>
          <w:sz w:val="16"/>
          <w:szCs w:val="16"/>
        </w:rPr>
        <w:t xml:space="preserve">new </w:t>
      </w:r>
      <w:r w:rsidRPr="00087A72">
        <w:rPr>
          <w:sz w:val="16"/>
          <w:szCs w:val="16"/>
        </w:rPr>
        <w:t xml:space="preserve">routes for their </w:t>
      </w:r>
      <w:r w:rsidRPr="00087A72">
        <w:rPr>
          <w:spacing w:val="2"/>
          <w:sz w:val="16"/>
          <w:szCs w:val="16"/>
        </w:rPr>
        <w:t xml:space="preserve">authority </w:t>
      </w:r>
      <w:r w:rsidRPr="00087A72">
        <w:rPr>
          <w:spacing w:val="-3"/>
          <w:sz w:val="16"/>
          <w:szCs w:val="16"/>
        </w:rPr>
        <w:t xml:space="preserve">in </w:t>
      </w:r>
      <w:r w:rsidRPr="00087A72">
        <w:rPr>
          <w:spacing w:val="2"/>
          <w:sz w:val="16"/>
          <w:szCs w:val="16"/>
        </w:rPr>
        <w:t xml:space="preserve">Indigenous </w:t>
      </w:r>
      <w:r w:rsidRPr="00087A72">
        <w:rPr>
          <w:sz w:val="16"/>
          <w:szCs w:val="16"/>
        </w:rPr>
        <w:t xml:space="preserve">communities. Given that only </w:t>
      </w:r>
      <w:r w:rsidRPr="00087A72">
        <w:rPr>
          <w:spacing w:val="-4"/>
          <w:sz w:val="16"/>
          <w:szCs w:val="16"/>
        </w:rPr>
        <w:t xml:space="preserve">six </w:t>
      </w:r>
      <w:r w:rsidRPr="00087A72">
        <w:rPr>
          <w:spacing w:val="5"/>
          <w:sz w:val="16"/>
          <w:szCs w:val="16"/>
        </w:rPr>
        <w:t xml:space="preserve">of </w:t>
      </w:r>
      <w:r w:rsidRPr="00087A72">
        <w:rPr>
          <w:sz w:val="16"/>
          <w:szCs w:val="16"/>
        </w:rPr>
        <w:t xml:space="preserve">the </w:t>
      </w:r>
      <w:r w:rsidRPr="00087A72">
        <w:rPr>
          <w:spacing w:val="2"/>
          <w:sz w:val="16"/>
          <w:szCs w:val="16"/>
        </w:rPr>
        <w:t xml:space="preserve">thirteen accused </w:t>
      </w:r>
      <w:r w:rsidRPr="00087A72">
        <w:rPr>
          <w:sz w:val="16"/>
          <w:szCs w:val="16"/>
        </w:rPr>
        <w:t xml:space="preserve">men </w:t>
      </w:r>
      <w:r w:rsidRPr="00087A72">
        <w:rPr>
          <w:spacing w:val="3"/>
          <w:sz w:val="16"/>
          <w:szCs w:val="16"/>
        </w:rPr>
        <w:t xml:space="preserve">were </w:t>
      </w:r>
      <w:r w:rsidRPr="00087A72">
        <w:rPr>
          <w:sz w:val="16"/>
          <w:szCs w:val="16"/>
        </w:rPr>
        <w:t xml:space="preserve">tried for </w:t>
      </w:r>
      <w:r w:rsidRPr="00087A72">
        <w:rPr>
          <w:spacing w:val="-5"/>
          <w:sz w:val="16"/>
          <w:szCs w:val="16"/>
        </w:rPr>
        <w:t xml:space="preserve">sodomy, </w:t>
      </w:r>
      <w:r w:rsidRPr="00087A72">
        <w:rPr>
          <w:sz w:val="16"/>
          <w:szCs w:val="16"/>
        </w:rPr>
        <w:t xml:space="preserve">with four </w:t>
      </w:r>
      <w:r w:rsidRPr="00087A72">
        <w:rPr>
          <w:spacing w:val="5"/>
          <w:sz w:val="16"/>
          <w:szCs w:val="16"/>
        </w:rPr>
        <w:t xml:space="preserve">of </w:t>
      </w:r>
      <w:r w:rsidRPr="00087A72">
        <w:rPr>
          <w:spacing w:val="2"/>
          <w:sz w:val="16"/>
          <w:szCs w:val="16"/>
        </w:rPr>
        <w:t xml:space="preserve">them </w:t>
      </w:r>
      <w:r w:rsidRPr="00087A72">
        <w:rPr>
          <w:spacing w:val="3"/>
          <w:sz w:val="16"/>
          <w:szCs w:val="16"/>
        </w:rPr>
        <w:t xml:space="preserve">executed, </w:t>
      </w:r>
      <w:r w:rsidRPr="00087A72">
        <w:rPr>
          <w:sz w:val="16"/>
          <w:szCs w:val="16"/>
        </w:rPr>
        <w:t xml:space="preserve">and </w:t>
      </w:r>
      <w:r w:rsidRPr="00087A72">
        <w:rPr>
          <w:spacing w:val="4"/>
          <w:sz w:val="16"/>
          <w:szCs w:val="16"/>
        </w:rPr>
        <w:t xml:space="preserve">others </w:t>
      </w:r>
      <w:r w:rsidRPr="00087A72">
        <w:rPr>
          <w:sz w:val="16"/>
          <w:szCs w:val="16"/>
        </w:rPr>
        <w:t xml:space="preserve">who </w:t>
      </w:r>
      <w:r w:rsidRPr="00087A72">
        <w:rPr>
          <w:spacing w:val="2"/>
          <w:sz w:val="16"/>
          <w:szCs w:val="16"/>
        </w:rPr>
        <w:t xml:space="preserve">evaded </w:t>
      </w:r>
      <w:r w:rsidRPr="00087A72">
        <w:rPr>
          <w:spacing w:val="3"/>
          <w:sz w:val="16"/>
          <w:szCs w:val="16"/>
        </w:rPr>
        <w:t xml:space="preserve">capture </w:t>
      </w:r>
      <w:r w:rsidRPr="00087A72">
        <w:rPr>
          <w:spacing w:val="2"/>
          <w:sz w:val="16"/>
          <w:szCs w:val="16"/>
        </w:rPr>
        <w:t xml:space="preserve">never pursued, </w:t>
      </w:r>
      <w:r w:rsidRPr="00087A72">
        <w:rPr>
          <w:sz w:val="16"/>
          <w:szCs w:val="16"/>
        </w:rPr>
        <w:t xml:space="preserve">Tortorici suggests that </w:t>
      </w:r>
      <w:r w:rsidRPr="00087A72">
        <w:rPr>
          <w:spacing w:val="-3"/>
          <w:sz w:val="16"/>
          <w:szCs w:val="16"/>
        </w:rPr>
        <w:t xml:space="preserve">in </w:t>
      </w:r>
      <w:r w:rsidRPr="00087A72">
        <w:rPr>
          <w:sz w:val="16"/>
          <w:szCs w:val="16"/>
        </w:rPr>
        <w:t xml:space="preserve">this </w:t>
      </w:r>
      <w:r w:rsidRPr="00087A72">
        <w:rPr>
          <w:spacing w:val="3"/>
          <w:sz w:val="16"/>
          <w:szCs w:val="16"/>
        </w:rPr>
        <w:t xml:space="preserve">era </w:t>
      </w:r>
      <w:r w:rsidRPr="00087A72">
        <w:rPr>
          <w:sz w:val="16"/>
          <w:szCs w:val="16"/>
        </w:rPr>
        <w:t xml:space="preserve">the intimation </w:t>
      </w:r>
      <w:r w:rsidRPr="00087A72">
        <w:rPr>
          <w:spacing w:val="5"/>
          <w:sz w:val="16"/>
          <w:szCs w:val="16"/>
        </w:rPr>
        <w:t xml:space="preserve">of </w:t>
      </w:r>
      <w:r w:rsidRPr="00087A72">
        <w:rPr>
          <w:sz w:val="16"/>
          <w:szCs w:val="16"/>
        </w:rPr>
        <w:t xml:space="preserve">sodomy among </w:t>
      </w:r>
      <w:r w:rsidRPr="00087A72">
        <w:rPr>
          <w:spacing w:val="2"/>
          <w:sz w:val="16"/>
          <w:szCs w:val="16"/>
        </w:rPr>
        <w:t xml:space="preserve">Indigenous </w:t>
      </w:r>
      <w:r w:rsidRPr="00087A72">
        <w:rPr>
          <w:sz w:val="16"/>
          <w:szCs w:val="16"/>
        </w:rPr>
        <w:t xml:space="preserve">men remained deadly </w:t>
      </w:r>
      <w:r w:rsidRPr="00087A72">
        <w:rPr>
          <w:spacing w:val="2"/>
          <w:sz w:val="16"/>
          <w:szCs w:val="16"/>
        </w:rPr>
        <w:t xml:space="preserve">but </w:t>
      </w:r>
      <w:r w:rsidRPr="00087A72">
        <w:rPr>
          <w:sz w:val="16"/>
          <w:szCs w:val="16"/>
        </w:rPr>
        <w:t xml:space="preserve">no longer </w:t>
      </w:r>
      <w:r w:rsidRPr="00087A72">
        <w:rPr>
          <w:spacing w:val="3"/>
          <w:sz w:val="16"/>
          <w:szCs w:val="16"/>
        </w:rPr>
        <w:t xml:space="preserve">drew </w:t>
      </w:r>
      <w:r w:rsidRPr="00087A72">
        <w:rPr>
          <w:sz w:val="16"/>
          <w:szCs w:val="16"/>
        </w:rPr>
        <w:t xml:space="preserve">an absolute response (5). Public </w:t>
      </w:r>
      <w:r w:rsidRPr="00087A72">
        <w:rPr>
          <w:spacing w:val="3"/>
          <w:sz w:val="16"/>
          <w:szCs w:val="16"/>
        </w:rPr>
        <w:t xml:space="preserve">execution </w:t>
      </w:r>
      <w:r w:rsidRPr="00087A72">
        <w:rPr>
          <w:spacing w:val="-3"/>
          <w:sz w:val="16"/>
          <w:szCs w:val="16"/>
        </w:rPr>
        <w:t xml:space="preserve">now </w:t>
      </w:r>
      <w:r w:rsidRPr="00087A72">
        <w:rPr>
          <w:spacing w:val="2"/>
          <w:sz w:val="16"/>
          <w:szCs w:val="16"/>
        </w:rPr>
        <w:t xml:space="preserve">appeared </w:t>
      </w:r>
      <w:r w:rsidRPr="00087A72">
        <w:rPr>
          <w:sz w:val="16"/>
          <w:szCs w:val="16"/>
        </w:rPr>
        <w:t xml:space="preserve">as a </w:t>
      </w:r>
      <w:r w:rsidRPr="00087A72">
        <w:rPr>
          <w:spacing w:val="3"/>
          <w:sz w:val="16"/>
          <w:szCs w:val="16"/>
        </w:rPr>
        <w:t xml:space="preserve">threatened </w:t>
      </w:r>
      <w:r w:rsidRPr="00087A72">
        <w:rPr>
          <w:spacing w:val="2"/>
          <w:sz w:val="16"/>
          <w:szCs w:val="16"/>
        </w:rPr>
        <w:t xml:space="preserve">end </w:t>
      </w:r>
      <w:r w:rsidRPr="00087A72">
        <w:rPr>
          <w:sz w:val="16"/>
          <w:szCs w:val="16"/>
        </w:rPr>
        <w:t xml:space="preserve">to a broader process </w:t>
      </w:r>
      <w:r w:rsidRPr="00087A72">
        <w:rPr>
          <w:spacing w:val="5"/>
          <w:sz w:val="16"/>
          <w:szCs w:val="16"/>
        </w:rPr>
        <w:t xml:space="preserve">of </w:t>
      </w:r>
      <w:r w:rsidRPr="00087A72">
        <w:rPr>
          <w:sz w:val="16"/>
          <w:szCs w:val="16"/>
        </w:rPr>
        <w:t xml:space="preserve">surveillance and </w:t>
      </w:r>
      <w:r w:rsidRPr="00087A72">
        <w:rPr>
          <w:spacing w:val="2"/>
          <w:sz w:val="16"/>
          <w:szCs w:val="16"/>
        </w:rPr>
        <w:t xml:space="preserve">population </w:t>
      </w:r>
      <w:r w:rsidRPr="00087A72">
        <w:rPr>
          <w:sz w:val="16"/>
          <w:szCs w:val="16"/>
        </w:rPr>
        <w:t xml:space="preserve">management that sought more minute </w:t>
      </w:r>
      <w:r w:rsidRPr="00087A72">
        <w:rPr>
          <w:spacing w:val="2"/>
          <w:sz w:val="16"/>
          <w:szCs w:val="16"/>
        </w:rPr>
        <w:t xml:space="preserve">control </w:t>
      </w:r>
      <w:r w:rsidRPr="00087A72">
        <w:rPr>
          <w:sz w:val="16"/>
          <w:szCs w:val="16"/>
        </w:rPr>
        <w:t xml:space="preserve">over sexual transgressions and </w:t>
      </w:r>
      <w:r w:rsidRPr="00087A72">
        <w:rPr>
          <w:spacing w:val="2"/>
          <w:sz w:val="16"/>
          <w:szCs w:val="16"/>
        </w:rPr>
        <w:t xml:space="preserve">Indigenous </w:t>
      </w:r>
      <w:r w:rsidRPr="00087A72">
        <w:rPr>
          <w:sz w:val="16"/>
          <w:szCs w:val="16"/>
        </w:rPr>
        <w:t xml:space="preserve">communities. Tortorici historicizes this shift </w:t>
      </w:r>
      <w:r w:rsidRPr="00087A72">
        <w:rPr>
          <w:spacing w:val="-3"/>
          <w:sz w:val="16"/>
          <w:szCs w:val="16"/>
        </w:rPr>
        <w:t xml:space="preserve">in managing </w:t>
      </w:r>
      <w:r w:rsidRPr="00087A72">
        <w:rPr>
          <w:sz w:val="16"/>
          <w:szCs w:val="16"/>
        </w:rPr>
        <w:t xml:space="preserve">sexuality within the secularization </w:t>
      </w:r>
      <w:r w:rsidRPr="00087A72">
        <w:rPr>
          <w:spacing w:val="5"/>
          <w:sz w:val="16"/>
          <w:szCs w:val="16"/>
        </w:rPr>
        <w:t xml:space="preserve">of </w:t>
      </w:r>
      <w:r w:rsidRPr="00087A72">
        <w:rPr>
          <w:spacing w:val="2"/>
          <w:sz w:val="16"/>
          <w:szCs w:val="16"/>
        </w:rPr>
        <w:t xml:space="preserve">colonial </w:t>
      </w:r>
      <w:r w:rsidRPr="00087A72">
        <w:rPr>
          <w:sz w:val="16"/>
          <w:szCs w:val="16"/>
        </w:rPr>
        <w:t xml:space="preserve">Mexican </w:t>
      </w:r>
      <w:r w:rsidRPr="00087A72">
        <w:rPr>
          <w:spacing w:val="-4"/>
          <w:sz w:val="16"/>
          <w:szCs w:val="16"/>
        </w:rPr>
        <w:t xml:space="preserve">society," so </w:t>
      </w:r>
      <w:r w:rsidRPr="00087A72">
        <w:rPr>
          <w:sz w:val="16"/>
          <w:szCs w:val="16"/>
        </w:rPr>
        <w:t xml:space="preserve">that, "while </w:t>
      </w:r>
      <w:r w:rsidRPr="00087A72">
        <w:rPr>
          <w:spacing w:val="-3"/>
          <w:sz w:val="16"/>
          <w:szCs w:val="16"/>
        </w:rPr>
        <w:t xml:space="preserve">in </w:t>
      </w:r>
      <w:r w:rsidRPr="00087A72">
        <w:rPr>
          <w:spacing w:val="7"/>
          <w:sz w:val="16"/>
          <w:szCs w:val="16"/>
        </w:rPr>
        <w:t xml:space="preserve">1604 </w:t>
      </w:r>
      <w:r w:rsidRPr="00087A72">
        <w:rPr>
          <w:sz w:val="16"/>
          <w:szCs w:val="16"/>
        </w:rPr>
        <w:t xml:space="preserve">four </w:t>
      </w:r>
      <w:r w:rsidRPr="00087A72">
        <w:rPr>
          <w:spacing w:val="5"/>
          <w:sz w:val="16"/>
          <w:szCs w:val="16"/>
        </w:rPr>
        <w:t xml:space="preserve">of </w:t>
      </w:r>
      <w:r w:rsidRPr="00087A72">
        <w:rPr>
          <w:sz w:val="16"/>
          <w:szCs w:val="16"/>
        </w:rPr>
        <w:t xml:space="preserve">the Purepecha men </w:t>
      </w:r>
      <w:r w:rsidRPr="00087A72">
        <w:rPr>
          <w:spacing w:val="2"/>
          <w:sz w:val="16"/>
          <w:szCs w:val="16"/>
        </w:rPr>
        <w:t xml:space="preserve">accused </w:t>
      </w:r>
      <w:r w:rsidRPr="00087A72">
        <w:rPr>
          <w:spacing w:val="5"/>
          <w:sz w:val="16"/>
          <w:szCs w:val="16"/>
        </w:rPr>
        <w:t xml:space="preserve">of </w:t>
      </w:r>
      <w:r w:rsidRPr="00087A72">
        <w:rPr>
          <w:sz w:val="16"/>
          <w:szCs w:val="16"/>
        </w:rPr>
        <w:t xml:space="preserve">sodomy </w:t>
      </w:r>
      <w:r w:rsidRPr="00087A72">
        <w:rPr>
          <w:spacing w:val="3"/>
          <w:sz w:val="16"/>
          <w:szCs w:val="16"/>
        </w:rPr>
        <w:t xml:space="preserve">were executed </w:t>
      </w:r>
      <w:r w:rsidRPr="00087A72">
        <w:rPr>
          <w:sz w:val="16"/>
          <w:szCs w:val="16"/>
        </w:rPr>
        <w:t xml:space="preserve">for their crimes, </w:t>
      </w:r>
      <w:r w:rsidRPr="00087A72">
        <w:rPr>
          <w:spacing w:val="-3"/>
          <w:sz w:val="16"/>
          <w:szCs w:val="16"/>
        </w:rPr>
        <w:t xml:space="preserve">in </w:t>
      </w:r>
      <w:r w:rsidRPr="00087A72">
        <w:rPr>
          <w:sz w:val="16"/>
          <w:szCs w:val="16"/>
        </w:rPr>
        <w:t xml:space="preserve">the </w:t>
      </w:r>
      <w:r w:rsidRPr="00087A72">
        <w:rPr>
          <w:spacing w:val="2"/>
          <w:sz w:val="16"/>
          <w:szCs w:val="16"/>
        </w:rPr>
        <w:t xml:space="preserve">eighteenth </w:t>
      </w:r>
      <w:r w:rsidRPr="00087A72">
        <w:rPr>
          <w:spacing w:val="4"/>
          <w:sz w:val="16"/>
          <w:szCs w:val="16"/>
        </w:rPr>
        <w:t xml:space="preserve">century </w:t>
      </w:r>
      <w:r w:rsidRPr="00087A72">
        <w:rPr>
          <w:sz w:val="16"/>
          <w:szCs w:val="16"/>
        </w:rPr>
        <w:t xml:space="preserve">men found guilty </w:t>
      </w:r>
      <w:r w:rsidRPr="00087A72">
        <w:rPr>
          <w:spacing w:val="5"/>
          <w:sz w:val="16"/>
          <w:szCs w:val="16"/>
        </w:rPr>
        <w:t xml:space="preserve">of </w:t>
      </w:r>
      <w:r w:rsidRPr="00087A72">
        <w:rPr>
          <w:sz w:val="16"/>
          <w:szCs w:val="16"/>
        </w:rPr>
        <w:t xml:space="preserve">sodomy </w:t>
      </w:r>
      <w:r w:rsidRPr="00087A72">
        <w:rPr>
          <w:spacing w:val="3"/>
          <w:sz w:val="16"/>
          <w:szCs w:val="16"/>
        </w:rPr>
        <w:t xml:space="preserve">were </w:t>
      </w:r>
      <w:r w:rsidRPr="00087A72">
        <w:rPr>
          <w:spacing w:val="2"/>
          <w:sz w:val="16"/>
          <w:szCs w:val="16"/>
        </w:rPr>
        <w:t xml:space="preserve">never </w:t>
      </w:r>
      <w:r w:rsidRPr="00087A72">
        <w:rPr>
          <w:spacing w:val="3"/>
          <w:sz w:val="16"/>
          <w:szCs w:val="16"/>
        </w:rPr>
        <w:t xml:space="preserve">executed </w:t>
      </w:r>
      <w:r w:rsidRPr="00087A72">
        <w:rPr>
          <w:sz w:val="16"/>
          <w:szCs w:val="16"/>
        </w:rPr>
        <w:t xml:space="preserve">for their crimes" </w:t>
      </w:r>
      <w:r w:rsidRPr="00087A72">
        <w:rPr>
          <w:spacing w:val="-11"/>
          <w:sz w:val="16"/>
          <w:szCs w:val="16"/>
        </w:rPr>
        <w:t xml:space="preserve">Yet </w:t>
      </w:r>
      <w:r w:rsidRPr="00087A72">
        <w:rPr>
          <w:sz w:val="16"/>
          <w:szCs w:val="16"/>
        </w:rPr>
        <w:t xml:space="preserve">the study </w:t>
      </w:r>
      <w:r w:rsidRPr="00087A72">
        <w:rPr>
          <w:spacing w:val="5"/>
          <w:sz w:val="16"/>
          <w:szCs w:val="16"/>
        </w:rPr>
        <w:t xml:space="preserve">of </w:t>
      </w:r>
      <w:r w:rsidRPr="00087A72">
        <w:rPr>
          <w:sz w:val="16"/>
          <w:szCs w:val="16"/>
        </w:rPr>
        <w:t xml:space="preserve">"sodomitical subcultures" (as Tortorici calls them) remained a method for </w:t>
      </w:r>
      <w:r w:rsidRPr="00087A72">
        <w:rPr>
          <w:spacing w:val="2"/>
          <w:sz w:val="16"/>
          <w:szCs w:val="16"/>
        </w:rPr>
        <w:t xml:space="preserve">colonial </w:t>
      </w:r>
      <w:r w:rsidRPr="00087A72">
        <w:rPr>
          <w:sz w:val="16"/>
          <w:szCs w:val="16"/>
        </w:rPr>
        <w:t xml:space="preserve">authorities to study and </w:t>
      </w:r>
      <w:r w:rsidRPr="00087A72">
        <w:rPr>
          <w:spacing w:val="5"/>
          <w:sz w:val="16"/>
          <w:szCs w:val="16"/>
        </w:rPr>
        <w:t xml:space="preserve">control </w:t>
      </w:r>
      <w:r w:rsidRPr="00087A72">
        <w:rPr>
          <w:sz w:val="16"/>
          <w:szCs w:val="16"/>
        </w:rPr>
        <w:t>sexuality among Native</w:t>
      </w:r>
      <w:r w:rsidRPr="00087A72">
        <w:rPr>
          <w:spacing w:val="-26"/>
          <w:sz w:val="16"/>
          <w:szCs w:val="16"/>
        </w:rPr>
        <w:t xml:space="preserve"> </w:t>
      </w:r>
      <w:r w:rsidRPr="00087A72">
        <w:rPr>
          <w:spacing w:val="2"/>
          <w:sz w:val="16"/>
          <w:szCs w:val="16"/>
        </w:rPr>
        <w:t>peoples.</w:t>
      </w:r>
      <w:r w:rsidRPr="00087A72">
        <w:rPr>
          <w:sz w:val="16"/>
          <w:szCs w:val="16"/>
        </w:rPr>
        <w:t xml:space="preserve"> Scholars of Anglophone and Francophone North America also have observed how gender and sexuality shaped colonial expansion and its shifts toward disciplinary regimes of modern sexuality. The settlement of French and British Canada and </w:t>
      </w:r>
      <w:r w:rsidRPr="00087A72">
        <w:rPr>
          <w:spacing w:val="5"/>
          <w:sz w:val="16"/>
          <w:szCs w:val="16"/>
        </w:rPr>
        <w:t xml:space="preserve">of </w:t>
      </w:r>
      <w:r w:rsidRPr="00087A72">
        <w:rPr>
          <w:spacing w:val="2"/>
          <w:sz w:val="16"/>
          <w:szCs w:val="16"/>
        </w:rPr>
        <w:t xml:space="preserve">colonial </w:t>
      </w:r>
      <w:r w:rsidRPr="00087A72">
        <w:rPr>
          <w:sz w:val="16"/>
          <w:szCs w:val="16"/>
        </w:rPr>
        <w:t xml:space="preserve">and </w:t>
      </w:r>
      <w:r w:rsidRPr="00087A72">
        <w:rPr>
          <w:spacing w:val="2"/>
          <w:sz w:val="16"/>
          <w:szCs w:val="16"/>
        </w:rPr>
        <w:t xml:space="preserve">postrevolutionary </w:t>
      </w:r>
      <w:r w:rsidRPr="00087A72">
        <w:rPr>
          <w:spacing w:val="3"/>
          <w:sz w:val="16"/>
          <w:szCs w:val="16"/>
        </w:rPr>
        <w:t xml:space="preserve">New </w:t>
      </w:r>
      <w:r w:rsidRPr="00087A72">
        <w:rPr>
          <w:sz w:val="16"/>
          <w:szCs w:val="16"/>
        </w:rPr>
        <w:t xml:space="preserve">England </w:t>
      </w:r>
      <w:r w:rsidRPr="00087A72">
        <w:rPr>
          <w:spacing w:val="2"/>
          <w:sz w:val="16"/>
          <w:szCs w:val="16"/>
        </w:rPr>
        <w:t xml:space="preserve">produced </w:t>
      </w:r>
      <w:r w:rsidRPr="00087A72">
        <w:rPr>
          <w:sz w:val="16"/>
          <w:szCs w:val="16"/>
        </w:rPr>
        <w:t xml:space="preserve">strongly </w:t>
      </w:r>
      <w:r w:rsidRPr="00087A72">
        <w:rPr>
          <w:spacing w:val="3"/>
          <w:sz w:val="16"/>
          <w:szCs w:val="16"/>
        </w:rPr>
        <w:t xml:space="preserve">gendered </w:t>
      </w:r>
      <w:r w:rsidRPr="00087A72">
        <w:rPr>
          <w:spacing w:val="2"/>
          <w:sz w:val="16"/>
          <w:szCs w:val="16"/>
        </w:rPr>
        <w:t xml:space="preserve">modes </w:t>
      </w:r>
      <w:r w:rsidRPr="00087A72">
        <w:rPr>
          <w:spacing w:val="5"/>
          <w:sz w:val="16"/>
          <w:szCs w:val="16"/>
        </w:rPr>
        <w:t xml:space="preserve">of </w:t>
      </w:r>
      <w:r w:rsidRPr="00087A72">
        <w:rPr>
          <w:spacing w:val="2"/>
          <w:sz w:val="16"/>
          <w:szCs w:val="16"/>
        </w:rPr>
        <w:t xml:space="preserve">control </w:t>
      </w:r>
      <w:r w:rsidRPr="00087A72">
        <w:rPr>
          <w:sz w:val="16"/>
          <w:szCs w:val="16"/>
        </w:rPr>
        <w:t xml:space="preserve">over Native </w:t>
      </w:r>
      <w:r w:rsidRPr="00087A72">
        <w:rPr>
          <w:spacing w:val="2"/>
          <w:sz w:val="16"/>
          <w:szCs w:val="16"/>
        </w:rPr>
        <w:t xml:space="preserve">peoples, </w:t>
      </w:r>
      <w:r w:rsidRPr="00087A72">
        <w:rPr>
          <w:sz w:val="16"/>
          <w:szCs w:val="16"/>
        </w:rPr>
        <w:t xml:space="preserve">as </w:t>
      </w:r>
      <w:r w:rsidRPr="00087A72">
        <w:rPr>
          <w:spacing w:val="-9"/>
          <w:sz w:val="16"/>
          <w:szCs w:val="16"/>
        </w:rPr>
        <w:t xml:space="preserve">war, </w:t>
      </w:r>
      <w:r w:rsidRPr="00087A72">
        <w:rPr>
          <w:sz w:val="16"/>
          <w:szCs w:val="16"/>
        </w:rPr>
        <w:t xml:space="preserve">containment </w:t>
      </w:r>
      <w:r w:rsidRPr="00087A72">
        <w:rPr>
          <w:spacing w:val="5"/>
          <w:sz w:val="16"/>
          <w:szCs w:val="16"/>
        </w:rPr>
        <w:t xml:space="preserve">on </w:t>
      </w:r>
      <w:r w:rsidRPr="00087A72">
        <w:rPr>
          <w:sz w:val="16"/>
          <w:szCs w:val="16"/>
        </w:rPr>
        <w:t xml:space="preserve">reserves, and </w:t>
      </w:r>
      <w:r w:rsidRPr="00087A72">
        <w:rPr>
          <w:spacing w:val="2"/>
          <w:sz w:val="16"/>
          <w:szCs w:val="16"/>
        </w:rPr>
        <w:t xml:space="preserve">colonial </w:t>
      </w:r>
      <w:r w:rsidRPr="00087A72">
        <w:rPr>
          <w:spacing w:val="-11"/>
          <w:sz w:val="16"/>
          <w:szCs w:val="16"/>
        </w:rPr>
        <w:t xml:space="preserve">law, </w:t>
      </w:r>
      <w:r w:rsidRPr="00087A72">
        <w:rPr>
          <w:sz w:val="16"/>
          <w:szCs w:val="16"/>
        </w:rPr>
        <w:t xml:space="preserve">economy, and religion </w:t>
      </w:r>
      <w:r w:rsidRPr="00087A72">
        <w:rPr>
          <w:spacing w:val="4"/>
          <w:sz w:val="16"/>
          <w:szCs w:val="16"/>
        </w:rPr>
        <w:t xml:space="preserve">redeﬁned </w:t>
      </w:r>
      <w:r w:rsidRPr="00087A72">
        <w:rPr>
          <w:sz w:val="16"/>
          <w:szCs w:val="16"/>
        </w:rPr>
        <w:t xml:space="preserve">roles for Native women and men </w:t>
      </w:r>
      <w:r w:rsidRPr="00087A72">
        <w:rPr>
          <w:spacing w:val="-3"/>
          <w:sz w:val="16"/>
          <w:szCs w:val="16"/>
        </w:rPr>
        <w:t xml:space="preserve">in </w:t>
      </w:r>
      <w:r w:rsidRPr="00087A72">
        <w:rPr>
          <w:sz w:val="16"/>
          <w:szCs w:val="16"/>
        </w:rPr>
        <w:t xml:space="preserve">work, </w:t>
      </w:r>
      <w:r w:rsidRPr="00087A72">
        <w:rPr>
          <w:spacing w:val="-3"/>
          <w:sz w:val="16"/>
          <w:szCs w:val="16"/>
        </w:rPr>
        <w:t xml:space="preserve">marriage, </w:t>
      </w:r>
      <w:r w:rsidRPr="00087A72">
        <w:rPr>
          <w:sz w:val="16"/>
          <w:szCs w:val="16"/>
        </w:rPr>
        <w:t xml:space="preserve">and community leadership.18 </w:t>
      </w:r>
      <w:r w:rsidRPr="00087A72">
        <w:rPr>
          <w:spacing w:val="4"/>
          <w:sz w:val="16"/>
          <w:szCs w:val="16"/>
        </w:rPr>
        <w:t xml:space="preserve">Accounts </w:t>
      </w:r>
      <w:r w:rsidRPr="00087A72">
        <w:rPr>
          <w:spacing w:val="5"/>
          <w:sz w:val="16"/>
          <w:szCs w:val="16"/>
        </w:rPr>
        <w:t xml:space="preserve">of </w:t>
      </w:r>
      <w:r w:rsidRPr="00087A72">
        <w:rPr>
          <w:sz w:val="16"/>
          <w:szCs w:val="16"/>
        </w:rPr>
        <w:t xml:space="preserve">sexual and </w:t>
      </w:r>
      <w:r w:rsidRPr="00087A72">
        <w:rPr>
          <w:spacing w:val="2"/>
          <w:sz w:val="16"/>
          <w:szCs w:val="16"/>
        </w:rPr>
        <w:t xml:space="preserve">gender </w:t>
      </w:r>
      <w:r w:rsidRPr="00087A72">
        <w:rPr>
          <w:sz w:val="16"/>
          <w:szCs w:val="16"/>
        </w:rPr>
        <w:t xml:space="preserve">diversity appear most clearly </w:t>
      </w:r>
      <w:r w:rsidRPr="00087A72">
        <w:rPr>
          <w:spacing w:val="7"/>
          <w:sz w:val="16"/>
          <w:szCs w:val="16"/>
        </w:rPr>
        <w:t xml:space="preserve">when </w:t>
      </w:r>
      <w:r w:rsidRPr="00087A72">
        <w:rPr>
          <w:sz w:val="16"/>
          <w:szCs w:val="16"/>
        </w:rPr>
        <w:t xml:space="preserve">British, </w:t>
      </w:r>
      <w:r w:rsidRPr="00087A72">
        <w:rPr>
          <w:spacing w:val="-4"/>
          <w:sz w:val="16"/>
          <w:szCs w:val="16"/>
        </w:rPr>
        <w:t xml:space="preserve">French, </w:t>
      </w:r>
      <w:r w:rsidRPr="00087A72">
        <w:rPr>
          <w:sz w:val="16"/>
          <w:szCs w:val="16"/>
        </w:rPr>
        <w:t xml:space="preserve">and </w:t>
      </w:r>
      <w:r w:rsidRPr="00087A72">
        <w:rPr>
          <w:spacing w:val="-7"/>
          <w:sz w:val="16"/>
          <w:szCs w:val="16"/>
        </w:rPr>
        <w:t xml:space="preserve">U.S. </w:t>
      </w:r>
      <w:r w:rsidRPr="00087A72">
        <w:rPr>
          <w:spacing w:val="3"/>
          <w:sz w:val="16"/>
          <w:szCs w:val="16"/>
        </w:rPr>
        <w:t xml:space="preserve">explorers </w:t>
      </w:r>
      <w:r w:rsidRPr="00087A72">
        <w:rPr>
          <w:sz w:val="16"/>
          <w:szCs w:val="16"/>
        </w:rPr>
        <w:t xml:space="preserve">and </w:t>
      </w:r>
      <w:r w:rsidRPr="00087A72">
        <w:rPr>
          <w:spacing w:val="3"/>
          <w:sz w:val="16"/>
          <w:szCs w:val="16"/>
        </w:rPr>
        <w:t xml:space="preserve">traders </w:t>
      </w:r>
      <w:r w:rsidRPr="00087A72">
        <w:rPr>
          <w:sz w:val="16"/>
          <w:szCs w:val="16"/>
        </w:rPr>
        <w:t xml:space="preserve">participated </w:t>
      </w:r>
      <w:r w:rsidRPr="00087A72">
        <w:rPr>
          <w:spacing w:val="-3"/>
          <w:sz w:val="16"/>
          <w:szCs w:val="16"/>
        </w:rPr>
        <w:t xml:space="preserve">in </w:t>
      </w:r>
      <w:r w:rsidRPr="00087A72">
        <w:rPr>
          <w:sz w:val="16"/>
          <w:szCs w:val="16"/>
        </w:rPr>
        <w:t xml:space="preserve">the </w:t>
      </w:r>
      <w:r w:rsidRPr="00087A72">
        <w:rPr>
          <w:spacing w:val="4"/>
          <w:sz w:val="16"/>
          <w:szCs w:val="16"/>
        </w:rPr>
        <w:t xml:space="preserve">fur </w:t>
      </w:r>
      <w:r w:rsidRPr="00087A72">
        <w:rPr>
          <w:spacing w:val="16"/>
          <w:sz w:val="16"/>
          <w:szCs w:val="16"/>
        </w:rPr>
        <w:t xml:space="preserve">trad </w:t>
      </w:r>
      <w:r w:rsidRPr="00087A72">
        <w:rPr>
          <w:sz w:val="16"/>
          <w:szCs w:val="16"/>
        </w:rPr>
        <w:t xml:space="preserve">e </w:t>
      </w:r>
      <w:r w:rsidRPr="00087A72">
        <w:rPr>
          <w:spacing w:val="5"/>
          <w:sz w:val="16"/>
          <w:szCs w:val="16"/>
        </w:rPr>
        <w:t xml:space="preserve">or </w:t>
      </w:r>
      <w:r w:rsidRPr="00087A72">
        <w:rPr>
          <w:spacing w:val="2"/>
          <w:sz w:val="16"/>
          <w:szCs w:val="16"/>
        </w:rPr>
        <w:t xml:space="preserve">colonial </w:t>
      </w:r>
      <w:r w:rsidRPr="00087A72">
        <w:rPr>
          <w:sz w:val="16"/>
          <w:szCs w:val="16"/>
        </w:rPr>
        <w:t xml:space="preserve">expansion and met Native </w:t>
      </w:r>
      <w:r w:rsidRPr="00087A72">
        <w:rPr>
          <w:spacing w:val="3"/>
          <w:sz w:val="16"/>
          <w:szCs w:val="16"/>
        </w:rPr>
        <w:t xml:space="preserve">people whom </w:t>
      </w:r>
      <w:r w:rsidRPr="00087A72">
        <w:rPr>
          <w:spacing w:val="-3"/>
          <w:sz w:val="16"/>
          <w:szCs w:val="16"/>
        </w:rPr>
        <w:t xml:space="preserve">they </w:t>
      </w:r>
      <w:r w:rsidRPr="00087A72">
        <w:rPr>
          <w:sz w:val="16"/>
          <w:szCs w:val="16"/>
        </w:rPr>
        <w:t xml:space="preserve">called </w:t>
      </w:r>
      <w:r w:rsidRPr="00087A72">
        <w:rPr>
          <w:spacing w:val="3"/>
          <w:sz w:val="16"/>
          <w:szCs w:val="16"/>
        </w:rPr>
        <w:t xml:space="preserve">berdache, </w:t>
      </w:r>
      <w:r w:rsidRPr="00087A72">
        <w:rPr>
          <w:sz w:val="16"/>
          <w:szCs w:val="16"/>
        </w:rPr>
        <w:t xml:space="preserve">"warrior women," </w:t>
      </w:r>
      <w:r w:rsidRPr="00087A72">
        <w:rPr>
          <w:spacing w:val="5"/>
          <w:sz w:val="16"/>
          <w:szCs w:val="16"/>
        </w:rPr>
        <w:t xml:space="preserve">or </w:t>
      </w:r>
      <w:r w:rsidRPr="00087A72">
        <w:rPr>
          <w:spacing w:val="4"/>
          <w:sz w:val="16"/>
          <w:szCs w:val="16"/>
        </w:rPr>
        <w:t xml:space="preserve">other </w:t>
      </w:r>
      <w:r w:rsidRPr="00087A72">
        <w:rPr>
          <w:sz w:val="16"/>
          <w:szCs w:val="16"/>
        </w:rPr>
        <w:t xml:space="preserve">terms </w:t>
      </w:r>
      <w:r w:rsidRPr="00087A72">
        <w:rPr>
          <w:spacing w:val="5"/>
          <w:sz w:val="16"/>
          <w:szCs w:val="16"/>
        </w:rPr>
        <w:t xml:space="preserve">of </w:t>
      </w:r>
      <w:r w:rsidRPr="00087A72">
        <w:rPr>
          <w:sz w:val="16"/>
          <w:szCs w:val="16"/>
        </w:rPr>
        <w:t xml:space="preserve">fascination </w:t>
      </w:r>
      <w:r w:rsidRPr="00087A72">
        <w:rPr>
          <w:spacing w:val="5"/>
          <w:sz w:val="16"/>
          <w:szCs w:val="16"/>
        </w:rPr>
        <w:t xml:space="preserve">or </w:t>
      </w:r>
      <w:r w:rsidRPr="00087A72">
        <w:rPr>
          <w:spacing w:val="3"/>
          <w:sz w:val="16"/>
          <w:szCs w:val="16"/>
        </w:rPr>
        <w:t xml:space="preserve">contempt. In </w:t>
      </w:r>
      <w:r w:rsidRPr="00087A72">
        <w:rPr>
          <w:sz w:val="16"/>
          <w:szCs w:val="16"/>
        </w:rPr>
        <w:t xml:space="preserve">the midnineteenth century, </w:t>
      </w:r>
      <w:r w:rsidRPr="00087A72">
        <w:rPr>
          <w:spacing w:val="2"/>
          <w:sz w:val="16"/>
          <w:szCs w:val="16"/>
        </w:rPr>
        <w:t xml:space="preserve">when </w:t>
      </w:r>
      <w:r w:rsidRPr="00087A72">
        <w:rPr>
          <w:sz w:val="16"/>
          <w:szCs w:val="16"/>
        </w:rPr>
        <w:t xml:space="preserve">most </w:t>
      </w:r>
      <w:r w:rsidRPr="00087A72">
        <w:rPr>
          <w:spacing w:val="-4"/>
          <w:sz w:val="16"/>
          <w:szCs w:val="16"/>
        </w:rPr>
        <w:t xml:space="preserve">such </w:t>
      </w:r>
      <w:r w:rsidRPr="00087A72">
        <w:rPr>
          <w:spacing w:val="4"/>
          <w:sz w:val="16"/>
          <w:szCs w:val="16"/>
        </w:rPr>
        <w:t xml:space="preserve">accounts </w:t>
      </w:r>
      <w:r w:rsidRPr="00087A72">
        <w:rPr>
          <w:spacing w:val="-4"/>
          <w:sz w:val="16"/>
          <w:szCs w:val="16"/>
        </w:rPr>
        <w:t xml:space="preserve">appear, </w:t>
      </w:r>
      <w:r w:rsidRPr="00087A72">
        <w:rPr>
          <w:spacing w:val="2"/>
          <w:sz w:val="16"/>
          <w:szCs w:val="16"/>
        </w:rPr>
        <w:t xml:space="preserve">persons </w:t>
      </w:r>
      <w:r w:rsidRPr="00087A72">
        <w:rPr>
          <w:spacing w:val="-4"/>
          <w:sz w:val="16"/>
          <w:szCs w:val="16"/>
        </w:rPr>
        <w:t xml:space="preserve">so marked </w:t>
      </w:r>
      <w:r w:rsidRPr="00087A72">
        <w:rPr>
          <w:spacing w:val="3"/>
          <w:sz w:val="16"/>
          <w:szCs w:val="16"/>
        </w:rPr>
        <w:t xml:space="preserve">were </w:t>
      </w:r>
      <w:r w:rsidRPr="00087A72">
        <w:rPr>
          <w:sz w:val="16"/>
          <w:szCs w:val="16"/>
        </w:rPr>
        <w:t xml:space="preserve">less </w:t>
      </w:r>
      <w:r w:rsidRPr="00087A72">
        <w:rPr>
          <w:spacing w:val="5"/>
          <w:sz w:val="16"/>
          <w:szCs w:val="16"/>
        </w:rPr>
        <w:t xml:space="preserve">often </w:t>
      </w:r>
      <w:r w:rsidRPr="00087A72">
        <w:rPr>
          <w:sz w:val="16"/>
          <w:szCs w:val="16"/>
        </w:rPr>
        <w:t xml:space="preserve">singled </w:t>
      </w:r>
      <w:r w:rsidRPr="00087A72">
        <w:rPr>
          <w:spacing w:val="4"/>
          <w:sz w:val="16"/>
          <w:szCs w:val="16"/>
        </w:rPr>
        <w:t xml:space="preserve">out </w:t>
      </w:r>
      <w:r w:rsidRPr="00087A72">
        <w:rPr>
          <w:sz w:val="16"/>
          <w:szCs w:val="16"/>
        </w:rPr>
        <w:t xml:space="preserve">for </w:t>
      </w:r>
      <w:r w:rsidRPr="00087A72">
        <w:rPr>
          <w:spacing w:val="2"/>
          <w:sz w:val="16"/>
          <w:szCs w:val="16"/>
        </w:rPr>
        <w:t xml:space="preserve">violence </w:t>
      </w:r>
      <w:r w:rsidRPr="00087A72">
        <w:rPr>
          <w:sz w:val="16"/>
          <w:szCs w:val="16"/>
        </w:rPr>
        <w:t xml:space="preserve">than </w:t>
      </w:r>
      <w:r w:rsidRPr="00087A72">
        <w:rPr>
          <w:spacing w:val="2"/>
          <w:sz w:val="16"/>
          <w:szCs w:val="16"/>
        </w:rPr>
        <w:t xml:space="preserve">subjected </w:t>
      </w:r>
      <w:r w:rsidRPr="00087A72">
        <w:rPr>
          <w:sz w:val="16"/>
          <w:szCs w:val="16"/>
        </w:rPr>
        <w:t xml:space="preserve">with their communities to military attack, containment, </w:t>
      </w:r>
      <w:r w:rsidRPr="00087A72">
        <w:rPr>
          <w:spacing w:val="5"/>
          <w:sz w:val="16"/>
          <w:szCs w:val="16"/>
        </w:rPr>
        <w:t xml:space="preserve">or </w:t>
      </w:r>
      <w:r w:rsidRPr="00087A72">
        <w:rPr>
          <w:sz w:val="16"/>
          <w:szCs w:val="16"/>
        </w:rPr>
        <w:t xml:space="preserve">removal. </w:t>
      </w:r>
      <w:r w:rsidRPr="00087A72">
        <w:rPr>
          <w:spacing w:val="-4"/>
          <w:sz w:val="16"/>
          <w:szCs w:val="16"/>
        </w:rPr>
        <w:t xml:space="preserve">They </w:t>
      </w:r>
      <w:r w:rsidRPr="00087A72">
        <w:rPr>
          <w:spacing w:val="-3"/>
          <w:sz w:val="16"/>
          <w:szCs w:val="16"/>
        </w:rPr>
        <w:t xml:space="preserve">also </w:t>
      </w:r>
      <w:r w:rsidRPr="00087A72">
        <w:rPr>
          <w:sz w:val="16"/>
          <w:szCs w:val="16"/>
        </w:rPr>
        <w:t xml:space="preserve">came to </w:t>
      </w:r>
      <w:r w:rsidRPr="00087A72">
        <w:rPr>
          <w:spacing w:val="3"/>
          <w:sz w:val="16"/>
          <w:szCs w:val="16"/>
        </w:rPr>
        <w:t xml:space="preserve">notice </w:t>
      </w:r>
      <w:r w:rsidRPr="00087A72">
        <w:rPr>
          <w:spacing w:val="-3"/>
          <w:sz w:val="16"/>
          <w:szCs w:val="16"/>
        </w:rPr>
        <w:t xml:space="preserve">in </w:t>
      </w:r>
      <w:r w:rsidRPr="00087A72">
        <w:rPr>
          <w:spacing w:val="2"/>
          <w:sz w:val="16"/>
          <w:szCs w:val="16"/>
        </w:rPr>
        <w:t xml:space="preserve">new colonial </w:t>
      </w:r>
      <w:r w:rsidRPr="00087A72">
        <w:rPr>
          <w:sz w:val="16"/>
          <w:szCs w:val="16"/>
        </w:rPr>
        <w:t xml:space="preserve">institutions </w:t>
      </w:r>
      <w:r w:rsidRPr="00087A72">
        <w:rPr>
          <w:spacing w:val="-4"/>
          <w:sz w:val="16"/>
          <w:szCs w:val="16"/>
        </w:rPr>
        <w:t>such</w:t>
      </w:r>
      <w:r w:rsidRPr="00087A72">
        <w:rPr>
          <w:spacing w:val="57"/>
          <w:sz w:val="16"/>
          <w:szCs w:val="16"/>
        </w:rPr>
        <w:t xml:space="preserve"> </w:t>
      </w:r>
      <w:r w:rsidRPr="00087A72">
        <w:rPr>
          <w:sz w:val="16"/>
          <w:szCs w:val="16"/>
        </w:rPr>
        <w:t xml:space="preserve">as Indian agencies, missionary </w:t>
      </w:r>
      <w:r w:rsidRPr="00087A72">
        <w:rPr>
          <w:spacing w:val="-4"/>
          <w:sz w:val="16"/>
          <w:szCs w:val="16"/>
        </w:rPr>
        <w:t xml:space="preserve">churches, </w:t>
      </w:r>
      <w:r w:rsidRPr="00087A72">
        <w:rPr>
          <w:sz w:val="16"/>
          <w:szCs w:val="16"/>
        </w:rPr>
        <w:t xml:space="preserve">and </w:t>
      </w:r>
      <w:r w:rsidRPr="00087A72">
        <w:rPr>
          <w:spacing w:val="2"/>
          <w:sz w:val="16"/>
          <w:szCs w:val="16"/>
        </w:rPr>
        <w:t xml:space="preserve">boarding </w:t>
      </w:r>
      <w:r w:rsidRPr="00087A72">
        <w:rPr>
          <w:sz w:val="16"/>
          <w:szCs w:val="16"/>
        </w:rPr>
        <w:t xml:space="preserve">schools. Without needing to exact </w:t>
      </w:r>
      <w:r w:rsidRPr="00087A72">
        <w:rPr>
          <w:spacing w:val="3"/>
          <w:sz w:val="16"/>
          <w:szCs w:val="16"/>
        </w:rPr>
        <w:t xml:space="preserve">brute </w:t>
      </w:r>
      <w:r w:rsidRPr="00087A72">
        <w:rPr>
          <w:sz w:val="16"/>
          <w:szCs w:val="16"/>
        </w:rPr>
        <w:t xml:space="preserve">violence, these institutions used disciplinary </w:t>
      </w:r>
      <w:r w:rsidRPr="00087A72">
        <w:rPr>
          <w:spacing w:val="3"/>
          <w:sz w:val="16"/>
          <w:szCs w:val="16"/>
        </w:rPr>
        <w:t xml:space="preserve">education </w:t>
      </w:r>
      <w:r w:rsidRPr="00087A72">
        <w:rPr>
          <w:sz w:val="16"/>
          <w:szCs w:val="16"/>
        </w:rPr>
        <w:t xml:space="preserve">to </w:t>
      </w:r>
      <w:r w:rsidRPr="00087A72">
        <w:rPr>
          <w:spacing w:val="3"/>
          <w:sz w:val="16"/>
          <w:szCs w:val="16"/>
        </w:rPr>
        <w:t xml:space="preserve">try </w:t>
      </w:r>
      <w:r w:rsidRPr="00087A72">
        <w:rPr>
          <w:sz w:val="16"/>
          <w:szCs w:val="16"/>
        </w:rPr>
        <w:t xml:space="preserve">to </w:t>
      </w:r>
      <w:r w:rsidRPr="00087A72">
        <w:rPr>
          <w:spacing w:val="2"/>
          <w:sz w:val="16"/>
          <w:szCs w:val="16"/>
        </w:rPr>
        <w:t xml:space="preserve">break </w:t>
      </w:r>
      <w:r w:rsidRPr="00087A72">
        <w:rPr>
          <w:sz w:val="16"/>
          <w:szCs w:val="16"/>
        </w:rPr>
        <w:t xml:space="preserve">Native communities, languages, and </w:t>
      </w:r>
      <w:r w:rsidRPr="00087A72">
        <w:rPr>
          <w:spacing w:val="2"/>
          <w:sz w:val="16"/>
          <w:szCs w:val="16"/>
        </w:rPr>
        <w:t xml:space="preserve">cultural </w:t>
      </w:r>
      <w:r w:rsidRPr="00087A72">
        <w:rPr>
          <w:sz w:val="16"/>
          <w:szCs w:val="16"/>
        </w:rPr>
        <w:t xml:space="preserve">knowledges-as </w:t>
      </w:r>
      <w:r w:rsidRPr="00087A72">
        <w:rPr>
          <w:spacing w:val="4"/>
          <w:sz w:val="16"/>
          <w:szCs w:val="16"/>
        </w:rPr>
        <w:t xml:space="preserve">reflected </w:t>
      </w:r>
      <w:r w:rsidRPr="00087A72">
        <w:rPr>
          <w:spacing w:val="-3"/>
          <w:sz w:val="16"/>
          <w:szCs w:val="16"/>
        </w:rPr>
        <w:t xml:space="preserve">in </w:t>
      </w:r>
      <w:r w:rsidRPr="00087A72">
        <w:rPr>
          <w:sz w:val="16"/>
          <w:szCs w:val="16"/>
        </w:rPr>
        <w:t xml:space="preserve">Captain Richard Pratt's </w:t>
      </w:r>
      <w:r w:rsidRPr="00087A72">
        <w:rPr>
          <w:spacing w:val="-6"/>
          <w:sz w:val="16"/>
          <w:szCs w:val="16"/>
        </w:rPr>
        <w:t xml:space="preserve">Carlisle </w:t>
      </w:r>
      <w:r w:rsidRPr="00087A72">
        <w:rPr>
          <w:sz w:val="16"/>
          <w:szCs w:val="16"/>
        </w:rPr>
        <w:t xml:space="preserve">Indian School and his motto, </w:t>
      </w:r>
      <w:r w:rsidRPr="00087A72">
        <w:rPr>
          <w:spacing w:val="-4"/>
          <w:sz w:val="16"/>
          <w:szCs w:val="16"/>
        </w:rPr>
        <w:t xml:space="preserve">"Kill </w:t>
      </w:r>
      <w:r w:rsidRPr="00087A72">
        <w:rPr>
          <w:sz w:val="16"/>
          <w:szCs w:val="16"/>
        </w:rPr>
        <w:t xml:space="preserve">the Indian, and </w:t>
      </w:r>
      <w:r w:rsidRPr="00087A72">
        <w:rPr>
          <w:spacing w:val="-3"/>
          <w:sz w:val="16"/>
          <w:szCs w:val="16"/>
        </w:rPr>
        <w:t xml:space="preserve">save </w:t>
      </w:r>
      <w:r w:rsidRPr="00087A72">
        <w:rPr>
          <w:sz w:val="16"/>
          <w:szCs w:val="16"/>
        </w:rPr>
        <w:t xml:space="preserve">the </w:t>
      </w:r>
      <w:r w:rsidRPr="00087A72">
        <w:rPr>
          <w:spacing w:val="-3"/>
          <w:sz w:val="16"/>
          <w:szCs w:val="16"/>
        </w:rPr>
        <w:t>man</w:t>
      </w:r>
      <w:r w:rsidRPr="00087A72">
        <w:rPr>
          <w:rStyle w:val="Emphasis"/>
        </w:rPr>
        <w:t>." Native people made colonial institutions sites for defying the erasure of Native identity or community, including at times by adopting colonial languages and educational methods in new forms of resistance.</w:t>
      </w:r>
      <w:r w:rsidRPr="00087A72">
        <w:rPr>
          <w:sz w:val="16"/>
          <w:szCs w:val="16"/>
        </w:rPr>
        <w:t xml:space="preserve">19 But </w:t>
      </w:r>
      <w:r w:rsidRPr="00087A72">
        <w:rPr>
          <w:spacing w:val="4"/>
          <w:sz w:val="16"/>
          <w:szCs w:val="16"/>
        </w:rPr>
        <w:t xml:space="preserve">both </w:t>
      </w:r>
      <w:r w:rsidRPr="00087A72">
        <w:rPr>
          <w:spacing w:val="2"/>
          <w:sz w:val="16"/>
          <w:szCs w:val="16"/>
        </w:rPr>
        <w:t xml:space="preserve">colonial control </w:t>
      </w:r>
      <w:r w:rsidRPr="00087A72">
        <w:rPr>
          <w:sz w:val="16"/>
          <w:szCs w:val="16"/>
        </w:rPr>
        <w:t xml:space="preserve">and Native resistance </w:t>
      </w:r>
      <w:r w:rsidRPr="00087A72">
        <w:rPr>
          <w:spacing w:val="3"/>
          <w:sz w:val="16"/>
          <w:szCs w:val="16"/>
        </w:rPr>
        <w:t xml:space="preserve">were </w:t>
      </w:r>
      <w:r w:rsidRPr="00087A72">
        <w:rPr>
          <w:sz w:val="16"/>
          <w:szCs w:val="16"/>
        </w:rPr>
        <w:t xml:space="preserve">shaped </w:t>
      </w:r>
      <w:r w:rsidRPr="00087A72">
        <w:rPr>
          <w:spacing w:val="-8"/>
          <w:sz w:val="16"/>
          <w:szCs w:val="16"/>
        </w:rPr>
        <w:t xml:space="preserve">by </w:t>
      </w:r>
      <w:r w:rsidRPr="00087A72">
        <w:rPr>
          <w:sz w:val="16"/>
          <w:szCs w:val="16"/>
        </w:rPr>
        <w:t xml:space="preserve">struggle over </w:t>
      </w:r>
      <w:r w:rsidRPr="00087A72">
        <w:rPr>
          <w:spacing w:val="2"/>
          <w:sz w:val="16"/>
          <w:szCs w:val="16"/>
        </w:rPr>
        <w:t xml:space="preserve">gender </w:t>
      </w:r>
      <w:r w:rsidRPr="00087A72">
        <w:rPr>
          <w:sz w:val="16"/>
          <w:szCs w:val="16"/>
        </w:rPr>
        <w:t xml:space="preserve">and </w:t>
      </w:r>
      <w:r w:rsidRPr="00087A72">
        <w:rPr>
          <w:spacing w:val="-5"/>
          <w:sz w:val="16"/>
          <w:szCs w:val="16"/>
        </w:rPr>
        <w:t xml:space="preserve">sexuality, </w:t>
      </w:r>
      <w:r w:rsidRPr="00087A72">
        <w:rPr>
          <w:sz w:val="16"/>
          <w:szCs w:val="16"/>
        </w:rPr>
        <w:t xml:space="preserve">through the establishment </w:t>
      </w:r>
      <w:r w:rsidRPr="00087A72">
        <w:rPr>
          <w:spacing w:val="5"/>
          <w:sz w:val="16"/>
          <w:szCs w:val="16"/>
        </w:rPr>
        <w:t xml:space="preserve">on </w:t>
      </w:r>
      <w:r w:rsidRPr="00087A72">
        <w:rPr>
          <w:sz w:val="16"/>
          <w:szCs w:val="16"/>
        </w:rPr>
        <w:t xml:space="preserve">the </w:t>
      </w:r>
      <w:r w:rsidRPr="00087A72">
        <w:rPr>
          <w:spacing w:val="2"/>
          <w:sz w:val="16"/>
          <w:szCs w:val="16"/>
        </w:rPr>
        <w:t xml:space="preserve">colonial </w:t>
      </w:r>
      <w:r w:rsidRPr="00087A72">
        <w:rPr>
          <w:sz w:val="16"/>
          <w:szCs w:val="16"/>
        </w:rPr>
        <w:t xml:space="preserve">frontier </w:t>
      </w:r>
      <w:r w:rsidRPr="00087A72">
        <w:rPr>
          <w:spacing w:val="5"/>
          <w:sz w:val="16"/>
          <w:szCs w:val="16"/>
        </w:rPr>
        <w:t xml:space="preserve">of </w:t>
      </w:r>
      <w:r w:rsidRPr="00087A72">
        <w:rPr>
          <w:spacing w:val="2"/>
          <w:sz w:val="16"/>
          <w:szCs w:val="16"/>
        </w:rPr>
        <w:t xml:space="preserve">modern methods </w:t>
      </w:r>
      <w:r w:rsidRPr="00087A72">
        <w:rPr>
          <w:sz w:val="16"/>
          <w:szCs w:val="16"/>
        </w:rPr>
        <w:t xml:space="preserve">for the </w:t>
      </w:r>
      <w:r w:rsidRPr="00087A72">
        <w:rPr>
          <w:spacing w:val="2"/>
          <w:sz w:val="16"/>
          <w:szCs w:val="16"/>
        </w:rPr>
        <w:t xml:space="preserve">colonial </w:t>
      </w:r>
      <w:r w:rsidRPr="00087A72">
        <w:rPr>
          <w:spacing w:val="3"/>
          <w:sz w:val="16"/>
          <w:szCs w:val="16"/>
        </w:rPr>
        <w:t xml:space="preserve">education </w:t>
      </w:r>
      <w:r w:rsidRPr="00087A72">
        <w:rPr>
          <w:spacing w:val="5"/>
          <w:sz w:val="16"/>
          <w:szCs w:val="16"/>
        </w:rPr>
        <w:t>of</w:t>
      </w:r>
      <w:r w:rsidRPr="00087A72">
        <w:rPr>
          <w:spacing w:val="-4"/>
          <w:sz w:val="16"/>
          <w:szCs w:val="16"/>
        </w:rPr>
        <w:t xml:space="preserve"> </w:t>
      </w:r>
      <w:r w:rsidRPr="00087A72">
        <w:rPr>
          <w:sz w:val="16"/>
          <w:szCs w:val="16"/>
        </w:rPr>
        <w:t xml:space="preserve">desire. The grounding </w:t>
      </w:r>
      <w:r w:rsidRPr="00087A72">
        <w:rPr>
          <w:spacing w:val="5"/>
          <w:sz w:val="16"/>
          <w:szCs w:val="16"/>
        </w:rPr>
        <w:t xml:space="preserve">of </w:t>
      </w:r>
      <w:r w:rsidRPr="00087A72">
        <w:rPr>
          <w:spacing w:val="-7"/>
          <w:sz w:val="16"/>
          <w:szCs w:val="16"/>
        </w:rPr>
        <w:t xml:space="preserve">U.S. </w:t>
      </w:r>
      <w:r w:rsidRPr="00087A72">
        <w:rPr>
          <w:spacing w:val="3"/>
          <w:sz w:val="16"/>
          <w:szCs w:val="16"/>
        </w:rPr>
        <w:t xml:space="preserve">colonization </w:t>
      </w:r>
      <w:r w:rsidRPr="00087A72">
        <w:rPr>
          <w:spacing w:val="-3"/>
          <w:sz w:val="16"/>
          <w:szCs w:val="16"/>
        </w:rPr>
        <w:t xml:space="preserve">in </w:t>
      </w:r>
      <w:r w:rsidRPr="00087A72">
        <w:rPr>
          <w:sz w:val="16"/>
          <w:szCs w:val="16"/>
        </w:rPr>
        <w:t xml:space="preserve">sexual regulation and discipline </w:t>
      </w:r>
      <w:r w:rsidRPr="00087A72">
        <w:rPr>
          <w:spacing w:val="-3"/>
          <w:sz w:val="16"/>
          <w:szCs w:val="16"/>
        </w:rPr>
        <w:t xml:space="preserve">is </w:t>
      </w:r>
      <w:r w:rsidRPr="00087A72">
        <w:rPr>
          <w:spacing w:val="2"/>
          <w:sz w:val="16"/>
          <w:szCs w:val="16"/>
        </w:rPr>
        <w:t xml:space="preserve">demonstrated, </w:t>
      </w:r>
      <w:r w:rsidRPr="00087A72">
        <w:rPr>
          <w:sz w:val="16"/>
          <w:szCs w:val="16"/>
        </w:rPr>
        <w:t xml:space="preserve">for instance, </w:t>
      </w:r>
      <w:r w:rsidRPr="00087A72">
        <w:rPr>
          <w:spacing w:val="-8"/>
          <w:sz w:val="16"/>
          <w:szCs w:val="16"/>
        </w:rPr>
        <w:t xml:space="preserve">by </w:t>
      </w:r>
      <w:r w:rsidRPr="00087A72">
        <w:rPr>
          <w:sz w:val="16"/>
          <w:szCs w:val="16"/>
        </w:rPr>
        <w:t xml:space="preserve">the history </w:t>
      </w:r>
      <w:r w:rsidRPr="00087A72">
        <w:rPr>
          <w:spacing w:val="5"/>
          <w:sz w:val="16"/>
          <w:szCs w:val="16"/>
        </w:rPr>
        <w:t xml:space="preserve">of </w:t>
      </w:r>
      <w:r w:rsidRPr="00087A72">
        <w:rPr>
          <w:sz w:val="16"/>
          <w:szCs w:val="16"/>
        </w:rPr>
        <w:t xml:space="preserve">the </w:t>
      </w:r>
      <w:r w:rsidRPr="00087A72">
        <w:rPr>
          <w:spacing w:val="-8"/>
          <w:sz w:val="16"/>
          <w:szCs w:val="16"/>
        </w:rPr>
        <w:t xml:space="preserve">Crow </w:t>
      </w:r>
      <w:r w:rsidRPr="00087A72">
        <w:rPr>
          <w:spacing w:val="2"/>
          <w:sz w:val="16"/>
          <w:szCs w:val="16"/>
        </w:rPr>
        <w:t xml:space="preserve">Agency </w:t>
      </w:r>
      <w:r w:rsidRPr="00087A72">
        <w:rPr>
          <w:sz w:val="16"/>
          <w:szCs w:val="16"/>
        </w:rPr>
        <w:t xml:space="preserve">and the life </w:t>
      </w:r>
      <w:r w:rsidRPr="00087A72">
        <w:rPr>
          <w:spacing w:val="5"/>
          <w:sz w:val="16"/>
          <w:szCs w:val="16"/>
        </w:rPr>
        <w:t xml:space="preserve">of </w:t>
      </w:r>
      <w:r w:rsidRPr="00087A72">
        <w:rPr>
          <w:spacing w:val="-4"/>
          <w:sz w:val="16"/>
          <w:szCs w:val="16"/>
        </w:rPr>
        <w:t xml:space="preserve">Osh-Tisch </w:t>
      </w:r>
      <w:r w:rsidRPr="00087A72">
        <w:rPr>
          <w:sz w:val="16"/>
          <w:szCs w:val="16"/>
        </w:rPr>
        <w:t xml:space="preserve">(Finds-Them-and-Kills-Them). </w:t>
      </w:r>
      <w:r w:rsidRPr="00087A72">
        <w:rPr>
          <w:spacing w:val="-4"/>
          <w:sz w:val="16"/>
          <w:szCs w:val="16"/>
        </w:rPr>
        <w:t xml:space="preserve">Osh-Tisch </w:t>
      </w:r>
      <w:r w:rsidRPr="00087A72">
        <w:rPr>
          <w:sz w:val="16"/>
          <w:szCs w:val="16"/>
        </w:rPr>
        <w:t xml:space="preserve">was </w:t>
      </w:r>
      <w:r w:rsidRPr="00087A72">
        <w:rPr>
          <w:spacing w:val="4"/>
          <w:sz w:val="16"/>
          <w:szCs w:val="16"/>
        </w:rPr>
        <w:t xml:space="preserve">born </w:t>
      </w:r>
      <w:r w:rsidRPr="00087A72">
        <w:rPr>
          <w:spacing w:val="-3"/>
          <w:sz w:val="16"/>
          <w:szCs w:val="16"/>
        </w:rPr>
        <w:t xml:space="preserve">in </w:t>
      </w:r>
      <w:r w:rsidRPr="00087A72">
        <w:rPr>
          <w:spacing w:val="7"/>
          <w:sz w:val="16"/>
          <w:szCs w:val="16"/>
        </w:rPr>
        <w:t xml:space="preserve">1854 </w:t>
      </w:r>
      <w:r w:rsidRPr="00087A72">
        <w:rPr>
          <w:sz w:val="16"/>
          <w:szCs w:val="16"/>
        </w:rPr>
        <w:t xml:space="preserve">and was raised and recognized </w:t>
      </w:r>
      <w:r w:rsidRPr="00087A72">
        <w:rPr>
          <w:spacing w:val="-3"/>
          <w:sz w:val="16"/>
          <w:szCs w:val="16"/>
        </w:rPr>
        <w:t xml:space="preserve">in </w:t>
      </w:r>
      <w:r w:rsidRPr="00087A72">
        <w:rPr>
          <w:spacing w:val="-8"/>
          <w:sz w:val="16"/>
          <w:szCs w:val="16"/>
        </w:rPr>
        <w:t xml:space="preserve">Crow </w:t>
      </w:r>
      <w:r w:rsidRPr="00087A72">
        <w:rPr>
          <w:spacing w:val="2"/>
          <w:sz w:val="16"/>
          <w:szCs w:val="16"/>
        </w:rPr>
        <w:t xml:space="preserve">society </w:t>
      </w:r>
      <w:r w:rsidRPr="00087A72">
        <w:rPr>
          <w:sz w:val="16"/>
          <w:szCs w:val="16"/>
        </w:rPr>
        <w:t xml:space="preserve">as </w:t>
      </w:r>
      <w:r w:rsidRPr="00087A72">
        <w:rPr>
          <w:spacing w:val="4"/>
          <w:sz w:val="16"/>
          <w:szCs w:val="16"/>
        </w:rPr>
        <w:t xml:space="preserve">bote </w:t>
      </w:r>
      <w:r w:rsidRPr="00087A72">
        <w:rPr>
          <w:spacing w:val="2"/>
          <w:sz w:val="16"/>
          <w:szCs w:val="16"/>
        </w:rPr>
        <w:t xml:space="preserve">(or </w:t>
      </w:r>
      <w:r w:rsidRPr="00087A72">
        <w:rPr>
          <w:sz w:val="16"/>
          <w:szCs w:val="16"/>
        </w:rPr>
        <w:t xml:space="preserve">bade), a </w:t>
      </w:r>
      <w:r w:rsidRPr="00087A72">
        <w:rPr>
          <w:spacing w:val="-8"/>
          <w:sz w:val="16"/>
          <w:szCs w:val="16"/>
        </w:rPr>
        <w:t xml:space="preserve">Crow </w:t>
      </w:r>
      <w:r w:rsidRPr="00087A72">
        <w:rPr>
          <w:sz w:val="16"/>
          <w:szCs w:val="16"/>
        </w:rPr>
        <w:t xml:space="preserve">role </w:t>
      </w:r>
      <w:r w:rsidRPr="00087A72">
        <w:rPr>
          <w:spacing w:val="-3"/>
          <w:sz w:val="16"/>
          <w:szCs w:val="16"/>
        </w:rPr>
        <w:t xml:space="preserve">in which </w:t>
      </w:r>
      <w:r w:rsidRPr="00087A72">
        <w:rPr>
          <w:sz w:val="16"/>
          <w:szCs w:val="16"/>
        </w:rPr>
        <w:t xml:space="preserve">she lived consistently </w:t>
      </w:r>
      <w:r w:rsidRPr="00087A72">
        <w:rPr>
          <w:spacing w:val="5"/>
          <w:sz w:val="16"/>
          <w:szCs w:val="16"/>
        </w:rPr>
        <w:t xml:space="preserve">on </w:t>
      </w:r>
      <w:r w:rsidRPr="00087A72">
        <w:rPr>
          <w:spacing w:val="-8"/>
          <w:sz w:val="16"/>
          <w:szCs w:val="16"/>
        </w:rPr>
        <w:t xml:space="preserve">Crow </w:t>
      </w:r>
      <w:r w:rsidRPr="00087A72">
        <w:rPr>
          <w:sz w:val="16"/>
          <w:szCs w:val="16"/>
        </w:rPr>
        <w:t xml:space="preserve">land to the age </w:t>
      </w:r>
      <w:r w:rsidRPr="00087A72">
        <w:rPr>
          <w:spacing w:val="5"/>
          <w:sz w:val="16"/>
          <w:szCs w:val="16"/>
        </w:rPr>
        <w:t xml:space="preserve">of </w:t>
      </w:r>
      <w:r w:rsidRPr="00087A72">
        <w:rPr>
          <w:sz w:val="16"/>
          <w:szCs w:val="16"/>
        </w:rPr>
        <w:t xml:space="preserve">seventy-ﬁve.20 I use the pronoun she </w:t>
      </w:r>
      <w:r w:rsidRPr="00087A72">
        <w:rPr>
          <w:spacing w:val="-3"/>
          <w:sz w:val="16"/>
          <w:szCs w:val="16"/>
        </w:rPr>
        <w:t xml:space="preserve">in </w:t>
      </w:r>
      <w:r w:rsidRPr="00087A72">
        <w:rPr>
          <w:sz w:val="16"/>
          <w:szCs w:val="16"/>
        </w:rPr>
        <w:t xml:space="preserve">line with the </w:t>
      </w:r>
      <w:r w:rsidRPr="00087A72">
        <w:rPr>
          <w:spacing w:val="-3"/>
          <w:sz w:val="16"/>
          <w:szCs w:val="16"/>
        </w:rPr>
        <w:t xml:space="preserve">English </w:t>
      </w:r>
      <w:r w:rsidRPr="00087A72">
        <w:rPr>
          <w:sz w:val="16"/>
          <w:szCs w:val="16"/>
        </w:rPr>
        <w:t xml:space="preserve">usage </w:t>
      </w:r>
      <w:r w:rsidRPr="00087A72">
        <w:rPr>
          <w:spacing w:val="5"/>
          <w:sz w:val="16"/>
          <w:szCs w:val="16"/>
        </w:rPr>
        <w:t xml:space="preserve">of </w:t>
      </w:r>
      <w:r w:rsidRPr="00087A72">
        <w:rPr>
          <w:spacing w:val="2"/>
          <w:sz w:val="16"/>
          <w:szCs w:val="16"/>
        </w:rPr>
        <w:t xml:space="preserve">Pretty </w:t>
      </w:r>
      <w:r w:rsidRPr="00087A72">
        <w:rPr>
          <w:sz w:val="16"/>
          <w:szCs w:val="16"/>
        </w:rPr>
        <w:t xml:space="preserve">Shield, a member </w:t>
      </w:r>
      <w:r w:rsidRPr="00087A72">
        <w:rPr>
          <w:spacing w:val="5"/>
          <w:sz w:val="16"/>
          <w:szCs w:val="16"/>
        </w:rPr>
        <w:t xml:space="preserve">of </w:t>
      </w:r>
      <w:r w:rsidRPr="00087A72">
        <w:rPr>
          <w:sz w:val="16"/>
          <w:szCs w:val="16"/>
        </w:rPr>
        <w:t>Osh-Tisch's</w:t>
      </w:r>
      <w:r w:rsidRPr="00087A72">
        <w:rPr>
          <w:spacing w:val="-15"/>
          <w:sz w:val="16"/>
          <w:szCs w:val="16"/>
        </w:rPr>
        <w:t xml:space="preserve"> </w:t>
      </w:r>
      <w:r w:rsidRPr="00087A72">
        <w:rPr>
          <w:sz w:val="16"/>
          <w:szCs w:val="16"/>
        </w:rPr>
        <w:t>village,</w:t>
      </w:r>
      <w:r w:rsidRPr="00087A72">
        <w:rPr>
          <w:spacing w:val="-13"/>
          <w:sz w:val="16"/>
          <w:szCs w:val="16"/>
        </w:rPr>
        <w:t xml:space="preserve"> </w:t>
      </w:r>
      <w:r w:rsidRPr="00087A72">
        <w:rPr>
          <w:sz w:val="16"/>
          <w:szCs w:val="16"/>
        </w:rPr>
        <w:t>who</w:t>
      </w:r>
      <w:r w:rsidRPr="00087A72">
        <w:rPr>
          <w:spacing w:val="2"/>
          <w:sz w:val="16"/>
          <w:szCs w:val="16"/>
        </w:rPr>
        <w:t xml:space="preserve"> </w:t>
      </w:r>
      <w:r w:rsidRPr="00087A72">
        <w:rPr>
          <w:sz w:val="16"/>
          <w:szCs w:val="16"/>
        </w:rPr>
        <w:t>later</w:t>
      </w:r>
      <w:r w:rsidRPr="00087A72">
        <w:rPr>
          <w:spacing w:val="-4"/>
          <w:sz w:val="16"/>
          <w:szCs w:val="16"/>
        </w:rPr>
        <w:t xml:space="preserve"> </w:t>
      </w:r>
      <w:r w:rsidRPr="00087A72">
        <w:rPr>
          <w:spacing w:val="2"/>
          <w:sz w:val="16"/>
          <w:szCs w:val="16"/>
        </w:rPr>
        <w:t>recalled</w:t>
      </w:r>
      <w:r w:rsidRPr="00087A72">
        <w:rPr>
          <w:spacing w:val="-4"/>
          <w:sz w:val="16"/>
          <w:szCs w:val="16"/>
        </w:rPr>
        <w:t xml:space="preserve"> </w:t>
      </w:r>
      <w:r w:rsidRPr="00087A72">
        <w:rPr>
          <w:sz w:val="16"/>
          <w:szCs w:val="16"/>
        </w:rPr>
        <w:t>Osh-Tisch</w:t>
      </w:r>
      <w:r w:rsidRPr="00087A72">
        <w:rPr>
          <w:spacing w:val="-7"/>
          <w:sz w:val="16"/>
          <w:szCs w:val="16"/>
        </w:rPr>
        <w:t xml:space="preserve"> </w:t>
      </w:r>
      <w:r w:rsidRPr="00087A72">
        <w:rPr>
          <w:sz w:val="16"/>
          <w:szCs w:val="16"/>
        </w:rPr>
        <w:t>as</w:t>
      </w:r>
      <w:r w:rsidRPr="00087A72">
        <w:rPr>
          <w:spacing w:val="-14"/>
          <w:sz w:val="16"/>
          <w:szCs w:val="16"/>
        </w:rPr>
        <w:t xml:space="preserve"> </w:t>
      </w:r>
      <w:r w:rsidRPr="00087A72">
        <w:rPr>
          <w:spacing w:val="-3"/>
          <w:sz w:val="16"/>
          <w:szCs w:val="16"/>
        </w:rPr>
        <w:t>"a</w:t>
      </w:r>
      <w:r w:rsidRPr="00087A72">
        <w:rPr>
          <w:spacing w:val="-10"/>
          <w:sz w:val="16"/>
          <w:szCs w:val="16"/>
        </w:rPr>
        <w:t xml:space="preserve"> </w:t>
      </w:r>
      <w:r w:rsidRPr="00087A72">
        <w:rPr>
          <w:sz w:val="16"/>
          <w:szCs w:val="16"/>
        </w:rPr>
        <w:t>Crow</w:t>
      </w:r>
      <w:r w:rsidRPr="00087A72">
        <w:rPr>
          <w:spacing w:val="-5"/>
          <w:sz w:val="16"/>
          <w:szCs w:val="16"/>
        </w:rPr>
        <w:t xml:space="preserve"> </w:t>
      </w:r>
      <w:r w:rsidRPr="00087A72">
        <w:rPr>
          <w:sz w:val="16"/>
          <w:szCs w:val="16"/>
        </w:rPr>
        <w:t>woman"</w:t>
      </w:r>
      <w:r w:rsidRPr="00087A72">
        <w:rPr>
          <w:spacing w:val="-14"/>
          <w:sz w:val="16"/>
          <w:szCs w:val="16"/>
        </w:rPr>
        <w:t xml:space="preserve"> </w:t>
      </w:r>
      <w:r w:rsidRPr="00087A72">
        <w:rPr>
          <w:sz w:val="16"/>
          <w:szCs w:val="16"/>
        </w:rPr>
        <w:t>who</w:t>
      </w:r>
      <w:r w:rsidRPr="00087A72">
        <w:rPr>
          <w:spacing w:val="20"/>
          <w:sz w:val="16"/>
          <w:szCs w:val="16"/>
        </w:rPr>
        <w:t xml:space="preserve"> </w:t>
      </w:r>
      <w:r w:rsidRPr="00087A72">
        <w:rPr>
          <w:sz w:val="16"/>
          <w:szCs w:val="16"/>
        </w:rPr>
        <w:t xml:space="preserve">was </w:t>
      </w:r>
      <w:r w:rsidRPr="00087A72">
        <w:rPr>
          <w:spacing w:val="-3"/>
          <w:sz w:val="16"/>
          <w:szCs w:val="16"/>
        </w:rPr>
        <w:t xml:space="preserve">also </w:t>
      </w:r>
      <w:r w:rsidRPr="00087A72">
        <w:rPr>
          <w:sz w:val="16"/>
          <w:szCs w:val="16"/>
        </w:rPr>
        <w:t xml:space="preserve">"neither a </w:t>
      </w:r>
      <w:r w:rsidRPr="00087A72">
        <w:rPr>
          <w:spacing w:val="-4"/>
          <w:sz w:val="16"/>
          <w:szCs w:val="16"/>
        </w:rPr>
        <w:t xml:space="preserve">man </w:t>
      </w:r>
      <w:r w:rsidRPr="00087A72">
        <w:rPr>
          <w:spacing w:val="3"/>
          <w:sz w:val="16"/>
          <w:szCs w:val="16"/>
        </w:rPr>
        <w:t xml:space="preserve">nor </w:t>
      </w:r>
      <w:r w:rsidRPr="00087A72">
        <w:rPr>
          <w:sz w:val="16"/>
          <w:szCs w:val="16"/>
        </w:rPr>
        <w:t xml:space="preserve">a woman." </w:t>
      </w:r>
      <w:r w:rsidRPr="00087A72">
        <w:rPr>
          <w:spacing w:val="-4"/>
          <w:sz w:val="16"/>
          <w:szCs w:val="16"/>
        </w:rPr>
        <w:t xml:space="preserve">Will </w:t>
      </w:r>
      <w:r w:rsidRPr="00087A72">
        <w:rPr>
          <w:sz w:val="16"/>
          <w:szCs w:val="16"/>
        </w:rPr>
        <w:t xml:space="preserve">Roscoe </w:t>
      </w:r>
      <w:r w:rsidRPr="00087A72">
        <w:rPr>
          <w:spacing w:val="4"/>
          <w:sz w:val="16"/>
          <w:szCs w:val="16"/>
        </w:rPr>
        <w:t xml:space="preserve">reports </w:t>
      </w:r>
      <w:r w:rsidRPr="00087A72">
        <w:rPr>
          <w:sz w:val="16"/>
          <w:szCs w:val="16"/>
        </w:rPr>
        <w:t xml:space="preserve">from </w:t>
      </w:r>
      <w:r w:rsidRPr="00087A72">
        <w:rPr>
          <w:spacing w:val="3"/>
          <w:sz w:val="16"/>
          <w:szCs w:val="16"/>
        </w:rPr>
        <w:t xml:space="preserve">oral </w:t>
      </w:r>
      <w:r w:rsidRPr="00087A72">
        <w:rPr>
          <w:sz w:val="16"/>
          <w:szCs w:val="16"/>
        </w:rPr>
        <w:t xml:space="preserve">histories </w:t>
      </w:r>
      <w:r w:rsidRPr="00087A72">
        <w:rPr>
          <w:spacing w:val="5"/>
          <w:sz w:val="16"/>
          <w:szCs w:val="16"/>
        </w:rPr>
        <w:t xml:space="preserve">of </w:t>
      </w:r>
      <w:r w:rsidRPr="00087A72">
        <w:rPr>
          <w:spacing w:val="-4"/>
          <w:sz w:val="16"/>
          <w:szCs w:val="16"/>
        </w:rPr>
        <w:t xml:space="preserve">Osh-Tisch's </w:t>
      </w:r>
      <w:r w:rsidRPr="00087A72">
        <w:rPr>
          <w:sz w:val="16"/>
          <w:szCs w:val="16"/>
        </w:rPr>
        <w:t xml:space="preserve">life that </w:t>
      </w:r>
      <w:r w:rsidRPr="00087A72">
        <w:rPr>
          <w:spacing w:val="2"/>
          <w:sz w:val="16"/>
          <w:szCs w:val="16"/>
        </w:rPr>
        <w:t xml:space="preserve">her </w:t>
      </w:r>
      <w:r w:rsidRPr="00087A72">
        <w:rPr>
          <w:sz w:val="16"/>
          <w:szCs w:val="16"/>
        </w:rPr>
        <w:t xml:space="preserve">community included </w:t>
      </w:r>
      <w:r w:rsidRPr="00087A72">
        <w:rPr>
          <w:spacing w:val="-3"/>
          <w:sz w:val="16"/>
          <w:szCs w:val="16"/>
        </w:rPr>
        <w:t xml:space="preserve">many </w:t>
      </w:r>
      <w:r w:rsidRPr="00087A72">
        <w:rPr>
          <w:spacing w:val="2"/>
          <w:sz w:val="16"/>
          <w:szCs w:val="16"/>
        </w:rPr>
        <w:t xml:space="preserve">botes, </w:t>
      </w:r>
      <w:r w:rsidRPr="00087A72">
        <w:rPr>
          <w:sz w:val="16"/>
          <w:szCs w:val="16"/>
        </w:rPr>
        <w:t xml:space="preserve">as well as at least </w:t>
      </w:r>
      <w:r w:rsidRPr="00087A72">
        <w:rPr>
          <w:spacing w:val="3"/>
          <w:sz w:val="16"/>
          <w:szCs w:val="16"/>
        </w:rPr>
        <w:t xml:space="preserve">one </w:t>
      </w:r>
      <w:r w:rsidRPr="00087A72">
        <w:rPr>
          <w:sz w:val="16"/>
          <w:szCs w:val="16"/>
        </w:rPr>
        <w:t xml:space="preserve">"woman who had no </w:t>
      </w:r>
      <w:r w:rsidRPr="00087A72">
        <w:rPr>
          <w:spacing w:val="-4"/>
          <w:sz w:val="16"/>
          <w:szCs w:val="16"/>
        </w:rPr>
        <w:t xml:space="preserve">man </w:t>
      </w:r>
      <w:r w:rsidRPr="00087A72">
        <w:rPr>
          <w:spacing w:val="5"/>
          <w:sz w:val="16"/>
          <w:szCs w:val="16"/>
        </w:rPr>
        <w:t xml:space="preserve">of </w:t>
      </w:r>
      <w:r w:rsidRPr="00087A72">
        <w:rPr>
          <w:spacing w:val="2"/>
          <w:sz w:val="16"/>
          <w:szCs w:val="16"/>
        </w:rPr>
        <w:t xml:space="preserve">her </w:t>
      </w:r>
      <w:r w:rsidRPr="00087A72">
        <w:rPr>
          <w:spacing w:val="-3"/>
          <w:sz w:val="16"/>
          <w:szCs w:val="16"/>
        </w:rPr>
        <w:t xml:space="preserve">own," </w:t>
      </w:r>
      <w:r w:rsidRPr="00087A72">
        <w:rPr>
          <w:sz w:val="16"/>
          <w:szCs w:val="16"/>
        </w:rPr>
        <w:t xml:space="preserve">The </w:t>
      </w:r>
      <w:r w:rsidRPr="00087A72">
        <w:rPr>
          <w:spacing w:val="3"/>
          <w:sz w:val="16"/>
          <w:szCs w:val="16"/>
        </w:rPr>
        <w:t xml:space="preserve">Other </w:t>
      </w:r>
      <w:r w:rsidRPr="00087A72">
        <w:rPr>
          <w:spacing w:val="-3"/>
          <w:sz w:val="16"/>
          <w:szCs w:val="16"/>
        </w:rPr>
        <w:t xml:space="preserve">Magpie, </w:t>
      </w:r>
      <w:r w:rsidRPr="00087A72">
        <w:rPr>
          <w:spacing w:val="3"/>
          <w:sz w:val="16"/>
          <w:szCs w:val="16"/>
        </w:rPr>
        <w:t xml:space="preserve">whom </w:t>
      </w:r>
      <w:r w:rsidRPr="00087A72">
        <w:rPr>
          <w:sz w:val="16"/>
          <w:szCs w:val="16"/>
        </w:rPr>
        <w:t xml:space="preserve">Osh- </w:t>
      </w:r>
      <w:r w:rsidRPr="00087A72">
        <w:rPr>
          <w:spacing w:val="-6"/>
          <w:sz w:val="16"/>
          <w:szCs w:val="16"/>
        </w:rPr>
        <w:t xml:space="preserve">Tisch </w:t>
      </w:r>
      <w:r w:rsidRPr="00087A72">
        <w:rPr>
          <w:sz w:val="16"/>
          <w:szCs w:val="16"/>
        </w:rPr>
        <w:t xml:space="preserve">accompanied </w:t>
      </w:r>
      <w:r w:rsidRPr="00087A72">
        <w:rPr>
          <w:spacing w:val="-3"/>
          <w:sz w:val="16"/>
          <w:szCs w:val="16"/>
        </w:rPr>
        <w:t xml:space="preserve">in </w:t>
      </w:r>
      <w:r w:rsidRPr="00087A72">
        <w:rPr>
          <w:sz w:val="16"/>
          <w:szCs w:val="16"/>
        </w:rPr>
        <w:t xml:space="preserve">sharing exploits </w:t>
      </w:r>
      <w:r w:rsidRPr="00087A72">
        <w:rPr>
          <w:spacing w:val="-3"/>
          <w:sz w:val="16"/>
          <w:szCs w:val="16"/>
        </w:rPr>
        <w:t xml:space="preserve">in </w:t>
      </w:r>
      <w:r w:rsidRPr="00087A72">
        <w:rPr>
          <w:sz w:val="16"/>
          <w:szCs w:val="16"/>
        </w:rPr>
        <w:t xml:space="preserve">battle </w:t>
      </w:r>
      <w:r w:rsidRPr="00087A72">
        <w:rPr>
          <w:spacing w:val="4"/>
          <w:sz w:val="16"/>
          <w:szCs w:val="16"/>
        </w:rPr>
        <w:t>(30-32).</w:t>
      </w:r>
      <w:r w:rsidRPr="00087A72">
        <w:rPr>
          <w:spacing w:val="-14"/>
          <w:sz w:val="16"/>
          <w:szCs w:val="16"/>
        </w:rPr>
        <w:t xml:space="preserve"> </w:t>
      </w:r>
      <w:r w:rsidRPr="00087A72">
        <w:rPr>
          <w:spacing w:val="4"/>
          <w:sz w:val="16"/>
          <w:szCs w:val="16"/>
        </w:rPr>
        <w:t xml:space="preserve">After </w:t>
      </w:r>
      <w:r w:rsidRPr="00087A72">
        <w:rPr>
          <w:sz w:val="16"/>
          <w:szCs w:val="16"/>
        </w:rPr>
        <w:t>the establishment</w:t>
      </w:r>
      <w:r w:rsidRPr="00087A72">
        <w:rPr>
          <w:spacing w:val="-6"/>
          <w:sz w:val="16"/>
          <w:szCs w:val="16"/>
        </w:rPr>
        <w:t xml:space="preserve"> </w:t>
      </w:r>
      <w:r w:rsidRPr="00087A72">
        <w:rPr>
          <w:spacing w:val="5"/>
          <w:sz w:val="16"/>
          <w:szCs w:val="16"/>
        </w:rPr>
        <w:t>of</w:t>
      </w:r>
      <w:r w:rsidRPr="00087A72">
        <w:rPr>
          <w:sz w:val="16"/>
          <w:szCs w:val="16"/>
        </w:rPr>
        <w:t xml:space="preserve"> the</w:t>
      </w:r>
      <w:r w:rsidRPr="00087A72">
        <w:rPr>
          <w:spacing w:val="-4"/>
          <w:sz w:val="16"/>
          <w:szCs w:val="16"/>
        </w:rPr>
        <w:t xml:space="preserve"> </w:t>
      </w:r>
      <w:r w:rsidRPr="00087A72">
        <w:rPr>
          <w:sz w:val="16"/>
          <w:szCs w:val="16"/>
        </w:rPr>
        <w:t>Crow</w:t>
      </w:r>
      <w:r w:rsidRPr="00087A72">
        <w:rPr>
          <w:spacing w:val="-6"/>
          <w:sz w:val="16"/>
          <w:szCs w:val="16"/>
        </w:rPr>
        <w:t xml:space="preserve"> </w:t>
      </w:r>
      <w:r w:rsidRPr="00087A72">
        <w:rPr>
          <w:spacing w:val="2"/>
          <w:sz w:val="16"/>
          <w:szCs w:val="16"/>
        </w:rPr>
        <w:t>Agency</w:t>
      </w:r>
      <w:r w:rsidRPr="00087A72">
        <w:rPr>
          <w:spacing w:val="-9"/>
          <w:sz w:val="16"/>
          <w:szCs w:val="16"/>
        </w:rPr>
        <w:t xml:space="preserve"> </w:t>
      </w:r>
      <w:r w:rsidRPr="00087A72">
        <w:rPr>
          <w:sz w:val="16"/>
          <w:szCs w:val="16"/>
        </w:rPr>
        <w:t>and</w:t>
      </w:r>
      <w:r w:rsidRPr="00087A72">
        <w:rPr>
          <w:spacing w:val="-5"/>
          <w:sz w:val="16"/>
          <w:szCs w:val="16"/>
        </w:rPr>
        <w:t xml:space="preserve"> </w:t>
      </w:r>
      <w:r w:rsidRPr="00087A72">
        <w:rPr>
          <w:spacing w:val="4"/>
          <w:sz w:val="16"/>
          <w:szCs w:val="16"/>
        </w:rPr>
        <w:t>other</w:t>
      </w:r>
      <w:r w:rsidRPr="00087A72">
        <w:rPr>
          <w:spacing w:val="-4"/>
          <w:sz w:val="16"/>
          <w:szCs w:val="16"/>
        </w:rPr>
        <w:t xml:space="preserve"> </w:t>
      </w:r>
      <w:r w:rsidRPr="00087A72">
        <w:rPr>
          <w:spacing w:val="2"/>
          <w:sz w:val="16"/>
          <w:szCs w:val="16"/>
        </w:rPr>
        <w:t>colonial</w:t>
      </w:r>
      <w:r w:rsidRPr="00087A72">
        <w:rPr>
          <w:spacing w:val="-12"/>
          <w:sz w:val="16"/>
          <w:szCs w:val="16"/>
        </w:rPr>
        <w:t xml:space="preserve"> </w:t>
      </w:r>
      <w:r w:rsidRPr="00087A72">
        <w:rPr>
          <w:sz w:val="16"/>
          <w:szCs w:val="16"/>
        </w:rPr>
        <w:t>institutions,</w:t>
      </w:r>
      <w:r w:rsidRPr="00087A72">
        <w:rPr>
          <w:spacing w:val="-14"/>
          <w:sz w:val="16"/>
          <w:szCs w:val="16"/>
        </w:rPr>
        <w:t xml:space="preserve"> </w:t>
      </w:r>
      <w:r w:rsidRPr="00087A72">
        <w:rPr>
          <w:sz w:val="16"/>
          <w:szCs w:val="16"/>
        </w:rPr>
        <w:t>Roscoe</w:t>
      </w:r>
      <w:r w:rsidRPr="00087A72">
        <w:rPr>
          <w:spacing w:val="-3"/>
          <w:sz w:val="16"/>
          <w:szCs w:val="16"/>
        </w:rPr>
        <w:t xml:space="preserve"> </w:t>
      </w:r>
      <w:r w:rsidRPr="00087A72">
        <w:rPr>
          <w:spacing w:val="-4"/>
          <w:sz w:val="16"/>
          <w:szCs w:val="16"/>
        </w:rPr>
        <w:t xml:space="preserve">says, </w:t>
      </w:r>
      <w:r w:rsidRPr="00087A72">
        <w:rPr>
          <w:spacing w:val="-8"/>
          <w:sz w:val="16"/>
          <w:szCs w:val="16"/>
        </w:rPr>
        <w:t xml:space="preserve">Crow </w:t>
      </w:r>
      <w:r w:rsidRPr="00087A72">
        <w:rPr>
          <w:spacing w:val="3"/>
          <w:sz w:val="16"/>
          <w:szCs w:val="16"/>
        </w:rPr>
        <w:t xml:space="preserve">people were </w:t>
      </w:r>
      <w:r w:rsidRPr="00087A72">
        <w:rPr>
          <w:sz w:val="16"/>
          <w:szCs w:val="16"/>
        </w:rPr>
        <w:t xml:space="preserve">"subjected to </w:t>
      </w:r>
      <w:r w:rsidRPr="00087A72">
        <w:rPr>
          <w:spacing w:val="2"/>
          <w:sz w:val="16"/>
          <w:szCs w:val="16"/>
        </w:rPr>
        <w:t xml:space="preserve">ongoing </w:t>
      </w:r>
      <w:r w:rsidRPr="00087A72">
        <w:rPr>
          <w:spacing w:val="3"/>
          <w:sz w:val="16"/>
          <w:szCs w:val="16"/>
        </w:rPr>
        <w:t xml:space="preserve">interference </w:t>
      </w:r>
      <w:r w:rsidRPr="00087A72">
        <w:rPr>
          <w:spacing w:val="-8"/>
          <w:sz w:val="16"/>
          <w:szCs w:val="16"/>
        </w:rPr>
        <w:t xml:space="preserve">by </w:t>
      </w:r>
      <w:r w:rsidRPr="00087A72">
        <w:rPr>
          <w:spacing w:val="2"/>
          <w:sz w:val="16"/>
          <w:szCs w:val="16"/>
        </w:rPr>
        <w:t xml:space="preserve">representatives </w:t>
      </w:r>
      <w:r w:rsidRPr="00087A72">
        <w:rPr>
          <w:spacing w:val="5"/>
          <w:sz w:val="16"/>
          <w:szCs w:val="16"/>
        </w:rPr>
        <w:t xml:space="preserve">of </w:t>
      </w:r>
      <w:r w:rsidRPr="00087A72">
        <w:rPr>
          <w:sz w:val="16"/>
          <w:szCs w:val="16"/>
        </w:rPr>
        <w:t xml:space="preserve">the </w:t>
      </w:r>
      <w:r w:rsidRPr="00087A72">
        <w:rPr>
          <w:spacing w:val="-7"/>
          <w:sz w:val="16"/>
          <w:szCs w:val="16"/>
        </w:rPr>
        <w:t xml:space="preserve">U.S. </w:t>
      </w:r>
      <w:r w:rsidRPr="00087A72">
        <w:rPr>
          <w:sz w:val="16"/>
          <w:szCs w:val="16"/>
        </w:rPr>
        <w:t xml:space="preserve">government," including </w:t>
      </w:r>
      <w:r w:rsidRPr="00087A72">
        <w:rPr>
          <w:spacing w:val="-3"/>
          <w:sz w:val="16"/>
          <w:szCs w:val="16"/>
        </w:rPr>
        <w:t xml:space="preserve">in </w:t>
      </w:r>
      <w:r w:rsidRPr="00087A72">
        <w:rPr>
          <w:spacing w:val="3"/>
          <w:sz w:val="16"/>
          <w:szCs w:val="16"/>
        </w:rPr>
        <w:t xml:space="preserve">contests </w:t>
      </w:r>
      <w:r w:rsidRPr="00087A72">
        <w:rPr>
          <w:sz w:val="16"/>
          <w:szCs w:val="16"/>
        </w:rPr>
        <w:t xml:space="preserve">over </w:t>
      </w:r>
      <w:r w:rsidRPr="00087A72">
        <w:rPr>
          <w:spacing w:val="2"/>
          <w:sz w:val="16"/>
          <w:szCs w:val="16"/>
        </w:rPr>
        <w:t xml:space="preserve">botes, </w:t>
      </w:r>
      <w:r w:rsidRPr="00087A72">
        <w:rPr>
          <w:sz w:val="16"/>
          <w:szCs w:val="16"/>
        </w:rPr>
        <w:t xml:space="preserve">among </w:t>
      </w:r>
      <w:r w:rsidRPr="00087A72">
        <w:rPr>
          <w:spacing w:val="3"/>
          <w:sz w:val="16"/>
          <w:szCs w:val="16"/>
        </w:rPr>
        <w:t xml:space="preserve">whom </w:t>
      </w:r>
      <w:r w:rsidRPr="00087A72">
        <w:rPr>
          <w:sz w:val="16"/>
          <w:szCs w:val="16"/>
        </w:rPr>
        <w:t xml:space="preserve">Osh- </w:t>
      </w:r>
      <w:r w:rsidRPr="00087A72">
        <w:rPr>
          <w:spacing w:val="-6"/>
          <w:sz w:val="16"/>
          <w:szCs w:val="16"/>
        </w:rPr>
        <w:t xml:space="preserve">Tisch </w:t>
      </w:r>
      <w:r w:rsidRPr="00087A72">
        <w:rPr>
          <w:sz w:val="16"/>
          <w:szCs w:val="16"/>
        </w:rPr>
        <w:t xml:space="preserve">was prominent. </w:t>
      </w:r>
      <w:r w:rsidRPr="00087A72">
        <w:rPr>
          <w:spacing w:val="2"/>
          <w:sz w:val="16"/>
          <w:szCs w:val="16"/>
        </w:rPr>
        <w:t xml:space="preserve">Robert </w:t>
      </w:r>
      <w:r w:rsidRPr="00087A72">
        <w:rPr>
          <w:sz w:val="16"/>
          <w:szCs w:val="16"/>
        </w:rPr>
        <w:t xml:space="preserve">Lowie </w:t>
      </w:r>
      <w:r w:rsidRPr="00087A72">
        <w:rPr>
          <w:spacing w:val="-4"/>
          <w:sz w:val="16"/>
          <w:szCs w:val="16"/>
        </w:rPr>
        <w:t xml:space="preserve">said </w:t>
      </w:r>
      <w:r w:rsidRPr="00087A72">
        <w:rPr>
          <w:spacing w:val="5"/>
          <w:sz w:val="16"/>
          <w:szCs w:val="16"/>
        </w:rPr>
        <w:t xml:space="preserve">of </w:t>
      </w:r>
      <w:r w:rsidRPr="00087A72">
        <w:rPr>
          <w:spacing w:val="-4"/>
          <w:sz w:val="16"/>
          <w:szCs w:val="16"/>
        </w:rPr>
        <w:t xml:space="preserve">Osh-Tisch </w:t>
      </w:r>
      <w:r w:rsidRPr="00087A72">
        <w:rPr>
          <w:sz w:val="16"/>
          <w:szCs w:val="16"/>
        </w:rPr>
        <w:t xml:space="preserve">that "former agents have </w:t>
      </w:r>
      <w:r w:rsidRPr="00087A72">
        <w:rPr>
          <w:spacing w:val="3"/>
          <w:sz w:val="16"/>
          <w:szCs w:val="16"/>
        </w:rPr>
        <w:t xml:space="preserve">repeatedly </w:t>
      </w:r>
      <w:r w:rsidRPr="00087A72">
        <w:rPr>
          <w:sz w:val="16"/>
          <w:szCs w:val="16"/>
        </w:rPr>
        <w:t xml:space="preserve">tried to </w:t>
      </w:r>
      <w:r w:rsidRPr="00087A72">
        <w:rPr>
          <w:spacing w:val="-3"/>
          <w:sz w:val="16"/>
          <w:szCs w:val="16"/>
        </w:rPr>
        <w:t xml:space="preserve">make </w:t>
      </w:r>
      <w:r w:rsidRPr="00087A72">
        <w:rPr>
          <w:sz w:val="16"/>
          <w:szCs w:val="16"/>
        </w:rPr>
        <w:t xml:space="preserve">him </w:t>
      </w:r>
      <w:r w:rsidRPr="00087A72">
        <w:rPr>
          <w:spacing w:val="4"/>
          <w:sz w:val="16"/>
          <w:szCs w:val="16"/>
        </w:rPr>
        <w:t xml:space="preserve">don </w:t>
      </w:r>
      <w:r w:rsidRPr="00087A72">
        <w:rPr>
          <w:spacing w:val="-4"/>
          <w:sz w:val="16"/>
          <w:szCs w:val="16"/>
        </w:rPr>
        <w:t xml:space="preserve">male </w:t>
      </w:r>
      <w:r w:rsidRPr="00087A72">
        <w:rPr>
          <w:spacing w:val="2"/>
          <w:sz w:val="16"/>
          <w:szCs w:val="16"/>
        </w:rPr>
        <w:t xml:space="preserve">clothes, but </w:t>
      </w:r>
      <w:r w:rsidRPr="00087A72">
        <w:rPr>
          <w:sz w:val="16"/>
          <w:szCs w:val="16"/>
        </w:rPr>
        <w:t xml:space="preserve">the </w:t>
      </w:r>
      <w:r w:rsidRPr="00087A72">
        <w:rPr>
          <w:spacing w:val="4"/>
          <w:sz w:val="16"/>
          <w:szCs w:val="16"/>
        </w:rPr>
        <w:t xml:space="preserve">other </w:t>
      </w:r>
      <w:r w:rsidRPr="00087A72">
        <w:rPr>
          <w:sz w:val="16"/>
          <w:szCs w:val="16"/>
        </w:rPr>
        <w:t xml:space="preserve">Indians themselves protested </w:t>
      </w:r>
      <w:r w:rsidRPr="00087A72">
        <w:rPr>
          <w:spacing w:val="-3"/>
          <w:sz w:val="16"/>
          <w:szCs w:val="16"/>
        </w:rPr>
        <w:t xml:space="preserve">against </w:t>
      </w:r>
      <w:r w:rsidRPr="00087A72">
        <w:rPr>
          <w:sz w:val="16"/>
          <w:szCs w:val="16"/>
        </w:rPr>
        <w:t xml:space="preserve">this, </w:t>
      </w:r>
      <w:r w:rsidRPr="00087A72">
        <w:rPr>
          <w:spacing w:val="-3"/>
          <w:sz w:val="16"/>
          <w:szCs w:val="16"/>
        </w:rPr>
        <w:t xml:space="preserve">saying </w:t>
      </w:r>
      <w:r w:rsidRPr="00087A72">
        <w:rPr>
          <w:sz w:val="16"/>
          <w:szCs w:val="16"/>
        </w:rPr>
        <w:t xml:space="preserve">that </w:t>
      </w:r>
      <w:r w:rsidRPr="00087A72">
        <w:rPr>
          <w:spacing w:val="-3"/>
          <w:sz w:val="16"/>
          <w:szCs w:val="16"/>
        </w:rPr>
        <w:t xml:space="preserve">it </w:t>
      </w:r>
      <w:r w:rsidRPr="00087A72">
        <w:rPr>
          <w:sz w:val="16"/>
          <w:szCs w:val="16"/>
        </w:rPr>
        <w:t xml:space="preserve">was </w:t>
      </w:r>
      <w:r w:rsidRPr="00087A72">
        <w:rPr>
          <w:spacing w:val="-3"/>
          <w:sz w:val="16"/>
          <w:szCs w:val="16"/>
        </w:rPr>
        <w:t xml:space="preserve">against </w:t>
      </w:r>
      <w:r w:rsidRPr="00087A72">
        <w:rPr>
          <w:sz w:val="16"/>
          <w:szCs w:val="16"/>
        </w:rPr>
        <w:t xml:space="preserve">his </w:t>
      </w:r>
      <w:r w:rsidRPr="00087A72">
        <w:rPr>
          <w:spacing w:val="2"/>
          <w:sz w:val="16"/>
          <w:szCs w:val="16"/>
        </w:rPr>
        <w:t xml:space="preserve">nature" (29). </w:t>
      </w:r>
      <w:r w:rsidRPr="00087A72">
        <w:rPr>
          <w:spacing w:val="-4"/>
          <w:sz w:val="16"/>
          <w:szCs w:val="16"/>
        </w:rPr>
        <w:t xml:space="preserve">Walter </w:t>
      </w:r>
      <w:r w:rsidRPr="00087A72">
        <w:rPr>
          <w:spacing w:val="-5"/>
          <w:sz w:val="16"/>
          <w:szCs w:val="16"/>
        </w:rPr>
        <w:t xml:space="preserve">Williams </w:t>
      </w:r>
      <w:r w:rsidRPr="00087A72">
        <w:rPr>
          <w:sz w:val="16"/>
          <w:szCs w:val="16"/>
        </w:rPr>
        <w:t xml:space="preserve">interviewed </w:t>
      </w:r>
      <w:r w:rsidRPr="00087A72">
        <w:rPr>
          <w:spacing w:val="-8"/>
          <w:sz w:val="16"/>
          <w:szCs w:val="16"/>
        </w:rPr>
        <w:t xml:space="preserve">Crow </w:t>
      </w:r>
      <w:r w:rsidRPr="00087A72">
        <w:rPr>
          <w:sz w:val="16"/>
          <w:szCs w:val="16"/>
        </w:rPr>
        <w:t xml:space="preserve">tribal historian Joe Medicine </w:t>
      </w:r>
      <w:r w:rsidRPr="00087A72">
        <w:rPr>
          <w:spacing w:val="-8"/>
          <w:sz w:val="16"/>
          <w:szCs w:val="16"/>
        </w:rPr>
        <w:t xml:space="preserve">Crow </w:t>
      </w:r>
      <w:r w:rsidRPr="00087A72">
        <w:rPr>
          <w:spacing w:val="3"/>
          <w:sz w:val="16"/>
          <w:szCs w:val="16"/>
        </w:rPr>
        <w:t xml:space="preserve">about </w:t>
      </w:r>
      <w:r w:rsidRPr="00087A72">
        <w:rPr>
          <w:sz w:val="16"/>
          <w:szCs w:val="16"/>
        </w:rPr>
        <w:t xml:space="preserve">his memories </w:t>
      </w:r>
      <w:r w:rsidRPr="00087A72">
        <w:rPr>
          <w:spacing w:val="5"/>
          <w:sz w:val="16"/>
          <w:szCs w:val="16"/>
        </w:rPr>
        <w:t xml:space="preserve">of </w:t>
      </w:r>
      <w:r w:rsidRPr="00087A72">
        <w:rPr>
          <w:sz w:val="16"/>
          <w:szCs w:val="16"/>
        </w:rPr>
        <w:t xml:space="preserve">Osh-Tisch, who died </w:t>
      </w:r>
      <w:r w:rsidRPr="00087A72">
        <w:rPr>
          <w:spacing w:val="-3"/>
          <w:sz w:val="16"/>
          <w:szCs w:val="16"/>
        </w:rPr>
        <w:t xml:space="preserve">in </w:t>
      </w:r>
      <w:r w:rsidRPr="00087A72">
        <w:rPr>
          <w:spacing w:val="7"/>
          <w:sz w:val="16"/>
          <w:szCs w:val="16"/>
        </w:rPr>
        <w:t xml:space="preserve">1929 </w:t>
      </w:r>
      <w:r w:rsidRPr="00087A72">
        <w:rPr>
          <w:spacing w:val="2"/>
          <w:sz w:val="16"/>
          <w:szCs w:val="16"/>
        </w:rPr>
        <w:t xml:space="preserve">when </w:t>
      </w:r>
      <w:r w:rsidRPr="00087A72">
        <w:rPr>
          <w:sz w:val="16"/>
          <w:szCs w:val="16"/>
        </w:rPr>
        <w:t xml:space="preserve">Medicine </w:t>
      </w:r>
      <w:r w:rsidRPr="00087A72">
        <w:rPr>
          <w:spacing w:val="-8"/>
          <w:sz w:val="16"/>
          <w:szCs w:val="16"/>
        </w:rPr>
        <w:t xml:space="preserve">Crow </w:t>
      </w:r>
      <w:r w:rsidRPr="00087A72">
        <w:rPr>
          <w:sz w:val="16"/>
          <w:szCs w:val="16"/>
        </w:rPr>
        <w:t xml:space="preserve">was seven years </w:t>
      </w:r>
      <w:r w:rsidRPr="00087A72">
        <w:rPr>
          <w:spacing w:val="2"/>
          <w:sz w:val="16"/>
          <w:szCs w:val="16"/>
        </w:rPr>
        <w:t xml:space="preserve">old. </w:t>
      </w:r>
      <w:r w:rsidRPr="00087A72">
        <w:rPr>
          <w:sz w:val="16"/>
          <w:szCs w:val="16"/>
        </w:rPr>
        <w:t xml:space="preserve">When I asked </w:t>
      </w:r>
      <w:r w:rsidRPr="00087A72">
        <w:rPr>
          <w:spacing w:val="3"/>
          <w:sz w:val="16"/>
          <w:szCs w:val="16"/>
        </w:rPr>
        <w:t xml:space="preserve">about </w:t>
      </w:r>
      <w:r w:rsidRPr="00087A72">
        <w:rPr>
          <w:sz w:val="16"/>
          <w:szCs w:val="16"/>
        </w:rPr>
        <w:t xml:space="preserve">the controversy over </w:t>
      </w:r>
      <w:r w:rsidRPr="00087A72">
        <w:rPr>
          <w:spacing w:val="-4"/>
          <w:sz w:val="16"/>
          <w:szCs w:val="16"/>
        </w:rPr>
        <w:t xml:space="preserve">Osh-Tisch's </w:t>
      </w:r>
      <w:r w:rsidRPr="00087A72">
        <w:rPr>
          <w:sz w:val="16"/>
          <w:szCs w:val="16"/>
        </w:rPr>
        <w:t xml:space="preserve">clothing," </w:t>
      </w:r>
      <w:r w:rsidRPr="00087A72">
        <w:rPr>
          <w:spacing w:val="-5"/>
          <w:sz w:val="16"/>
          <w:szCs w:val="16"/>
        </w:rPr>
        <w:t xml:space="preserve">Williams </w:t>
      </w:r>
      <w:r w:rsidRPr="00087A72">
        <w:rPr>
          <w:spacing w:val="-4"/>
          <w:sz w:val="16"/>
          <w:szCs w:val="16"/>
        </w:rPr>
        <w:t xml:space="preserve">says, </w:t>
      </w:r>
      <w:r w:rsidRPr="00087A72">
        <w:rPr>
          <w:sz w:val="16"/>
          <w:szCs w:val="16"/>
        </w:rPr>
        <w:t xml:space="preserve">he did </w:t>
      </w:r>
      <w:r w:rsidRPr="00087A72">
        <w:rPr>
          <w:spacing w:val="3"/>
          <w:sz w:val="16"/>
          <w:szCs w:val="16"/>
        </w:rPr>
        <w:t xml:space="preserve">not </w:t>
      </w:r>
      <w:r w:rsidRPr="00087A72">
        <w:rPr>
          <w:sz w:val="16"/>
          <w:szCs w:val="16"/>
        </w:rPr>
        <w:t xml:space="preserve">answer </w:t>
      </w:r>
      <w:r w:rsidRPr="00087A72">
        <w:rPr>
          <w:spacing w:val="2"/>
          <w:sz w:val="16"/>
          <w:szCs w:val="16"/>
        </w:rPr>
        <w:t xml:space="preserve">but told </w:t>
      </w:r>
      <w:r w:rsidRPr="00087A72">
        <w:rPr>
          <w:spacing w:val="-5"/>
          <w:sz w:val="16"/>
          <w:szCs w:val="16"/>
        </w:rPr>
        <w:t xml:space="preserve">me </w:t>
      </w:r>
      <w:r w:rsidRPr="00087A72">
        <w:rPr>
          <w:sz w:val="16"/>
          <w:szCs w:val="16"/>
        </w:rPr>
        <w:t xml:space="preserve">to meet him the following day </w:t>
      </w:r>
      <w:r w:rsidRPr="00087A72">
        <w:rPr>
          <w:spacing w:val="5"/>
          <w:sz w:val="16"/>
          <w:szCs w:val="16"/>
        </w:rPr>
        <w:t xml:space="preserve">on </w:t>
      </w:r>
      <w:r w:rsidRPr="00087A72">
        <w:rPr>
          <w:sz w:val="16"/>
          <w:szCs w:val="16"/>
        </w:rPr>
        <w:t xml:space="preserve">the grounds </w:t>
      </w:r>
      <w:r w:rsidRPr="00087A72">
        <w:rPr>
          <w:spacing w:val="5"/>
          <w:sz w:val="16"/>
          <w:szCs w:val="16"/>
        </w:rPr>
        <w:t xml:space="preserve">of </w:t>
      </w:r>
      <w:r w:rsidRPr="00087A72">
        <w:rPr>
          <w:sz w:val="16"/>
          <w:szCs w:val="16"/>
        </w:rPr>
        <w:t xml:space="preserve">the </w:t>
      </w:r>
      <w:r w:rsidRPr="00087A72">
        <w:rPr>
          <w:spacing w:val="2"/>
          <w:sz w:val="16"/>
          <w:szCs w:val="16"/>
        </w:rPr>
        <w:t xml:space="preserve">Bureau </w:t>
      </w:r>
      <w:r w:rsidRPr="00087A72">
        <w:rPr>
          <w:spacing w:val="5"/>
          <w:sz w:val="16"/>
          <w:szCs w:val="16"/>
        </w:rPr>
        <w:t xml:space="preserve">of </w:t>
      </w:r>
      <w:r w:rsidRPr="00087A72">
        <w:rPr>
          <w:sz w:val="16"/>
          <w:szCs w:val="16"/>
        </w:rPr>
        <w:t xml:space="preserve">Indian </w:t>
      </w:r>
      <w:r w:rsidRPr="00087A72">
        <w:rPr>
          <w:spacing w:val="2"/>
          <w:sz w:val="16"/>
          <w:szCs w:val="16"/>
        </w:rPr>
        <w:t xml:space="preserve">Affairs </w:t>
      </w:r>
      <w:r w:rsidRPr="00087A72">
        <w:rPr>
          <w:spacing w:val="4"/>
          <w:sz w:val="16"/>
          <w:szCs w:val="16"/>
        </w:rPr>
        <w:t xml:space="preserve">ofﬁces. </w:t>
      </w:r>
      <w:r w:rsidRPr="00087A72">
        <w:rPr>
          <w:sz w:val="16"/>
          <w:szCs w:val="16"/>
        </w:rPr>
        <w:t xml:space="preserve">I arrived the next day and </w:t>
      </w:r>
      <w:r w:rsidRPr="00087A72">
        <w:rPr>
          <w:spacing w:val="3"/>
          <w:sz w:val="16"/>
          <w:szCs w:val="16"/>
        </w:rPr>
        <w:t xml:space="preserve">observed </w:t>
      </w:r>
      <w:r w:rsidRPr="00087A72">
        <w:rPr>
          <w:sz w:val="16"/>
          <w:szCs w:val="16"/>
        </w:rPr>
        <w:t xml:space="preserve">that the </w:t>
      </w:r>
      <w:r w:rsidRPr="00087A72">
        <w:rPr>
          <w:spacing w:val="2"/>
          <w:sz w:val="16"/>
          <w:szCs w:val="16"/>
        </w:rPr>
        <w:t xml:space="preserve">BIA </w:t>
      </w:r>
      <w:r w:rsidRPr="00087A72">
        <w:rPr>
          <w:sz w:val="16"/>
          <w:szCs w:val="16"/>
        </w:rPr>
        <w:t xml:space="preserve">building was surrounded </w:t>
      </w:r>
      <w:r w:rsidRPr="00087A72">
        <w:rPr>
          <w:spacing w:val="-8"/>
          <w:sz w:val="16"/>
          <w:szCs w:val="16"/>
        </w:rPr>
        <w:t xml:space="preserve">by </w:t>
      </w:r>
      <w:r w:rsidRPr="00087A72">
        <w:rPr>
          <w:sz w:val="16"/>
          <w:szCs w:val="16"/>
        </w:rPr>
        <w:t xml:space="preserve">huge </w:t>
      </w:r>
      <w:r w:rsidRPr="00087A72">
        <w:rPr>
          <w:spacing w:val="2"/>
          <w:sz w:val="16"/>
          <w:szCs w:val="16"/>
        </w:rPr>
        <w:t xml:space="preserve">oak </w:t>
      </w:r>
      <w:r w:rsidRPr="00087A72">
        <w:rPr>
          <w:sz w:val="16"/>
          <w:szCs w:val="16"/>
        </w:rPr>
        <w:t xml:space="preserve">trees." Medicine Crow </w:t>
      </w:r>
      <w:r w:rsidRPr="00087A72">
        <w:rPr>
          <w:spacing w:val="2"/>
          <w:sz w:val="16"/>
          <w:szCs w:val="16"/>
        </w:rPr>
        <w:t xml:space="preserve">then </w:t>
      </w:r>
      <w:r w:rsidRPr="00087A72">
        <w:rPr>
          <w:spacing w:val="4"/>
          <w:sz w:val="16"/>
          <w:szCs w:val="16"/>
        </w:rPr>
        <w:t>reflected</w:t>
      </w:r>
      <w:r w:rsidRPr="00087A72">
        <w:rPr>
          <w:spacing w:val="-8"/>
          <w:sz w:val="16"/>
          <w:szCs w:val="16"/>
        </w:rPr>
        <w:t xml:space="preserve"> </w:t>
      </w:r>
      <w:r w:rsidRPr="00087A72">
        <w:rPr>
          <w:sz w:val="16"/>
          <w:szCs w:val="16"/>
        </w:rPr>
        <w:t xml:space="preserve">that </w:t>
      </w:r>
      <w:r w:rsidRPr="00087A72">
        <w:rPr>
          <w:spacing w:val="2"/>
          <w:sz w:val="16"/>
          <w:szCs w:val="16"/>
        </w:rPr>
        <w:t xml:space="preserve">One </w:t>
      </w:r>
      <w:r w:rsidRPr="00087A72">
        <w:rPr>
          <w:sz w:val="16"/>
          <w:szCs w:val="16"/>
        </w:rPr>
        <w:t xml:space="preserve">agent </w:t>
      </w:r>
      <w:r w:rsidRPr="00087A72">
        <w:rPr>
          <w:spacing w:val="-3"/>
          <w:sz w:val="16"/>
          <w:szCs w:val="16"/>
        </w:rPr>
        <w:t xml:space="preserve">in </w:t>
      </w:r>
      <w:r w:rsidRPr="00087A72">
        <w:rPr>
          <w:sz w:val="16"/>
          <w:szCs w:val="16"/>
        </w:rPr>
        <w:t xml:space="preserve">the late </w:t>
      </w:r>
      <w:r w:rsidRPr="00087A72">
        <w:rPr>
          <w:spacing w:val="8"/>
          <w:sz w:val="16"/>
          <w:szCs w:val="16"/>
        </w:rPr>
        <w:t xml:space="preserve">1890s </w:t>
      </w:r>
      <w:r w:rsidRPr="00087A72">
        <w:rPr>
          <w:spacing w:val="-4"/>
          <w:sz w:val="16"/>
          <w:szCs w:val="16"/>
        </w:rPr>
        <w:t xml:space="preserve">... </w:t>
      </w:r>
      <w:r w:rsidRPr="00087A72">
        <w:rPr>
          <w:sz w:val="16"/>
          <w:szCs w:val="16"/>
        </w:rPr>
        <w:t xml:space="preserve">tried to </w:t>
      </w:r>
      <w:r w:rsidRPr="00087A72">
        <w:rPr>
          <w:spacing w:val="3"/>
          <w:sz w:val="16"/>
          <w:szCs w:val="16"/>
        </w:rPr>
        <w:t xml:space="preserve">interfere </w:t>
      </w:r>
      <w:r w:rsidRPr="00087A72">
        <w:rPr>
          <w:sz w:val="16"/>
          <w:szCs w:val="16"/>
        </w:rPr>
        <w:t xml:space="preserve">with </w:t>
      </w:r>
      <w:r w:rsidRPr="00087A72">
        <w:rPr>
          <w:spacing w:val="-3"/>
          <w:sz w:val="16"/>
          <w:szCs w:val="16"/>
        </w:rPr>
        <w:t xml:space="preserve">Osh-Tisch, </w:t>
      </w:r>
      <w:r w:rsidRPr="00087A72">
        <w:rPr>
          <w:sz w:val="16"/>
          <w:szCs w:val="16"/>
        </w:rPr>
        <w:t xml:space="preserve">who was the most </w:t>
      </w:r>
      <w:r w:rsidRPr="00087A72">
        <w:rPr>
          <w:spacing w:val="3"/>
          <w:sz w:val="16"/>
          <w:szCs w:val="16"/>
        </w:rPr>
        <w:t xml:space="preserve">respected </w:t>
      </w:r>
      <w:r w:rsidRPr="00087A72">
        <w:rPr>
          <w:sz w:val="16"/>
          <w:szCs w:val="16"/>
        </w:rPr>
        <w:t xml:space="preserve">bade. The agent incarcerated the bades, </w:t>
      </w:r>
      <w:r w:rsidRPr="00087A72">
        <w:rPr>
          <w:spacing w:val="4"/>
          <w:sz w:val="16"/>
          <w:szCs w:val="16"/>
        </w:rPr>
        <w:t xml:space="preserve">cut </w:t>
      </w:r>
      <w:r w:rsidRPr="00087A72">
        <w:rPr>
          <w:spacing w:val="6"/>
          <w:sz w:val="16"/>
          <w:szCs w:val="16"/>
        </w:rPr>
        <w:t xml:space="preserve">off </w:t>
      </w:r>
      <w:r w:rsidRPr="00087A72">
        <w:rPr>
          <w:sz w:val="16"/>
          <w:szCs w:val="16"/>
        </w:rPr>
        <w:t xml:space="preserve">their </w:t>
      </w:r>
      <w:r w:rsidRPr="00087A72">
        <w:rPr>
          <w:spacing w:val="-9"/>
          <w:sz w:val="16"/>
          <w:szCs w:val="16"/>
        </w:rPr>
        <w:t>hair,</w:t>
      </w:r>
      <w:r w:rsidRPr="00087A72">
        <w:rPr>
          <w:spacing w:val="47"/>
          <w:sz w:val="16"/>
          <w:szCs w:val="16"/>
        </w:rPr>
        <w:t xml:space="preserve"> </w:t>
      </w:r>
      <w:r w:rsidRPr="00087A72">
        <w:rPr>
          <w:sz w:val="16"/>
          <w:szCs w:val="16"/>
        </w:rPr>
        <w:t xml:space="preserve">made </w:t>
      </w:r>
      <w:r w:rsidRPr="00087A72">
        <w:rPr>
          <w:spacing w:val="2"/>
          <w:sz w:val="16"/>
          <w:szCs w:val="16"/>
        </w:rPr>
        <w:t xml:space="preserve">them </w:t>
      </w:r>
      <w:r w:rsidRPr="00087A72">
        <w:rPr>
          <w:sz w:val="16"/>
          <w:szCs w:val="16"/>
        </w:rPr>
        <w:t xml:space="preserve">wear men's clothing. </w:t>
      </w:r>
      <w:r w:rsidRPr="00087A72">
        <w:rPr>
          <w:spacing w:val="-5"/>
          <w:sz w:val="16"/>
          <w:szCs w:val="16"/>
        </w:rPr>
        <w:t xml:space="preserve">He </w:t>
      </w:r>
      <w:r w:rsidRPr="00087A72">
        <w:rPr>
          <w:sz w:val="16"/>
          <w:szCs w:val="16"/>
        </w:rPr>
        <w:t xml:space="preserve">forced </w:t>
      </w:r>
      <w:r w:rsidRPr="00087A72">
        <w:rPr>
          <w:spacing w:val="2"/>
          <w:sz w:val="16"/>
          <w:szCs w:val="16"/>
        </w:rPr>
        <w:t xml:space="preserve">them </w:t>
      </w:r>
      <w:r w:rsidRPr="00087A72">
        <w:rPr>
          <w:sz w:val="16"/>
          <w:szCs w:val="16"/>
        </w:rPr>
        <w:t>to</w:t>
      </w:r>
      <w:r w:rsidRPr="00087A72">
        <w:rPr>
          <w:spacing w:val="65"/>
          <w:sz w:val="16"/>
          <w:szCs w:val="16"/>
        </w:rPr>
        <w:t xml:space="preserve"> </w:t>
      </w:r>
      <w:r w:rsidRPr="00087A72">
        <w:rPr>
          <w:sz w:val="16"/>
          <w:szCs w:val="16"/>
        </w:rPr>
        <w:t>do</w:t>
      </w:r>
      <w:r w:rsidRPr="00087A72">
        <w:rPr>
          <w:spacing w:val="65"/>
          <w:sz w:val="16"/>
          <w:szCs w:val="16"/>
        </w:rPr>
        <w:t xml:space="preserve"> </w:t>
      </w:r>
      <w:r w:rsidRPr="00087A72">
        <w:rPr>
          <w:sz w:val="16"/>
          <w:szCs w:val="16"/>
        </w:rPr>
        <w:t xml:space="preserve">manual </w:t>
      </w:r>
      <w:r w:rsidRPr="00087A72">
        <w:rPr>
          <w:spacing w:val="-5"/>
          <w:sz w:val="16"/>
          <w:szCs w:val="16"/>
        </w:rPr>
        <w:t xml:space="preserve">labor, </w:t>
      </w:r>
      <w:r w:rsidRPr="00087A72">
        <w:rPr>
          <w:sz w:val="16"/>
          <w:szCs w:val="16"/>
        </w:rPr>
        <w:t xml:space="preserve">planting these </w:t>
      </w:r>
      <w:r w:rsidRPr="00087A72">
        <w:rPr>
          <w:spacing w:val="4"/>
          <w:sz w:val="16"/>
          <w:szCs w:val="16"/>
        </w:rPr>
        <w:t xml:space="preserve">trees </w:t>
      </w:r>
      <w:r w:rsidRPr="00087A72">
        <w:rPr>
          <w:sz w:val="16"/>
          <w:szCs w:val="16"/>
        </w:rPr>
        <w:t xml:space="preserve">that </w:t>
      </w:r>
      <w:r w:rsidRPr="00087A72">
        <w:rPr>
          <w:spacing w:val="3"/>
          <w:sz w:val="16"/>
          <w:szCs w:val="16"/>
        </w:rPr>
        <w:t xml:space="preserve">you </w:t>
      </w:r>
      <w:r w:rsidRPr="00087A72">
        <w:rPr>
          <w:sz w:val="16"/>
          <w:szCs w:val="16"/>
        </w:rPr>
        <w:t xml:space="preserve">see </w:t>
      </w:r>
      <w:r w:rsidRPr="00087A72">
        <w:rPr>
          <w:spacing w:val="3"/>
          <w:sz w:val="16"/>
          <w:szCs w:val="16"/>
        </w:rPr>
        <w:t xml:space="preserve">here </w:t>
      </w:r>
      <w:r w:rsidRPr="00087A72">
        <w:rPr>
          <w:spacing w:val="5"/>
          <w:sz w:val="16"/>
          <w:szCs w:val="16"/>
        </w:rPr>
        <w:t xml:space="preserve">on </w:t>
      </w:r>
      <w:r w:rsidRPr="00087A72">
        <w:rPr>
          <w:sz w:val="16"/>
          <w:szCs w:val="16"/>
        </w:rPr>
        <w:t xml:space="preserve">the </w:t>
      </w:r>
      <w:r w:rsidRPr="00087A72">
        <w:rPr>
          <w:spacing w:val="2"/>
          <w:sz w:val="16"/>
          <w:szCs w:val="16"/>
        </w:rPr>
        <w:t xml:space="preserve">BIA </w:t>
      </w:r>
      <w:r w:rsidRPr="00087A72">
        <w:rPr>
          <w:sz w:val="16"/>
          <w:szCs w:val="16"/>
        </w:rPr>
        <w:t xml:space="preserve">grounds. The </w:t>
      </w:r>
      <w:r w:rsidRPr="00087A72">
        <w:rPr>
          <w:spacing w:val="3"/>
          <w:sz w:val="16"/>
          <w:szCs w:val="16"/>
        </w:rPr>
        <w:t xml:space="preserve">people were </w:t>
      </w:r>
      <w:r w:rsidRPr="00087A72">
        <w:rPr>
          <w:spacing w:val="-4"/>
          <w:sz w:val="16"/>
          <w:szCs w:val="16"/>
        </w:rPr>
        <w:t xml:space="preserve">so </w:t>
      </w:r>
      <w:r w:rsidRPr="00087A72">
        <w:rPr>
          <w:sz w:val="16"/>
          <w:szCs w:val="16"/>
        </w:rPr>
        <w:t xml:space="preserve">upset with this that Chief </w:t>
      </w:r>
      <w:r w:rsidRPr="00087A72">
        <w:rPr>
          <w:spacing w:val="2"/>
          <w:sz w:val="16"/>
          <w:szCs w:val="16"/>
        </w:rPr>
        <w:t xml:space="preserve">Pretty </w:t>
      </w:r>
      <w:r w:rsidRPr="00087A72">
        <w:rPr>
          <w:sz w:val="16"/>
          <w:szCs w:val="16"/>
        </w:rPr>
        <w:t xml:space="preserve">Eagle came into </w:t>
      </w:r>
      <w:r w:rsidRPr="00087A72">
        <w:rPr>
          <w:spacing w:val="-8"/>
          <w:sz w:val="16"/>
          <w:szCs w:val="16"/>
        </w:rPr>
        <w:t xml:space="preserve">Crow </w:t>
      </w:r>
      <w:r w:rsidRPr="00087A72">
        <w:rPr>
          <w:spacing w:val="-4"/>
          <w:sz w:val="16"/>
          <w:szCs w:val="16"/>
        </w:rPr>
        <w:t xml:space="preserve">Agency, </w:t>
      </w:r>
      <w:r w:rsidRPr="00087A72">
        <w:rPr>
          <w:sz w:val="16"/>
          <w:szCs w:val="16"/>
        </w:rPr>
        <w:t xml:space="preserve">and </w:t>
      </w:r>
      <w:r w:rsidRPr="00087A72">
        <w:rPr>
          <w:spacing w:val="2"/>
          <w:sz w:val="16"/>
          <w:szCs w:val="16"/>
        </w:rPr>
        <w:t xml:space="preserve">told </w:t>
      </w:r>
      <w:r w:rsidRPr="00087A72">
        <w:rPr>
          <w:sz w:val="16"/>
          <w:szCs w:val="16"/>
        </w:rPr>
        <w:t xml:space="preserve">[the agent] to leave the reservation. </w:t>
      </w:r>
      <w:r w:rsidRPr="00087A72">
        <w:rPr>
          <w:spacing w:val="3"/>
          <w:sz w:val="16"/>
          <w:szCs w:val="16"/>
        </w:rPr>
        <w:t xml:space="preserve">It </w:t>
      </w:r>
      <w:r w:rsidRPr="00087A72">
        <w:rPr>
          <w:sz w:val="16"/>
          <w:szCs w:val="16"/>
        </w:rPr>
        <w:t xml:space="preserve">was a </w:t>
      </w:r>
      <w:r w:rsidRPr="00087A72">
        <w:rPr>
          <w:spacing w:val="-4"/>
          <w:sz w:val="16"/>
          <w:szCs w:val="16"/>
        </w:rPr>
        <w:t xml:space="preserve">tragedy, </w:t>
      </w:r>
      <w:r w:rsidRPr="00087A72">
        <w:rPr>
          <w:sz w:val="16"/>
          <w:szCs w:val="16"/>
        </w:rPr>
        <w:t xml:space="preserve">trying to change them.' Both Lowie and Medicine Crow say that the agency established its rule by targeting botes for gendered and sexual reeducation, which sparked resistance by Crow leaders and their community. Yet, even as pressure for gendered and sexual conformity increased in schools and churches, resistance to it did not end. </w:t>
      </w:r>
      <w:r w:rsidRPr="00087A72">
        <w:rPr>
          <w:rStyle w:val="Emphasis"/>
        </w:rPr>
        <w:t>According to Roscoe, children were required to attend government-run boarding schools in which any expression or use of native language and customs was severely punished, boys and girls were segregated, and girls were not allowed to leave the school until husbands had been found for them. In such an environment, children with bote tendencies were quickly identiﬁed</w:t>
      </w:r>
      <w:r w:rsidRPr="00087A72">
        <w:rPr>
          <w:spacing w:val="2"/>
          <w:sz w:val="16"/>
          <w:szCs w:val="16"/>
        </w:rPr>
        <w:t xml:space="preserve">. </w:t>
      </w:r>
      <w:r w:rsidRPr="00087A72">
        <w:rPr>
          <w:spacing w:val="3"/>
          <w:sz w:val="16"/>
          <w:szCs w:val="16"/>
        </w:rPr>
        <w:t xml:space="preserve">According </w:t>
      </w:r>
      <w:r w:rsidRPr="00087A72">
        <w:rPr>
          <w:sz w:val="16"/>
          <w:szCs w:val="16"/>
        </w:rPr>
        <w:t xml:space="preserve">to </w:t>
      </w:r>
      <w:r w:rsidRPr="00087A72">
        <w:rPr>
          <w:spacing w:val="-4"/>
          <w:sz w:val="16"/>
          <w:szCs w:val="16"/>
        </w:rPr>
        <w:t xml:space="preserve">Holder, </w:t>
      </w:r>
      <w:r w:rsidRPr="00087A72">
        <w:rPr>
          <w:spacing w:val="2"/>
          <w:sz w:val="16"/>
          <w:szCs w:val="16"/>
        </w:rPr>
        <w:t xml:space="preserve">when </w:t>
      </w:r>
      <w:r w:rsidRPr="00087A72">
        <w:rPr>
          <w:sz w:val="16"/>
          <w:szCs w:val="16"/>
        </w:rPr>
        <w:t xml:space="preserve">a </w:t>
      </w:r>
      <w:r w:rsidRPr="00087A72">
        <w:rPr>
          <w:spacing w:val="-8"/>
          <w:sz w:val="16"/>
          <w:szCs w:val="16"/>
        </w:rPr>
        <w:t xml:space="preserve">Crow </w:t>
      </w:r>
      <w:r w:rsidRPr="00087A72">
        <w:rPr>
          <w:sz w:val="16"/>
          <w:szCs w:val="16"/>
        </w:rPr>
        <w:t xml:space="preserve">boy was found </w:t>
      </w:r>
      <w:r w:rsidRPr="00087A72">
        <w:rPr>
          <w:spacing w:val="2"/>
          <w:sz w:val="16"/>
          <w:szCs w:val="16"/>
        </w:rPr>
        <w:t xml:space="preserve">secretly </w:t>
      </w:r>
      <w:r w:rsidRPr="00087A72">
        <w:rPr>
          <w:sz w:val="16"/>
          <w:szCs w:val="16"/>
        </w:rPr>
        <w:t xml:space="preserve">dressing </w:t>
      </w:r>
      <w:r w:rsidRPr="00087A72">
        <w:rPr>
          <w:spacing w:val="-3"/>
          <w:sz w:val="16"/>
          <w:szCs w:val="16"/>
        </w:rPr>
        <w:t xml:space="preserve">in </w:t>
      </w:r>
      <w:r w:rsidRPr="00087A72">
        <w:rPr>
          <w:sz w:val="16"/>
          <w:szCs w:val="16"/>
        </w:rPr>
        <w:t xml:space="preserve">female </w:t>
      </w:r>
      <w:r w:rsidRPr="00087A72">
        <w:rPr>
          <w:spacing w:val="3"/>
          <w:sz w:val="16"/>
          <w:szCs w:val="16"/>
        </w:rPr>
        <w:t xml:space="preserve">clothes </w:t>
      </w:r>
      <w:r w:rsidRPr="00087A72">
        <w:rPr>
          <w:spacing w:val="-3"/>
          <w:sz w:val="16"/>
          <w:szCs w:val="16"/>
        </w:rPr>
        <w:t xml:space="preserve">in </w:t>
      </w:r>
      <w:r w:rsidRPr="00087A72">
        <w:rPr>
          <w:sz w:val="16"/>
          <w:szCs w:val="16"/>
        </w:rPr>
        <w:t xml:space="preserve">the late </w:t>
      </w:r>
      <w:r w:rsidRPr="00087A72">
        <w:rPr>
          <w:spacing w:val="5"/>
          <w:sz w:val="16"/>
          <w:szCs w:val="16"/>
        </w:rPr>
        <w:t xml:space="preserve">1880s, </w:t>
      </w:r>
      <w:r w:rsidRPr="00087A72">
        <w:rPr>
          <w:spacing w:val="-5"/>
          <w:sz w:val="16"/>
          <w:szCs w:val="16"/>
        </w:rPr>
        <w:t xml:space="preserve">"He </w:t>
      </w:r>
      <w:r w:rsidRPr="00087A72">
        <w:rPr>
          <w:sz w:val="16"/>
          <w:szCs w:val="16"/>
        </w:rPr>
        <w:t xml:space="preserve">was punished, </w:t>
      </w:r>
      <w:r w:rsidRPr="00087A72">
        <w:rPr>
          <w:spacing w:val="2"/>
          <w:sz w:val="16"/>
          <w:szCs w:val="16"/>
        </w:rPr>
        <w:t xml:space="preserve">but </w:t>
      </w:r>
      <w:r w:rsidRPr="00087A72">
        <w:rPr>
          <w:sz w:val="16"/>
          <w:szCs w:val="16"/>
        </w:rPr>
        <w:t xml:space="preserve">ﬁnally </w:t>
      </w:r>
      <w:r w:rsidRPr="00087A72">
        <w:rPr>
          <w:spacing w:val="2"/>
          <w:sz w:val="16"/>
          <w:szCs w:val="16"/>
        </w:rPr>
        <w:t xml:space="preserve">escaped </w:t>
      </w:r>
      <w:r w:rsidRPr="00087A72">
        <w:rPr>
          <w:sz w:val="16"/>
          <w:szCs w:val="16"/>
        </w:rPr>
        <w:t xml:space="preserve">from school and became a bote, </w:t>
      </w:r>
      <w:r w:rsidRPr="00087A72">
        <w:rPr>
          <w:spacing w:val="-3"/>
          <w:sz w:val="16"/>
          <w:szCs w:val="16"/>
        </w:rPr>
        <w:t xml:space="preserve">which </w:t>
      </w:r>
      <w:r w:rsidRPr="00087A72">
        <w:rPr>
          <w:spacing w:val="3"/>
          <w:sz w:val="16"/>
          <w:szCs w:val="16"/>
        </w:rPr>
        <w:t xml:space="preserve">vocation </w:t>
      </w:r>
      <w:r w:rsidRPr="00087A72">
        <w:rPr>
          <w:sz w:val="16"/>
          <w:szCs w:val="16"/>
        </w:rPr>
        <w:t xml:space="preserve">he has since </w:t>
      </w:r>
      <w:r w:rsidRPr="00087A72">
        <w:rPr>
          <w:spacing w:val="2"/>
          <w:sz w:val="16"/>
          <w:szCs w:val="16"/>
        </w:rPr>
        <w:t>followed."22</w:t>
      </w:r>
      <w:r w:rsidRPr="00087A72">
        <w:rPr>
          <w:sz w:val="16"/>
          <w:szCs w:val="16"/>
        </w:rPr>
        <w:t xml:space="preserve"> Historical </w:t>
      </w:r>
      <w:r w:rsidRPr="00087A72">
        <w:rPr>
          <w:spacing w:val="5"/>
          <w:sz w:val="16"/>
          <w:szCs w:val="16"/>
        </w:rPr>
        <w:t xml:space="preserve">records </w:t>
      </w:r>
      <w:r w:rsidRPr="00087A72">
        <w:rPr>
          <w:sz w:val="16"/>
          <w:szCs w:val="16"/>
        </w:rPr>
        <w:t xml:space="preserve">indicate that </w:t>
      </w:r>
      <w:r w:rsidRPr="00087A72">
        <w:rPr>
          <w:spacing w:val="-4"/>
          <w:sz w:val="16"/>
          <w:szCs w:val="16"/>
        </w:rPr>
        <w:t xml:space="preserve">Osh-Tisch </w:t>
      </w:r>
      <w:r w:rsidRPr="00087A72">
        <w:rPr>
          <w:sz w:val="16"/>
          <w:szCs w:val="16"/>
        </w:rPr>
        <w:t xml:space="preserve">lived as a </w:t>
      </w:r>
      <w:r w:rsidRPr="00087A72">
        <w:rPr>
          <w:spacing w:val="4"/>
          <w:sz w:val="16"/>
          <w:szCs w:val="16"/>
        </w:rPr>
        <w:t xml:space="preserve">bote </w:t>
      </w:r>
      <w:r w:rsidRPr="00087A72">
        <w:rPr>
          <w:sz w:val="16"/>
          <w:szCs w:val="16"/>
        </w:rPr>
        <w:t xml:space="preserve">for the rest </w:t>
      </w:r>
      <w:r w:rsidRPr="00087A72">
        <w:rPr>
          <w:spacing w:val="5"/>
          <w:sz w:val="16"/>
          <w:szCs w:val="16"/>
        </w:rPr>
        <w:t xml:space="preserve">of </w:t>
      </w:r>
      <w:r w:rsidRPr="00087A72">
        <w:rPr>
          <w:spacing w:val="2"/>
          <w:sz w:val="16"/>
          <w:szCs w:val="16"/>
        </w:rPr>
        <w:t xml:space="preserve">her </w:t>
      </w:r>
      <w:r w:rsidRPr="00087A72">
        <w:rPr>
          <w:spacing w:val="-3"/>
          <w:sz w:val="16"/>
          <w:szCs w:val="16"/>
        </w:rPr>
        <w:t xml:space="preserve">life. </w:t>
      </w:r>
      <w:r w:rsidRPr="00087A72">
        <w:rPr>
          <w:spacing w:val="3"/>
          <w:sz w:val="16"/>
          <w:szCs w:val="16"/>
        </w:rPr>
        <w:t xml:space="preserve">In </w:t>
      </w:r>
      <w:r w:rsidRPr="00087A72">
        <w:rPr>
          <w:spacing w:val="7"/>
          <w:sz w:val="16"/>
          <w:szCs w:val="16"/>
        </w:rPr>
        <w:t xml:space="preserve">1891 </w:t>
      </w:r>
      <w:r w:rsidRPr="00087A72">
        <w:rPr>
          <w:sz w:val="16"/>
          <w:szCs w:val="16"/>
        </w:rPr>
        <w:t xml:space="preserve">she </w:t>
      </w:r>
      <w:r w:rsidRPr="00087A72">
        <w:rPr>
          <w:spacing w:val="6"/>
          <w:sz w:val="16"/>
          <w:szCs w:val="16"/>
        </w:rPr>
        <w:t xml:space="preserve">took </w:t>
      </w:r>
      <w:r w:rsidRPr="00087A72">
        <w:rPr>
          <w:spacing w:val="-3"/>
          <w:sz w:val="16"/>
          <w:szCs w:val="16"/>
        </w:rPr>
        <w:t xml:space="preserve">in "a </w:t>
      </w:r>
      <w:r w:rsidRPr="00087A72">
        <w:rPr>
          <w:sz w:val="16"/>
          <w:szCs w:val="16"/>
        </w:rPr>
        <w:t xml:space="preserve">three-year-old </w:t>
      </w:r>
      <w:r w:rsidRPr="00087A72">
        <w:rPr>
          <w:spacing w:val="-3"/>
          <w:sz w:val="16"/>
          <w:szCs w:val="16"/>
        </w:rPr>
        <w:t xml:space="preserve">child" </w:t>
      </w:r>
      <w:r w:rsidRPr="00087A72">
        <w:rPr>
          <w:sz w:val="16"/>
          <w:szCs w:val="16"/>
        </w:rPr>
        <w:t xml:space="preserve">who was listed </w:t>
      </w:r>
      <w:r w:rsidRPr="00087A72">
        <w:rPr>
          <w:spacing w:val="5"/>
          <w:sz w:val="16"/>
          <w:szCs w:val="16"/>
        </w:rPr>
        <w:t xml:space="preserve">on </w:t>
      </w:r>
      <w:r w:rsidRPr="00087A72">
        <w:rPr>
          <w:sz w:val="16"/>
          <w:szCs w:val="16"/>
        </w:rPr>
        <w:t xml:space="preserve">a </w:t>
      </w:r>
      <w:r w:rsidRPr="00087A72">
        <w:rPr>
          <w:spacing w:val="2"/>
          <w:sz w:val="16"/>
          <w:szCs w:val="16"/>
        </w:rPr>
        <w:t xml:space="preserve">census </w:t>
      </w:r>
      <w:r w:rsidRPr="00087A72">
        <w:rPr>
          <w:sz w:val="16"/>
          <w:szCs w:val="16"/>
        </w:rPr>
        <w:t xml:space="preserve">as </w:t>
      </w:r>
      <w:r w:rsidRPr="00087A72">
        <w:rPr>
          <w:spacing w:val="2"/>
          <w:sz w:val="16"/>
          <w:szCs w:val="16"/>
        </w:rPr>
        <w:t xml:space="preserve">her "adopted </w:t>
      </w:r>
      <w:r w:rsidRPr="00087A72">
        <w:rPr>
          <w:sz w:val="16"/>
          <w:szCs w:val="16"/>
        </w:rPr>
        <w:t xml:space="preserve">son," </w:t>
      </w:r>
      <w:r w:rsidRPr="00087A72">
        <w:rPr>
          <w:spacing w:val="2"/>
          <w:sz w:val="16"/>
          <w:szCs w:val="16"/>
        </w:rPr>
        <w:t xml:space="preserve">but </w:t>
      </w:r>
      <w:r w:rsidRPr="00087A72">
        <w:rPr>
          <w:sz w:val="16"/>
          <w:szCs w:val="16"/>
        </w:rPr>
        <w:t xml:space="preserve">who four years later was </w:t>
      </w:r>
      <w:r w:rsidRPr="00087A72">
        <w:rPr>
          <w:spacing w:val="5"/>
          <w:sz w:val="16"/>
          <w:szCs w:val="16"/>
        </w:rPr>
        <w:t xml:space="preserve">recorded </w:t>
      </w:r>
      <w:r w:rsidRPr="00087A72">
        <w:rPr>
          <w:sz w:val="16"/>
          <w:szCs w:val="16"/>
        </w:rPr>
        <w:t xml:space="preserve">as a </w:t>
      </w:r>
      <w:r w:rsidRPr="00087A72">
        <w:rPr>
          <w:spacing w:val="-3"/>
          <w:sz w:val="16"/>
          <w:szCs w:val="16"/>
        </w:rPr>
        <w:t xml:space="preserve">girl-suggesting </w:t>
      </w:r>
      <w:r w:rsidRPr="00087A72">
        <w:rPr>
          <w:sz w:val="16"/>
          <w:szCs w:val="16"/>
        </w:rPr>
        <w:t xml:space="preserve">that </w:t>
      </w:r>
      <w:r w:rsidRPr="00087A72">
        <w:rPr>
          <w:spacing w:val="-4"/>
          <w:sz w:val="16"/>
          <w:szCs w:val="16"/>
        </w:rPr>
        <w:t xml:space="preserve">Osh-Tisch </w:t>
      </w:r>
      <w:r w:rsidRPr="00087A72">
        <w:rPr>
          <w:sz w:val="16"/>
          <w:szCs w:val="16"/>
        </w:rPr>
        <w:t xml:space="preserve">was fulﬁlling a role </w:t>
      </w:r>
      <w:r w:rsidRPr="00087A72">
        <w:rPr>
          <w:spacing w:val="-3"/>
          <w:sz w:val="16"/>
          <w:szCs w:val="16"/>
        </w:rPr>
        <w:t xml:space="preserve">in </w:t>
      </w:r>
      <w:r w:rsidRPr="00087A72">
        <w:rPr>
          <w:spacing w:val="-8"/>
          <w:sz w:val="16"/>
          <w:szCs w:val="16"/>
        </w:rPr>
        <w:t xml:space="preserve">Crow </w:t>
      </w:r>
      <w:r w:rsidRPr="00087A72">
        <w:rPr>
          <w:sz w:val="16"/>
          <w:szCs w:val="16"/>
        </w:rPr>
        <w:t xml:space="preserve">community </w:t>
      </w:r>
      <w:r w:rsidRPr="00087A72">
        <w:rPr>
          <w:spacing w:val="5"/>
          <w:sz w:val="16"/>
          <w:szCs w:val="16"/>
        </w:rPr>
        <w:t xml:space="preserve">of </w:t>
      </w:r>
      <w:r w:rsidRPr="00087A72">
        <w:rPr>
          <w:spacing w:val="-3"/>
          <w:sz w:val="16"/>
          <w:szCs w:val="16"/>
        </w:rPr>
        <w:t xml:space="preserve">passing </w:t>
      </w:r>
      <w:r w:rsidRPr="00087A72">
        <w:rPr>
          <w:sz w:val="16"/>
          <w:szCs w:val="16"/>
        </w:rPr>
        <w:t xml:space="preserve">the life </w:t>
      </w:r>
      <w:r w:rsidRPr="00087A72">
        <w:rPr>
          <w:spacing w:val="5"/>
          <w:sz w:val="16"/>
          <w:szCs w:val="16"/>
        </w:rPr>
        <w:t xml:space="preserve">of </w:t>
      </w:r>
      <w:r w:rsidRPr="00087A72">
        <w:rPr>
          <w:spacing w:val="4"/>
          <w:sz w:val="16"/>
          <w:szCs w:val="16"/>
        </w:rPr>
        <w:t xml:space="preserve">bote </w:t>
      </w:r>
      <w:r w:rsidRPr="00087A72">
        <w:rPr>
          <w:sz w:val="16"/>
          <w:szCs w:val="16"/>
        </w:rPr>
        <w:t xml:space="preserve">to a next </w:t>
      </w:r>
      <w:r w:rsidRPr="00087A72">
        <w:rPr>
          <w:spacing w:val="2"/>
          <w:sz w:val="16"/>
          <w:szCs w:val="16"/>
        </w:rPr>
        <w:t xml:space="preserve">generation.23 </w:t>
      </w:r>
      <w:r w:rsidRPr="00087A72">
        <w:rPr>
          <w:spacing w:val="-7"/>
          <w:sz w:val="16"/>
          <w:szCs w:val="16"/>
        </w:rPr>
        <w:t xml:space="preserve">Yet, </w:t>
      </w:r>
      <w:r w:rsidRPr="00087A72">
        <w:rPr>
          <w:spacing w:val="-8"/>
          <w:sz w:val="16"/>
          <w:szCs w:val="16"/>
        </w:rPr>
        <w:t xml:space="preserve">by </w:t>
      </w:r>
      <w:r w:rsidRPr="00087A72">
        <w:rPr>
          <w:spacing w:val="2"/>
          <w:sz w:val="16"/>
          <w:szCs w:val="16"/>
        </w:rPr>
        <w:t xml:space="preserve">her </w:t>
      </w:r>
      <w:r w:rsidRPr="00087A72">
        <w:rPr>
          <w:sz w:val="16"/>
          <w:szCs w:val="16"/>
        </w:rPr>
        <w:t xml:space="preserve">late </w:t>
      </w:r>
      <w:r w:rsidRPr="00087A72">
        <w:rPr>
          <w:spacing w:val="-5"/>
          <w:sz w:val="16"/>
          <w:szCs w:val="16"/>
        </w:rPr>
        <w:t xml:space="preserve">age, </w:t>
      </w:r>
      <w:r w:rsidRPr="00087A72">
        <w:rPr>
          <w:spacing w:val="-3"/>
          <w:sz w:val="16"/>
          <w:szCs w:val="16"/>
        </w:rPr>
        <w:t xml:space="preserve">it </w:t>
      </w:r>
      <w:r w:rsidRPr="00087A72">
        <w:rPr>
          <w:spacing w:val="2"/>
          <w:sz w:val="16"/>
          <w:szCs w:val="16"/>
        </w:rPr>
        <w:t xml:space="preserve">appeared </w:t>
      </w:r>
      <w:r w:rsidRPr="00087A72">
        <w:rPr>
          <w:sz w:val="16"/>
          <w:szCs w:val="16"/>
        </w:rPr>
        <w:t xml:space="preserve">to </w:t>
      </w:r>
      <w:r w:rsidRPr="00087A72">
        <w:rPr>
          <w:spacing w:val="2"/>
          <w:sz w:val="16"/>
          <w:szCs w:val="16"/>
        </w:rPr>
        <w:t xml:space="preserve">colonial </w:t>
      </w:r>
      <w:r w:rsidRPr="00087A72">
        <w:rPr>
          <w:sz w:val="16"/>
          <w:szCs w:val="16"/>
        </w:rPr>
        <w:t xml:space="preserve">authorities that no </w:t>
      </w:r>
      <w:r w:rsidRPr="00087A72">
        <w:rPr>
          <w:spacing w:val="4"/>
          <w:sz w:val="16"/>
          <w:szCs w:val="16"/>
        </w:rPr>
        <w:t xml:space="preserve">other </w:t>
      </w:r>
      <w:r w:rsidRPr="00087A72">
        <w:rPr>
          <w:spacing w:val="-8"/>
          <w:sz w:val="16"/>
          <w:szCs w:val="16"/>
        </w:rPr>
        <w:t xml:space="preserve">Crow </w:t>
      </w:r>
      <w:r w:rsidRPr="00087A72">
        <w:rPr>
          <w:spacing w:val="2"/>
          <w:sz w:val="16"/>
          <w:szCs w:val="16"/>
        </w:rPr>
        <w:t xml:space="preserve">persons </w:t>
      </w:r>
      <w:r w:rsidRPr="00087A72">
        <w:rPr>
          <w:spacing w:val="3"/>
          <w:sz w:val="16"/>
          <w:szCs w:val="16"/>
        </w:rPr>
        <w:t xml:space="preserve">were </w:t>
      </w:r>
      <w:r w:rsidRPr="00087A72">
        <w:rPr>
          <w:sz w:val="16"/>
          <w:szCs w:val="16"/>
        </w:rPr>
        <w:t xml:space="preserve">living a traditional </w:t>
      </w:r>
      <w:r w:rsidRPr="00087A72">
        <w:rPr>
          <w:spacing w:val="4"/>
          <w:sz w:val="16"/>
          <w:szCs w:val="16"/>
        </w:rPr>
        <w:t xml:space="preserve">bote </w:t>
      </w:r>
      <w:r w:rsidRPr="00087A72">
        <w:rPr>
          <w:sz w:val="16"/>
          <w:szCs w:val="16"/>
        </w:rPr>
        <w:t xml:space="preserve">identity. </w:t>
      </w:r>
      <w:r w:rsidRPr="00087A72">
        <w:rPr>
          <w:spacing w:val="-5"/>
          <w:sz w:val="16"/>
          <w:szCs w:val="16"/>
        </w:rPr>
        <w:t xml:space="preserve">Williams </w:t>
      </w:r>
      <w:r w:rsidRPr="00087A72">
        <w:rPr>
          <w:spacing w:val="4"/>
          <w:sz w:val="16"/>
          <w:szCs w:val="16"/>
        </w:rPr>
        <w:t xml:space="preserve">quotes </w:t>
      </w:r>
      <w:r w:rsidRPr="00087A72">
        <w:rPr>
          <w:spacing w:val="-8"/>
          <w:sz w:val="16"/>
          <w:szCs w:val="16"/>
        </w:rPr>
        <w:t xml:space="preserve">Crow </w:t>
      </w:r>
      <w:r w:rsidRPr="00087A72">
        <w:rPr>
          <w:sz w:val="16"/>
          <w:szCs w:val="16"/>
        </w:rPr>
        <w:t xml:space="preserve">medicine </w:t>
      </w:r>
      <w:r w:rsidRPr="00087A72">
        <w:rPr>
          <w:spacing w:val="-4"/>
          <w:sz w:val="16"/>
          <w:szCs w:val="16"/>
        </w:rPr>
        <w:t xml:space="preserve">man </w:t>
      </w:r>
      <w:r w:rsidRPr="00087A72">
        <w:rPr>
          <w:sz w:val="16"/>
          <w:szCs w:val="16"/>
        </w:rPr>
        <w:t xml:space="preserve">Thomas </w:t>
      </w:r>
      <w:r w:rsidRPr="00087A72">
        <w:rPr>
          <w:spacing w:val="-5"/>
          <w:sz w:val="16"/>
          <w:szCs w:val="16"/>
        </w:rPr>
        <w:t xml:space="preserve">Yellowtail: </w:t>
      </w:r>
      <w:r w:rsidRPr="00087A72">
        <w:rPr>
          <w:sz w:val="16"/>
          <w:szCs w:val="16"/>
        </w:rPr>
        <w:t xml:space="preserve">"When the Baptist missionary Peltotz arrived </w:t>
      </w:r>
      <w:r w:rsidRPr="00087A72">
        <w:rPr>
          <w:spacing w:val="-3"/>
          <w:sz w:val="16"/>
          <w:szCs w:val="16"/>
        </w:rPr>
        <w:t xml:space="preserve">in </w:t>
      </w:r>
      <w:r w:rsidRPr="00087A72">
        <w:rPr>
          <w:spacing w:val="8"/>
          <w:sz w:val="16"/>
          <w:szCs w:val="16"/>
        </w:rPr>
        <w:t xml:space="preserve">1903, </w:t>
      </w:r>
      <w:r w:rsidRPr="00087A72">
        <w:rPr>
          <w:sz w:val="16"/>
          <w:szCs w:val="16"/>
        </w:rPr>
        <w:t xml:space="preserve">he </w:t>
      </w:r>
      <w:r w:rsidRPr="00087A72">
        <w:rPr>
          <w:spacing w:val="3"/>
          <w:sz w:val="16"/>
          <w:szCs w:val="16"/>
        </w:rPr>
        <w:t xml:space="preserve">condemned </w:t>
      </w:r>
      <w:r w:rsidRPr="00087A72">
        <w:rPr>
          <w:spacing w:val="4"/>
          <w:sz w:val="16"/>
          <w:szCs w:val="16"/>
        </w:rPr>
        <w:t xml:space="preserve">our </w:t>
      </w:r>
      <w:r w:rsidRPr="00087A72">
        <w:rPr>
          <w:sz w:val="16"/>
          <w:szCs w:val="16"/>
        </w:rPr>
        <w:t xml:space="preserve">traditions, including the bade. </w:t>
      </w:r>
      <w:r w:rsidRPr="00087A72">
        <w:rPr>
          <w:spacing w:val="-5"/>
          <w:sz w:val="16"/>
          <w:szCs w:val="16"/>
        </w:rPr>
        <w:t xml:space="preserve">He </w:t>
      </w:r>
      <w:r w:rsidRPr="00087A72">
        <w:rPr>
          <w:spacing w:val="2"/>
          <w:sz w:val="16"/>
          <w:szCs w:val="16"/>
        </w:rPr>
        <w:t xml:space="preserve">told congregation </w:t>
      </w:r>
      <w:r w:rsidRPr="00087A72">
        <w:rPr>
          <w:sz w:val="16"/>
          <w:szCs w:val="16"/>
        </w:rPr>
        <w:t xml:space="preserve">members to stay away from </w:t>
      </w:r>
      <w:r w:rsidRPr="00087A72">
        <w:rPr>
          <w:spacing w:val="-4"/>
          <w:sz w:val="16"/>
          <w:szCs w:val="16"/>
        </w:rPr>
        <w:t xml:space="preserve">Osh-Tisch </w:t>
      </w:r>
      <w:r w:rsidRPr="00087A72">
        <w:rPr>
          <w:sz w:val="16"/>
          <w:szCs w:val="16"/>
        </w:rPr>
        <w:t xml:space="preserve">and the </w:t>
      </w:r>
      <w:r w:rsidRPr="00087A72">
        <w:rPr>
          <w:spacing w:val="4"/>
          <w:sz w:val="16"/>
          <w:szCs w:val="16"/>
        </w:rPr>
        <w:t xml:space="preserve">other </w:t>
      </w:r>
      <w:r w:rsidRPr="00087A72">
        <w:rPr>
          <w:sz w:val="16"/>
          <w:szCs w:val="16"/>
        </w:rPr>
        <w:t xml:space="preserve">bades. </w:t>
      </w:r>
      <w:r w:rsidRPr="00087A72">
        <w:rPr>
          <w:spacing w:val="-5"/>
          <w:sz w:val="16"/>
          <w:szCs w:val="16"/>
        </w:rPr>
        <w:t xml:space="preserve">He </w:t>
      </w:r>
      <w:r w:rsidRPr="00087A72">
        <w:rPr>
          <w:spacing w:val="3"/>
          <w:sz w:val="16"/>
          <w:szCs w:val="16"/>
        </w:rPr>
        <w:t xml:space="preserve">continued </w:t>
      </w:r>
      <w:r w:rsidRPr="00087A72">
        <w:rPr>
          <w:sz w:val="16"/>
          <w:szCs w:val="16"/>
        </w:rPr>
        <w:t xml:space="preserve">to </w:t>
      </w:r>
      <w:r w:rsidRPr="00087A72">
        <w:rPr>
          <w:spacing w:val="2"/>
          <w:sz w:val="16"/>
          <w:szCs w:val="16"/>
        </w:rPr>
        <w:t xml:space="preserve">condemn </w:t>
      </w:r>
      <w:r w:rsidRPr="00087A72">
        <w:rPr>
          <w:spacing w:val="-4"/>
          <w:sz w:val="16"/>
          <w:szCs w:val="16"/>
        </w:rPr>
        <w:t xml:space="preserve">Osh-Tisch </w:t>
      </w:r>
      <w:r w:rsidRPr="00087A72">
        <w:rPr>
          <w:sz w:val="16"/>
          <w:szCs w:val="16"/>
        </w:rPr>
        <w:t xml:space="preserve">until his </w:t>
      </w:r>
      <w:r w:rsidRPr="00087A72">
        <w:rPr>
          <w:spacing w:val="2"/>
          <w:sz w:val="16"/>
          <w:szCs w:val="16"/>
        </w:rPr>
        <w:t xml:space="preserve">death </w:t>
      </w:r>
      <w:r w:rsidRPr="00087A72">
        <w:rPr>
          <w:spacing w:val="-3"/>
          <w:sz w:val="16"/>
          <w:szCs w:val="16"/>
        </w:rPr>
        <w:t xml:space="preserve">in </w:t>
      </w:r>
      <w:r w:rsidRPr="00087A72">
        <w:rPr>
          <w:sz w:val="16"/>
          <w:szCs w:val="16"/>
        </w:rPr>
        <w:t xml:space="preserve">the late </w:t>
      </w:r>
      <w:r w:rsidRPr="00087A72">
        <w:rPr>
          <w:spacing w:val="5"/>
          <w:sz w:val="16"/>
          <w:szCs w:val="16"/>
        </w:rPr>
        <w:t xml:space="preserve">1920s. </w:t>
      </w:r>
      <w:r w:rsidRPr="00087A72">
        <w:rPr>
          <w:sz w:val="16"/>
          <w:szCs w:val="16"/>
        </w:rPr>
        <w:t xml:space="preserve">That </w:t>
      </w:r>
      <w:r w:rsidRPr="00087A72">
        <w:rPr>
          <w:spacing w:val="-4"/>
          <w:sz w:val="16"/>
          <w:szCs w:val="16"/>
        </w:rPr>
        <w:t xml:space="preserve">may </w:t>
      </w:r>
      <w:r w:rsidRPr="00087A72">
        <w:rPr>
          <w:sz w:val="16"/>
          <w:szCs w:val="16"/>
        </w:rPr>
        <w:t xml:space="preserve">be the </w:t>
      </w:r>
      <w:r w:rsidRPr="00087A72">
        <w:rPr>
          <w:spacing w:val="2"/>
          <w:sz w:val="16"/>
          <w:szCs w:val="16"/>
        </w:rPr>
        <w:t xml:space="preserve">reason </w:t>
      </w:r>
      <w:r w:rsidRPr="00087A72">
        <w:rPr>
          <w:sz w:val="16"/>
          <w:szCs w:val="16"/>
        </w:rPr>
        <w:t xml:space="preserve">why no </w:t>
      </w:r>
      <w:r w:rsidRPr="00087A72">
        <w:rPr>
          <w:spacing w:val="4"/>
          <w:sz w:val="16"/>
          <w:szCs w:val="16"/>
        </w:rPr>
        <w:t xml:space="preserve">others </w:t>
      </w:r>
      <w:r w:rsidRPr="00087A72">
        <w:rPr>
          <w:spacing w:val="6"/>
          <w:sz w:val="16"/>
          <w:szCs w:val="16"/>
        </w:rPr>
        <w:t xml:space="preserve">took </w:t>
      </w:r>
      <w:r w:rsidRPr="00087A72">
        <w:rPr>
          <w:sz w:val="16"/>
          <w:szCs w:val="16"/>
        </w:rPr>
        <w:t xml:space="preserve">up the bade role </w:t>
      </w:r>
      <w:r w:rsidRPr="00087A72">
        <w:rPr>
          <w:spacing w:val="3"/>
          <w:sz w:val="16"/>
          <w:szCs w:val="16"/>
        </w:rPr>
        <w:t xml:space="preserve">after </w:t>
      </w:r>
      <w:r w:rsidRPr="00087A72">
        <w:rPr>
          <w:sz w:val="16"/>
          <w:szCs w:val="16"/>
        </w:rPr>
        <w:t>Osh-Tisch</w:t>
      </w:r>
      <w:r w:rsidRPr="00087A72">
        <w:rPr>
          <w:spacing w:val="-4"/>
          <w:sz w:val="16"/>
          <w:szCs w:val="16"/>
        </w:rPr>
        <w:t xml:space="preserve"> </w:t>
      </w:r>
      <w:r w:rsidRPr="00087A72">
        <w:rPr>
          <w:sz w:val="16"/>
          <w:szCs w:val="16"/>
        </w:rPr>
        <w:t xml:space="preserve">died."24 </w:t>
      </w:r>
      <w:r w:rsidRPr="00087A72">
        <w:rPr>
          <w:rStyle w:val="Emphasis"/>
        </w:rPr>
        <w:t>Death thus still shaped sexual colonization in the era of containment and assimilation, but in new ways. Under colonial rule, Native people faced constant condemnation of gender and sexual transgression,</w:t>
      </w:r>
      <w:r w:rsidRPr="00087A72">
        <w:rPr>
          <w:sz w:val="16"/>
          <w:szCs w:val="16"/>
        </w:rPr>
        <w:t xml:space="preserve"> </w:t>
      </w:r>
      <w:r w:rsidRPr="00087A72">
        <w:rPr>
          <w:spacing w:val="-3"/>
          <w:sz w:val="16"/>
          <w:szCs w:val="16"/>
        </w:rPr>
        <w:t xml:space="preserve">which </w:t>
      </w:r>
      <w:r w:rsidRPr="00087A72">
        <w:rPr>
          <w:sz w:val="16"/>
          <w:szCs w:val="16"/>
        </w:rPr>
        <w:t xml:space="preserve">at times </w:t>
      </w:r>
      <w:r w:rsidRPr="00087A72">
        <w:rPr>
          <w:spacing w:val="6"/>
          <w:sz w:val="16"/>
          <w:szCs w:val="16"/>
        </w:rPr>
        <w:t xml:space="preserve">took </w:t>
      </w:r>
      <w:r w:rsidRPr="00087A72">
        <w:rPr>
          <w:sz w:val="16"/>
          <w:szCs w:val="16"/>
        </w:rPr>
        <w:t xml:space="preserve">shape as a violent </w:t>
      </w:r>
      <w:r w:rsidRPr="00087A72">
        <w:rPr>
          <w:spacing w:val="3"/>
          <w:sz w:val="16"/>
          <w:szCs w:val="16"/>
        </w:rPr>
        <w:t xml:space="preserve">education </w:t>
      </w:r>
      <w:r w:rsidRPr="00087A72">
        <w:rPr>
          <w:spacing w:val="-3"/>
          <w:sz w:val="16"/>
          <w:szCs w:val="16"/>
        </w:rPr>
        <w:t xml:space="preserve">in </w:t>
      </w:r>
      <w:r w:rsidRPr="00087A72">
        <w:rPr>
          <w:sz w:val="16"/>
          <w:szCs w:val="16"/>
        </w:rPr>
        <w:t xml:space="preserve">a </w:t>
      </w:r>
      <w:r w:rsidRPr="00087A72">
        <w:rPr>
          <w:spacing w:val="2"/>
          <w:sz w:val="16"/>
          <w:szCs w:val="16"/>
        </w:rPr>
        <w:t xml:space="preserve">new </w:t>
      </w:r>
      <w:r w:rsidRPr="00087A72">
        <w:rPr>
          <w:spacing w:val="-3"/>
          <w:sz w:val="16"/>
          <w:szCs w:val="16"/>
        </w:rPr>
        <w:t xml:space="preserve">life. </w:t>
      </w:r>
      <w:r w:rsidRPr="00087A72">
        <w:rPr>
          <w:sz w:val="16"/>
          <w:szCs w:val="16"/>
        </w:rPr>
        <w:t xml:space="preserve">But </w:t>
      </w:r>
      <w:r w:rsidRPr="00087A72">
        <w:rPr>
          <w:spacing w:val="2"/>
          <w:sz w:val="16"/>
          <w:szCs w:val="16"/>
        </w:rPr>
        <w:t xml:space="preserve">when </w:t>
      </w:r>
      <w:r w:rsidRPr="00087A72">
        <w:rPr>
          <w:sz w:val="16"/>
          <w:szCs w:val="16"/>
        </w:rPr>
        <w:t xml:space="preserve">public punishment- which </w:t>
      </w:r>
      <w:r w:rsidRPr="00087A72">
        <w:rPr>
          <w:spacing w:val="3"/>
          <w:sz w:val="16"/>
          <w:szCs w:val="16"/>
        </w:rPr>
        <w:t xml:space="preserve">now </w:t>
      </w:r>
      <w:r w:rsidRPr="00087A72">
        <w:rPr>
          <w:sz w:val="16"/>
          <w:szCs w:val="16"/>
        </w:rPr>
        <w:t xml:space="preserve">did </w:t>
      </w:r>
      <w:r w:rsidRPr="00087A72">
        <w:rPr>
          <w:spacing w:val="3"/>
          <w:sz w:val="16"/>
          <w:szCs w:val="16"/>
        </w:rPr>
        <w:t xml:space="preserve">not </w:t>
      </w:r>
      <w:r w:rsidRPr="00087A72">
        <w:rPr>
          <w:spacing w:val="2"/>
          <w:sz w:val="16"/>
          <w:szCs w:val="16"/>
        </w:rPr>
        <w:t xml:space="preserve">end </w:t>
      </w:r>
      <w:r w:rsidRPr="00087A72">
        <w:rPr>
          <w:spacing w:val="-3"/>
          <w:sz w:val="16"/>
          <w:szCs w:val="16"/>
        </w:rPr>
        <w:t xml:space="preserve">in </w:t>
      </w:r>
      <w:r w:rsidRPr="00087A72">
        <w:rPr>
          <w:sz w:val="16"/>
          <w:szCs w:val="16"/>
        </w:rPr>
        <w:t xml:space="preserve">murder-failed to </w:t>
      </w:r>
      <w:r w:rsidRPr="00087A72">
        <w:rPr>
          <w:spacing w:val="2"/>
          <w:sz w:val="16"/>
          <w:szCs w:val="16"/>
        </w:rPr>
        <w:t xml:space="preserve">quell </w:t>
      </w:r>
      <w:r w:rsidRPr="00087A72">
        <w:rPr>
          <w:sz w:val="16"/>
          <w:szCs w:val="16"/>
        </w:rPr>
        <w:t>resistance, the deadly logic</w:t>
      </w:r>
      <w:r w:rsidRPr="00087A72">
        <w:rPr>
          <w:spacing w:val="-2"/>
          <w:sz w:val="16"/>
          <w:szCs w:val="16"/>
        </w:rPr>
        <w:t xml:space="preserve"> </w:t>
      </w:r>
      <w:r w:rsidRPr="00087A72">
        <w:rPr>
          <w:spacing w:val="5"/>
          <w:sz w:val="16"/>
          <w:szCs w:val="16"/>
        </w:rPr>
        <w:t>of</w:t>
      </w:r>
      <w:r w:rsidRPr="00087A72">
        <w:rPr>
          <w:sz w:val="16"/>
          <w:szCs w:val="16"/>
        </w:rPr>
        <w:t xml:space="preserve"> regulation kicked in. After the passing of old resisters like Osh-Tisch, colonial education prevented a new generation from being raised so that an entire way of life seemed to have died out. Yet death recurs in more ways in Native people's memories of these changes. Williams presents oral histories of Lakota traditionalists who recalled the effects of colonial education. As one explains: By the </w:t>
      </w:r>
      <w:r w:rsidRPr="00087A72">
        <w:rPr>
          <w:spacing w:val="5"/>
          <w:sz w:val="16"/>
          <w:szCs w:val="16"/>
        </w:rPr>
        <w:t xml:space="preserve">1940s, </w:t>
      </w:r>
      <w:r w:rsidRPr="00087A72">
        <w:rPr>
          <w:spacing w:val="3"/>
          <w:sz w:val="16"/>
          <w:szCs w:val="16"/>
        </w:rPr>
        <w:t xml:space="preserve">after </w:t>
      </w:r>
      <w:r w:rsidRPr="00087A72">
        <w:rPr>
          <w:sz w:val="16"/>
          <w:szCs w:val="16"/>
        </w:rPr>
        <w:t xml:space="preserve">more Indians had </w:t>
      </w:r>
      <w:r w:rsidRPr="00087A72">
        <w:rPr>
          <w:spacing w:val="4"/>
          <w:sz w:val="16"/>
          <w:szCs w:val="16"/>
        </w:rPr>
        <w:t xml:space="preserve">been </w:t>
      </w:r>
      <w:r w:rsidRPr="00087A72">
        <w:rPr>
          <w:spacing w:val="3"/>
          <w:sz w:val="16"/>
          <w:szCs w:val="16"/>
        </w:rPr>
        <w:t xml:space="preserve">educated </w:t>
      </w:r>
      <w:r w:rsidRPr="00087A72">
        <w:rPr>
          <w:spacing w:val="-3"/>
          <w:sz w:val="16"/>
          <w:szCs w:val="16"/>
        </w:rPr>
        <w:t xml:space="preserve">in </w:t>
      </w:r>
      <w:r w:rsidRPr="00087A72">
        <w:rPr>
          <w:sz w:val="16"/>
          <w:szCs w:val="16"/>
        </w:rPr>
        <w:t xml:space="preserve">white schools, </w:t>
      </w:r>
      <w:r w:rsidRPr="00087A72">
        <w:rPr>
          <w:spacing w:val="5"/>
          <w:sz w:val="16"/>
          <w:szCs w:val="16"/>
        </w:rPr>
        <w:t xml:space="preserve">or </w:t>
      </w:r>
      <w:r w:rsidRPr="00087A72">
        <w:rPr>
          <w:spacing w:val="6"/>
          <w:sz w:val="16"/>
          <w:szCs w:val="16"/>
        </w:rPr>
        <w:t xml:space="preserve">had </w:t>
      </w:r>
      <w:r w:rsidRPr="00087A72">
        <w:rPr>
          <w:spacing w:val="4"/>
          <w:sz w:val="16"/>
          <w:szCs w:val="16"/>
        </w:rPr>
        <w:t xml:space="preserve">been </w:t>
      </w:r>
      <w:r w:rsidRPr="00087A72">
        <w:rPr>
          <w:sz w:val="16"/>
          <w:szCs w:val="16"/>
        </w:rPr>
        <w:t xml:space="preserve">taken away </w:t>
      </w:r>
      <w:r w:rsidRPr="00087A72">
        <w:rPr>
          <w:spacing w:val="-3"/>
          <w:sz w:val="16"/>
          <w:szCs w:val="16"/>
        </w:rPr>
        <w:t xml:space="preserve">in </w:t>
      </w:r>
      <w:r w:rsidRPr="00087A72">
        <w:rPr>
          <w:sz w:val="16"/>
          <w:szCs w:val="16"/>
        </w:rPr>
        <w:t xml:space="preserve">the </w:t>
      </w:r>
      <w:r w:rsidRPr="00087A72">
        <w:rPr>
          <w:spacing w:val="-10"/>
          <w:sz w:val="16"/>
          <w:szCs w:val="16"/>
        </w:rPr>
        <w:t xml:space="preserve">army, </w:t>
      </w:r>
      <w:r w:rsidRPr="00087A72">
        <w:rPr>
          <w:spacing w:val="-3"/>
          <w:sz w:val="16"/>
          <w:szCs w:val="16"/>
        </w:rPr>
        <w:t xml:space="preserve">they </w:t>
      </w:r>
      <w:r w:rsidRPr="00087A72">
        <w:rPr>
          <w:sz w:val="16"/>
          <w:szCs w:val="16"/>
        </w:rPr>
        <w:t xml:space="preserve">lost the traditions </w:t>
      </w:r>
      <w:r w:rsidRPr="00087A72">
        <w:rPr>
          <w:spacing w:val="5"/>
          <w:sz w:val="16"/>
          <w:szCs w:val="16"/>
        </w:rPr>
        <w:t xml:space="preserve">of </w:t>
      </w:r>
      <w:r w:rsidRPr="00087A72">
        <w:rPr>
          <w:spacing w:val="3"/>
          <w:sz w:val="16"/>
          <w:szCs w:val="16"/>
        </w:rPr>
        <w:t xml:space="preserve">respect </w:t>
      </w:r>
      <w:r w:rsidRPr="00087A72">
        <w:rPr>
          <w:sz w:val="16"/>
          <w:szCs w:val="16"/>
        </w:rPr>
        <w:t xml:space="preserve">for </w:t>
      </w:r>
      <w:r w:rsidRPr="00087A72">
        <w:rPr>
          <w:spacing w:val="10"/>
          <w:sz w:val="16"/>
          <w:szCs w:val="16"/>
        </w:rPr>
        <w:t xml:space="preserve">winktes. </w:t>
      </w:r>
      <w:r w:rsidRPr="00087A72">
        <w:rPr>
          <w:sz w:val="16"/>
          <w:szCs w:val="16"/>
        </w:rPr>
        <w:t xml:space="preserve">The missionaries </w:t>
      </w:r>
      <w:r w:rsidRPr="00087A72">
        <w:rPr>
          <w:spacing w:val="3"/>
          <w:sz w:val="16"/>
          <w:szCs w:val="16"/>
        </w:rPr>
        <w:t xml:space="preserve">condemned </w:t>
      </w:r>
      <w:r w:rsidRPr="00087A72">
        <w:rPr>
          <w:sz w:val="16"/>
          <w:szCs w:val="16"/>
        </w:rPr>
        <w:t xml:space="preserve">winktes, telling families that </w:t>
      </w:r>
      <w:r w:rsidRPr="00087A72">
        <w:rPr>
          <w:spacing w:val="-3"/>
          <w:sz w:val="16"/>
          <w:szCs w:val="16"/>
        </w:rPr>
        <w:t xml:space="preserve">if </w:t>
      </w:r>
      <w:r w:rsidRPr="00087A72">
        <w:rPr>
          <w:sz w:val="16"/>
          <w:szCs w:val="16"/>
        </w:rPr>
        <w:t xml:space="preserve">something bad </w:t>
      </w:r>
      <w:r w:rsidRPr="00087A72">
        <w:rPr>
          <w:spacing w:val="2"/>
          <w:sz w:val="16"/>
          <w:szCs w:val="16"/>
        </w:rPr>
        <w:t xml:space="preserve">happened, </w:t>
      </w:r>
      <w:r w:rsidRPr="00087A72">
        <w:rPr>
          <w:spacing w:val="-3"/>
          <w:sz w:val="16"/>
          <w:szCs w:val="16"/>
        </w:rPr>
        <w:t xml:space="preserve">it </w:t>
      </w:r>
      <w:r w:rsidRPr="00087A72">
        <w:rPr>
          <w:sz w:val="16"/>
          <w:szCs w:val="16"/>
        </w:rPr>
        <w:t xml:space="preserve">was because </w:t>
      </w:r>
      <w:r w:rsidRPr="00087A72">
        <w:rPr>
          <w:spacing w:val="5"/>
          <w:sz w:val="16"/>
          <w:szCs w:val="16"/>
        </w:rPr>
        <w:t xml:space="preserve">of </w:t>
      </w:r>
      <w:r w:rsidRPr="00087A72">
        <w:rPr>
          <w:sz w:val="16"/>
          <w:szCs w:val="16"/>
        </w:rPr>
        <w:t xml:space="preserve">their associating with a winkte. </w:t>
      </w:r>
      <w:r w:rsidRPr="00087A72">
        <w:rPr>
          <w:spacing w:val="-4"/>
          <w:sz w:val="16"/>
          <w:szCs w:val="16"/>
        </w:rPr>
        <w:t xml:space="preserve">They </w:t>
      </w:r>
      <w:r w:rsidRPr="00087A72">
        <w:rPr>
          <w:spacing w:val="2"/>
          <w:sz w:val="16"/>
          <w:szCs w:val="16"/>
        </w:rPr>
        <w:t xml:space="preserve">would </w:t>
      </w:r>
      <w:r w:rsidRPr="00087A72">
        <w:rPr>
          <w:spacing w:val="3"/>
          <w:sz w:val="16"/>
          <w:szCs w:val="16"/>
        </w:rPr>
        <w:t xml:space="preserve">not </w:t>
      </w:r>
      <w:r w:rsidRPr="00087A72">
        <w:rPr>
          <w:spacing w:val="4"/>
          <w:sz w:val="16"/>
          <w:szCs w:val="16"/>
        </w:rPr>
        <w:t xml:space="preserve">accept </w:t>
      </w:r>
      <w:r w:rsidRPr="00087A72">
        <w:rPr>
          <w:sz w:val="16"/>
          <w:szCs w:val="16"/>
        </w:rPr>
        <w:t xml:space="preserve">winktes into the cemetery, </w:t>
      </w:r>
      <w:r w:rsidRPr="00087A72">
        <w:rPr>
          <w:spacing w:val="-3"/>
          <w:sz w:val="16"/>
          <w:szCs w:val="16"/>
        </w:rPr>
        <w:t xml:space="preserve">saying </w:t>
      </w:r>
      <w:r w:rsidRPr="00087A72">
        <w:rPr>
          <w:sz w:val="16"/>
          <w:szCs w:val="16"/>
        </w:rPr>
        <w:t xml:space="preserve">"their souls are lost." Missionaries had a </w:t>
      </w:r>
      <w:r w:rsidRPr="00087A72">
        <w:rPr>
          <w:spacing w:val="2"/>
          <w:sz w:val="16"/>
          <w:szCs w:val="16"/>
        </w:rPr>
        <w:t xml:space="preserve">lot </w:t>
      </w:r>
      <w:r w:rsidRPr="00087A72">
        <w:rPr>
          <w:spacing w:val="5"/>
          <w:sz w:val="16"/>
          <w:szCs w:val="16"/>
        </w:rPr>
        <w:t xml:space="preserve">of </w:t>
      </w:r>
      <w:r w:rsidRPr="00087A72">
        <w:rPr>
          <w:sz w:val="16"/>
          <w:szCs w:val="16"/>
        </w:rPr>
        <w:t xml:space="preserve">power </w:t>
      </w:r>
      <w:r w:rsidRPr="00087A72">
        <w:rPr>
          <w:spacing w:val="5"/>
          <w:sz w:val="16"/>
          <w:szCs w:val="16"/>
        </w:rPr>
        <w:t xml:space="preserve">on </w:t>
      </w:r>
      <w:r w:rsidRPr="00087A72">
        <w:rPr>
          <w:sz w:val="16"/>
          <w:szCs w:val="16"/>
        </w:rPr>
        <w:t xml:space="preserve">the reservation, </w:t>
      </w:r>
      <w:r w:rsidRPr="00087A72">
        <w:rPr>
          <w:spacing w:val="-4"/>
          <w:sz w:val="16"/>
          <w:szCs w:val="16"/>
        </w:rPr>
        <w:t xml:space="preserve">so </w:t>
      </w:r>
      <w:r w:rsidRPr="00087A72">
        <w:rPr>
          <w:sz w:val="16"/>
          <w:szCs w:val="16"/>
        </w:rPr>
        <w:t>the winktes</w:t>
      </w:r>
      <w:r w:rsidRPr="00087A72">
        <w:rPr>
          <w:spacing w:val="-16"/>
          <w:sz w:val="16"/>
          <w:szCs w:val="16"/>
        </w:rPr>
        <w:t xml:space="preserve"> </w:t>
      </w:r>
      <w:r w:rsidRPr="00087A72">
        <w:rPr>
          <w:spacing w:val="3"/>
          <w:sz w:val="16"/>
          <w:szCs w:val="16"/>
        </w:rPr>
        <w:t>were</w:t>
      </w:r>
      <w:r w:rsidRPr="00087A72">
        <w:rPr>
          <w:spacing w:val="-3"/>
          <w:sz w:val="16"/>
          <w:szCs w:val="16"/>
        </w:rPr>
        <w:t xml:space="preserve"> </w:t>
      </w:r>
      <w:r w:rsidRPr="00087A72">
        <w:rPr>
          <w:spacing w:val="2"/>
          <w:sz w:val="16"/>
          <w:szCs w:val="16"/>
        </w:rPr>
        <w:t>ostracized</w:t>
      </w:r>
      <w:r w:rsidRPr="00087A72">
        <w:rPr>
          <w:spacing w:val="-4"/>
          <w:sz w:val="16"/>
          <w:szCs w:val="16"/>
        </w:rPr>
        <w:t xml:space="preserve"> </w:t>
      </w:r>
      <w:r w:rsidRPr="00087A72">
        <w:rPr>
          <w:sz w:val="16"/>
          <w:szCs w:val="16"/>
        </w:rPr>
        <w:t>by</w:t>
      </w:r>
      <w:r w:rsidRPr="00087A72">
        <w:rPr>
          <w:spacing w:val="-9"/>
          <w:sz w:val="16"/>
          <w:szCs w:val="16"/>
        </w:rPr>
        <w:t xml:space="preserve"> </w:t>
      </w:r>
      <w:r w:rsidRPr="00087A72">
        <w:rPr>
          <w:spacing w:val="-3"/>
          <w:sz w:val="16"/>
          <w:szCs w:val="16"/>
        </w:rPr>
        <w:t>many</w:t>
      </w:r>
      <w:r w:rsidRPr="00087A72">
        <w:rPr>
          <w:spacing w:val="-9"/>
          <w:sz w:val="16"/>
          <w:szCs w:val="16"/>
        </w:rPr>
        <w:t xml:space="preserve"> </w:t>
      </w:r>
      <w:r w:rsidRPr="00087A72">
        <w:rPr>
          <w:spacing w:val="5"/>
          <w:sz w:val="16"/>
          <w:szCs w:val="16"/>
        </w:rPr>
        <w:t>of</w:t>
      </w:r>
      <w:r w:rsidRPr="00087A72">
        <w:rPr>
          <w:sz w:val="16"/>
          <w:szCs w:val="16"/>
        </w:rPr>
        <w:t xml:space="preserve"> the</w:t>
      </w:r>
      <w:r w:rsidRPr="00087A72">
        <w:rPr>
          <w:spacing w:val="-3"/>
          <w:sz w:val="16"/>
          <w:szCs w:val="16"/>
        </w:rPr>
        <w:t xml:space="preserve"> </w:t>
      </w:r>
      <w:r w:rsidRPr="00087A72">
        <w:rPr>
          <w:sz w:val="16"/>
          <w:szCs w:val="16"/>
        </w:rPr>
        <w:t>Christianized</w:t>
      </w:r>
      <w:r w:rsidRPr="00087A72">
        <w:rPr>
          <w:spacing w:val="-5"/>
          <w:sz w:val="16"/>
          <w:szCs w:val="16"/>
        </w:rPr>
        <w:t xml:space="preserve"> </w:t>
      </w:r>
      <w:r w:rsidRPr="00087A72">
        <w:rPr>
          <w:sz w:val="16"/>
          <w:szCs w:val="16"/>
        </w:rPr>
        <w:t>Indians.</w:t>
      </w:r>
      <w:r w:rsidRPr="00087A72">
        <w:rPr>
          <w:spacing w:val="-13"/>
          <w:sz w:val="16"/>
          <w:szCs w:val="16"/>
        </w:rPr>
        <w:t xml:space="preserve"> </w:t>
      </w:r>
      <w:r w:rsidRPr="00087A72">
        <w:rPr>
          <w:spacing w:val="5"/>
          <w:sz w:val="16"/>
          <w:szCs w:val="16"/>
        </w:rPr>
        <w:t>(182-83)</w:t>
      </w:r>
      <w:r w:rsidRPr="00087A72">
        <w:rPr>
          <w:sz w:val="16"/>
          <w:szCs w:val="16"/>
        </w:rPr>
        <w:t xml:space="preserve"> Williams quotes another telling of the "pressures put on winktes in the 1920s and 1930s": The missionaries and the government agents </w:t>
      </w:r>
      <w:r w:rsidRPr="00087A72">
        <w:rPr>
          <w:spacing w:val="-4"/>
          <w:sz w:val="16"/>
          <w:szCs w:val="16"/>
        </w:rPr>
        <w:t xml:space="preserve">said </w:t>
      </w:r>
      <w:r w:rsidRPr="00087A72">
        <w:rPr>
          <w:sz w:val="16"/>
          <w:szCs w:val="16"/>
        </w:rPr>
        <w:t xml:space="preserve">winktes </w:t>
      </w:r>
      <w:r w:rsidRPr="00087A72">
        <w:rPr>
          <w:spacing w:val="3"/>
          <w:sz w:val="16"/>
          <w:szCs w:val="16"/>
        </w:rPr>
        <w:t xml:space="preserve">were </w:t>
      </w:r>
      <w:r w:rsidRPr="00087A72">
        <w:rPr>
          <w:sz w:val="16"/>
          <w:szCs w:val="16"/>
        </w:rPr>
        <w:t xml:space="preserve">no </w:t>
      </w:r>
      <w:r w:rsidRPr="00087A72">
        <w:rPr>
          <w:spacing w:val="4"/>
          <w:sz w:val="16"/>
          <w:szCs w:val="16"/>
        </w:rPr>
        <w:t xml:space="preserve">good, </w:t>
      </w:r>
      <w:r w:rsidRPr="00087A72">
        <w:rPr>
          <w:spacing w:val="6"/>
          <w:sz w:val="16"/>
          <w:szCs w:val="16"/>
        </w:rPr>
        <w:t xml:space="preserve">and </w:t>
      </w:r>
      <w:r w:rsidRPr="00087A72">
        <w:rPr>
          <w:sz w:val="16"/>
          <w:szCs w:val="16"/>
        </w:rPr>
        <w:t xml:space="preserve">tried to get </w:t>
      </w:r>
      <w:r w:rsidRPr="00087A72">
        <w:rPr>
          <w:spacing w:val="2"/>
          <w:sz w:val="16"/>
          <w:szCs w:val="16"/>
        </w:rPr>
        <w:t xml:space="preserve">them </w:t>
      </w:r>
      <w:r w:rsidRPr="00087A72">
        <w:rPr>
          <w:sz w:val="16"/>
          <w:szCs w:val="16"/>
        </w:rPr>
        <w:t xml:space="preserve">to </w:t>
      </w:r>
      <w:r w:rsidRPr="00087A72">
        <w:rPr>
          <w:spacing w:val="-3"/>
          <w:sz w:val="16"/>
          <w:szCs w:val="16"/>
        </w:rPr>
        <w:t xml:space="preserve">change </w:t>
      </w:r>
      <w:r w:rsidRPr="00087A72">
        <w:rPr>
          <w:sz w:val="16"/>
          <w:szCs w:val="16"/>
        </w:rPr>
        <w:t xml:space="preserve">their ways. Some did, and </w:t>
      </w:r>
      <w:r w:rsidRPr="00087A72">
        <w:rPr>
          <w:spacing w:val="2"/>
          <w:sz w:val="16"/>
          <w:szCs w:val="16"/>
        </w:rPr>
        <w:t xml:space="preserve">put </w:t>
      </w:r>
      <w:r w:rsidRPr="00087A72">
        <w:rPr>
          <w:spacing w:val="5"/>
          <w:sz w:val="16"/>
          <w:szCs w:val="16"/>
        </w:rPr>
        <w:t xml:space="preserve">on </w:t>
      </w:r>
      <w:r w:rsidRPr="00087A72">
        <w:rPr>
          <w:sz w:val="16"/>
          <w:szCs w:val="16"/>
        </w:rPr>
        <w:t xml:space="preserve">men's c </w:t>
      </w:r>
      <w:r w:rsidRPr="00087A72">
        <w:rPr>
          <w:spacing w:val="6"/>
          <w:sz w:val="16"/>
          <w:szCs w:val="16"/>
        </w:rPr>
        <w:t xml:space="preserve">lo </w:t>
      </w:r>
      <w:r w:rsidRPr="00087A72">
        <w:rPr>
          <w:spacing w:val="9"/>
          <w:sz w:val="16"/>
          <w:szCs w:val="16"/>
        </w:rPr>
        <w:t xml:space="preserve">thing. </w:t>
      </w:r>
      <w:r w:rsidRPr="00087A72">
        <w:rPr>
          <w:sz w:val="16"/>
          <w:szCs w:val="16"/>
        </w:rPr>
        <w:t xml:space="preserve">But </w:t>
      </w:r>
      <w:r w:rsidRPr="00087A72">
        <w:rPr>
          <w:spacing w:val="2"/>
          <w:sz w:val="16"/>
          <w:szCs w:val="16"/>
        </w:rPr>
        <w:t xml:space="preserve">others, rather </w:t>
      </w:r>
      <w:r w:rsidRPr="00087A72">
        <w:rPr>
          <w:sz w:val="16"/>
          <w:szCs w:val="16"/>
        </w:rPr>
        <w:t xml:space="preserve">than </w:t>
      </w:r>
      <w:r w:rsidRPr="00087A72">
        <w:rPr>
          <w:spacing w:val="-4"/>
          <w:sz w:val="16"/>
          <w:szCs w:val="16"/>
        </w:rPr>
        <w:t xml:space="preserve">change, </w:t>
      </w:r>
      <w:r w:rsidRPr="00087A72">
        <w:rPr>
          <w:spacing w:val="2"/>
          <w:sz w:val="16"/>
          <w:szCs w:val="16"/>
        </w:rPr>
        <w:t xml:space="preserve">went </w:t>
      </w:r>
      <w:r w:rsidRPr="00087A72">
        <w:rPr>
          <w:spacing w:val="4"/>
          <w:sz w:val="16"/>
          <w:szCs w:val="16"/>
        </w:rPr>
        <w:t xml:space="preserve">out </w:t>
      </w:r>
      <w:r w:rsidRPr="00087A72">
        <w:rPr>
          <w:sz w:val="16"/>
          <w:szCs w:val="16"/>
        </w:rPr>
        <w:t xml:space="preserve">and hanged themselves. I remember the </w:t>
      </w:r>
      <w:r w:rsidRPr="00087A72">
        <w:rPr>
          <w:spacing w:val="-3"/>
          <w:sz w:val="16"/>
          <w:szCs w:val="16"/>
        </w:rPr>
        <w:t xml:space="preserve">sad </w:t>
      </w:r>
      <w:r w:rsidRPr="00087A72">
        <w:rPr>
          <w:sz w:val="16"/>
          <w:szCs w:val="16"/>
        </w:rPr>
        <w:t xml:space="preserve">stories that </w:t>
      </w:r>
      <w:r w:rsidRPr="00087A72">
        <w:rPr>
          <w:spacing w:val="3"/>
          <w:sz w:val="16"/>
          <w:szCs w:val="16"/>
        </w:rPr>
        <w:t xml:space="preserve">were </w:t>
      </w:r>
      <w:r w:rsidRPr="00087A72">
        <w:rPr>
          <w:spacing w:val="2"/>
          <w:sz w:val="16"/>
          <w:szCs w:val="16"/>
        </w:rPr>
        <w:t xml:space="preserve">told </w:t>
      </w:r>
      <w:r w:rsidRPr="00087A72">
        <w:rPr>
          <w:spacing w:val="3"/>
          <w:sz w:val="16"/>
          <w:szCs w:val="16"/>
        </w:rPr>
        <w:t xml:space="preserve">about </w:t>
      </w:r>
      <w:r w:rsidRPr="00087A72">
        <w:rPr>
          <w:sz w:val="16"/>
          <w:szCs w:val="16"/>
        </w:rPr>
        <w:t>this.</w:t>
      </w:r>
      <w:r w:rsidRPr="00087A72">
        <w:rPr>
          <w:spacing w:val="-47"/>
          <w:sz w:val="16"/>
          <w:szCs w:val="16"/>
        </w:rPr>
        <w:t xml:space="preserve"> </w:t>
      </w:r>
      <w:r w:rsidRPr="00087A72">
        <w:rPr>
          <w:spacing w:val="5"/>
          <w:sz w:val="16"/>
          <w:szCs w:val="16"/>
        </w:rPr>
        <w:t>(182)</w:t>
      </w:r>
      <w:r w:rsidRPr="00087A72">
        <w:rPr>
          <w:sz w:val="16"/>
          <w:szCs w:val="16"/>
        </w:rPr>
        <w:t xml:space="preserve"> Williams also tells of a Navajo woman who had narrated her own story of being taken with her relatives as a child to the Carlisle Indian School: Her cousin, a </w:t>
      </w:r>
      <w:r w:rsidRPr="00087A72">
        <w:rPr>
          <w:spacing w:val="-3"/>
          <w:sz w:val="16"/>
          <w:szCs w:val="16"/>
        </w:rPr>
        <w:t xml:space="preserve">nadle, </w:t>
      </w:r>
      <w:r w:rsidRPr="00087A72">
        <w:rPr>
          <w:sz w:val="16"/>
          <w:szCs w:val="16"/>
        </w:rPr>
        <w:t xml:space="preserve">was </w:t>
      </w:r>
      <w:r w:rsidRPr="00087A72">
        <w:rPr>
          <w:spacing w:val="-3"/>
          <w:sz w:val="16"/>
          <w:szCs w:val="16"/>
        </w:rPr>
        <w:t xml:space="preserve">also </w:t>
      </w:r>
      <w:r w:rsidRPr="00087A72">
        <w:rPr>
          <w:sz w:val="16"/>
          <w:szCs w:val="16"/>
        </w:rPr>
        <w:t xml:space="preserve">taken there. Since he was dressed as a </w:t>
      </w:r>
      <w:r w:rsidRPr="00087A72">
        <w:rPr>
          <w:spacing w:val="-5"/>
          <w:sz w:val="16"/>
          <w:szCs w:val="16"/>
        </w:rPr>
        <w:t xml:space="preserve">girl, </w:t>
      </w:r>
      <w:r w:rsidRPr="00087A72">
        <w:rPr>
          <w:spacing w:val="7"/>
          <w:sz w:val="16"/>
          <w:szCs w:val="16"/>
        </w:rPr>
        <w:t xml:space="preserve">scho </w:t>
      </w:r>
      <w:r w:rsidRPr="00087A72">
        <w:rPr>
          <w:sz w:val="16"/>
          <w:szCs w:val="16"/>
        </w:rPr>
        <w:t xml:space="preserve">o l </w:t>
      </w:r>
      <w:r w:rsidRPr="00087A72">
        <w:rPr>
          <w:spacing w:val="3"/>
          <w:sz w:val="16"/>
          <w:szCs w:val="16"/>
        </w:rPr>
        <w:t xml:space="preserve">ofﬁcials </w:t>
      </w:r>
      <w:r w:rsidRPr="00087A72">
        <w:rPr>
          <w:spacing w:val="-3"/>
          <w:sz w:val="16"/>
          <w:szCs w:val="16"/>
        </w:rPr>
        <w:t xml:space="preserve">assumed </w:t>
      </w:r>
      <w:r w:rsidRPr="00087A72">
        <w:rPr>
          <w:sz w:val="16"/>
          <w:szCs w:val="16"/>
        </w:rPr>
        <w:t xml:space="preserve">he was female and </w:t>
      </w:r>
      <w:r w:rsidRPr="00087A72">
        <w:rPr>
          <w:spacing w:val="2"/>
          <w:sz w:val="16"/>
          <w:szCs w:val="16"/>
        </w:rPr>
        <w:t xml:space="preserve">placed </w:t>
      </w:r>
      <w:r w:rsidRPr="00087A72">
        <w:rPr>
          <w:sz w:val="16"/>
          <w:szCs w:val="16"/>
        </w:rPr>
        <w:t xml:space="preserve">him </w:t>
      </w:r>
      <w:r w:rsidRPr="00087A72">
        <w:rPr>
          <w:spacing w:val="-3"/>
          <w:sz w:val="16"/>
          <w:szCs w:val="16"/>
        </w:rPr>
        <w:t xml:space="preserve">in </w:t>
      </w:r>
      <w:r w:rsidRPr="00087A72">
        <w:rPr>
          <w:sz w:val="16"/>
          <w:szCs w:val="16"/>
        </w:rPr>
        <w:t xml:space="preserve">the </w:t>
      </w:r>
      <w:r w:rsidRPr="00087A72">
        <w:rPr>
          <w:spacing w:val="-6"/>
          <w:sz w:val="16"/>
          <w:szCs w:val="16"/>
        </w:rPr>
        <w:t xml:space="preserve">girl's </w:t>
      </w:r>
      <w:r w:rsidRPr="00087A72">
        <w:rPr>
          <w:sz w:val="16"/>
          <w:szCs w:val="16"/>
        </w:rPr>
        <w:t xml:space="preserve">dormitory. The Navajo students </w:t>
      </w:r>
      <w:r w:rsidRPr="00087A72">
        <w:rPr>
          <w:spacing w:val="3"/>
          <w:sz w:val="16"/>
          <w:szCs w:val="16"/>
        </w:rPr>
        <w:t xml:space="preserve">protected </w:t>
      </w:r>
      <w:r w:rsidRPr="00087A72">
        <w:rPr>
          <w:spacing w:val="-4"/>
          <w:sz w:val="16"/>
          <w:szCs w:val="16"/>
        </w:rPr>
        <w:t xml:space="preserve">him, </w:t>
      </w:r>
      <w:r w:rsidRPr="00087A72">
        <w:rPr>
          <w:sz w:val="16"/>
          <w:szCs w:val="16"/>
        </w:rPr>
        <w:t xml:space="preserve">and he </w:t>
      </w:r>
      <w:r w:rsidRPr="00087A72">
        <w:rPr>
          <w:spacing w:val="2"/>
          <w:sz w:val="16"/>
          <w:szCs w:val="16"/>
        </w:rPr>
        <w:t>went</w:t>
      </w:r>
      <w:r w:rsidRPr="00087A72">
        <w:rPr>
          <w:spacing w:val="69"/>
          <w:sz w:val="16"/>
          <w:szCs w:val="16"/>
        </w:rPr>
        <w:t xml:space="preserve"> </w:t>
      </w:r>
      <w:r w:rsidRPr="00087A72">
        <w:rPr>
          <w:spacing w:val="2"/>
          <w:sz w:val="16"/>
          <w:szCs w:val="16"/>
        </w:rPr>
        <w:t>undiscovered.</w:t>
      </w:r>
      <w:r w:rsidRPr="00087A72">
        <w:rPr>
          <w:sz w:val="16"/>
          <w:szCs w:val="16"/>
        </w:rPr>
        <w:t xml:space="preserve"> Later, however, there was a lice infestation. The white teachers personally scrubbed all the girls, and were shocked when they found out that the nadle was male. The Navajo woman said, "They were very upset. He was taken from the school, and he never returned again. They would not tell us what happened to him, and we never saw him again. We were very sad that our cousin was gone." The family still does not know if the boy was sent to another school, or to prison, or was killed. (180) </w:t>
      </w:r>
      <w:r w:rsidRPr="00087A72">
        <w:rPr>
          <w:spacing w:val="3"/>
          <w:sz w:val="16"/>
          <w:szCs w:val="16"/>
        </w:rPr>
        <w:t xml:space="preserve">In </w:t>
      </w:r>
      <w:r w:rsidRPr="00087A72">
        <w:rPr>
          <w:sz w:val="16"/>
          <w:szCs w:val="16"/>
        </w:rPr>
        <w:t xml:space="preserve">these stories from the late </w:t>
      </w:r>
      <w:r w:rsidRPr="00087A72">
        <w:rPr>
          <w:spacing w:val="2"/>
          <w:sz w:val="16"/>
          <w:szCs w:val="16"/>
        </w:rPr>
        <w:t xml:space="preserve">nineteenth </w:t>
      </w:r>
      <w:r w:rsidRPr="00087A72">
        <w:rPr>
          <w:spacing w:val="4"/>
          <w:sz w:val="16"/>
          <w:szCs w:val="16"/>
        </w:rPr>
        <w:t xml:space="preserve">century </w:t>
      </w:r>
      <w:r w:rsidRPr="00087A72">
        <w:rPr>
          <w:sz w:val="16"/>
          <w:szCs w:val="16"/>
        </w:rPr>
        <w:t xml:space="preserve">to the ﬁrst half </w:t>
      </w:r>
      <w:r w:rsidRPr="00087A72">
        <w:rPr>
          <w:spacing w:val="5"/>
          <w:sz w:val="16"/>
          <w:szCs w:val="16"/>
        </w:rPr>
        <w:t xml:space="preserve">of </w:t>
      </w:r>
      <w:r w:rsidRPr="00087A72">
        <w:rPr>
          <w:sz w:val="16"/>
          <w:szCs w:val="16"/>
        </w:rPr>
        <w:t xml:space="preserve">the </w:t>
      </w:r>
      <w:r w:rsidRPr="00087A72">
        <w:rPr>
          <w:spacing w:val="2"/>
          <w:sz w:val="16"/>
          <w:szCs w:val="16"/>
        </w:rPr>
        <w:t xml:space="preserve">twentieth, death </w:t>
      </w:r>
      <w:r w:rsidRPr="00087A72">
        <w:rPr>
          <w:sz w:val="16"/>
          <w:szCs w:val="16"/>
        </w:rPr>
        <w:t xml:space="preserve">frames Native </w:t>
      </w:r>
      <w:r w:rsidRPr="00087A72">
        <w:rPr>
          <w:spacing w:val="2"/>
          <w:sz w:val="16"/>
          <w:szCs w:val="16"/>
        </w:rPr>
        <w:t xml:space="preserve">people's collective experiences </w:t>
      </w:r>
      <w:r w:rsidRPr="00087A72">
        <w:rPr>
          <w:spacing w:val="5"/>
          <w:sz w:val="16"/>
          <w:szCs w:val="16"/>
        </w:rPr>
        <w:t xml:space="preserve">of </w:t>
      </w:r>
      <w:r w:rsidRPr="00087A72">
        <w:rPr>
          <w:sz w:val="16"/>
          <w:szCs w:val="16"/>
        </w:rPr>
        <w:t xml:space="preserve">the erasure </w:t>
      </w:r>
      <w:r w:rsidRPr="00087A72">
        <w:rPr>
          <w:spacing w:val="5"/>
          <w:sz w:val="16"/>
          <w:szCs w:val="16"/>
        </w:rPr>
        <w:t xml:space="preserve">of </w:t>
      </w:r>
      <w:r w:rsidRPr="00087A72">
        <w:rPr>
          <w:spacing w:val="3"/>
          <w:sz w:val="16"/>
          <w:szCs w:val="16"/>
        </w:rPr>
        <w:t xml:space="preserve">gendered </w:t>
      </w:r>
      <w:r w:rsidRPr="00087A72">
        <w:rPr>
          <w:sz w:val="16"/>
          <w:szCs w:val="16"/>
        </w:rPr>
        <w:t xml:space="preserve">and sexual possibility: as exiles from the community's spiritual continuity; </w:t>
      </w:r>
      <w:r w:rsidRPr="00087A72">
        <w:rPr>
          <w:spacing w:val="-3"/>
          <w:sz w:val="16"/>
          <w:szCs w:val="16"/>
        </w:rPr>
        <w:t xml:space="preserve">in </w:t>
      </w:r>
      <w:r w:rsidRPr="00087A72">
        <w:rPr>
          <w:spacing w:val="-4"/>
          <w:sz w:val="16"/>
          <w:szCs w:val="16"/>
        </w:rPr>
        <w:t xml:space="preserve">so </w:t>
      </w:r>
      <w:r w:rsidRPr="00087A72">
        <w:rPr>
          <w:sz w:val="16"/>
          <w:szCs w:val="16"/>
        </w:rPr>
        <w:t xml:space="preserve">restricting life as to force </w:t>
      </w:r>
      <w:r w:rsidRPr="00087A72">
        <w:rPr>
          <w:spacing w:val="2"/>
          <w:sz w:val="16"/>
          <w:szCs w:val="16"/>
        </w:rPr>
        <w:t xml:space="preserve">persons </w:t>
      </w:r>
      <w:r w:rsidRPr="00087A72">
        <w:rPr>
          <w:sz w:val="16"/>
          <w:szCs w:val="16"/>
        </w:rPr>
        <w:t xml:space="preserve">to "choose" to die; and </w:t>
      </w:r>
      <w:r w:rsidRPr="00087A72">
        <w:rPr>
          <w:spacing w:val="-3"/>
          <w:sz w:val="16"/>
          <w:szCs w:val="16"/>
        </w:rPr>
        <w:t xml:space="preserve">in </w:t>
      </w:r>
      <w:r w:rsidRPr="00087A72">
        <w:rPr>
          <w:sz w:val="16"/>
          <w:szCs w:val="16"/>
        </w:rPr>
        <w:t xml:space="preserve">being "disappeared" </w:t>
      </w:r>
      <w:r w:rsidRPr="00087A72">
        <w:rPr>
          <w:spacing w:val="-8"/>
          <w:sz w:val="16"/>
          <w:szCs w:val="16"/>
        </w:rPr>
        <w:t xml:space="preserve">by </w:t>
      </w:r>
      <w:r w:rsidRPr="00087A72">
        <w:rPr>
          <w:sz w:val="16"/>
          <w:szCs w:val="16"/>
        </w:rPr>
        <w:t xml:space="preserve">the traceless </w:t>
      </w:r>
      <w:r w:rsidRPr="00087A72">
        <w:rPr>
          <w:spacing w:val="2"/>
          <w:sz w:val="16"/>
          <w:szCs w:val="16"/>
        </w:rPr>
        <w:t xml:space="preserve">authority </w:t>
      </w:r>
      <w:r w:rsidRPr="00087A72">
        <w:rPr>
          <w:spacing w:val="5"/>
          <w:sz w:val="16"/>
          <w:szCs w:val="16"/>
        </w:rPr>
        <w:t xml:space="preserve">of </w:t>
      </w:r>
      <w:r w:rsidRPr="00087A72">
        <w:rPr>
          <w:sz w:val="16"/>
          <w:szCs w:val="16"/>
        </w:rPr>
        <w:t xml:space="preserve">the </w:t>
      </w:r>
      <w:r w:rsidRPr="00087A72">
        <w:rPr>
          <w:spacing w:val="2"/>
          <w:sz w:val="16"/>
          <w:szCs w:val="16"/>
        </w:rPr>
        <w:t xml:space="preserve">bureaucratic colonial </w:t>
      </w:r>
      <w:r w:rsidRPr="00087A72">
        <w:rPr>
          <w:spacing w:val="-3"/>
          <w:sz w:val="16"/>
          <w:szCs w:val="16"/>
        </w:rPr>
        <w:t xml:space="preserve">state. </w:t>
      </w:r>
      <w:r w:rsidRPr="00087A72">
        <w:rPr>
          <w:sz w:val="16"/>
          <w:szCs w:val="16"/>
        </w:rPr>
        <w:t xml:space="preserve">These are some </w:t>
      </w:r>
      <w:r w:rsidRPr="00087A72">
        <w:rPr>
          <w:spacing w:val="5"/>
          <w:sz w:val="16"/>
          <w:szCs w:val="16"/>
        </w:rPr>
        <w:t xml:space="preserve">of </w:t>
      </w:r>
      <w:r w:rsidRPr="00087A72">
        <w:rPr>
          <w:sz w:val="16"/>
          <w:szCs w:val="16"/>
        </w:rPr>
        <w:t xml:space="preserve">the results </w:t>
      </w:r>
      <w:r w:rsidRPr="00087A72">
        <w:rPr>
          <w:spacing w:val="5"/>
          <w:sz w:val="16"/>
          <w:szCs w:val="16"/>
        </w:rPr>
        <w:t xml:space="preserve">of </w:t>
      </w:r>
      <w:r w:rsidRPr="00087A72">
        <w:rPr>
          <w:sz w:val="16"/>
          <w:szCs w:val="16"/>
        </w:rPr>
        <w:t xml:space="preserve">shifting </w:t>
      </w:r>
      <w:r w:rsidRPr="00087A72">
        <w:rPr>
          <w:spacing w:val="2"/>
          <w:sz w:val="16"/>
          <w:szCs w:val="16"/>
        </w:rPr>
        <w:t xml:space="preserve">colonial authority </w:t>
      </w:r>
      <w:r w:rsidRPr="00087A72">
        <w:rPr>
          <w:sz w:val="16"/>
          <w:szCs w:val="16"/>
        </w:rPr>
        <w:t xml:space="preserve">from a </w:t>
      </w:r>
      <w:r w:rsidRPr="00087A72">
        <w:rPr>
          <w:spacing w:val="2"/>
          <w:sz w:val="16"/>
          <w:szCs w:val="16"/>
        </w:rPr>
        <w:t xml:space="preserve">brutal </w:t>
      </w:r>
      <w:r w:rsidRPr="00087A72">
        <w:rPr>
          <w:sz w:val="16"/>
          <w:szCs w:val="16"/>
        </w:rPr>
        <w:t xml:space="preserve">right </w:t>
      </w:r>
      <w:r w:rsidRPr="00087A72">
        <w:rPr>
          <w:spacing w:val="5"/>
          <w:sz w:val="16"/>
          <w:szCs w:val="16"/>
        </w:rPr>
        <w:t xml:space="preserve">of </w:t>
      </w:r>
      <w:r w:rsidRPr="00087A72">
        <w:rPr>
          <w:sz w:val="16"/>
          <w:szCs w:val="16"/>
        </w:rPr>
        <w:t xml:space="preserve">public </w:t>
      </w:r>
      <w:r w:rsidRPr="00087A72">
        <w:rPr>
          <w:spacing w:val="3"/>
          <w:sz w:val="16"/>
          <w:szCs w:val="16"/>
        </w:rPr>
        <w:t xml:space="preserve">execution </w:t>
      </w:r>
      <w:r w:rsidRPr="00087A72">
        <w:rPr>
          <w:sz w:val="16"/>
          <w:szCs w:val="16"/>
        </w:rPr>
        <w:t xml:space="preserve">to the normalization </w:t>
      </w:r>
      <w:r w:rsidRPr="00087A72">
        <w:rPr>
          <w:spacing w:val="5"/>
          <w:sz w:val="16"/>
          <w:szCs w:val="16"/>
        </w:rPr>
        <w:t xml:space="preserve">of </w:t>
      </w:r>
      <w:r w:rsidRPr="00087A72">
        <w:rPr>
          <w:spacing w:val="4"/>
          <w:sz w:val="16"/>
          <w:szCs w:val="16"/>
        </w:rPr>
        <w:t xml:space="preserve">deathin </w:t>
      </w:r>
      <w:r w:rsidRPr="00087A72">
        <w:rPr>
          <w:spacing w:val="2"/>
          <w:sz w:val="16"/>
          <w:szCs w:val="16"/>
        </w:rPr>
        <w:t xml:space="preserve">regulatory </w:t>
      </w:r>
      <w:r w:rsidRPr="00087A72">
        <w:rPr>
          <w:sz w:val="16"/>
          <w:szCs w:val="16"/>
        </w:rPr>
        <w:t xml:space="preserve">regimes based </w:t>
      </w:r>
      <w:r w:rsidRPr="00087A72">
        <w:rPr>
          <w:spacing w:val="5"/>
          <w:sz w:val="16"/>
          <w:szCs w:val="16"/>
        </w:rPr>
        <w:t xml:space="preserve">on </w:t>
      </w:r>
      <w:r w:rsidRPr="00087A72">
        <w:rPr>
          <w:sz w:val="16"/>
          <w:szCs w:val="16"/>
        </w:rPr>
        <w:t xml:space="preserve">discipline. But disciplinary </w:t>
      </w:r>
      <w:r w:rsidRPr="00087A72">
        <w:rPr>
          <w:spacing w:val="2"/>
          <w:sz w:val="16"/>
          <w:szCs w:val="16"/>
        </w:rPr>
        <w:t xml:space="preserve">methods </w:t>
      </w:r>
      <w:r w:rsidRPr="00087A72">
        <w:rPr>
          <w:spacing w:val="3"/>
          <w:sz w:val="16"/>
          <w:szCs w:val="16"/>
        </w:rPr>
        <w:t xml:space="preserve">were </w:t>
      </w:r>
      <w:r w:rsidRPr="00087A72">
        <w:rPr>
          <w:sz w:val="16"/>
          <w:szCs w:val="16"/>
        </w:rPr>
        <w:t xml:space="preserve">no less terrorizing. </w:t>
      </w:r>
      <w:r w:rsidRPr="00087A72">
        <w:rPr>
          <w:spacing w:val="-4"/>
          <w:sz w:val="16"/>
          <w:szCs w:val="16"/>
        </w:rPr>
        <w:t xml:space="preserve">They </w:t>
      </w:r>
      <w:r w:rsidRPr="00087A72">
        <w:rPr>
          <w:spacing w:val="3"/>
          <w:sz w:val="16"/>
          <w:szCs w:val="16"/>
        </w:rPr>
        <w:t xml:space="preserve">required </w:t>
      </w:r>
      <w:r w:rsidRPr="00087A72">
        <w:rPr>
          <w:sz w:val="16"/>
          <w:szCs w:val="16"/>
        </w:rPr>
        <w:t xml:space="preserve">internalizing the idea that life as </w:t>
      </w:r>
      <w:r w:rsidRPr="00087A72">
        <w:rPr>
          <w:spacing w:val="2"/>
          <w:sz w:val="16"/>
          <w:szCs w:val="16"/>
        </w:rPr>
        <w:t xml:space="preserve">nddleeh, </w:t>
      </w:r>
      <w:r w:rsidRPr="00087A72">
        <w:rPr>
          <w:sz w:val="16"/>
          <w:szCs w:val="16"/>
        </w:rPr>
        <w:t xml:space="preserve">winkte, </w:t>
      </w:r>
      <w:r w:rsidRPr="00087A72">
        <w:rPr>
          <w:spacing w:val="3"/>
          <w:sz w:val="16"/>
          <w:szCs w:val="16"/>
        </w:rPr>
        <w:t xml:space="preserve">both, </w:t>
      </w:r>
      <w:r w:rsidRPr="00087A72">
        <w:rPr>
          <w:spacing w:val="5"/>
          <w:sz w:val="16"/>
          <w:szCs w:val="16"/>
        </w:rPr>
        <w:t xml:space="preserve">or </w:t>
      </w:r>
      <w:r w:rsidRPr="00087A72">
        <w:rPr>
          <w:sz w:val="16"/>
          <w:szCs w:val="16"/>
        </w:rPr>
        <w:t xml:space="preserve">a "woman who had no </w:t>
      </w:r>
      <w:r w:rsidRPr="00087A72">
        <w:rPr>
          <w:spacing w:val="-3"/>
          <w:sz w:val="16"/>
          <w:szCs w:val="16"/>
        </w:rPr>
        <w:t xml:space="preserve">man" </w:t>
      </w:r>
      <w:r w:rsidRPr="00087A72">
        <w:rPr>
          <w:sz w:val="16"/>
          <w:szCs w:val="16"/>
        </w:rPr>
        <w:t xml:space="preserve">was </w:t>
      </w:r>
      <w:r w:rsidRPr="00087A72">
        <w:rPr>
          <w:spacing w:val="-3"/>
          <w:sz w:val="16"/>
          <w:szCs w:val="16"/>
        </w:rPr>
        <w:t xml:space="preserve">impossible. </w:t>
      </w:r>
      <w:r w:rsidRPr="00087A72">
        <w:rPr>
          <w:sz w:val="16"/>
          <w:szCs w:val="16"/>
        </w:rPr>
        <w:t xml:space="preserve">And </w:t>
      </w:r>
      <w:r w:rsidRPr="00087A72">
        <w:rPr>
          <w:spacing w:val="-3"/>
          <w:sz w:val="16"/>
          <w:szCs w:val="16"/>
        </w:rPr>
        <w:t xml:space="preserve">they </w:t>
      </w:r>
      <w:r w:rsidRPr="00087A72">
        <w:rPr>
          <w:sz w:val="16"/>
          <w:szCs w:val="16"/>
        </w:rPr>
        <w:t xml:space="preserve">suggest that the resistance </w:t>
      </w:r>
      <w:r w:rsidRPr="00087A72">
        <w:rPr>
          <w:spacing w:val="5"/>
          <w:sz w:val="16"/>
          <w:szCs w:val="16"/>
        </w:rPr>
        <w:t xml:space="preserve">of </w:t>
      </w:r>
      <w:r w:rsidRPr="00087A72">
        <w:rPr>
          <w:sz w:val="16"/>
          <w:szCs w:val="16"/>
        </w:rPr>
        <w:t xml:space="preserve">relatives and communities ultimately </w:t>
      </w:r>
      <w:r w:rsidRPr="00087A72">
        <w:rPr>
          <w:spacing w:val="4"/>
          <w:sz w:val="16"/>
          <w:szCs w:val="16"/>
        </w:rPr>
        <w:t xml:space="preserve">faced </w:t>
      </w:r>
      <w:r w:rsidRPr="00087A72">
        <w:rPr>
          <w:sz w:val="16"/>
          <w:szCs w:val="16"/>
        </w:rPr>
        <w:t xml:space="preserve">a </w:t>
      </w:r>
      <w:r w:rsidRPr="00087A72">
        <w:rPr>
          <w:spacing w:val="2"/>
          <w:sz w:val="16"/>
          <w:szCs w:val="16"/>
        </w:rPr>
        <w:t xml:space="preserve">colonial </w:t>
      </w:r>
      <w:r w:rsidRPr="00087A72">
        <w:rPr>
          <w:sz w:val="16"/>
          <w:szCs w:val="16"/>
        </w:rPr>
        <w:t xml:space="preserve">power determined to </w:t>
      </w:r>
      <w:r w:rsidRPr="00087A72">
        <w:rPr>
          <w:spacing w:val="-3"/>
          <w:sz w:val="16"/>
          <w:szCs w:val="16"/>
        </w:rPr>
        <w:t xml:space="preserve">make </w:t>
      </w:r>
      <w:r w:rsidRPr="00087A72">
        <w:rPr>
          <w:sz w:val="16"/>
          <w:szCs w:val="16"/>
        </w:rPr>
        <w:t xml:space="preserve">loved </w:t>
      </w:r>
      <w:r w:rsidRPr="00087A72">
        <w:rPr>
          <w:spacing w:val="4"/>
          <w:sz w:val="16"/>
          <w:szCs w:val="16"/>
        </w:rPr>
        <w:t xml:space="preserve">ones </w:t>
      </w:r>
      <w:r w:rsidRPr="00087A72">
        <w:rPr>
          <w:sz w:val="16"/>
          <w:szCs w:val="16"/>
        </w:rPr>
        <w:t xml:space="preserve">literally </w:t>
      </w:r>
      <w:r w:rsidRPr="00087A72">
        <w:rPr>
          <w:spacing w:val="-4"/>
          <w:sz w:val="16"/>
          <w:szCs w:val="16"/>
        </w:rPr>
        <w:t xml:space="preserve">disappear, </w:t>
      </w:r>
      <w:r w:rsidRPr="00087A72">
        <w:rPr>
          <w:sz w:val="16"/>
          <w:szCs w:val="16"/>
        </w:rPr>
        <w:t xml:space="preserve">into a </w:t>
      </w:r>
      <w:r w:rsidRPr="00087A72">
        <w:rPr>
          <w:spacing w:val="2"/>
          <w:sz w:val="16"/>
          <w:szCs w:val="16"/>
        </w:rPr>
        <w:t xml:space="preserve">death </w:t>
      </w:r>
      <w:r w:rsidRPr="00087A72">
        <w:rPr>
          <w:sz w:val="16"/>
          <w:szCs w:val="16"/>
        </w:rPr>
        <w:t xml:space="preserve">beyond knowledge </w:t>
      </w:r>
      <w:r w:rsidRPr="00087A72">
        <w:rPr>
          <w:spacing w:val="5"/>
          <w:sz w:val="16"/>
          <w:szCs w:val="16"/>
        </w:rPr>
        <w:t xml:space="preserve">of </w:t>
      </w:r>
      <w:r w:rsidRPr="00087A72">
        <w:rPr>
          <w:sz w:val="16"/>
          <w:szCs w:val="16"/>
        </w:rPr>
        <w:t xml:space="preserve">life </w:t>
      </w:r>
      <w:r w:rsidRPr="00087A72">
        <w:rPr>
          <w:spacing w:val="5"/>
          <w:sz w:val="16"/>
          <w:szCs w:val="16"/>
        </w:rPr>
        <w:t xml:space="preserve">or </w:t>
      </w:r>
      <w:r w:rsidRPr="00087A72">
        <w:rPr>
          <w:spacing w:val="2"/>
          <w:sz w:val="16"/>
          <w:szCs w:val="16"/>
        </w:rPr>
        <w:t xml:space="preserve">death. </w:t>
      </w:r>
      <w:r w:rsidRPr="00087A72">
        <w:rPr>
          <w:rStyle w:val="Emphasis"/>
        </w:rPr>
        <w:t xml:space="preserve">These are the terrorizing logics of a society of normalization, a Foucault and Stoler theorized, and they were implemented on the frontier of the settler state by controlling Native peoples as populations for the colonial education of modern sexuality. </w:t>
      </w:r>
    </w:p>
    <w:p w:rsidR="00C72150" w:rsidRPr="00087A72" w:rsidRDefault="00C72150" w:rsidP="00C72150">
      <w:pPr>
        <w:pStyle w:val="Heading4"/>
      </w:pPr>
      <w:r w:rsidRPr="00087A72">
        <w:t>The Affs Western desire of heteronormative sexuality is based on the biopolitical structure of colonists placing their settler sexuality on qu</w:t>
      </w:r>
      <w:r w:rsidR="006B227D" w:rsidRPr="00087A72">
        <w:t>eer natives.</w:t>
      </w:r>
    </w:p>
    <w:p w:rsidR="00C72150" w:rsidRPr="00087A72" w:rsidRDefault="00C72150" w:rsidP="00C72150">
      <w:pPr>
        <w:rPr>
          <w:sz w:val="24"/>
        </w:rPr>
      </w:pPr>
      <w:r w:rsidRPr="00087A72">
        <w:rPr>
          <w:rStyle w:val="Style13ptBold"/>
        </w:rPr>
        <w:t>Morgenson,2011</w:t>
      </w:r>
      <w:r w:rsidR="006B227D" w:rsidRPr="00087A72">
        <w:rPr>
          <w:rStyle w:val="Style13ptBold"/>
        </w:rPr>
        <w:t xml:space="preserve"> </w:t>
      </w:r>
      <w:r w:rsidRPr="00087A72">
        <w:t>(Scott,</w:t>
      </w:r>
      <w:r w:rsidRPr="00087A72">
        <w:rPr>
          <w:rFonts w:cs="Lucida Grande"/>
          <w:color w:val="000000"/>
          <w:sz w:val="21"/>
          <w:szCs w:val="21"/>
          <w:shd w:val="clear" w:color="auto" w:fill="FFFFFF"/>
        </w:rPr>
        <w:t xml:space="preserve"> Associate Professor in Gender Studies and the Graduate Program in Cultural Studies, Graduate Coordinator for Gender Studies</w:t>
      </w:r>
      <w:r w:rsidRPr="00087A72">
        <w:rPr>
          <w:rFonts w:cs="Lucida Grande"/>
          <w:color w:val="000000"/>
          <w:sz w:val="21"/>
          <w:szCs w:val="21"/>
        </w:rPr>
        <w:t xml:space="preserve"> </w:t>
      </w:r>
      <w:r w:rsidRPr="00087A72">
        <w:rPr>
          <w:rFonts w:cs="Lucida Grande"/>
          <w:color w:val="000000"/>
          <w:sz w:val="21"/>
          <w:szCs w:val="21"/>
          <w:shd w:val="clear" w:color="auto" w:fill="FFFFFF"/>
        </w:rPr>
        <w:t>Ethnography of social movements; anti-racism and anti-colonialism within queer and feminist politics; white settler colonialism; transnational HIV/AIDS activism “ Spaces Between Us” pp 58-64) (Tsar Adam.k)</w:t>
      </w:r>
    </w:p>
    <w:p w:rsidR="00C72150" w:rsidRPr="00087A72" w:rsidRDefault="00C72150" w:rsidP="00C72150"/>
    <w:p w:rsidR="00C72150" w:rsidRPr="00087A72" w:rsidRDefault="00C72150" w:rsidP="00C72150">
      <w:pPr>
        <w:rPr>
          <w:sz w:val="16"/>
          <w:szCs w:val="16"/>
        </w:rPr>
      </w:pPr>
      <w:r w:rsidRPr="00087A72">
        <w:rPr>
          <w:rStyle w:val="Emphasis"/>
        </w:rPr>
        <w:t>MODERN SEXUALITY ARISES IN SETTLER SOCIETIES as a function of the biopolitics of settler colonialism.</w:t>
      </w:r>
      <w:r w:rsidRPr="00087A72">
        <w:rPr>
          <w:sz w:val="16"/>
          <w:szCs w:val="16"/>
        </w:rPr>
        <w:t xml:space="preserve"> </w:t>
      </w:r>
      <w:r w:rsidRPr="00087A72">
        <w:rPr>
          <w:spacing w:val="3"/>
          <w:sz w:val="16"/>
          <w:szCs w:val="16"/>
        </w:rPr>
        <w:t xml:space="preserve">In </w:t>
      </w:r>
      <w:r w:rsidRPr="00087A72">
        <w:rPr>
          <w:rStyle w:val="Emphasis"/>
        </w:rPr>
        <w:t>the United States,</w:t>
      </w:r>
      <w:r w:rsidRPr="00087A72">
        <w:rPr>
          <w:sz w:val="16"/>
          <w:szCs w:val="16"/>
        </w:rPr>
        <w:t xml:space="preserve"> the sexual </w:t>
      </w:r>
      <w:r w:rsidRPr="00087A72">
        <w:rPr>
          <w:spacing w:val="3"/>
          <w:sz w:val="16"/>
          <w:szCs w:val="16"/>
        </w:rPr>
        <w:t xml:space="preserve">colonization </w:t>
      </w:r>
      <w:r w:rsidRPr="00087A72">
        <w:rPr>
          <w:spacing w:val="5"/>
          <w:sz w:val="16"/>
          <w:szCs w:val="16"/>
        </w:rPr>
        <w:t xml:space="preserve">of </w:t>
      </w:r>
      <w:r w:rsidRPr="00087A72">
        <w:rPr>
          <w:sz w:val="16"/>
          <w:szCs w:val="16"/>
        </w:rPr>
        <w:t xml:space="preserve">Native </w:t>
      </w:r>
      <w:r w:rsidRPr="00087A72">
        <w:rPr>
          <w:spacing w:val="3"/>
          <w:sz w:val="16"/>
          <w:szCs w:val="16"/>
        </w:rPr>
        <w:t xml:space="preserve">peoples </w:t>
      </w:r>
      <w:r w:rsidRPr="00087A72">
        <w:rPr>
          <w:spacing w:val="2"/>
          <w:sz w:val="16"/>
          <w:szCs w:val="16"/>
        </w:rPr>
        <w:t xml:space="preserve">produced modern </w:t>
      </w:r>
      <w:r w:rsidRPr="00087A72">
        <w:rPr>
          <w:sz w:val="16"/>
          <w:szCs w:val="16"/>
        </w:rPr>
        <w:t xml:space="preserve">sexuality as </w:t>
      </w:r>
      <w:r w:rsidRPr="00087A72">
        <w:rPr>
          <w:rStyle w:val="Emphasis"/>
        </w:rPr>
        <w:t>"settler sexuality": a white and national heteronormativity formed by regulating Native sexuality and gender</w:t>
      </w:r>
      <w:r w:rsidRPr="00087A72">
        <w:rPr>
          <w:spacing w:val="2"/>
          <w:sz w:val="16"/>
          <w:szCs w:val="16"/>
        </w:rPr>
        <w:t xml:space="preserve"> </w:t>
      </w:r>
      <w:r w:rsidRPr="00087A72">
        <w:rPr>
          <w:sz w:val="16"/>
          <w:szCs w:val="16"/>
        </w:rPr>
        <w:t xml:space="preserve">while appearing to supplant </w:t>
      </w:r>
      <w:r w:rsidRPr="00087A72">
        <w:rPr>
          <w:spacing w:val="2"/>
          <w:sz w:val="16"/>
          <w:szCs w:val="16"/>
        </w:rPr>
        <w:t xml:space="preserve">them </w:t>
      </w:r>
      <w:r w:rsidRPr="00087A72">
        <w:rPr>
          <w:sz w:val="16"/>
          <w:szCs w:val="16"/>
        </w:rPr>
        <w:t xml:space="preserve">with the sexual modernity </w:t>
      </w:r>
      <w:r w:rsidRPr="00087A72">
        <w:rPr>
          <w:spacing w:val="5"/>
          <w:sz w:val="16"/>
          <w:szCs w:val="16"/>
        </w:rPr>
        <w:t xml:space="preserve">of </w:t>
      </w:r>
      <w:r w:rsidRPr="00087A72">
        <w:rPr>
          <w:sz w:val="16"/>
          <w:szCs w:val="16"/>
        </w:rPr>
        <w:t xml:space="preserve">settlers. </w:t>
      </w:r>
      <w:r w:rsidRPr="00087A72">
        <w:rPr>
          <w:spacing w:val="4"/>
          <w:sz w:val="16"/>
          <w:szCs w:val="16"/>
        </w:rPr>
        <w:t xml:space="preserve">Queer </w:t>
      </w:r>
      <w:r w:rsidRPr="00087A72">
        <w:rPr>
          <w:sz w:val="16"/>
          <w:szCs w:val="16"/>
        </w:rPr>
        <w:t xml:space="preserve">modernities </w:t>
      </w:r>
      <w:r w:rsidRPr="00087A72">
        <w:rPr>
          <w:spacing w:val="-3"/>
          <w:sz w:val="16"/>
          <w:szCs w:val="16"/>
        </w:rPr>
        <w:t xml:space="preserve">in </w:t>
      </w:r>
      <w:r w:rsidRPr="00087A72">
        <w:rPr>
          <w:sz w:val="16"/>
          <w:szCs w:val="16"/>
        </w:rPr>
        <w:t xml:space="preserve">a settler </w:t>
      </w:r>
      <w:r w:rsidRPr="00087A72">
        <w:rPr>
          <w:spacing w:val="2"/>
          <w:sz w:val="16"/>
          <w:szCs w:val="16"/>
        </w:rPr>
        <w:t xml:space="preserve">society </w:t>
      </w:r>
      <w:r w:rsidRPr="00087A72">
        <w:rPr>
          <w:sz w:val="16"/>
          <w:szCs w:val="16"/>
        </w:rPr>
        <w:t xml:space="preserve">are </w:t>
      </w:r>
      <w:r w:rsidRPr="00087A72">
        <w:rPr>
          <w:spacing w:val="2"/>
          <w:sz w:val="16"/>
          <w:szCs w:val="16"/>
        </w:rPr>
        <w:t xml:space="preserve">produced </w:t>
      </w:r>
      <w:r w:rsidRPr="00087A72">
        <w:rPr>
          <w:spacing w:val="-3"/>
          <w:sz w:val="16"/>
          <w:szCs w:val="16"/>
        </w:rPr>
        <w:t xml:space="preserve">in </w:t>
      </w:r>
      <w:r w:rsidRPr="00087A72">
        <w:rPr>
          <w:spacing w:val="3"/>
          <w:sz w:val="16"/>
          <w:szCs w:val="16"/>
        </w:rPr>
        <w:t xml:space="preserve">contextual </w:t>
      </w:r>
      <w:r w:rsidRPr="00087A72">
        <w:rPr>
          <w:sz w:val="16"/>
          <w:szCs w:val="16"/>
        </w:rPr>
        <w:t xml:space="preserve">relationship to the settler </w:t>
      </w:r>
      <w:r w:rsidRPr="00087A72">
        <w:rPr>
          <w:spacing w:val="2"/>
          <w:sz w:val="16"/>
          <w:szCs w:val="16"/>
        </w:rPr>
        <w:t xml:space="preserve">colonial conditions </w:t>
      </w:r>
      <w:r w:rsidRPr="00087A72">
        <w:rPr>
          <w:spacing w:val="5"/>
          <w:sz w:val="16"/>
          <w:szCs w:val="16"/>
        </w:rPr>
        <w:t xml:space="preserve">of </w:t>
      </w:r>
      <w:r w:rsidRPr="00087A72">
        <w:rPr>
          <w:spacing w:val="2"/>
          <w:sz w:val="16"/>
          <w:szCs w:val="16"/>
        </w:rPr>
        <w:t>modern</w:t>
      </w:r>
      <w:r w:rsidRPr="00087A72">
        <w:rPr>
          <w:spacing w:val="-43"/>
          <w:sz w:val="16"/>
          <w:szCs w:val="16"/>
        </w:rPr>
        <w:t xml:space="preserve"> </w:t>
      </w:r>
      <w:r w:rsidRPr="00087A72">
        <w:rPr>
          <w:sz w:val="16"/>
          <w:szCs w:val="16"/>
        </w:rPr>
        <w:t xml:space="preserve">sexuality. </w:t>
      </w:r>
      <w:r w:rsidRPr="00087A72">
        <w:rPr>
          <w:rStyle w:val="Emphasis"/>
        </w:rPr>
        <w:t>White settlers promulgating colonial heteropatriarchy queered Native peoples and all racialized subject populations for elimination and regulation by the biopolitics of settler colonialism</w:t>
      </w:r>
      <w:r w:rsidRPr="00087A72">
        <w:rPr>
          <w:rStyle w:val="Emphasis"/>
          <w:sz w:val="16"/>
          <w:szCs w:val="16"/>
        </w:rPr>
        <w:t>.</w:t>
      </w:r>
      <w:r w:rsidRPr="00087A72">
        <w:rPr>
          <w:sz w:val="16"/>
          <w:szCs w:val="16"/>
        </w:rPr>
        <w:t xml:space="preserve"> </w:t>
      </w:r>
      <w:r w:rsidRPr="00087A72">
        <w:rPr>
          <w:spacing w:val="-3"/>
          <w:sz w:val="16"/>
          <w:szCs w:val="16"/>
        </w:rPr>
        <w:t xml:space="preserve">Achille </w:t>
      </w:r>
      <w:r w:rsidRPr="00087A72">
        <w:rPr>
          <w:sz w:val="16"/>
          <w:szCs w:val="16"/>
        </w:rPr>
        <w:t xml:space="preserve">Mbembe has adapted Giorgio Agamben's </w:t>
      </w:r>
      <w:r w:rsidRPr="00087A72">
        <w:rPr>
          <w:spacing w:val="4"/>
          <w:sz w:val="16"/>
          <w:szCs w:val="16"/>
        </w:rPr>
        <w:t xml:space="preserve">account </w:t>
      </w:r>
      <w:r w:rsidRPr="00087A72">
        <w:rPr>
          <w:spacing w:val="5"/>
          <w:sz w:val="16"/>
          <w:szCs w:val="16"/>
        </w:rPr>
        <w:t xml:space="preserve">of </w:t>
      </w:r>
      <w:r w:rsidRPr="00087A72">
        <w:rPr>
          <w:sz w:val="16"/>
          <w:szCs w:val="16"/>
        </w:rPr>
        <w:t xml:space="preserve">biopower to </w:t>
      </w:r>
      <w:r w:rsidRPr="00087A72">
        <w:rPr>
          <w:spacing w:val="2"/>
          <w:sz w:val="16"/>
          <w:szCs w:val="16"/>
        </w:rPr>
        <w:t xml:space="preserve">colonial </w:t>
      </w:r>
      <w:r w:rsidRPr="00087A72">
        <w:rPr>
          <w:sz w:val="16"/>
          <w:szCs w:val="16"/>
        </w:rPr>
        <w:t xml:space="preserve">situations </w:t>
      </w:r>
      <w:r w:rsidRPr="00087A72">
        <w:rPr>
          <w:spacing w:val="-8"/>
          <w:sz w:val="16"/>
          <w:szCs w:val="16"/>
        </w:rPr>
        <w:t xml:space="preserve">by </w:t>
      </w:r>
      <w:r w:rsidRPr="00087A72">
        <w:rPr>
          <w:sz w:val="16"/>
          <w:szCs w:val="16"/>
        </w:rPr>
        <w:t xml:space="preserve">explaining </w:t>
      </w:r>
      <w:r w:rsidRPr="00087A72">
        <w:rPr>
          <w:spacing w:val="2"/>
          <w:sz w:val="16"/>
          <w:szCs w:val="16"/>
        </w:rPr>
        <w:t xml:space="preserve">colonial </w:t>
      </w:r>
      <w:r w:rsidRPr="00087A72">
        <w:rPr>
          <w:sz w:val="16"/>
          <w:szCs w:val="16"/>
        </w:rPr>
        <w:t xml:space="preserve">rule as "necropolitics," </w:t>
      </w:r>
      <w:r w:rsidRPr="00087A72">
        <w:rPr>
          <w:spacing w:val="5"/>
          <w:sz w:val="16"/>
          <w:szCs w:val="16"/>
        </w:rPr>
        <w:t xml:space="preserve">or </w:t>
      </w:r>
      <w:r w:rsidRPr="00087A72">
        <w:rPr>
          <w:sz w:val="16"/>
          <w:szCs w:val="16"/>
        </w:rPr>
        <w:t xml:space="preserve">a positioning </w:t>
      </w:r>
      <w:r w:rsidRPr="00087A72">
        <w:rPr>
          <w:spacing w:val="5"/>
          <w:sz w:val="16"/>
          <w:szCs w:val="16"/>
        </w:rPr>
        <w:t xml:space="preserve">of </w:t>
      </w:r>
      <w:r w:rsidRPr="00087A72">
        <w:rPr>
          <w:sz w:val="16"/>
          <w:szCs w:val="16"/>
        </w:rPr>
        <w:t xml:space="preserve">the space-time </w:t>
      </w:r>
      <w:r w:rsidRPr="00087A72">
        <w:rPr>
          <w:spacing w:val="5"/>
          <w:sz w:val="16"/>
          <w:szCs w:val="16"/>
        </w:rPr>
        <w:t xml:space="preserve">of </w:t>
      </w:r>
      <w:r w:rsidRPr="00087A72">
        <w:rPr>
          <w:sz w:val="16"/>
          <w:szCs w:val="16"/>
        </w:rPr>
        <w:t xml:space="preserve">the </w:t>
      </w:r>
      <w:r w:rsidRPr="00087A72">
        <w:rPr>
          <w:spacing w:val="4"/>
          <w:sz w:val="16"/>
          <w:szCs w:val="16"/>
        </w:rPr>
        <w:t xml:space="preserve">colony </w:t>
      </w:r>
      <w:r w:rsidRPr="00087A72">
        <w:rPr>
          <w:spacing w:val="-3"/>
          <w:sz w:val="16"/>
          <w:szCs w:val="16"/>
        </w:rPr>
        <w:t xml:space="preserve">in </w:t>
      </w:r>
      <w:r w:rsidRPr="00087A72">
        <w:rPr>
          <w:sz w:val="16"/>
          <w:szCs w:val="16"/>
        </w:rPr>
        <w:t xml:space="preserve">a state </w:t>
      </w:r>
      <w:r w:rsidRPr="00087A72">
        <w:rPr>
          <w:spacing w:val="5"/>
          <w:sz w:val="16"/>
          <w:szCs w:val="16"/>
        </w:rPr>
        <w:t xml:space="preserve">of </w:t>
      </w:r>
      <w:r w:rsidRPr="00087A72">
        <w:rPr>
          <w:spacing w:val="3"/>
          <w:sz w:val="16"/>
          <w:szCs w:val="16"/>
        </w:rPr>
        <w:t xml:space="preserve">exception </w:t>
      </w:r>
      <w:r w:rsidRPr="00087A72">
        <w:rPr>
          <w:sz w:val="16"/>
          <w:szCs w:val="16"/>
        </w:rPr>
        <w:t xml:space="preserve">to Western imperial </w:t>
      </w:r>
      <w:r w:rsidRPr="00087A72">
        <w:rPr>
          <w:spacing w:val="-3"/>
          <w:sz w:val="16"/>
          <w:szCs w:val="16"/>
        </w:rPr>
        <w:t xml:space="preserve">rule.' </w:t>
      </w:r>
      <w:r w:rsidRPr="00087A72">
        <w:rPr>
          <w:sz w:val="16"/>
          <w:szCs w:val="16"/>
        </w:rPr>
        <w:t xml:space="preserve">Mbembe invites revisiting the racialization and sexualization </w:t>
      </w:r>
      <w:r w:rsidRPr="00087A72">
        <w:rPr>
          <w:spacing w:val="5"/>
          <w:sz w:val="16"/>
          <w:szCs w:val="16"/>
        </w:rPr>
        <w:t xml:space="preserve">of </w:t>
      </w:r>
      <w:r w:rsidRPr="00087A72">
        <w:rPr>
          <w:spacing w:val="2"/>
          <w:sz w:val="16"/>
          <w:szCs w:val="16"/>
        </w:rPr>
        <w:t xml:space="preserve">colonial </w:t>
      </w:r>
      <w:r w:rsidRPr="00087A72">
        <w:rPr>
          <w:sz w:val="16"/>
          <w:szCs w:val="16"/>
        </w:rPr>
        <w:t xml:space="preserve">situations, including </w:t>
      </w:r>
      <w:r w:rsidRPr="00087A72">
        <w:rPr>
          <w:spacing w:val="-3"/>
          <w:sz w:val="16"/>
          <w:szCs w:val="16"/>
        </w:rPr>
        <w:t xml:space="preserve">in </w:t>
      </w:r>
      <w:r w:rsidRPr="00087A72">
        <w:rPr>
          <w:sz w:val="16"/>
          <w:szCs w:val="16"/>
        </w:rPr>
        <w:t xml:space="preserve">white settler societies </w:t>
      </w:r>
      <w:r w:rsidRPr="00087A72">
        <w:rPr>
          <w:spacing w:val="-3"/>
          <w:sz w:val="16"/>
          <w:szCs w:val="16"/>
        </w:rPr>
        <w:t xml:space="preserve">in </w:t>
      </w:r>
      <w:r w:rsidRPr="00087A72">
        <w:rPr>
          <w:sz w:val="16"/>
          <w:szCs w:val="16"/>
        </w:rPr>
        <w:t>the Americas that formed multiracial</w:t>
      </w:r>
      <w:r w:rsidRPr="00087A72">
        <w:rPr>
          <w:spacing w:val="-1"/>
          <w:sz w:val="16"/>
          <w:szCs w:val="16"/>
        </w:rPr>
        <w:t xml:space="preserve"> </w:t>
      </w:r>
      <w:r w:rsidRPr="00087A72">
        <w:rPr>
          <w:sz w:val="16"/>
          <w:szCs w:val="16"/>
        </w:rPr>
        <w:t xml:space="preserve">societies from the transatlantic </w:t>
      </w:r>
      <w:r w:rsidRPr="00087A72">
        <w:rPr>
          <w:spacing w:val="-3"/>
          <w:sz w:val="16"/>
          <w:szCs w:val="16"/>
        </w:rPr>
        <w:t xml:space="preserve">slave </w:t>
      </w:r>
      <w:r w:rsidRPr="00087A72">
        <w:rPr>
          <w:spacing w:val="2"/>
          <w:sz w:val="16"/>
          <w:szCs w:val="16"/>
        </w:rPr>
        <w:t xml:space="preserve">trade, </w:t>
      </w:r>
      <w:r w:rsidRPr="00087A72">
        <w:rPr>
          <w:spacing w:val="3"/>
          <w:sz w:val="16"/>
          <w:szCs w:val="16"/>
        </w:rPr>
        <w:t xml:space="preserve">colonized </w:t>
      </w:r>
      <w:r w:rsidRPr="00087A72">
        <w:rPr>
          <w:spacing w:val="2"/>
          <w:sz w:val="16"/>
          <w:szCs w:val="16"/>
        </w:rPr>
        <w:t xml:space="preserve">indentured labor, </w:t>
      </w:r>
      <w:r w:rsidRPr="00087A72">
        <w:rPr>
          <w:sz w:val="16"/>
          <w:szCs w:val="16"/>
        </w:rPr>
        <w:t xml:space="preserve">and </w:t>
      </w:r>
      <w:r w:rsidRPr="00087A72">
        <w:rPr>
          <w:spacing w:val="2"/>
          <w:sz w:val="16"/>
          <w:szCs w:val="16"/>
        </w:rPr>
        <w:t xml:space="preserve">genocidal control </w:t>
      </w:r>
      <w:r w:rsidRPr="00087A72">
        <w:rPr>
          <w:spacing w:val="5"/>
          <w:sz w:val="16"/>
          <w:szCs w:val="16"/>
        </w:rPr>
        <w:t xml:space="preserve">of </w:t>
      </w:r>
      <w:r w:rsidRPr="00087A72">
        <w:rPr>
          <w:spacing w:val="2"/>
          <w:sz w:val="16"/>
          <w:szCs w:val="16"/>
        </w:rPr>
        <w:t xml:space="preserve">Indigenous </w:t>
      </w:r>
      <w:r w:rsidRPr="00087A72">
        <w:rPr>
          <w:spacing w:val="3"/>
          <w:sz w:val="16"/>
          <w:szCs w:val="16"/>
        </w:rPr>
        <w:t xml:space="preserve">peoples under </w:t>
      </w:r>
      <w:r w:rsidRPr="00087A72">
        <w:rPr>
          <w:sz w:val="16"/>
          <w:szCs w:val="16"/>
        </w:rPr>
        <w:t xml:space="preserve">European settlement. </w:t>
      </w:r>
      <w:r w:rsidRPr="00087A72">
        <w:rPr>
          <w:spacing w:val="-5"/>
          <w:sz w:val="16"/>
          <w:szCs w:val="16"/>
        </w:rPr>
        <w:t xml:space="preserve">However, </w:t>
      </w:r>
      <w:r w:rsidRPr="00087A72">
        <w:rPr>
          <w:sz w:val="16"/>
          <w:szCs w:val="16"/>
        </w:rPr>
        <w:t xml:space="preserve">to pursue </w:t>
      </w:r>
      <w:r w:rsidRPr="00087A72">
        <w:rPr>
          <w:spacing w:val="-4"/>
          <w:sz w:val="16"/>
          <w:szCs w:val="16"/>
        </w:rPr>
        <w:t xml:space="preserve">such </w:t>
      </w:r>
      <w:r w:rsidRPr="00087A72">
        <w:rPr>
          <w:sz w:val="16"/>
          <w:szCs w:val="16"/>
        </w:rPr>
        <w:t xml:space="preserve">an </w:t>
      </w:r>
      <w:r w:rsidRPr="00087A72">
        <w:rPr>
          <w:spacing w:val="4"/>
          <w:sz w:val="16"/>
          <w:szCs w:val="16"/>
        </w:rPr>
        <w:t xml:space="preserve">account, </w:t>
      </w:r>
      <w:r w:rsidRPr="00087A72">
        <w:rPr>
          <w:sz w:val="16"/>
          <w:szCs w:val="16"/>
        </w:rPr>
        <w:t xml:space="preserve">scholars </w:t>
      </w:r>
      <w:r w:rsidRPr="00087A72">
        <w:rPr>
          <w:spacing w:val="-3"/>
          <w:sz w:val="16"/>
          <w:szCs w:val="16"/>
        </w:rPr>
        <w:t xml:space="preserve">must </w:t>
      </w:r>
      <w:r w:rsidRPr="00087A72">
        <w:rPr>
          <w:sz w:val="16"/>
          <w:szCs w:val="16"/>
        </w:rPr>
        <w:t xml:space="preserve">explain </w:t>
      </w:r>
      <w:r w:rsidRPr="00087A72">
        <w:rPr>
          <w:spacing w:val="-3"/>
          <w:sz w:val="16"/>
          <w:szCs w:val="16"/>
        </w:rPr>
        <w:t xml:space="preserve">how </w:t>
      </w:r>
      <w:r w:rsidRPr="00087A72">
        <w:rPr>
          <w:sz w:val="16"/>
          <w:szCs w:val="16"/>
        </w:rPr>
        <w:t xml:space="preserve">the </w:t>
      </w:r>
      <w:r w:rsidRPr="00087A72">
        <w:rPr>
          <w:spacing w:val="4"/>
          <w:sz w:val="16"/>
          <w:szCs w:val="16"/>
        </w:rPr>
        <w:t xml:space="preserve">colony </w:t>
      </w:r>
      <w:r w:rsidRPr="00087A72">
        <w:rPr>
          <w:spacing w:val="3"/>
          <w:sz w:val="16"/>
          <w:szCs w:val="16"/>
        </w:rPr>
        <w:t xml:space="preserve">comes </w:t>
      </w:r>
      <w:r w:rsidRPr="00087A72">
        <w:rPr>
          <w:sz w:val="16"/>
          <w:szCs w:val="16"/>
        </w:rPr>
        <w:t xml:space="preserve">to be </w:t>
      </w:r>
      <w:r w:rsidRPr="00087A72">
        <w:rPr>
          <w:spacing w:val="3"/>
          <w:sz w:val="16"/>
          <w:szCs w:val="16"/>
        </w:rPr>
        <w:t xml:space="preserve">located </w:t>
      </w:r>
      <w:r w:rsidRPr="00087A72">
        <w:rPr>
          <w:spacing w:val="-3"/>
          <w:sz w:val="16"/>
          <w:szCs w:val="16"/>
        </w:rPr>
        <w:t xml:space="preserve">in </w:t>
      </w:r>
      <w:r w:rsidRPr="00087A72">
        <w:rPr>
          <w:sz w:val="16"/>
          <w:szCs w:val="16"/>
        </w:rPr>
        <w:t xml:space="preserve">a state </w:t>
      </w:r>
      <w:r w:rsidRPr="00087A72">
        <w:rPr>
          <w:spacing w:val="5"/>
          <w:sz w:val="16"/>
          <w:szCs w:val="16"/>
        </w:rPr>
        <w:t xml:space="preserve">of </w:t>
      </w:r>
      <w:r w:rsidRPr="00087A72">
        <w:rPr>
          <w:spacing w:val="3"/>
          <w:sz w:val="16"/>
          <w:szCs w:val="16"/>
        </w:rPr>
        <w:t xml:space="preserve">exception </w:t>
      </w:r>
      <w:r w:rsidRPr="00087A72">
        <w:rPr>
          <w:spacing w:val="-3"/>
          <w:sz w:val="16"/>
          <w:szCs w:val="16"/>
        </w:rPr>
        <w:t xml:space="preserve">in </w:t>
      </w:r>
      <w:r w:rsidRPr="00087A72">
        <w:rPr>
          <w:spacing w:val="3"/>
          <w:sz w:val="16"/>
          <w:szCs w:val="16"/>
        </w:rPr>
        <w:t xml:space="preserve">context </w:t>
      </w:r>
      <w:r w:rsidRPr="00087A72">
        <w:rPr>
          <w:spacing w:val="5"/>
          <w:sz w:val="16"/>
          <w:szCs w:val="16"/>
        </w:rPr>
        <w:t xml:space="preserve">of </w:t>
      </w:r>
      <w:r w:rsidRPr="00087A72">
        <w:rPr>
          <w:sz w:val="16"/>
          <w:szCs w:val="16"/>
        </w:rPr>
        <w:t xml:space="preserve">white-supremacistsettler colonialism and the logic </w:t>
      </w:r>
      <w:r w:rsidRPr="00087A72">
        <w:rPr>
          <w:spacing w:val="5"/>
          <w:sz w:val="16"/>
          <w:szCs w:val="16"/>
        </w:rPr>
        <w:t xml:space="preserve">of </w:t>
      </w:r>
      <w:r w:rsidRPr="00087A72">
        <w:rPr>
          <w:spacing w:val="2"/>
          <w:sz w:val="16"/>
          <w:szCs w:val="16"/>
        </w:rPr>
        <w:t xml:space="preserve">Indigenous </w:t>
      </w:r>
      <w:r w:rsidRPr="00087A72">
        <w:rPr>
          <w:sz w:val="16"/>
          <w:szCs w:val="16"/>
        </w:rPr>
        <w:t xml:space="preserve">elimination. Mbembe's </w:t>
      </w:r>
      <w:r w:rsidRPr="00087A72">
        <w:rPr>
          <w:spacing w:val="4"/>
          <w:sz w:val="16"/>
          <w:szCs w:val="16"/>
        </w:rPr>
        <w:t xml:space="preserve">account </w:t>
      </w:r>
      <w:r w:rsidRPr="00087A72">
        <w:rPr>
          <w:sz w:val="16"/>
          <w:szCs w:val="16"/>
        </w:rPr>
        <w:t xml:space="preserve">limited its </w:t>
      </w:r>
      <w:r w:rsidRPr="00087A72">
        <w:rPr>
          <w:spacing w:val="-3"/>
          <w:sz w:val="16"/>
          <w:szCs w:val="16"/>
        </w:rPr>
        <w:t xml:space="preserve">analysis </w:t>
      </w:r>
      <w:r w:rsidRPr="00087A72">
        <w:rPr>
          <w:sz w:val="16"/>
          <w:szCs w:val="16"/>
        </w:rPr>
        <w:t xml:space="preserve">to </w:t>
      </w:r>
      <w:r w:rsidRPr="00087A72">
        <w:rPr>
          <w:spacing w:val="2"/>
          <w:sz w:val="16"/>
          <w:szCs w:val="16"/>
        </w:rPr>
        <w:t xml:space="preserve">modern </w:t>
      </w:r>
      <w:r w:rsidRPr="00087A72">
        <w:rPr>
          <w:sz w:val="16"/>
          <w:szCs w:val="16"/>
        </w:rPr>
        <w:t xml:space="preserve">regimes </w:t>
      </w:r>
      <w:r w:rsidRPr="00087A72">
        <w:rPr>
          <w:spacing w:val="5"/>
          <w:sz w:val="16"/>
          <w:szCs w:val="16"/>
        </w:rPr>
        <w:t xml:space="preserve">of </w:t>
      </w:r>
      <w:r w:rsidRPr="00087A72">
        <w:rPr>
          <w:spacing w:val="2"/>
          <w:sz w:val="16"/>
          <w:szCs w:val="16"/>
        </w:rPr>
        <w:t xml:space="preserve">colonial </w:t>
      </w:r>
      <w:r w:rsidRPr="00087A72">
        <w:rPr>
          <w:sz w:val="16"/>
          <w:szCs w:val="16"/>
        </w:rPr>
        <w:t xml:space="preserve">biopolitics that </w:t>
      </w:r>
      <w:r w:rsidRPr="00087A72">
        <w:rPr>
          <w:spacing w:val="-3"/>
          <w:sz w:val="16"/>
          <w:szCs w:val="16"/>
        </w:rPr>
        <w:t xml:space="preserve">arose in </w:t>
      </w:r>
      <w:r w:rsidRPr="00087A72">
        <w:rPr>
          <w:sz w:val="16"/>
          <w:szCs w:val="16"/>
        </w:rPr>
        <w:t xml:space="preserve">the </w:t>
      </w:r>
      <w:r w:rsidRPr="00087A72">
        <w:rPr>
          <w:spacing w:val="2"/>
          <w:sz w:val="16"/>
          <w:szCs w:val="16"/>
        </w:rPr>
        <w:t>nineteenth-century</w:t>
      </w:r>
      <w:r w:rsidRPr="00087A72">
        <w:rPr>
          <w:spacing w:val="28"/>
          <w:sz w:val="16"/>
          <w:szCs w:val="16"/>
        </w:rPr>
        <w:t xml:space="preserve"> </w:t>
      </w:r>
      <w:r w:rsidRPr="00087A72">
        <w:rPr>
          <w:sz w:val="16"/>
          <w:szCs w:val="16"/>
        </w:rPr>
        <w:t xml:space="preserve">European franchise colonization of Africa and Asia. As a practice that is not past but continues today, the biopolitics of settler colonialism requires speciﬁc study.' This chapter names necessary elements to such an account, narrowed to explain the settler colonial necropolitics that queered Native peoples in the Americas by targeting modes of embodiment, desire, and kinship that Native queer and Two-Spirit people reclaim as their and their peoples' histories. I argue that the biopolitics </w:t>
      </w:r>
      <w:r w:rsidRPr="00087A72">
        <w:rPr>
          <w:spacing w:val="5"/>
          <w:sz w:val="16"/>
          <w:szCs w:val="16"/>
        </w:rPr>
        <w:t xml:space="preserve">of </w:t>
      </w:r>
      <w:r w:rsidRPr="00087A72">
        <w:rPr>
          <w:sz w:val="16"/>
          <w:szCs w:val="16"/>
        </w:rPr>
        <w:t xml:space="preserve">settler colonialism </w:t>
      </w:r>
      <w:r w:rsidRPr="00087A72">
        <w:rPr>
          <w:spacing w:val="2"/>
          <w:sz w:val="16"/>
          <w:szCs w:val="16"/>
        </w:rPr>
        <w:t xml:space="preserve">produces </w:t>
      </w:r>
      <w:r w:rsidRPr="00087A72">
        <w:rPr>
          <w:sz w:val="16"/>
          <w:szCs w:val="16"/>
        </w:rPr>
        <w:t xml:space="preserve">settler sexuality as the </w:t>
      </w:r>
      <w:r w:rsidRPr="00087A72">
        <w:rPr>
          <w:spacing w:val="3"/>
          <w:sz w:val="16"/>
          <w:szCs w:val="16"/>
        </w:rPr>
        <w:t xml:space="preserve">context </w:t>
      </w:r>
      <w:r w:rsidRPr="00087A72">
        <w:rPr>
          <w:sz w:val="16"/>
          <w:szCs w:val="16"/>
        </w:rPr>
        <w:t xml:space="preserve">traversed </w:t>
      </w:r>
      <w:r w:rsidRPr="00087A72">
        <w:rPr>
          <w:spacing w:val="-8"/>
          <w:sz w:val="16"/>
          <w:szCs w:val="16"/>
        </w:rPr>
        <w:t xml:space="preserve">by </w:t>
      </w:r>
      <w:r w:rsidRPr="00087A72">
        <w:rPr>
          <w:sz w:val="16"/>
          <w:szCs w:val="16"/>
        </w:rPr>
        <w:t xml:space="preserve">non-Native and Native </w:t>
      </w:r>
      <w:r w:rsidRPr="00087A72">
        <w:rPr>
          <w:spacing w:val="3"/>
          <w:sz w:val="16"/>
          <w:szCs w:val="16"/>
        </w:rPr>
        <w:t xml:space="preserve">people </w:t>
      </w:r>
      <w:r w:rsidRPr="00087A72">
        <w:rPr>
          <w:sz w:val="16"/>
          <w:szCs w:val="16"/>
        </w:rPr>
        <w:t xml:space="preserve">formulating </w:t>
      </w:r>
      <w:r w:rsidRPr="00087A72">
        <w:rPr>
          <w:spacing w:val="4"/>
          <w:sz w:val="16"/>
          <w:szCs w:val="16"/>
        </w:rPr>
        <w:t xml:space="preserve">queer </w:t>
      </w:r>
      <w:r w:rsidRPr="00087A72">
        <w:rPr>
          <w:sz w:val="16"/>
          <w:szCs w:val="16"/>
        </w:rPr>
        <w:t xml:space="preserve">modernities. </w:t>
      </w:r>
      <w:r w:rsidRPr="00087A72">
        <w:rPr>
          <w:rStyle w:val="Emphasis"/>
        </w:rPr>
        <w:t>The queering of Native peoples defined not only settler sexuality, broadly, but also the deﬁnition of queer subjects among white settlers</w:t>
      </w:r>
      <w:r w:rsidRPr="00087A72">
        <w:rPr>
          <w:sz w:val="16"/>
          <w:szCs w:val="16"/>
        </w:rPr>
        <w:t xml:space="preserve">: as a </w:t>
      </w:r>
      <w:r w:rsidRPr="00087A72">
        <w:rPr>
          <w:spacing w:val="-3"/>
          <w:sz w:val="16"/>
          <w:szCs w:val="16"/>
        </w:rPr>
        <w:t xml:space="preserve">primitive, </w:t>
      </w:r>
      <w:r w:rsidRPr="00087A72">
        <w:rPr>
          <w:sz w:val="16"/>
          <w:szCs w:val="16"/>
        </w:rPr>
        <w:t xml:space="preserve">racialized sexual </w:t>
      </w:r>
      <w:r w:rsidRPr="00087A72">
        <w:rPr>
          <w:spacing w:val="-3"/>
          <w:sz w:val="16"/>
          <w:szCs w:val="16"/>
        </w:rPr>
        <w:t xml:space="preserve">margin </w:t>
      </w:r>
      <w:r w:rsidRPr="00087A72">
        <w:rPr>
          <w:sz w:val="16"/>
          <w:szCs w:val="16"/>
        </w:rPr>
        <w:t xml:space="preserve">akin to what white settlers attempted to </w:t>
      </w:r>
      <w:r w:rsidRPr="00087A72">
        <w:rPr>
          <w:spacing w:val="4"/>
          <w:sz w:val="16"/>
          <w:szCs w:val="16"/>
        </w:rPr>
        <w:t xml:space="preserve">conquer </w:t>
      </w:r>
      <w:r w:rsidRPr="00087A72">
        <w:rPr>
          <w:sz w:val="16"/>
          <w:szCs w:val="16"/>
        </w:rPr>
        <w:t xml:space="preserve">among Natives. When </w:t>
      </w:r>
      <w:r w:rsidRPr="00087A72">
        <w:rPr>
          <w:spacing w:val="4"/>
          <w:sz w:val="16"/>
          <w:szCs w:val="16"/>
        </w:rPr>
        <w:t xml:space="preserve">queer </w:t>
      </w:r>
      <w:r w:rsidRPr="00087A72">
        <w:rPr>
          <w:sz w:val="16"/>
          <w:szCs w:val="16"/>
        </w:rPr>
        <w:t xml:space="preserve">white settlers </w:t>
      </w:r>
      <w:r w:rsidRPr="00087A72">
        <w:rPr>
          <w:spacing w:val="2"/>
          <w:sz w:val="16"/>
          <w:szCs w:val="16"/>
        </w:rPr>
        <w:t xml:space="preserve">reversed </w:t>
      </w:r>
      <w:r w:rsidRPr="00087A72">
        <w:rPr>
          <w:spacing w:val="-4"/>
          <w:sz w:val="16"/>
          <w:szCs w:val="16"/>
        </w:rPr>
        <w:t xml:space="preserve">such </w:t>
      </w:r>
      <w:r w:rsidRPr="00087A72">
        <w:rPr>
          <w:sz w:val="16"/>
          <w:szCs w:val="16"/>
        </w:rPr>
        <w:t xml:space="preserve">discourses- notably </w:t>
      </w:r>
      <w:r w:rsidRPr="00087A72">
        <w:rPr>
          <w:spacing w:val="-8"/>
          <w:sz w:val="16"/>
          <w:szCs w:val="16"/>
        </w:rPr>
        <w:t xml:space="preserve">by </w:t>
      </w:r>
      <w:r w:rsidRPr="00087A72">
        <w:rPr>
          <w:sz w:val="16"/>
          <w:szCs w:val="16"/>
        </w:rPr>
        <w:t xml:space="preserve">laying claim to the </w:t>
      </w:r>
      <w:r w:rsidRPr="00087A72">
        <w:rPr>
          <w:spacing w:val="2"/>
          <w:sz w:val="16"/>
          <w:szCs w:val="16"/>
        </w:rPr>
        <w:t xml:space="preserve">colonial </w:t>
      </w:r>
      <w:r w:rsidRPr="00087A72">
        <w:rPr>
          <w:spacing w:val="3"/>
          <w:sz w:val="16"/>
          <w:szCs w:val="16"/>
        </w:rPr>
        <w:t xml:space="preserve">object </w:t>
      </w:r>
      <w:r w:rsidRPr="00087A72">
        <w:rPr>
          <w:sz w:val="16"/>
          <w:szCs w:val="16"/>
        </w:rPr>
        <w:t xml:space="preserve">berdache3-they argued their inclusion </w:t>
      </w:r>
      <w:r w:rsidRPr="00087A72">
        <w:rPr>
          <w:spacing w:val="-3"/>
          <w:sz w:val="16"/>
          <w:szCs w:val="16"/>
        </w:rPr>
        <w:t xml:space="preserve">in </w:t>
      </w:r>
      <w:r w:rsidRPr="00087A72">
        <w:rPr>
          <w:sz w:val="16"/>
          <w:szCs w:val="16"/>
        </w:rPr>
        <w:t xml:space="preserve">settler </w:t>
      </w:r>
      <w:r w:rsidRPr="00087A72">
        <w:rPr>
          <w:spacing w:val="2"/>
          <w:sz w:val="16"/>
          <w:szCs w:val="16"/>
        </w:rPr>
        <w:t xml:space="preserve">society </w:t>
      </w:r>
      <w:r w:rsidRPr="00087A72">
        <w:rPr>
          <w:spacing w:val="-8"/>
          <w:sz w:val="16"/>
          <w:szCs w:val="16"/>
        </w:rPr>
        <w:t xml:space="preserve">by </w:t>
      </w:r>
      <w:r w:rsidRPr="00087A72">
        <w:rPr>
          <w:sz w:val="16"/>
          <w:szCs w:val="16"/>
        </w:rPr>
        <w:t xml:space="preserve">traversing normative paths to settler </w:t>
      </w:r>
      <w:r w:rsidRPr="00087A72">
        <w:rPr>
          <w:spacing w:val="-3"/>
          <w:sz w:val="16"/>
          <w:szCs w:val="16"/>
        </w:rPr>
        <w:t xml:space="preserve">citizenship, which </w:t>
      </w:r>
      <w:r w:rsidRPr="00087A72">
        <w:rPr>
          <w:spacing w:val="3"/>
          <w:sz w:val="16"/>
          <w:szCs w:val="16"/>
        </w:rPr>
        <w:t xml:space="preserve">incorporate </w:t>
      </w:r>
      <w:r w:rsidRPr="00087A72">
        <w:rPr>
          <w:sz w:val="16"/>
          <w:szCs w:val="16"/>
        </w:rPr>
        <w:t xml:space="preserve">and transcend ties to Native roots to achieve national belonging. Non-Native </w:t>
      </w:r>
      <w:r w:rsidRPr="00087A72">
        <w:rPr>
          <w:spacing w:val="4"/>
          <w:sz w:val="16"/>
          <w:szCs w:val="16"/>
        </w:rPr>
        <w:t xml:space="preserve">queer </w:t>
      </w:r>
      <w:r w:rsidRPr="00087A72">
        <w:rPr>
          <w:sz w:val="16"/>
          <w:szCs w:val="16"/>
        </w:rPr>
        <w:t xml:space="preserve">modernities form </w:t>
      </w:r>
      <w:r w:rsidRPr="00087A72">
        <w:rPr>
          <w:spacing w:val="-8"/>
          <w:sz w:val="16"/>
          <w:szCs w:val="16"/>
        </w:rPr>
        <w:t xml:space="preserve">by </w:t>
      </w:r>
      <w:r w:rsidRPr="00087A72">
        <w:rPr>
          <w:sz w:val="16"/>
          <w:szCs w:val="16"/>
        </w:rPr>
        <w:t xml:space="preserve">gathering a multiracial, transnational </w:t>
      </w:r>
      <w:r w:rsidRPr="00087A72">
        <w:rPr>
          <w:spacing w:val="2"/>
          <w:sz w:val="16"/>
          <w:szCs w:val="16"/>
        </w:rPr>
        <w:t xml:space="preserve">constituency </w:t>
      </w:r>
      <w:r w:rsidRPr="00087A72">
        <w:rPr>
          <w:sz w:val="16"/>
          <w:szCs w:val="16"/>
        </w:rPr>
        <w:t xml:space="preserve">as a diversity that exists </w:t>
      </w:r>
      <w:r w:rsidRPr="00087A72">
        <w:rPr>
          <w:spacing w:val="-3"/>
          <w:sz w:val="16"/>
          <w:szCs w:val="16"/>
        </w:rPr>
        <w:t xml:space="preserve">in </w:t>
      </w:r>
      <w:r w:rsidRPr="00087A72">
        <w:rPr>
          <w:sz w:val="16"/>
          <w:szCs w:val="16"/>
        </w:rPr>
        <w:t xml:space="preserve">a non-Native relationship to disappearing </w:t>
      </w:r>
      <w:r w:rsidRPr="00087A72">
        <w:rPr>
          <w:spacing w:val="-3"/>
          <w:sz w:val="16"/>
          <w:szCs w:val="16"/>
        </w:rPr>
        <w:t xml:space="preserve">indigeneity. </w:t>
      </w:r>
      <w:r w:rsidRPr="00087A72">
        <w:rPr>
          <w:spacing w:val="-7"/>
          <w:sz w:val="16"/>
          <w:szCs w:val="16"/>
        </w:rPr>
        <w:t xml:space="preserve">Yet, </w:t>
      </w:r>
      <w:r w:rsidRPr="00087A72">
        <w:rPr>
          <w:sz w:val="16"/>
          <w:szCs w:val="16"/>
        </w:rPr>
        <w:t xml:space="preserve">narrating Native disappearance distinguishes non-Native </w:t>
      </w:r>
      <w:r w:rsidRPr="00087A72">
        <w:rPr>
          <w:spacing w:val="4"/>
          <w:sz w:val="16"/>
          <w:szCs w:val="16"/>
        </w:rPr>
        <w:t xml:space="preserve">queer </w:t>
      </w:r>
      <w:r w:rsidRPr="00087A72">
        <w:rPr>
          <w:sz w:val="16"/>
          <w:szCs w:val="16"/>
        </w:rPr>
        <w:t xml:space="preserve">modernities from the survival </w:t>
      </w:r>
      <w:r w:rsidRPr="00087A72">
        <w:rPr>
          <w:spacing w:val="5"/>
          <w:sz w:val="16"/>
          <w:szCs w:val="16"/>
        </w:rPr>
        <w:t xml:space="preserve">of </w:t>
      </w:r>
      <w:r w:rsidRPr="00087A72">
        <w:rPr>
          <w:sz w:val="16"/>
          <w:szCs w:val="16"/>
        </w:rPr>
        <w:t xml:space="preserve">Native </w:t>
      </w:r>
      <w:r w:rsidRPr="00087A72">
        <w:rPr>
          <w:spacing w:val="4"/>
          <w:sz w:val="16"/>
          <w:szCs w:val="16"/>
        </w:rPr>
        <w:t xml:space="preserve">queer </w:t>
      </w:r>
      <w:r w:rsidRPr="00087A72">
        <w:rPr>
          <w:sz w:val="16"/>
          <w:szCs w:val="16"/>
        </w:rPr>
        <w:t xml:space="preserve">people, who negotiate settler sexuality </w:t>
      </w:r>
      <w:r w:rsidRPr="00087A72">
        <w:rPr>
          <w:spacing w:val="-8"/>
          <w:sz w:val="16"/>
          <w:szCs w:val="16"/>
        </w:rPr>
        <w:t xml:space="preserve">by </w:t>
      </w:r>
      <w:r w:rsidRPr="00087A72">
        <w:rPr>
          <w:sz w:val="16"/>
          <w:szCs w:val="16"/>
        </w:rPr>
        <w:t xml:space="preserve">recalling knowledges and </w:t>
      </w:r>
      <w:r w:rsidRPr="00087A72">
        <w:rPr>
          <w:spacing w:val="3"/>
          <w:sz w:val="16"/>
          <w:szCs w:val="16"/>
        </w:rPr>
        <w:t xml:space="preserve">practices </w:t>
      </w:r>
      <w:r w:rsidRPr="00087A72">
        <w:rPr>
          <w:spacing w:val="4"/>
          <w:sz w:val="16"/>
          <w:szCs w:val="16"/>
        </w:rPr>
        <w:t xml:space="preserve">queered </w:t>
      </w:r>
      <w:r w:rsidRPr="00087A72">
        <w:rPr>
          <w:spacing w:val="-8"/>
          <w:sz w:val="16"/>
          <w:szCs w:val="16"/>
        </w:rPr>
        <w:t xml:space="preserve">by </w:t>
      </w:r>
      <w:r w:rsidRPr="00087A72">
        <w:rPr>
          <w:spacing w:val="2"/>
          <w:sz w:val="16"/>
          <w:szCs w:val="16"/>
        </w:rPr>
        <w:t xml:space="preserve">colonial </w:t>
      </w:r>
      <w:r w:rsidRPr="00087A72">
        <w:rPr>
          <w:spacing w:val="-3"/>
          <w:sz w:val="16"/>
          <w:szCs w:val="16"/>
        </w:rPr>
        <w:t xml:space="preserve">heteropatriarchy. </w:t>
      </w:r>
      <w:r w:rsidRPr="00087A72">
        <w:rPr>
          <w:sz w:val="16"/>
          <w:szCs w:val="16"/>
        </w:rPr>
        <w:t xml:space="preserve">Native </w:t>
      </w:r>
      <w:r w:rsidRPr="00087A72">
        <w:rPr>
          <w:spacing w:val="3"/>
          <w:sz w:val="16"/>
          <w:szCs w:val="16"/>
        </w:rPr>
        <w:t xml:space="preserve">people </w:t>
      </w:r>
      <w:r w:rsidRPr="00087A72">
        <w:rPr>
          <w:spacing w:val="4"/>
          <w:sz w:val="16"/>
          <w:szCs w:val="16"/>
        </w:rPr>
        <w:t xml:space="preserve">deﬁned </w:t>
      </w:r>
      <w:r w:rsidRPr="00087A72">
        <w:rPr>
          <w:sz w:val="16"/>
          <w:szCs w:val="16"/>
        </w:rPr>
        <w:t xml:space="preserve">unique identities, including </w:t>
      </w:r>
      <w:r w:rsidRPr="00087A72">
        <w:rPr>
          <w:spacing w:val="2"/>
          <w:sz w:val="16"/>
          <w:szCs w:val="16"/>
        </w:rPr>
        <w:t xml:space="preserve">Two-Spirit, </w:t>
      </w:r>
      <w:r w:rsidRPr="00087A72">
        <w:rPr>
          <w:sz w:val="16"/>
          <w:szCs w:val="16"/>
        </w:rPr>
        <w:t xml:space="preserve">as </w:t>
      </w:r>
      <w:r w:rsidRPr="00087A72">
        <w:rPr>
          <w:spacing w:val="2"/>
          <w:sz w:val="16"/>
          <w:szCs w:val="16"/>
        </w:rPr>
        <w:t xml:space="preserve">modern, decolonizing </w:t>
      </w:r>
      <w:r w:rsidRPr="00087A72">
        <w:rPr>
          <w:sz w:val="16"/>
          <w:szCs w:val="16"/>
        </w:rPr>
        <w:t xml:space="preserve">Native </w:t>
      </w:r>
      <w:r w:rsidRPr="00087A72">
        <w:rPr>
          <w:spacing w:val="2"/>
          <w:sz w:val="16"/>
          <w:szCs w:val="16"/>
        </w:rPr>
        <w:t xml:space="preserve">critiques </w:t>
      </w:r>
      <w:r w:rsidRPr="00087A72">
        <w:rPr>
          <w:spacing w:val="5"/>
          <w:sz w:val="16"/>
          <w:szCs w:val="16"/>
        </w:rPr>
        <w:t xml:space="preserve">of </w:t>
      </w:r>
      <w:r w:rsidRPr="00087A72">
        <w:rPr>
          <w:sz w:val="16"/>
          <w:szCs w:val="16"/>
        </w:rPr>
        <w:t xml:space="preserve">settler colonialism and its </w:t>
      </w:r>
      <w:r w:rsidRPr="00087A72">
        <w:rPr>
          <w:spacing w:val="2"/>
          <w:sz w:val="16"/>
          <w:szCs w:val="16"/>
        </w:rPr>
        <w:t xml:space="preserve">structuring </w:t>
      </w:r>
      <w:r w:rsidRPr="00087A72">
        <w:rPr>
          <w:spacing w:val="5"/>
          <w:sz w:val="16"/>
          <w:szCs w:val="16"/>
        </w:rPr>
        <w:t xml:space="preserve">of </w:t>
      </w:r>
      <w:r w:rsidRPr="00087A72">
        <w:rPr>
          <w:sz w:val="16"/>
          <w:szCs w:val="16"/>
        </w:rPr>
        <w:t xml:space="preserve">non-Native </w:t>
      </w:r>
      <w:r w:rsidRPr="00087A72">
        <w:rPr>
          <w:spacing w:val="4"/>
          <w:sz w:val="16"/>
          <w:szCs w:val="16"/>
        </w:rPr>
        <w:t xml:space="preserve">queer </w:t>
      </w:r>
      <w:r w:rsidRPr="00087A72">
        <w:rPr>
          <w:sz w:val="16"/>
          <w:szCs w:val="16"/>
        </w:rPr>
        <w:t xml:space="preserve">projects. This chapter grounds </w:t>
      </w:r>
      <w:r w:rsidRPr="00087A72">
        <w:rPr>
          <w:spacing w:val="-5"/>
          <w:sz w:val="16"/>
          <w:szCs w:val="16"/>
        </w:rPr>
        <w:t xml:space="preserve">my </w:t>
      </w:r>
      <w:r w:rsidRPr="00087A72">
        <w:rPr>
          <w:spacing w:val="2"/>
          <w:sz w:val="16"/>
          <w:szCs w:val="16"/>
        </w:rPr>
        <w:t xml:space="preserve">interpretation </w:t>
      </w:r>
      <w:r w:rsidRPr="00087A72">
        <w:rPr>
          <w:spacing w:val="5"/>
          <w:sz w:val="16"/>
          <w:szCs w:val="16"/>
        </w:rPr>
        <w:t xml:space="preserve">of </w:t>
      </w:r>
      <w:r w:rsidRPr="00087A72">
        <w:rPr>
          <w:sz w:val="16"/>
          <w:szCs w:val="16"/>
        </w:rPr>
        <w:t xml:space="preserve">non-Native and Native </w:t>
      </w:r>
      <w:r w:rsidRPr="00087A72">
        <w:rPr>
          <w:spacing w:val="4"/>
          <w:sz w:val="16"/>
          <w:szCs w:val="16"/>
        </w:rPr>
        <w:t xml:space="preserve">queer </w:t>
      </w:r>
      <w:r w:rsidRPr="00087A72">
        <w:rPr>
          <w:sz w:val="16"/>
          <w:szCs w:val="16"/>
        </w:rPr>
        <w:t xml:space="preserve">modernities within a genealogy </w:t>
      </w:r>
      <w:r w:rsidRPr="00087A72">
        <w:rPr>
          <w:spacing w:val="5"/>
          <w:sz w:val="16"/>
          <w:szCs w:val="16"/>
        </w:rPr>
        <w:t xml:space="preserve">of </w:t>
      </w:r>
      <w:r w:rsidRPr="00087A72">
        <w:rPr>
          <w:rStyle w:val="Emphasis"/>
        </w:rPr>
        <w:t xml:space="preserve">white-supremacist settler colonialism as the condition of sexual modernity and its contestation in a settler society. </w:t>
      </w:r>
      <w:r w:rsidRPr="00087A72">
        <w:rPr>
          <w:sz w:val="16"/>
          <w:szCs w:val="16"/>
        </w:rPr>
        <w:t xml:space="preserve">Modern Sexuality and Settler Colonial Biopolitics Interdisciplinary theory of biopower has yet to investigate the speciﬁcity of settler colonialism, </w:t>
      </w:r>
      <w:r w:rsidRPr="00087A72">
        <w:rPr>
          <w:spacing w:val="2"/>
          <w:sz w:val="16"/>
          <w:szCs w:val="16"/>
        </w:rPr>
        <w:t xml:space="preserve">but </w:t>
      </w:r>
      <w:r w:rsidRPr="00087A72">
        <w:rPr>
          <w:sz w:val="16"/>
          <w:szCs w:val="16"/>
        </w:rPr>
        <w:t xml:space="preserve">its </w:t>
      </w:r>
      <w:r w:rsidRPr="00087A72">
        <w:rPr>
          <w:spacing w:val="-3"/>
          <w:sz w:val="16"/>
          <w:szCs w:val="16"/>
        </w:rPr>
        <w:t xml:space="preserve">analysis </w:t>
      </w:r>
      <w:r w:rsidRPr="00087A72">
        <w:rPr>
          <w:spacing w:val="2"/>
          <w:sz w:val="16"/>
          <w:szCs w:val="16"/>
        </w:rPr>
        <w:t xml:space="preserve">can </w:t>
      </w:r>
      <w:r w:rsidRPr="00087A72">
        <w:rPr>
          <w:sz w:val="16"/>
          <w:szCs w:val="16"/>
        </w:rPr>
        <w:t xml:space="preserve">inform diversely racialized and transnational settler </w:t>
      </w:r>
      <w:r w:rsidRPr="00087A72">
        <w:rPr>
          <w:spacing w:val="2"/>
          <w:sz w:val="16"/>
          <w:szCs w:val="16"/>
        </w:rPr>
        <w:t xml:space="preserve">colonial </w:t>
      </w:r>
      <w:r w:rsidRPr="00087A72">
        <w:rPr>
          <w:sz w:val="16"/>
          <w:szCs w:val="16"/>
        </w:rPr>
        <w:t xml:space="preserve">formations and, </w:t>
      </w:r>
      <w:r w:rsidRPr="00087A72">
        <w:rPr>
          <w:spacing w:val="-3"/>
          <w:sz w:val="16"/>
          <w:szCs w:val="16"/>
        </w:rPr>
        <w:t xml:space="preserve">in </w:t>
      </w:r>
      <w:r w:rsidRPr="00087A72">
        <w:rPr>
          <w:spacing w:val="2"/>
          <w:sz w:val="16"/>
          <w:szCs w:val="16"/>
        </w:rPr>
        <w:t xml:space="preserve">turn, </w:t>
      </w:r>
      <w:r w:rsidRPr="00087A72">
        <w:rPr>
          <w:sz w:val="16"/>
          <w:szCs w:val="16"/>
        </w:rPr>
        <w:t xml:space="preserve">be transformed </w:t>
      </w:r>
      <w:r w:rsidRPr="00087A72">
        <w:rPr>
          <w:spacing w:val="-8"/>
          <w:sz w:val="16"/>
          <w:szCs w:val="16"/>
        </w:rPr>
        <w:t xml:space="preserve">by </w:t>
      </w:r>
      <w:r w:rsidRPr="00087A72">
        <w:rPr>
          <w:sz w:val="16"/>
          <w:szCs w:val="16"/>
        </w:rPr>
        <w:t>them</w:t>
      </w:r>
      <w:r w:rsidRPr="00087A72">
        <w:rPr>
          <w:rStyle w:val="Emphasis"/>
        </w:rPr>
        <w:t>. European settler colonization of Indigenous peoples produced modes of biopower that condition all modern sexuality.</w:t>
      </w:r>
      <w:r w:rsidRPr="00087A72">
        <w:rPr>
          <w:spacing w:val="-5"/>
          <w:sz w:val="16"/>
          <w:szCs w:val="16"/>
        </w:rPr>
        <w:t xml:space="preserve"> </w:t>
      </w:r>
      <w:r w:rsidRPr="00087A72">
        <w:rPr>
          <w:rStyle w:val="Emphasis"/>
        </w:rPr>
        <w:t>Multiple forms of colonization deﬁned racialized and Indigenous peoples in settler societies in the Americas in the context of white-supremacist settler colonization's logic of elimination</w:t>
      </w:r>
      <w:r w:rsidRPr="00087A72">
        <w:rPr>
          <w:sz w:val="16"/>
          <w:szCs w:val="16"/>
        </w:rPr>
        <w:t xml:space="preserve">. Patrick </w:t>
      </w:r>
      <w:r w:rsidRPr="00087A72">
        <w:rPr>
          <w:spacing w:val="-3"/>
          <w:sz w:val="16"/>
          <w:szCs w:val="16"/>
        </w:rPr>
        <w:t xml:space="preserve">Wolfe </w:t>
      </w:r>
      <w:r w:rsidRPr="00087A72">
        <w:rPr>
          <w:sz w:val="16"/>
          <w:szCs w:val="16"/>
        </w:rPr>
        <w:t xml:space="preserve">explains European settler colonialism </w:t>
      </w:r>
      <w:r w:rsidRPr="00087A72">
        <w:rPr>
          <w:spacing w:val="-8"/>
          <w:sz w:val="16"/>
          <w:szCs w:val="16"/>
        </w:rPr>
        <w:t xml:space="preserve">by </w:t>
      </w:r>
      <w:r w:rsidRPr="00087A72">
        <w:rPr>
          <w:sz w:val="16"/>
          <w:szCs w:val="16"/>
        </w:rPr>
        <w:t xml:space="preserve">distinguishing the material </w:t>
      </w:r>
      <w:r w:rsidRPr="00087A72">
        <w:rPr>
          <w:spacing w:val="2"/>
          <w:sz w:val="16"/>
          <w:szCs w:val="16"/>
        </w:rPr>
        <w:t xml:space="preserve">conditions </w:t>
      </w:r>
      <w:r w:rsidRPr="00087A72">
        <w:rPr>
          <w:sz w:val="16"/>
          <w:szCs w:val="16"/>
        </w:rPr>
        <w:t xml:space="preserve">and discursive </w:t>
      </w:r>
      <w:r w:rsidRPr="00087A72">
        <w:rPr>
          <w:spacing w:val="6"/>
          <w:sz w:val="16"/>
          <w:szCs w:val="16"/>
        </w:rPr>
        <w:t xml:space="preserve">effects </w:t>
      </w:r>
      <w:r w:rsidRPr="00087A72">
        <w:rPr>
          <w:spacing w:val="5"/>
          <w:sz w:val="16"/>
          <w:szCs w:val="16"/>
        </w:rPr>
        <w:t xml:space="preserve">of </w:t>
      </w:r>
      <w:r w:rsidRPr="00087A72">
        <w:rPr>
          <w:sz w:val="16"/>
          <w:szCs w:val="16"/>
        </w:rPr>
        <w:t xml:space="preserve">settler from franchise </w:t>
      </w:r>
      <w:r w:rsidRPr="00087A72">
        <w:rPr>
          <w:spacing w:val="2"/>
          <w:sz w:val="16"/>
          <w:szCs w:val="16"/>
        </w:rPr>
        <w:t xml:space="preserve">colonies, </w:t>
      </w:r>
      <w:r w:rsidRPr="00087A72">
        <w:rPr>
          <w:spacing w:val="3"/>
          <w:sz w:val="16"/>
          <w:szCs w:val="16"/>
        </w:rPr>
        <w:t xml:space="preserve">where </w:t>
      </w:r>
      <w:r w:rsidRPr="00087A72">
        <w:rPr>
          <w:sz w:val="16"/>
          <w:szCs w:val="16"/>
        </w:rPr>
        <w:t xml:space="preserve">the latter are </w:t>
      </w:r>
      <w:r w:rsidRPr="00087A72">
        <w:rPr>
          <w:spacing w:val="4"/>
          <w:sz w:val="16"/>
          <w:szCs w:val="16"/>
        </w:rPr>
        <w:t xml:space="preserve">deﬁned </w:t>
      </w:r>
      <w:r w:rsidRPr="00087A72">
        <w:rPr>
          <w:spacing w:val="-8"/>
          <w:sz w:val="16"/>
          <w:szCs w:val="16"/>
        </w:rPr>
        <w:t xml:space="preserve">by </w:t>
      </w:r>
      <w:r w:rsidRPr="00087A72">
        <w:rPr>
          <w:sz w:val="16"/>
          <w:szCs w:val="16"/>
        </w:rPr>
        <w:t xml:space="preserve">European </w:t>
      </w:r>
      <w:r w:rsidRPr="00087A72">
        <w:rPr>
          <w:spacing w:val="2"/>
          <w:sz w:val="16"/>
          <w:szCs w:val="16"/>
        </w:rPr>
        <w:t xml:space="preserve">control </w:t>
      </w:r>
      <w:r w:rsidRPr="00087A72">
        <w:rPr>
          <w:sz w:val="16"/>
          <w:szCs w:val="16"/>
        </w:rPr>
        <w:t xml:space="preserve">at a distance </w:t>
      </w:r>
      <w:r w:rsidRPr="00087A72">
        <w:rPr>
          <w:spacing w:val="5"/>
          <w:sz w:val="16"/>
          <w:szCs w:val="16"/>
        </w:rPr>
        <w:t xml:space="preserve">or </w:t>
      </w:r>
      <w:r w:rsidRPr="00087A72">
        <w:rPr>
          <w:sz w:val="16"/>
          <w:szCs w:val="16"/>
        </w:rPr>
        <w:t xml:space="preserve">as a </w:t>
      </w:r>
      <w:r w:rsidRPr="00087A72">
        <w:rPr>
          <w:spacing w:val="-5"/>
          <w:sz w:val="16"/>
          <w:szCs w:val="16"/>
        </w:rPr>
        <w:t xml:space="preserve">minority, </w:t>
      </w:r>
      <w:r w:rsidRPr="00087A72">
        <w:rPr>
          <w:sz w:val="16"/>
          <w:szCs w:val="16"/>
        </w:rPr>
        <w:t xml:space="preserve">while the former pursue the wholesale replacement </w:t>
      </w:r>
      <w:r w:rsidRPr="00087A72">
        <w:rPr>
          <w:spacing w:val="5"/>
          <w:sz w:val="16"/>
          <w:szCs w:val="16"/>
        </w:rPr>
        <w:t xml:space="preserve">of </w:t>
      </w:r>
      <w:r w:rsidRPr="00087A72">
        <w:rPr>
          <w:sz w:val="16"/>
          <w:szCs w:val="16"/>
        </w:rPr>
        <w:t xml:space="preserve">Native </w:t>
      </w:r>
      <w:r w:rsidRPr="00087A72">
        <w:rPr>
          <w:spacing w:val="3"/>
          <w:sz w:val="16"/>
          <w:szCs w:val="16"/>
        </w:rPr>
        <w:t xml:space="preserve">peoples </w:t>
      </w:r>
      <w:r w:rsidRPr="00087A72">
        <w:rPr>
          <w:sz w:val="16"/>
          <w:szCs w:val="16"/>
        </w:rPr>
        <w:t xml:space="preserve">to establish a white settler </w:t>
      </w:r>
      <w:r w:rsidRPr="00087A72">
        <w:rPr>
          <w:spacing w:val="-5"/>
          <w:sz w:val="16"/>
          <w:szCs w:val="16"/>
        </w:rPr>
        <w:t xml:space="preserve">majority. </w:t>
      </w:r>
      <w:r w:rsidRPr="00087A72">
        <w:rPr>
          <w:rStyle w:val="Emphasis"/>
        </w:rPr>
        <w:t>Wolfe notes</w:t>
      </w:r>
      <w:r w:rsidRPr="00087A72">
        <w:rPr>
          <w:spacing w:val="4"/>
          <w:sz w:val="16"/>
          <w:szCs w:val="16"/>
        </w:rPr>
        <w:t xml:space="preserve"> </w:t>
      </w:r>
      <w:r w:rsidRPr="00087A72">
        <w:rPr>
          <w:rStyle w:val="Emphasis"/>
        </w:rPr>
        <w:t xml:space="preserve">that in American settler societies, this distinction parallels the contrast between the genocidal elimination and amalgamation of Native peoples, </w:t>
      </w:r>
      <w:r w:rsidRPr="00087A72">
        <w:rPr>
          <w:spacing w:val="-3"/>
          <w:sz w:val="16"/>
          <w:szCs w:val="16"/>
        </w:rPr>
        <w:t xml:space="preserve">which </w:t>
      </w:r>
      <w:r w:rsidRPr="00087A72">
        <w:rPr>
          <w:spacing w:val="2"/>
          <w:sz w:val="16"/>
          <w:szCs w:val="16"/>
        </w:rPr>
        <w:t xml:space="preserve">clears </w:t>
      </w:r>
      <w:r w:rsidRPr="00087A72">
        <w:rPr>
          <w:sz w:val="16"/>
          <w:szCs w:val="16"/>
        </w:rPr>
        <w:t xml:space="preserve">land for white settlers, and their </w:t>
      </w:r>
      <w:r w:rsidRPr="00087A72">
        <w:rPr>
          <w:spacing w:val="2"/>
          <w:sz w:val="16"/>
          <w:szCs w:val="16"/>
        </w:rPr>
        <w:t xml:space="preserve">brutal </w:t>
      </w:r>
      <w:r w:rsidRPr="00087A72">
        <w:rPr>
          <w:spacing w:val="3"/>
          <w:sz w:val="16"/>
          <w:szCs w:val="16"/>
        </w:rPr>
        <w:t xml:space="preserve">creation </w:t>
      </w:r>
      <w:r w:rsidRPr="00087A72">
        <w:rPr>
          <w:sz w:val="16"/>
          <w:szCs w:val="16"/>
        </w:rPr>
        <w:t xml:space="preserve">and </w:t>
      </w:r>
      <w:r w:rsidRPr="00087A72">
        <w:rPr>
          <w:spacing w:val="2"/>
          <w:sz w:val="16"/>
          <w:szCs w:val="16"/>
        </w:rPr>
        <w:t xml:space="preserve">reproduction </w:t>
      </w:r>
      <w:r w:rsidRPr="00087A72">
        <w:rPr>
          <w:spacing w:val="5"/>
          <w:sz w:val="16"/>
          <w:szCs w:val="16"/>
        </w:rPr>
        <w:t xml:space="preserve">of </w:t>
      </w:r>
      <w:r w:rsidRPr="00087A72">
        <w:rPr>
          <w:sz w:val="16"/>
          <w:szCs w:val="16"/>
        </w:rPr>
        <w:t xml:space="preserve">subject racialized </w:t>
      </w:r>
      <w:r w:rsidRPr="00087A72">
        <w:rPr>
          <w:spacing w:val="2"/>
          <w:sz w:val="16"/>
          <w:szCs w:val="16"/>
        </w:rPr>
        <w:t xml:space="preserve">populations </w:t>
      </w:r>
      <w:r w:rsidRPr="00087A72">
        <w:rPr>
          <w:sz w:val="16"/>
          <w:szCs w:val="16"/>
        </w:rPr>
        <w:t xml:space="preserve">through the transatlantic </w:t>
      </w:r>
      <w:r w:rsidRPr="00087A72">
        <w:rPr>
          <w:spacing w:val="-3"/>
          <w:sz w:val="16"/>
          <w:szCs w:val="16"/>
        </w:rPr>
        <w:t xml:space="preserve">slave </w:t>
      </w:r>
      <w:r w:rsidRPr="00087A72">
        <w:rPr>
          <w:spacing w:val="2"/>
          <w:sz w:val="16"/>
          <w:szCs w:val="16"/>
        </w:rPr>
        <w:t xml:space="preserve">trade </w:t>
      </w:r>
      <w:r w:rsidRPr="00087A72">
        <w:rPr>
          <w:sz w:val="16"/>
          <w:szCs w:val="16"/>
        </w:rPr>
        <w:t xml:space="preserve">and </w:t>
      </w:r>
      <w:r w:rsidRPr="00087A72">
        <w:rPr>
          <w:spacing w:val="2"/>
          <w:sz w:val="16"/>
          <w:szCs w:val="16"/>
        </w:rPr>
        <w:t xml:space="preserve">indentured </w:t>
      </w:r>
      <w:r w:rsidRPr="00087A72">
        <w:rPr>
          <w:sz w:val="16"/>
          <w:szCs w:val="16"/>
        </w:rPr>
        <w:t xml:space="preserve">colonized labor to </w:t>
      </w:r>
      <w:r w:rsidRPr="00087A72">
        <w:rPr>
          <w:spacing w:val="-3"/>
          <w:sz w:val="16"/>
          <w:szCs w:val="16"/>
        </w:rPr>
        <w:t xml:space="preserve">make </w:t>
      </w:r>
      <w:r w:rsidRPr="00087A72">
        <w:rPr>
          <w:sz w:val="16"/>
          <w:szCs w:val="16"/>
        </w:rPr>
        <w:t xml:space="preserve">settled lands productive.' Nevertheless, as for Mbembe, </w:t>
      </w:r>
      <w:r w:rsidRPr="00087A72">
        <w:rPr>
          <w:spacing w:val="4"/>
          <w:sz w:val="16"/>
          <w:szCs w:val="16"/>
        </w:rPr>
        <w:t xml:space="preserve">theory </w:t>
      </w:r>
      <w:r w:rsidRPr="00087A72">
        <w:rPr>
          <w:spacing w:val="5"/>
          <w:sz w:val="16"/>
          <w:szCs w:val="16"/>
        </w:rPr>
        <w:t xml:space="preserve">of </w:t>
      </w:r>
      <w:r w:rsidRPr="00087A72">
        <w:rPr>
          <w:spacing w:val="2"/>
          <w:sz w:val="16"/>
          <w:szCs w:val="16"/>
        </w:rPr>
        <w:t xml:space="preserve">colonial </w:t>
      </w:r>
      <w:r w:rsidRPr="00087A72">
        <w:rPr>
          <w:sz w:val="16"/>
          <w:szCs w:val="16"/>
        </w:rPr>
        <w:t xml:space="preserve">biopolitics generally </w:t>
      </w:r>
      <w:r w:rsidRPr="00087A72">
        <w:rPr>
          <w:spacing w:val="-3"/>
          <w:sz w:val="16"/>
          <w:szCs w:val="16"/>
        </w:rPr>
        <w:t xml:space="preserve">is </w:t>
      </w:r>
      <w:r w:rsidRPr="00087A72">
        <w:rPr>
          <w:spacing w:val="4"/>
          <w:sz w:val="16"/>
          <w:szCs w:val="16"/>
        </w:rPr>
        <w:t xml:space="preserve">deﬁned </w:t>
      </w:r>
      <w:r w:rsidRPr="00087A72">
        <w:rPr>
          <w:sz w:val="16"/>
          <w:szCs w:val="16"/>
        </w:rPr>
        <w:t xml:space="preserve">only </w:t>
      </w:r>
      <w:r w:rsidRPr="00087A72">
        <w:rPr>
          <w:spacing w:val="-8"/>
          <w:sz w:val="16"/>
          <w:szCs w:val="16"/>
        </w:rPr>
        <w:t xml:space="preserve">by </w:t>
      </w:r>
      <w:r w:rsidRPr="00087A72">
        <w:rPr>
          <w:spacing w:val="5"/>
          <w:sz w:val="16"/>
          <w:szCs w:val="16"/>
        </w:rPr>
        <w:t xml:space="preserve">reference </w:t>
      </w:r>
      <w:r w:rsidRPr="00087A72">
        <w:rPr>
          <w:sz w:val="16"/>
          <w:szCs w:val="16"/>
        </w:rPr>
        <w:t xml:space="preserve">to franchise colonies-for </w:t>
      </w:r>
      <w:r w:rsidRPr="00087A72">
        <w:rPr>
          <w:spacing w:val="-3"/>
          <w:sz w:val="16"/>
          <w:szCs w:val="16"/>
        </w:rPr>
        <w:t xml:space="preserve">example, </w:t>
      </w:r>
      <w:r w:rsidRPr="00087A72">
        <w:rPr>
          <w:sz w:val="16"/>
          <w:szCs w:val="16"/>
        </w:rPr>
        <w:t xml:space="preserve">European </w:t>
      </w:r>
      <w:r w:rsidRPr="00087A72">
        <w:rPr>
          <w:spacing w:val="3"/>
          <w:sz w:val="16"/>
          <w:szCs w:val="16"/>
        </w:rPr>
        <w:t xml:space="preserve">colonization </w:t>
      </w:r>
      <w:r w:rsidRPr="00087A72">
        <w:rPr>
          <w:spacing w:val="5"/>
          <w:sz w:val="16"/>
          <w:szCs w:val="16"/>
        </w:rPr>
        <w:t xml:space="preserve">of </w:t>
      </w:r>
      <w:r w:rsidRPr="00087A72">
        <w:rPr>
          <w:spacing w:val="3"/>
          <w:sz w:val="16"/>
          <w:szCs w:val="16"/>
        </w:rPr>
        <w:t xml:space="preserve">Africa </w:t>
      </w:r>
      <w:r w:rsidRPr="00087A72">
        <w:rPr>
          <w:sz w:val="16"/>
          <w:szCs w:val="16"/>
        </w:rPr>
        <w:t xml:space="preserve">and </w:t>
      </w:r>
      <w:r w:rsidRPr="00087A72">
        <w:rPr>
          <w:spacing w:val="-3"/>
          <w:sz w:val="16"/>
          <w:szCs w:val="16"/>
        </w:rPr>
        <w:t xml:space="preserve">Asia in </w:t>
      </w:r>
      <w:r w:rsidRPr="00087A72">
        <w:rPr>
          <w:sz w:val="16"/>
          <w:szCs w:val="16"/>
        </w:rPr>
        <w:t xml:space="preserve">the </w:t>
      </w:r>
      <w:r w:rsidRPr="00087A72">
        <w:rPr>
          <w:spacing w:val="2"/>
          <w:sz w:val="16"/>
          <w:szCs w:val="16"/>
        </w:rPr>
        <w:t xml:space="preserve">nineteenth </w:t>
      </w:r>
      <w:r w:rsidRPr="00087A72">
        <w:rPr>
          <w:sz w:val="16"/>
          <w:szCs w:val="16"/>
        </w:rPr>
        <w:t xml:space="preserve">and </w:t>
      </w:r>
      <w:r w:rsidRPr="00087A72">
        <w:rPr>
          <w:spacing w:val="2"/>
          <w:sz w:val="16"/>
          <w:szCs w:val="16"/>
        </w:rPr>
        <w:t xml:space="preserve">twentieth centuries, </w:t>
      </w:r>
      <w:r w:rsidRPr="00087A72">
        <w:rPr>
          <w:spacing w:val="3"/>
          <w:sz w:val="16"/>
          <w:szCs w:val="16"/>
        </w:rPr>
        <w:t xml:space="preserve">where </w:t>
      </w:r>
      <w:r w:rsidRPr="00087A72">
        <w:rPr>
          <w:sz w:val="16"/>
          <w:szCs w:val="16"/>
        </w:rPr>
        <w:t xml:space="preserve">long-standing </w:t>
      </w:r>
      <w:r w:rsidRPr="00087A72">
        <w:rPr>
          <w:spacing w:val="2"/>
          <w:sz w:val="16"/>
          <w:szCs w:val="16"/>
        </w:rPr>
        <w:t xml:space="preserve">modes </w:t>
      </w:r>
      <w:r w:rsidRPr="00087A72">
        <w:rPr>
          <w:spacing w:val="5"/>
          <w:sz w:val="16"/>
          <w:szCs w:val="16"/>
        </w:rPr>
        <w:t xml:space="preserve">of </w:t>
      </w:r>
      <w:r w:rsidRPr="00087A72">
        <w:rPr>
          <w:sz w:val="16"/>
          <w:szCs w:val="16"/>
        </w:rPr>
        <w:t xml:space="preserve">biopower </w:t>
      </w:r>
      <w:r w:rsidRPr="00087A72">
        <w:rPr>
          <w:spacing w:val="-3"/>
          <w:sz w:val="16"/>
          <w:szCs w:val="16"/>
        </w:rPr>
        <w:t xml:space="preserve">in </w:t>
      </w:r>
      <w:r w:rsidRPr="00087A72">
        <w:rPr>
          <w:sz w:val="16"/>
          <w:szCs w:val="16"/>
        </w:rPr>
        <w:t xml:space="preserve">Western sovereignty shifted into </w:t>
      </w:r>
      <w:r w:rsidRPr="00087A72">
        <w:rPr>
          <w:spacing w:val="2"/>
          <w:sz w:val="16"/>
          <w:szCs w:val="16"/>
        </w:rPr>
        <w:t xml:space="preserve">modern </w:t>
      </w:r>
      <w:r w:rsidRPr="00087A72">
        <w:rPr>
          <w:sz w:val="16"/>
          <w:szCs w:val="16"/>
        </w:rPr>
        <w:t xml:space="preserve">regimes </w:t>
      </w:r>
      <w:r w:rsidRPr="00087A72">
        <w:rPr>
          <w:spacing w:val="5"/>
          <w:sz w:val="16"/>
          <w:szCs w:val="16"/>
        </w:rPr>
        <w:t xml:space="preserve">of </w:t>
      </w:r>
      <w:r w:rsidRPr="00087A72">
        <w:rPr>
          <w:sz w:val="16"/>
          <w:szCs w:val="16"/>
        </w:rPr>
        <w:t xml:space="preserve">biopolitics. </w:t>
      </w:r>
      <w:r w:rsidRPr="00087A72">
        <w:rPr>
          <w:spacing w:val="3"/>
          <w:sz w:val="16"/>
          <w:szCs w:val="16"/>
        </w:rPr>
        <w:t xml:space="preserve">If </w:t>
      </w:r>
      <w:r w:rsidRPr="00087A72">
        <w:rPr>
          <w:spacing w:val="-4"/>
          <w:sz w:val="16"/>
          <w:szCs w:val="16"/>
        </w:rPr>
        <w:t xml:space="preserve">such </w:t>
      </w:r>
      <w:r w:rsidRPr="00087A72">
        <w:rPr>
          <w:sz w:val="16"/>
          <w:szCs w:val="16"/>
        </w:rPr>
        <w:t>times</w:t>
      </w:r>
      <w:r w:rsidRPr="00087A72">
        <w:rPr>
          <w:spacing w:val="-16"/>
          <w:sz w:val="16"/>
          <w:szCs w:val="16"/>
        </w:rPr>
        <w:t xml:space="preserve"> </w:t>
      </w:r>
      <w:r w:rsidRPr="00087A72">
        <w:rPr>
          <w:spacing w:val="5"/>
          <w:sz w:val="16"/>
          <w:szCs w:val="16"/>
        </w:rPr>
        <w:t>or</w:t>
      </w:r>
      <w:r w:rsidRPr="00087A72">
        <w:rPr>
          <w:spacing w:val="-5"/>
          <w:sz w:val="16"/>
          <w:szCs w:val="16"/>
        </w:rPr>
        <w:t xml:space="preserve"> </w:t>
      </w:r>
      <w:r w:rsidRPr="00087A72">
        <w:rPr>
          <w:spacing w:val="2"/>
          <w:sz w:val="16"/>
          <w:szCs w:val="16"/>
        </w:rPr>
        <w:t>places</w:t>
      </w:r>
      <w:r w:rsidRPr="00087A72">
        <w:rPr>
          <w:spacing w:val="-15"/>
          <w:sz w:val="16"/>
          <w:szCs w:val="16"/>
        </w:rPr>
        <w:t xml:space="preserve"> </w:t>
      </w:r>
      <w:r w:rsidRPr="00087A72">
        <w:rPr>
          <w:spacing w:val="2"/>
          <w:sz w:val="16"/>
          <w:szCs w:val="16"/>
        </w:rPr>
        <w:t>focus</w:t>
      </w:r>
      <w:r w:rsidRPr="00087A72">
        <w:rPr>
          <w:spacing w:val="-15"/>
          <w:sz w:val="16"/>
          <w:szCs w:val="16"/>
        </w:rPr>
        <w:t xml:space="preserve"> </w:t>
      </w:r>
      <w:r w:rsidRPr="00087A72">
        <w:rPr>
          <w:spacing w:val="4"/>
          <w:sz w:val="16"/>
          <w:szCs w:val="16"/>
        </w:rPr>
        <w:t>our</w:t>
      </w:r>
      <w:r w:rsidRPr="00087A72">
        <w:rPr>
          <w:spacing w:val="-6"/>
          <w:sz w:val="16"/>
          <w:szCs w:val="16"/>
        </w:rPr>
        <w:t xml:space="preserve"> </w:t>
      </w:r>
      <w:r w:rsidRPr="00087A72">
        <w:rPr>
          <w:spacing w:val="2"/>
          <w:sz w:val="16"/>
          <w:szCs w:val="16"/>
        </w:rPr>
        <w:t>deﬁnitions</w:t>
      </w:r>
      <w:r w:rsidRPr="00087A72">
        <w:rPr>
          <w:spacing w:val="-15"/>
          <w:sz w:val="16"/>
          <w:szCs w:val="16"/>
        </w:rPr>
        <w:t xml:space="preserve"> </w:t>
      </w:r>
      <w:r w:rsidRPr="00087A72">
        <w:rPr>
          <w:spacing w:val="5"/>
          <w:sz w:val="16"/>
          <w:szCs w:val="16"/>
        </w:rPr>
        <w:t>of</w:t>
      </w:r>
      <w:r w:rsidRPr="00087A72">
        <w:rPr>
          <w:spacing w:val="14"/>
          <w:sz w:val="16"/>
          <w:szCs w:val="16"/>
        </w:rPr>
        <w:t xml:space="preserve"> </w:t>
      </w:r>
      <w:r w:rsidRPr="00087A72">
        <w:rPr>
          <w:sz w:val="16"/>
          <w:szCs w:val="16"/>
        </w:rPr>
        <w:t>"colonialism"</w:t>
      </w:r>
      <w:r w:rsidRPr="00087A72">
        <w:rPr>
          <w:spacing w:val="-23"/>
          <w:sz w:val="16"/>
          <w:szCs w:val="16"/>
        </w:rPr>
        <w:t xml:space="preserve"> </w:t>
      </w:r>
      <w:r w:rsidRPr="00087A72">
        <w:rPr>
          <w:sz w:val="16"/>
          <w:szCs w:val="16"/>
        </w:rPr>
        <w:t>and</w:t>
      </w:r>
      <w:r w:rsidRPr="00087A72">
        <w:rPr>
          <w:spacing w:val="-5"/>
          <w:sz w:val="16"/>
          <w:szCs w:val="16"/>
        </w:rPr>
        <w:t xml:space="preserve"> </w:t>
      </w:r>
      <w:r w:rsidRPr="00087A72">
        <w:rPr>
          <w:sz w:val="16"/>
          <w:szCs w:val="16"/>
        </w:rPr>
        <w:t>"biopolitics,"</w:t>
      </w:r>
      <w:r w:rsidRPr="00087A72">
        <w:rPr>
          <w:spacing w:val="-13"/>
          <w:sz w:val="16"/>
          <w:szCs w:val="16"/>
        </w:rPr>
        <w:t xml:space="preserve"> </w:t>
      </w:r>
      <w:r w:rsidRPr="00087A72">
        <w:rPr>
          <w:sz w:val="16"/>
          <w:szCs w:val="16"/>
        </w:rPr>
        <w:t>we</w:t>
      </w:r>
      <w:r w:rsidRPr="00087A72">
        <w:rPr>
          <w:spacing w:val="-3"/>
          <w:sz w:val="16"/>
          <w:szCs w:val="16"/>
        </w:rPr>
        <w:t xml:space="preserve"> </w:t>
      </w:r>
      <w:r w:rsidRPr="00087A72">
        <w:rPr>
          <w:sz w:val="16"/>
          <w:szCs w:val="16"/>
        </w:rPr>
        <w:t xml:space="preserve">will </w:t>
      </w:r>
      <w:r w:rsidRPr="00087A72">
        <w:rPr>
          <w:spacing w:val="3"/>
          <w:sz w:val="16"/>
          <w:szCs w:val="16"/>
        </w:rPr>
        <w:t xml:space="preserve">not comprehend </w:t>
      </w:r>
      <w:r w:rsidRPr="00087A72">
        <w:rPr>
          <w:spacing w:val="-3"/>
          <w:sz w:val="16"/>
          <w:szCs w:val="16"/>
        </w:rPr>
        <w:t xml:space="preserve">how </w:t>
      </w:r>
      <w:r w:rsidRPr="00087A72">
        <w:rPr>
          <w:sz w:val="16"/>
          <w:szCs w:val="16"/>
        </w:rPr>
        <w:t xml:space="preserve">settler </w:t>
      </w:r>
      <w:r w:rsidRPr="00087A72">
        <w:rPr>
          <w:spacing w:val="3"/>
          <w:sz w:val="16"/>
          <w:szCs w:val="16"/>
        </w:rPr>
        <w:t xml:space="preserve">colonization </w:t>
      </w:r>
      <w:r w:rsidRPr="00087A72">
        <w:rPr>
          <w:spacing w:val="-3"/>
          <w:sz w:val="16"/>
          <w:szCs w:val="16"/>
        </w:rPr>
        <w:t xml:space="preserve">in </w:t>
      </w:r>
      <w:r w:rsidRPr="00087A72">
        <w:rPr>
          <w:sz w:val="16"/>
          <w:szCs w:val="16"/>
        </w:rPr>
        <w:t xml:space="preserve">the Americas from the sixteenth </w:t>
      </w:r>
      <w:r w:rsidRPr="00087A72">
        <w:rPr>
          <w:spacing w:val="4"/>
          <w:sz w:val="16"/>
          <w:szCs w:val="16"/>
        </w:rPr>
        <w:t xml:space="preserve">century </w:t>
      </w:r>
      <w:r w:rsidRPr="00087A72">
        <w:rPr>
          <w:spacing w:val="3"/>
          <w:sz w:val="16"/>
          <w:szCs w:val="16"/>
        </w:rPr>
        <w:t xml:space="preserve">functioned </w:t>
      </w:r>
      <w:r w:rsidRPr="00087A72">
        <w:rPr>
          <w:sz w:val="16"/>
          <w:szCs w:val="16"/>
        </w:rPr>
        <w:t xml:space="preserve">alongside </w:t>
      </w:r>
      <w:r w:rsidRPr="00087A72">
        <w:rPr>
          <w:spacing w:val="3"/>
          <w:sz w:val="16"/>
          <w:szCs w:val="16"/>
        </w:rPr>
        <w:t xml:space="preserve">colonization </w:t>
      </w:r>
      <w:r w:rsidRPr="00087A72">
        <w:rPr>
          <w:spacing w:val="-3"/>
          <w:sz w:val="16"/>
          <w:szCs w:val="16"/>
        </w:rPr>
        <w:t xml:space="preserve">in </w:t>
      </w:r>
      <w:r w:rsidRPr="00087A72">
        <w:rPr>
          <w:spacing w:val="3"/>
          <w:sz w:val="16"/>
          <w:szCs w:val="16"/>
        </w:rPr>
        <w:t xml:space="preserve">Africa </w:t>
      </w:r>
      <w:r w:rsidRPr="00087A72">
        <w:rPr>
          <w:sz w:val="16"/>
          <w:szCs w:val="16"/>
        </w:rPr>
        <w:t xml:space="preserve">and </w:t>
      </w:r>
      <w:r w:rsidRPr="00087A72">
        <w:rPr>
          <w:spacing w:val="-3"/>
          <w:sz w:val="16"/>
          <w:szCs w:val="16"/>
        </w:rPr>
        <w:t xml:space="preserve">Asia </w:t>
      </w:r>
      <w:r w:rsidRPr="00087A72">
        <w:rPr>
          <w:sz w:val="16"/>
          <w:szCs w:val="16"/>
        </w:rPr>
        <w:t xml:space="preserve">within </w:t>
      </w:r>
      <w:r w:rsidRPr="00087A72">
        <w:rPr>
          <w:spacing w:val="2"/>
          <w:sz w:val="16"/>
          <w:szCs w:val="16"/>
        </w:rPr>
        <w:t xml:space="preserve">modes </w:t>
      </w:r>
      <w:r w:rsidRPr="00087A72">
        <w:rPr>
          <w:spacing w:val="5"/>
          <w:sz w:val="16"/>
          <w:szCs w:val="16"/>
        </w:rPr>
        <w:t xml:space="preserve">of </w:t>
      </w:r>
      <w:r w:rsidRPr="00087A72">
        <w:rPr>
          <w:sz w:val="16"/>
          <w:szCs w:val="16"/>
        </w:rPr>
        <w:t xml:space="preserve">biopower to </w:t>
      </w:r>
      <w:r w:rsidRPr="00087A72">
        <w:rPr>
          <w:spacing w:val="2"/>
          <w:sz w:val="16"/>
          <w:szCs w:val="16"/>
        </w:rPr>
        <w:t xml:space="preserve">produce </w:t>
      </w:r>
      <w:r w:rsidRPr="00087A72">
        <w:rPr>
          <w:sz w:val="16"/>
          <w:szCs w:val="16"/>
        </w:rPr>
        <w:t xml:space="preserve">the biopolitics </w:t>
      </w:r>
      <w:r w:rsidRPr="00087A72">
        <w:rPr>
          <w:spacing w:val="5"/>
          <w:sz w:val="16"/>
          <w:szCs w:val="16"/>
        </w:rPr>
        <w:t xml:space="preserve">of </w:t>
      </w:r>
      <w:r w:rsidRPr="00087A72">
        <w:rPr>
          <w:sz w:val="16"/>
          <w:szCs w:val="16"/>
        </w:rPr>
        <w:t xml:space="preserve">settler colonialism. Foucault argued that biopower and its biopolitical regimes appear at a historical shift, as the </w:t>
      </w:r>
      <w:r w:rsidRPr="00087A72">
        <w:rPr>
          <w:spacing w:val="3"/>
          <w:sz w:val="16"/>
          <w:szCs w:val="16"/>
        </w:rPr>
        <w:t xml:space="preserve">premodern </w:t>
      </w:r>
      <w:r w:rsidRPr="00087A72">
        <w:rPr>
          <w:sz w:val="16"/>
          <w:szCs w:val="16"/>
        </w:rPr>
        <w:t xml:space="preserve">right </w:t>
      </w:r>
      <w:r w:rsidRPr="00087A72">
        <w:rPr>
          <w:spacing w:val="5"/>
          <w:sz w:val="16"/>
          <w:szCs w:val="16"/>
        </w:rPr>
        <w:t xml:space="preserve">of </w:t>
      </w:r>
      <w:r w:rsidRPr="00087A72">
        <w:rPr>
          <w:sz w:val="16"/>
          <w:szCs w:val="16"/>
        </w:rPr>
        <w:t xml:space="preserve">the sovereign to mete </w:t>
      </w:r>
      <w:r w:rsidRPr="00087A72">
        <w:rPr>
          <w:spacing w:val="4"/>
          <w:sz w:val="16"/>
          <w:szCs w:val="16"/>
        </w:rPr>
        <w:t xml:space="preserve">out </w:t>
      </w:r>
      <w:r w:rsidRPr="00087A72">
        <w:rPr>
          <w:spacing w:val="2"/>
          <w:sz w:val="16"/>
          <w:szCs w:val="16"/>
        </w:rPr>
        <w:t xml:space="preserve">death </w:t>
      </w:r>
      <w:r w:rsidRPr="00087A72">
        <w:rPr>
          <w:spacing w:val="-3"/>
          <w:sz w:val="16"/>
          <w:szCs w:val="16"/>
        </w:rPr>
        <w:t xml:space="preserve">in </w:t>
      </w:r>
      <w:r w:rsidRPr="00087A72">
        <w:rPr>
          <w:sz w:val="16"/>
          <w:szCs w:val="16"/>
        </w:rPr>
        <w:t xml:space="preserve">punishment-to "let live and </w:t>
      </w:r>
      <w:r w:rsidRPr="00087A72">
        <w:rPr>
          <w:spacing w:val="-3"/>
          <w:sz w:val="16"/>
          <w:szCs w:val="16"/>
        </w:rPr>
        <w:t xml:space="preserve">make </w:t>
      </w:r>
      <w:r w:rsidRPr="00087A72">
        <w:rPr>
          <w:sz w:val="16"/>
          <w:szCs w:val="16"/>
        </w:rPr>
        <w:t xml:space="preserve">as </w:t>
      </w:r>
      <w:r w:rsidRPr="00087A72">
        <w:rPr>
          <w:spacing w:val="2"/>
          <w:sz w:val="16"/>
          <w:szCs w:val="16"/>
        </w:rPr>
        <w:t xml:space="preserve">modern </w:t>
      </w:r>
      <w:r w:rsidRPr="00087A72">
        <w:rPr>
          <w:sz w:val="16"/>
          <w:szCs w:val="16"/>
        </w:rPr>
        <w:t xml:space="preserve">states </w:t>
      </w:r>
      <w:r w:rsidRPr="00087A72">
        <w:rPr>
          <w:spacing w:val="-3"/>
          <w:sz w:val="16"/>
          <w:szCs w:val="16"/>
        </w:rPr>
        <w:t xml:space="preserve">utilize </w:t>
      </w:r>
      <w:r w:rsidRPr="00087A72">
        <w:rPr>
          <w:sz w:val="16"/>
          <w:szCs w:val="16"/>
        </w:rPr>
        <w:t xml:space="preserve">disciplinary power to </w:t>
      </w:r>
      <w:r w:rsidRPr="00087A72">
        <w:rPr>
          <w:spacing w:val="-4"/>
          <w:sz w:val="16"/>
          <w:szCs w:val="16"/>
        </w:rPr>
        <w:t xml:space="preserve">"make </w:t>
      </w:r>
      <w:r w:rsidRPr="00087A72">
        <w:rPr>
          <w:sz w:val="16"/>
          <w:szCs w:val="16"/>
        </w:rPr>
        <w:t xml:space="preserve">live" racialized national </w:t>
      </w:r>
      <w:r w:rsidRPr="00087A72">
        <w:rPr>
          <w:spacing w:val="2"/>
          <w:sz w:val="16"/>
          <w:szCs w:val="16"/>
        </w:rPr>
        <w:t xml:space="preserve">populations </w:t>
      </w:r>
      <w:r w:rsidRPr="00087A72">
        <w:rPr>
          <w:sz w:val="16"/>
          <w:szCs w:val="16"/>
        </w:rPr>
        <w:t xml:space="preserve">and to "let die" all </w:t>
      </w:r>
      <w:r w:rsidRPr="00087A72">
        <w:rPr>
          <w:spacing w:val="2"/>
          <w:sz w:val="16"/>
          <w:szCs w:val="16"/>
        </w:rPr>
        <w:t xml:space="preserve">excluded </w:t>
      </w:r>
      <w:r w:rsidRPr="00087A72">
        <w:rPr>
          <w:sz w:val="16"/>
          <w:szCs w:val="16"/>
        </w:rPr>
        <w:t xml:space="preserve">from this life-making project.' Giorgio Agamben </w:t>
      </w:r>
      <w:r w:rsidRPr="00087A72">
        <w:rPr>
          <w:spacing w:val="4"/>
          <w:sz w:val="16"/>
          <w:szCs w:val="16"/>
        </w:rPr>
        <w:t xml:space="preserve">counters </w:t>
      </w:r>
      <w:r w:rsidRPr="00087A72">
        <w:rPr>
          <w:sz w:val="16"/>
          <w:szCs w:val="16"/>
        </w:rPr>
        <w:t xml:space="preserve">that, </w:t>
      </w:r>
      <w:r w:rsidRPr="00087A72">
        <w:rPr>
          <w:spacing w:val="2"/>
          <w:sz w:val="16"/>
          <w:szCs w:val="16"/>
        </w:rPr>
        <w:t xml:space="preserve">rather </w:t>
      </w:r>
      <w:r w:rsidRPr="00087A72">
        <w:rPr>
          <w:sz w:val="16"/>
          <w:szCs w:val="16"/>
        </w:rPr>
        <w:t xml:space="preserve">than an </w:t>
      </w:r>
      <w:r w:rsidRPr="00087A72">
        <w:rPr>
          <w:spacing w:val="6"/>
          <w:sz w:val="16"/>
          <w:szCs w:val="16"/>
        </w:rPr>
        <w:t xml:space="preserve">effect </w:t>
      </w:r>
      <w:r w:rsidRPr="00087A72">
        <w:rPr>
          <w:spacing w:val="5"/>
          <w:sz w:val="16"/>
          <w:szCs w:val="16"/>
        </w:rPr>
        <w:t>of</w:t>
      </w:r>
      <w:r w:rsidRPr="00087A72">
        <w:rPr>
          <w:spacing w:val="23"/>
          <w:sz w:val="16"/>
          <w:szCs w:val="16"/>
        </w:rPr>
        <w:t xml:space="preserve"> </w:t>
      </w:r>
      <w:r w:rsidRPr="00087A72">
        <w:rPr>
          <w:sz w:val="16"/>
          <w:szCs w:val="16"/>
        </w:rPr>
        <w:t xml:space="preserve">the historical shift Foucault names, </w:t>
      </w:r>
      <w:r w:rsidRPr="00087A72">
        <w:rPr>
          <w:rStyle w:val="Emphasis"/>
        </w:rPr>
        <w:t>biopower is a core condition of Western sovereignty</w:t>
      </w:r>
      <w:r w:rsidRPr="00087A72">
        <w:rPr>
          <w:sz w:val="16"/>
          <w:szCs w:val="16"/>
        </w:rPr>
        <w:t xml:space="preserve"> inherited from Roman law. For Agamben, both sovereign power over death and the modern state's power over life exhibit biopower, whereas Foucault's genealogy of modern biopolitics describes just one, historically recent, elaboration of biopower into a form that now appears ubiquitous.' Agamben does not reject Foucault's periodization of a premodern power over death being modiﬁed by modern biopolitics, but he does redeﬁne biopower as constituting Western sovereignty in the enactment of the state of exception. </w:t>
      </w:r>
      <w:r w:rsidRPr="00087A72">
        <w:rPr>
          <w:spacing w:val="3"/>
          <w:sz w:val="16"/>
          <w:szCs w:val="16"/>
        </w:rPr>
        <w:t xml:space="preserve">If </w:t>
      </w:r>
      <w:r w:rsidRPr="00087A72">
        <w:rPr>
          <w:sz w:val="16"/>
          <w:szCs w:val="16"/>
        </w:rPr>
        <w:t xml:space="preserve">the European </w:t>
      </w:r>
      <w:r w:rsidRPr="00087A72">
        <w:rPr>
          <w:spacing w:val="3"/>
          <w:sz w:val="16"/>
          <w:szCs w:val="16"/>
        </w:rPr>
        <w:t xml:space="preserve">contexts </w:t>
      </w:r>
      <w:r w:rsidRPr="00087A72">
        <w:rPr>
          <w:sz w:val="16"/>
          <w:szCs w:val="16"/>
        </w:rPr>
        <w:t xml:space="preserve">examined </w:t>
      </w:r>
      <w:r w:rsidRPr="00087A72">
        <w:rPr>
          <w:spacing w:val="-8"/>
          <w:sz w:val="16"/>
          <w:szCs w:val="16"/>
        </w:rPr>
        <w:t xml:space="preserve">by </w:t>
      </w:r>
      <w:r w:rsidRPr="00087A72">
        <w:rPr>
          <w:sz w:val="16"/>
          <w:szCs w:val="16"/>
        </w:rPr>
        <w:t xml:space="preserve">Foucault and Agamben are viewed </w:t>
      </w:r>
      <w:r w:rsidRPr="00087A72">
        <w:rPr>
          <w:spacing w:val="-3"/>
          <w:sz w:val="16"/>
          <w:szCs w:val="16"/>
        </w:rPr>
        <w:t xml:space="preserve">in </w:t>
      </w:r>
      <w:r w:rsidRPr="00087A72">
        <w:rPr>
          <w:sz w:val="16"/>
          <w:szCs w:val="16"/>
        </w:rPr>
        <w:t xml:space="preserve">relationship to settler </w:t>
      </w:r>
      <w:r w:rsidRPr="00087A72">
        <w:rPr>
          <w:spacing w:val="3"/>
          <w:sz w:val="16"/>
          <w:szCs w:val="16"/>
        </w:rPr>
        <w:t xml:space="preserve">colonization </w:t>
      </w:r>
      <w:r w:rsidRPr="00087A72">
        <w:rPr>
          <w:spacing w:val="-3"/>
          <w:sz w:val="16"/>
          <w:szCs w:val="16"/>
        </w:rPr>
        <w:t xml:space="preserve">in </w:t>
      </w:r>
      <w:r w:rsidRPr="00087A72">
        <w:rPr>
          <w:sz w:val="16"/>
          <w:szCs w:val="16"/>
        </w:rPr>
        <w:t xml:space="preserve">the Americas, </w:t>
      </w:r>
      <w:r w:rsidRPr="00087A72">
        <w:rPr>
          <w:spacing w:val="3"/>
          <w:sz w:val="16"/>
          <w:szCs w:val="16"/>
        </w:rPr>
        <w:t xml:space="preserve">one </w:t>
      </w:r>
      <w:r w:rsidRPr="00087A72">
        <w:rPr>
          <w:spacing w:val="2"/>
          <w:sz w:val="16"/>
          <w:szCs w:val="16"/>
        </w:rPr>
        <w:t xml:space="preserve">can </w:t>
      </w:r>
      <w:r w:rsidRPr="00087A72">
        <w:rPr>
          <w:sz w:val="16"/>
          <w:szCs w:val="16"/>
        </w:rPr>
        <w:t xml:space="preserve">see with Agamben that </w:t>
      </w:r>
      <w:r w:rsidRPr="00087A72">
        <w:rPr>
          <w:rStyle w:val="Emphasis"/>
        </w:rPr>
        <w:t>the sovereign rule imposed by colonial powers</w:t>
      </w:r>
      <w:r w:rsidRPr="00087A72">
        <w:rPr>
          <w:sz w:val="16"/>
          <w:szCs w:val="16"/>
        </w:rPr>
        <w:t xml:space="preserve"> from the sixteenth to the </w:t>
      </w:r>
      <w:r w:rsidRPr="00087A72">
        <w:rPr>
          <w:spacing w:val="2"/>
          <w:sz w:val="16"/>
          <w:szCs w:val="16"/>
        </w:rPr>
        <w:t xml:space="preserve">eighteenth </w:t>
      </w:r>
      <w:r w:rsidRPr="00087A72">
        <w:rPr>
          <w:spacing w:val="3"/>
          <w:sz w:val="16"/>
          <w:szCs w:val="16"/>
        </w:rPr>
        <w:t xml:space="preserve">centuries </w:t>
      </w:r>
      <w:r w:rsidRPr="00087A72">
        <w:rPr>
          <w:sz w:val="16"/>
          <w:szCs w:val="16"/>
        </w:rPr>
        <w:t xml:space="preserve">already </w:t>
      </w:r>
      <w:r w:rsidRPr="00087A72">
        <w:rPr>
          <w:spacing w:val="3"/>
          <w:sz w:val="16"/>
          <w:szCs w:val="16"/>
        </w:rPr>
        <w:t xml:space="preserve">functioned </w:t>
      </w:r>
      <w:r w:rsidRPr="00087A72">
        <w:rPr>
          <w:sz w:val="16"/>
          <w:szCs w:val="16"/>
        </w:rPr>
        <w:t xml:space="preserve">as </w:t>
      </w:r>
      <w:r w:rsidRPr="00087A72">
        <w:rPr>
          <w:spacing w:val="-3"/>
          <w:sz w:val="16"/>
          <w:szCs w:val="16"/>
        </w:rPr>
        <w:t xml:space="preserve">biopower, </w:t>
      </w:r>
      <w:r w:rsidRPr="00087A72">
        <w:rPr>
          <w:rStyle w:val="Emphasis"/>
        </w:rPr>
        <w:t>by positioning Native peoples perpetually in the state of exception.</w:t>
      </w:r>
      <w:r w:rsidRPr="00087A72">
        <w:rPr>
          <w:spacing w:val="2"/>
          <w:sz w:val="16"/>
          <w:szCs w:val="16"/>
        </w:rPr>
        <w:t xml:space="preserve"> </w:t>
      </w:r>
      <w:r w:rsidRPr="00087A72">
        <w:rPr>
          <w:spacing w:val="-3"/>
          <w:sz w:val="16"/>
          <w:szCs w:val="16"/>
        </w:rPr>
        <w:t xml:space="preserve">Here, </w:t>
      </w:r>
      <w:r w:rsidRPr="00087A72">
        <w:rPr>
          <w:spacing w:val="5"/>
          <w:sz w:val="16"/>
          <w:szCs w:val="16"/>
        </w:rPr>
        <w:t xml:space="preserve">Mbembe's </w:t>
      </w:r>
      <w:r w:rsidRPr="00087A72">
        <w:rPr>
          <w:spacing w:val="4"/>
          <w:sz w:val="16"/>
          <w:szCs w:val="16"/>
        </w:rPr>
        <w:t xml:space="preserve">theory </w:t>
      </w:r>
      <w:r w:rsidRPr="00087A72">
        <w:rPr>
          <w:spacing w:val="5"/>
          <w:sz w:val="16"/>
          <w:szCs w:val="16"/>
        </w:rPr>
        <w:t xml:space="preserve">of </w:t>
      </w:r>
      <w:r w:rsidRPr="00087A72">
        <w:rPr>
          <w:sz w:val="16"/>
          <w:szCs w:val="16"/>
        </w:rPr>
        <w:t xml:space="preserve">the </w:t>
      </w:r>
      <w:r w:rsidRPr="00087A72">
        <w:rPr>
          <w:spacing w:val="4"/>
          <w:sz w:val="16"/>
          <w:szCs w:val="16"/>
        </w:rPr>
        <w:t xml:space="preserve">colony </w:t>
      </w:r>
      <w:r w:rsidRPr="00087A72">
        <w:rPr>
          <w:sz w:val="16"/>
          <w:szCs w:val="16"/>
        </w:rPr>
        <w:t xml:space="preserve">as </w:t>
      </w:r>
      <w:r w:rsidRPr="00087A72">
        <w:rPr>
          <w:spacing w:val="3"/>
          <w:sz w:val="16"/>
          <w:szCs w:val="16"/>
        </w:rPr>
        <w:t xml:space="preserve">exception </w:t>
      </w:r>
      <w:r w:rsidRPr="00087A72">
        <w:rPr>
          <w:sz w:val="16"/>
          <w:szCs w:val="16"/>
        </w:rPr>
        <w:t xml:space="preserve">demands being </w:t>
      </w:r>
      <w:r w:rsidRPr="00087A72">
        <w:rPr>
          <w:spacing w:val="3"/>
          <w:sz w:val="16"/>
          <w:szCs w:val="16"/>
        </w:rPr>
        <w:t xml:space="preserve">correlated </w:t>
      </w:r>
      <w:r w:rsidRPr="00087A72">
        <w:rPr>
          <w:sz w:val="16"/>
          <w:szCs w:val="16"/>
        </w:rPr>
        <w:t xml:space="preserve">to Wolfe's </w:t>
      </w:r>
      <w:r w:rsidRPr="00087A72">
        <w:rPr>
          <w:spacing w:val="4"/>
          <w:sz w:val="16"/>
          <w:szCs w:val="16"/>
        </w:rPr>
        <w:t xml:space="preserve">account </w:t>
      </w:r>
      <w:r w:rsidRPr="00087A72">
        <w:rPr>
          <w:spacing w:val="5"/>
          <w:sz w:val="16"/>
          <w:szCs w:val="16"/>
        </w:rPr>
        <w:t xml:space="preserve">of </w:t>
      </w:r>
      <w:r w:rsidRPr="00087A72">
        <w:rPr>
          <w:sz w:val="16"/>
          <w:szCs w:val="16"/>
        </w:rPr>
        <w:t xml:space="preserve">settler colonialism as a logic </w:t>
      </w:r>
      <w:r w:rsidRPr="00087A72">
        <w:rPr>
          <w:spacing w:val="5"/>
          <w:sz w:val="16"/>
          <w:szCs w:val="16"/>
        </w:rPr>
        <w:t xml:space="preserve">of </w:t>
      </w:r>
      <w:r w:rsidRPr="00087A72">
        <w:rPr>
          <w:sz w:val="16"/>
          <w:szCs w:val="16"/>
        </w:rPr>
        <w:t xml:space="preserve">elimination, to recognize </w:t>
      </w:r>
      <w:r w:rsidRPr="00087A72">
        <w:rPr>
          <w:spacing w:val="3"/>
          <w:sz w:val="16"/>
          <w:szCs w:val="16"/>
        </w:rPr>
        <w:t xml:space="preserve">Native peoples </w:t>
      </w:r>
      <w:r w:rsidRPr="00087A72">
        <w:rPr>
          <w:sz w:val="16"/>
          <w:szCs w:val="16"/>
        </w:rPr>
        <w:t xml:space="preserve">being positioned within the state </w:t>
      </w:r>
      <w:r w:rsidRPr="00087A72">
        <w:rPr>
          <w:spacing w:val="5"/>
          <w:sz w:val="16"/>
          <w:szCs w:val="16"/>
        </w:rPr>
        <w:t xml:space="preserve">of </w:t>
      </w:r>
      <w:r w:rsidRPr="00087A72">
        <w:rPr>
          <w:spacing w:val="3"/>
          <w:sz w:val="16"/>
          <w:szCs w:val="16"/>
        </w:rPr>
        <w:t xml:space="preserve">exception </w:t>
      </w:r>
      <w:r w:rsidRPr="00087A72">
        <w:rPr>
          <w:spacing w:val="-8"/>
          <w:sz w:val="16"/>
          <w:szCs w:val="16"/>
        </w:rPr>
        <w:t xml:space="preserve">by </w:t>
      </w:r>
      <w:r w:rsidRPr="00087A72">
        <w:rPr>
          <w:sz w:val="16"/>
          <w:szCs w:val="16"/>
        </w:rPr>
        <w:t xml:space="preserve">projects </w:t>
      </w:r>
      <w:r w:rsidRPr="00087A72">
        <w:rPr>
          <w:spacing w:val="5"/>
          <w:sz w:val="16"/>
          <w:szCs w:val="16"/>
        </w:rPr>
        <w:t xml:space="preserve">of </w:t>
      </w:r>
      <w:r w:rsidRPr="00087A72">
        <w:rPr>
          <w:spacing w:val="8"/>
          <w:sz w:val="16"/>
          <w:szCs w:val="16"/>
        </w:rPr>
        <w:t xml:space="preserve">white </w:t>
      </w:r>
      <w:r w:rsidRPr="00087A72">
        <w:rPr>
          <w:sz w:val="16"/>
          <w:szCs w:val="16"/>
        </w:rPr>
        <w:t xml:space="preserve">settler </w:t>
      </w:r>
      <w:r w:rsidRPr="00087A72">
        <w:rPr>
          <w:spacing w:val="2"/>
          <w:sz w:val="16"/>
          <w:szCs w:val="16"/>
        </w:rPr>
        <w:t xml:space="preserve">replacement. </w:t>
      </w:r>
      <w:r w:rsidRPr="00087A72">
        <w:rPr>
          <w:sz w:val="16"/>
          <w:szCs w:val="16"/>
        </w:rPr>
        <w:t xml:space="preserve">The logic </w:t>
      </w:r>
      <w:r w:rsidRPr="00087A72">
        <w:rPr>
          <w:spacing w:val="5"/>
          <w:sz w:val="16"/>
          <w:szCs w:val="16"/>
        </w:rPr>
        <w:t xml:space="preserve">of </w:t>
      </w:r>
      <w:r w:rsidRPr="00087A72">
        <w:rPr>
          <w:spacing w:val="2"/>
          <w:sz w:val="16"/>
          <w:szCs w:val="16"/>
        </w:rPr>
        <w:t xml:space="preserve">Indigenous </w:t>
      </w:r>
      <w:r w:rsidRPr="00087A72">
        <w:rPr>
          <w:sz w:val="16"/>
          <w:szCs w:val="16"/>
        </w:rPr>
        <w:t xml:space="preserve">elimination provided a necessary premise for any subsequent subjection </w:t>
      </w:r>
      <w:r w:rsidRPr="00087A72">
        <w:rPr>
          <w:spacing w:val="5"/>
          <w:sz w:val="16"/>
          <w:szCs w:val="16"/>
        </w:rPr>
        <w:t xml:space="preserve">of </w:t>
      </w:r>
      <w:r w:rsidRPr="00087A72">
        <w:rPr>
          <w:spacing w:val="2"/>
          <w:sz w:val="16"/>
          <w:szCs w:val="16"/>
        </w:rPr>
        <w:t xml:space="preserve">African, </w:t>
      </w:r>
      <w:r w:rsidRPr="00087A72">
        <w:rPr>
          <w:sz w:val="16"/>
          <w:szCs w:val="16"/>
        </w:rPr>
        <w:t xml:space="preserve">Asian, </w:t>
      </w:r>
      <w:r w:rsidRPr="00087A72">
        <w:rPr>
          <w:spacing w:val="5"/>
          <w:sz w:val="16"/>
          <w:szCs w:val="16"/>
        </w:rPr>
        <w:t xml:space="preserve">or </w:t>
      </w:r>
      <w:r w:rsidRPr="00087A72">
        <w:rPr>
          <w:sz w:val="16"/>
          <w:szCs w:val="16"/>
        </w:rPr>
        <w:t xml:space="preserve">Paciﬁc </w:t>
      </w:r>
      <w:r w:rsidRPr="00087A72">
        <w:rPr>
          <w:spacing w:val="3"/>
          <w:sz w:val="16"/>
          <w:szCs w:val="16"/>
        </w:rPr>
        <w:t xml:space="preserve">peoples </w:t>
      </w:r>
      <w:r w:rsidRPr="00087A72">
        <w:rPr>
          <w:sz w:val="16"/>
          <w:szCs w:val="16"/>
        </w:rPr>
        <w:t xml:space="preserve">within the </w:t>
      </w:r>
      <w:r w:rsidRPr="00087A72">
        <w:rPr>
          <w:spacing w:val="2"/>
          <w:sz w:val="16"/>
          <w:szCs w:val="16"/>
        </w:rPr>
        <w:t xml:space="preserve">colonial </w:t>
      </w:r>
      <w:r w:rsidRPr="00087A72">
        <w:rPr>
          <w:sz w:val="16"/>
          <w:szCs w:val="16"/>
        </w:rPr>
        <w:t xml:space="preserve">state </w:t>
      </w:r>
      <w:r w:rsidRPr="00087A72">
        <w:rPr>
          <w:spacing w:val="5"/>
          <w:sz w:val="16"/>
          <w:szCs w:val="16"/>
        </w:rPr>
        <w:t xml:space="preserve">of </w:t>
      </w:r>
      <w:r w:rsidRPr="00087A72">
        <w:rPr>
          <w:spacing w:val="3"/>
          <w:sz w:val="16"/>
          <w:szCs w:val="16"/>
        </w:rPr>
        <w:t xml:space="preserve">exception </w:t>
      </w:r>
      <w:r w:rsidRPr="00087A72">
        <w:rPr>
          <w:spacing w:val="5"/>
          <w:sz w:val="16"/>
          <w:szCs w:val="16"/>
        </w:rPr>
        <w:t xml:space="preserve">on </w:t>
      </w:r>
      <w:r w:rsidRPr="00087A72">
        <w:rPr>
          <w:sz w:val="16"/>
          <w:szCs w:val="16"/>
        </w:rPr>
        <w:t xml:space="preserve">putatively emptied land. </w:t>
      </w:r>
      <w:r w:rsidRPr="00087A72">
        <w:rPr>
          <w:spacing w:val="4"/>
          <w:sz w:val="16"/>
          <w:szCs w:val="16"/>
        </w:rPr>
        <w:t>Moreover,</w:t>
      </w:r>
      <w:r w:rsidRPr="00087A72">
        <w:rPr>
          <w:spacing w:val="-14"/>
          <w:sz w:val="16"/>
          <w:szCs w:val="16"/>
        </w:rPr>
        <w:t xml:space="preserve"> </w:t>
      </w:r>
      <w:r w:rsidRPr="00087A72">
        <w:rPr>
          <w:sz w:val="16"/>
          <w:szCs w:val="16"/>
        </w:rPr>
        <w:t>as</w:t>
      </w:r>
      <w:r w:rsidRPr="00087A72">
        <w:rPr>
          <w:spacing w:val="-15"/>
          <w:sz w:val="16"/>
          <w:szCs w:val="16"/>
        </w:rPr>
        <w:t xml:space="preserve"> </w:t>
      </w:r>
      <w:r w:rsidRPr="00087A72">
        <w:rPr>
          <w:sz w:val="16"/>
          <w:szCs w:val="16"/>
        </w:rPr>
        <w:t>Mark</w:t>
      </w:r>
      <w:r w:rsidRPr="00087A72">
        <w:rPr>
          <w:spacing w:val="-8"/>
          <w:sz w:val="16"/>
          <w:szCs w:val="16"/>
        </w:rPr>
        <w:t xml:space="preserve"> </w:t>
      </w:r>
      <w:r w:rsidRPr="00087A72">
        <w:rPr>
          <w:sz w:val="16"/>
          <w:szCs w:val="16"/>
        </w:rPr>
        <w:t>Rifkin</w:t>
      </w:r>
      <w:r w:rsidRPr="00087A72">
        <w:rPr>
          <w:spacing w:val="-8"/>
          <w:sz w:val="16"/>
          <w:szCs w:val="16"/>
        </w:rPr>
        <w:t xml:space="preserve"> </w:t>
      </w:r>
      <w:r w:rsidRPr="00087A72">
        <w:rPr>
          <w:sz w:val="16"/>
          <w:szCs w:val="16"/>
        </w:rPr>
        <w:t>argues,</w:t>
      </w:r>
      <w:r w:rsidRPr="00087A72">
        <w:rPr>
          <w:spacing w:val="-13"/>
          <w:sz w:val="16"/>
          <w:szCs w:val="16"/>
        </w:rPr>
        <w:t xml:space="preserve"> </w:t>
      </w:r>
      <w:r w:rsidRPr="00087A72">
        <w:rPr>
          <w:sz w:val="16"/>
          <w:szCs w:val="16"/>
        </w:rPr>
        <w:t>that</w:t>
      </w:r>
      <w:r w:rsidRPr="00087A72">
        <w:rPr>
          <w:spacing w:val="-4"/>
          <w:sz w:val="16"/>
          <w:szCs w:val="16"/>
        </w:rPr>
        <w:t xml:space="preserve"> </w:t>
      </w:r>
      <w:r w:rsidRPr="00087A72">
        <w:rPr>
          <w:sz w:val="16"/>
          <w:szCs w:val="16"/>
        </w:rPr>
        <w:t>logic</w:t>
      </w:r>
      <w:r w:rsidRPr="00087A72">
        <w:rPr>
          <w:spacing w:val="-1"/>
          <w:sz w:val="16"/>
          <w:szCs w:val="16"/>
        </w:rPr>
        <w:t xml:space="preserve"> </w:t>
      </w:r>
      <w:r w:rsidRPr="00087A72">
        <w:rPr>
          <w:spacing w:val="3"/>
          <w:sz w:val="16"/>
          <w:szCs w:val="16"/>
        </w:rPr>
        <w:t>grounds</w:t>
      </w:r>
      <w:r w:rsidRPr="00087A72">
        <w:rPr>
          <w:spacing w:val="-15"/>
          <w:sz w:val="16"/>
          <w:szCs w:val="16"/>
        </w:rPr>
        <w:t xml:space="preserve"> </w:t>
      </w:r>
      <w:r w:rsidRPr="00087A72">
        <w:rPr>
          <w:sz w:val="16"/>
          <w:szCs w:val="16"/>
        </w:rPr>
        <w:t>settler</w:t>
      </w:r>
      <w:r w:rsidRPr="00087A72">
        <w:rPr>
          <w:spacing w:val="-4"/>
          <w:sz w:val="16"/>
          <w:szCs w:val="16"/>
        </w:rPr>
        <w:t xml:space="preserve"> </w:t>
      </w:r>
      <w:r w:rsidRPr="00087A72">
        <w:rPr>
          <w:spacing w:val="2"/>
          <w:sz w:val="16"/>
          <w:szCs w:val="16"/>
        </w:rPr>
        <w:t>colonial</w:t>
      </w:r>
      <w:r w:rsidRPr="00087A72">
        <w:rPr>
          <w:spacing w:val="-11"/>
          <w:sz w:val="16"/>
          <w:szCs w:val="16"/>
        </w:rPr>
        <w:t xml:space="preserve"> </w:t>
      </w:r>
      <w:r w:rsidRPr="00087A72">
        <w:rPr>
          <w:sz w:val="16"/>
          <w:szCs w:val="16"/>
        </w:rPr>
        <w:t xml:space="preserve">biopolitics </w:t>
      </w:r>
      <w:r w:rsidRPr="00087A72">
        <w:rPr>
          <w:spacing w:val="-3"/>
          <w:sz w:val="16"/>
          <w:szCs w:val="16"/>
        </w:rPr>
        <w:t xml:space="preserve">in </w:t>
      </w:r>
      <w:r w:rsidRPr="00087A72">
        <w:rPr>
          <w:sz w:val="16"/>
          <w:szCs w:val="16"/>
        </w:rPr>
        <w:t xml:space="preserve">the </w:t>
      </w:r>
      <w:r w:rsidRPr="00087A72">
        <w:rPr>
          <w:spacing w:val="2"/>
          <w:sz w:val="16"/>
          <w:szCs w:val="16"/>
        </w:rPr>
        <w:t xml:space="preserve">geopolitical </w:t>
      </w:r>
      <w:r w:rsidRPr="00087A72">
        <w:rPr>
          <w:sz w:val="16"/>
          <w:szCs w:val="16"/>
        </w:rPr>
        <w:t xml:space="preserve">project </w:t>
      </w:r>
      <w:r w:rsidRPr="00087A72">
        <w:rPr>
          <w:spacing w:val="5"/>
          <w:sz w:val="16"/>
          <w:szCs w:val="16"/>
        </w:rPr>
        <w:t xml:space="preserve">of </w:t>
      </w:r>
      <w:r w:rsidRPr="00087A72">
        <w:rPr>
          <w:sz w:val="16"/>
          <w:szCs w:val="16"/>
        </w:rPr>
        <w:t xml:space="preserve">deﬁning the territoriality </w:t>
      </w:r>
      <w:r w:rsidRPr="00087A72">
        <w:rPr>
          <w:spacing w:val="5"/>
          <w:sz w:val="16"/>
          <w:szCs w:val="16"/>
        </w:rPr>
        <w:t xml:space="preserve">of </w:t>
      </w:r>
      <w:r w:rsidRPr="00087A72">
        <w:rPr>
          <w:sz w:val="16"/>
          <w:szCs w:val="16"/>
        </w:rPr>
        <w:t xml:space="preserve">the nation" </w:t>
      </w:r>
      <w:r w:rsidRPr="00087A72">
        <w:rPr>
          <w:spacing w:val="2"/>
          <w:sz w:val="16"/>
          <w:szCs w:val="16"/>
        </w:rPr>
        <w:t xml:space="preserve">when </w:t>
      </w:r>
      <w:r w:rsidRPr="00087A72">
        <w:rPr>
          <w:sz w:val="16"/>
          <w:szCs w:val="16"/>
        </w:rPr>
        <w:t xml:space="preserve">attempting to </w:t>
      </w:r>
      <w:r w:rsidRPr="00087A72">
        <w:rPr>
          <w:spacing w:val="2"/>
          <w:sz w:val="16"/>
          <w:szCs w:val="16"/>
        </w:rPr>
        <w:t xml:space="preserve">control Indigenous </w:t>
      </w:r>
      <w:r w:rsidRPr="00087A72">
        <w:rPr>
          <w:spacing w:val="3"/>
          <w:sz w:val="16"/>
          <w:szCs w:val="16"/>
        </w:rPr>
        <w:t xml:space="preserve">people </w:t>
      </w:r>
      <w:r w:rsidRPr="00087A72">
        <w:rPr>
          <w:sz w:val="16"/>
          <w:szCs w:val="16"/>
        </w:rPr>
        <w:t xml:space="preserve">and supplant </w:t>
      </w:r>
      <w:r w:rsidRPr="00087A72">
        <w:rPr>
          <w:spacing w:val="2"/>
          <w:sz w:val="16"/>
          <w:szCs w:val="16"/>
        </w:rPr>
        <w:t xml:space="preserve">Indigenous </w:t>
      </w:r>
      <w:r w:rsidRPr="00087A72">
        <w:rPr>
          <w:spacing w:val="-4"/>
          <w:sz w:val="16"/>
          <w:szCs w:val="16"/>
        </w:rPr>
        <w:t xml:space="preserve">sovereignty.' </w:t>
      </w:r>
      <w:r w:rsidRPr="00087A72">
        <w:rPr>
          <w:spacing w:val="2"/>
          <w:sz w:val="16"/>
          <w:szCs w:val="16"/>
        </w:rPr>
        <w:t xml:space="preserve">No </w:t>
      </w:r>
      <w:r w:rsidRPr="00087A72">
        <w:rPr>
          <w:spacing w:val="4"/>
          <w:sz w:val="16"/>
          <w:szCs w:val="16"/>
        </w:rPr>
        <w:t xml:space="preserve">account </w:t>
      </w:r>
      <w:r w:rsidRPr="00087A72">
        <w:rPr>
          <w:spacing w:val="5"/>
          <w:sz w:val="16"/>
          <w:szCs w:val="16"/>
        </w:rPr>
        <w:t xml:space="preserve">of </w:t>
      </w:r>
      <w:r w:rsidRPr="00087A72">
        <w:rPr>
          <w:sz w:val="16"/>
          <w:szCs w:val="16"/>
        </w:rPr>
        <w:t xml:space="preserve">biopolitics will explain a multiracial and transnational settler </w:t>
      </w:r>
      <w:r w:rsidRPr="00087A72">
        <w:rPr>
          <w:spacing w:val="2"/>
          <w:sz w:val="16"/>
          <w:szCs w:val="16"/>
        </w:rPr>
        <w:t xml:space="preserve">society </w:t>
      </w:r>
      <w:r w:rsidRPr="00087A72">
        <w:rPr>
          <w:spacing w:val="5"/>
          <w:sz w:val="16"/>
          <w:szCs w:val="16"/>
        </w:rPr>
        <w:t xml:space="preserve">or </w:t>
      </w:r>
      <w:r w:rsidRPr="00087A72">
        <w:rPr>
          <w:sz w:val="16"/>
          <w:szCs w:val="16"/>
        </w:rPr>
        <w:t xml:space="preserve">its projections into a colonized and globalized world unless its foundational </w:t>
      </w:r>
      <w:r w:rsidRPr="00087A72">
        <w:rPr>
          <w:spacing w:val="2"/>
          <w:sz w:val="16"/>
          <w:szCs w:val="16"/>
        </w:rPr>
        <w:t xml:space="preserve">conditioning </w:t>
      </w:r>
      <w:r w:rsidRPr="00087A72">
        <w:rPr>
          <w:spacing w:val="-8"/>
          <w:sz w:val="16"/>
          <w:szCs w:val="16"/>
        </w:rPr>
        <w:t xml:space="preserve">by </w:t>
      </w:r>
      <w:r w:rsidRPr="00087A72">
        <w:rPr>
          <w:sz w:val="16"/>
          <w:szCs w:val="16"/>
        </w:rPr>
        <w:t xml:space="preserve">the biopolitics </w:t>
      </w:r>
      <w:r w:rsidRPr="00087A72">
        <w:rPr>
          <w:spacing w:val="5"/>
          <w:sz w:val="16"/>
          <w:szCs w:val="16"/>
        </w:rPr>
        <w:t xml:space="preserve">of </w:t>
      </w:r>
      <w:r w:rsidRPr="00087A72">
        <w:rPr>
          <w:sz w:val="16"/>
          <w:szCs w:val="16"/>
        </w:rPr>
        <w:t xml:space="preserve">settler colonialism and the logic </w:t>
      </w:r>
      <w:r w:rsidRPr="00087A72">
        <w:rPr>
          <w:spacing w:val="5"/>
          <w:sz w:val="16"/>
          <w:szCs w:val="16"/>
        </w:rPr>
        <w:t xml:space="preserve">of </w:t>
      </w:r>
      <w:r w:rsidRPr="00087A72">
        <w:rPr>
          <w:spacing w:val="2"/>
          <w:sz w:val="16"/>
          <w:szCs w:val="16"/>
        </w:rPr>
        <w:t xml:space="preserve">Indigenous </w:t>
      </w:r>
      <w:r w:rsidRPr="00087A72">
        <w:rPr>
          <w:sz w:val="16"/>
          <w:szCs w:val="16"/>
        </w:rPr>
        <w:t xml:space="preserve">elimination </w:t>
      </w:r>
      <w:r w:rsidRPr="00087A72">
        <w:rPr>
          <w:spacing w:val="3"/>
          <w:sz w:val="16"/>
          <w:szCs w:val="16"/>
        </w:rPr>
        <w:t xml:space="preserve">structures </w:t>
      </w:r>
      <w:r w:rsidRPr="00087A72">
        <w:rPr>
          <w:spacing w:val="4"/>
          <w:sz w:val="16"/>
          <w:szCs w:val="16"/>
        </w:rPr>
        <w:t xml:space="preserve">our theory </w:t>
      </w:r>
      <w:r w:rsidRPr="00087A72">
        <w:rPr>
          <w:spacing w:val="5"/>
          <w:sz w:val="16"/>
          <w:szCs w:val="16"/>
        </w:rPr>
        <w:t xml:space="preserve">of </w:t>
      </w:r>
      <w:r w:rsidRPr="00087A72">
        <w:rPr>
          <w:sz w:val="16"/>
          <w:szCs w:val="16"/>
        </w:rPr>
        <w:t xml:space="preserve">the </w:t>
      </w:r>
      <w:r w:rsidRPr="00087A72">
        <w:rPr>
          <w:spacing w:val="3"/>
          <w:sz w:val="16"/>
          <w:szCs w:val="16"/>
        </w:rPr>
        <w:t xml:space="preserve">exception </w:t>
      </w:r>
      <w:r w:rsidRPr="00087A72">
        <w:rPr>
          <w:sz w:val="16"/>
          <w:szCs w:val="16"/>
        </w:rPr>
        <w:t xml:space="preserve">and the </w:t>
      </w:r>
      <w:r w:rsidRPr="00087A72">
        <w:rPr>
          <w:spacing w:val="2"/>
          <w:sz w:val="16"/>
          <w:szCs w:val="16"/>
        </w:rPr>
        <w:t xml:space="preserve">colonial </w:t>
      </w:r>
      <w:r w:rsidRPr="00087A72">
        <w:rPr>
          <w:sz w:val="16"/>
          <w:szCs w:val="16"/>
        </w:rPr>
        <w:t xml:space="preserve">exercise </w:t>
      </w:r>
      <w:r w:rsidRPr="00087A72">
        <w:rPr>
          <w:spacing w:val="5"/>
          <w:sz w:val="16"/>
          <w:szCs w:val="16"/>
        </w:rPr>
        <w:t>of</w:t>
      </w:r>
      <w:r w:rsidRPr="00087A72">
        <w:rPr>
          <w:spacing w:val="-14"/>
          <w:sz w:val="16"/>
          <w:szCs w:val="16"/>
        </w:rPr>
        <w:t xml:space="preserve"> </w:t>
      </w:r>
      <w:r w:rsidRPr="00087A72">
        <w:rPr>
          <w:sz w:val="16"/>
          <w:szCs w:val="16"/>
        </w:rPr>
        <w:t xml:space="preserve">sovereignty. </w:t>
      </w:r>
      <w:r w:rsidRPr="00087A72">
        <w:rPr>
          <w:rStyle w:val="Emphasis"/>
        </w:rPr>
        <w:t>In the Americas</w:t>
      </w:r>
      <w:r w:rsidRPr="00087A72">
        <w:rPr>
          <w:sz w:val="16"/>
          <w:szCs w:val="16"/>
        </w:rPr>
        <w:t xml:space="preserve"> and, speciﬁcally, the United States, the </w:t>
      </w:r>
      <w:r w:rsidRPr="00087A72">
        <w:rPr>
          <w:rStyle w:val="Emphasis"/>
        </w:rPr>
        <w:t>biopolitics of settler colonialism was constituted by the imposition of colonial heteropatriarchy and the hegemony of settler sexuality,</w:t>
      </w:r>
      <w:r w:rsidRPr="00087A72">
        <w:rPr>
          <w:spacing w:val="-5"/>
          <w:sz w:val="16"/>
          <w:szCs w:val="16"/>
        </w:rPr>
        <w:t xml:space="preserve"> </w:t>
      </w:r>
      <w:r w:rsidRPr="00087A72">
        <w:rPr>
          <w:spacing w:val="-3"/>
          <w:sz w:val="16"/>
          <w:szCs w:val="16"/>
        </w:rPr>
        <w:t xml:space="preserve">which </w:t>
      </w:r>
      <w:r w:rsidRPr="00087A72">
        <w:rPr>
          <w:sz w:val="16"/>
          <w:szCs w:val="16"/>
        </w:rPr>
        <w:t xml:space="preserve">sought </w:t>
      </w:r>
      <w:r w:rsidRPr="00087A72">
        <w:rPr>
          <w:spacing w:val="4"/>
          <w:sz w:val="16"/>
          <w:szCs w:val="16"/>
        </w:rPr>
        <w:t xml:space="preserve">both </w:t>
      </w:r>
      <w:r w:rsidRPr="00087A72">
        <w:rPr>
          <w:sz w:val="16"/>
          <w:szCs w:val="16"/>
        </w:rPr>
        <w:t xml:space="preserve">the elimination </w:t>
      </w:r>
      <w:r w:rsidRPr="00087A72">
        <w:rPr>
          <w:spacing w:val="5"/>
          <w:sz w:val="16"/>
          <w:szCs w:val="16"/>
        </w:rPr>
        <w:t xml:space="preserve">of </w:t>
      </w:r>
      <w:r w:rsidRPr="00087A72">
        <w:rPr>
          <w:spacing w:val="2"/>
          <w:sz w:val="16"/>
          <w:szCs w:val="16"/>
        </w:rPr>
        <w:t xml:space="preserve">Indigenous </w:t>
      </w:r>
      <w:r w:rsidRPr="00087A72">
        <w:rPr>
          <w:sz w:val="16"/>
          <w:szCs w:val="16"/>
        </w:rPr>
        <w:t xml:space="preserve">sexuality and its </w:t>
      </w:r>
      <w:r w:rsidRPr="00087A72">
        <w:rPr>
          <w:spacing w:val="3"/>
          <w:sz w:val="16"/>
          <w:szCs w:val="16"/>
        </w:rPr>
        <w:t xml:space="preserve">incorporation </w:t>
      </w:r>
      <w:r w:rsidRPr="00087A72">
        <w:rPr>
          <w:sz w:val="16"/>
          <w:szCs w:val="16"/>
        </w:rPr>
        <w:t xml:space="preserve">into settler sexual modernity. Theorists </w:t>
      </w:r>
      <w:r w:rsidRPr="00087A72">
        <w:rPr>
          <w:spacing w:val="5"/>
          <w:sz w:val="16"/>
          <w:szCs w:val="16"/>
        </w:rPr>
        <w:t xml:space="preserve">of </w:t>
      </w:r>
      <w:r w:rsidRPr="00087A72">
        <w:rPr>
          <w:sz w:val="16"/>
          <w:szCs w:val="16"/>
        </w:rPr>
        <w:t xml:space="preserve">sexuality who address biopower and </w:t>
      </w:r>
      <w:r w:rsidRPr="00087A72">
        <w:rPr>
          <w:spacing w:val="3"/>
          <w:sz w:val="16"/>
          <w:szCs w:val="16"/>
        </w:rPr>
        <w:t xml:space="preserve">colonization </w:t>
      </w:r>
      <w:r w:rsidRPr="00087A72">
        <w:rPr>
          <w:sz w:val="16"/>
          <w:szCs w:val="16"/>
        </w:rPr>
        <w:t xml:space="preserve">are </w:t>
      </w:r>
      <w:r w:rsidRPr="00087A72">
        <w:rPr>
          <w:spacing w:val="2"/>
          <w:sz w:val="16"/>
          <w:szCs w:val="16"/>
        </w:rPr>
        <w:t xml:space="preserve">indebted </w:t>
      </w:r>
      <w:r w:rsidRPr="00087A72">
        <w:rPr>
          <w:sz w:val="16"/>
          <w:szCs w:val="16"/>
        </w:rPr>
        <w:t>to Ann</w:t>
      </w:r>
      <w:r w:rsidRPr="00087A72">
        <w:rPr>
          <w:spacing w:val="-7"/>
          <w:sz w:val="16"/>
          <w:szCs w:val="16"/>
        </w:rPr>
        <w:t xml:space="preserve"> </w:t>
      </w:r>
      <w:r w:rsidRPr="00087A72">
        <w:rPr>
          <w:sz w:val="16"/>
          <w:szCs w:val="16"/>
        </w:rPr>
        <w:t>Stoler's</w:t>
      </w:r>
      <w:r w:rsidRPr="00087A72">
        <w:rPr>
          <w:spacing w:val="-15"/>
          <w:sz w:val="16"/>
          <w:szCs w:val="16"/>
        </w:rPr>
        <w:t xml:space="preserve"> </w:t>
      </w:r>
      <w:r w:rsidRPr="00087A72">
        <w:rPr>
          <w:spacing w:val="6"/>
          <w:sz w:val="16"/>
          <w:szCs w:val="16"/>
        </w:rPr>
        <w:t>efforts</w:t>
      </w:r>
      <w:r w:rsidRPr="00087A72">
        <w:rPr>
          <w:spacing w:val="-14"/>
          <w:sz w:val="16"/>
          <w:szCs w:val="16"/>
        </w:rPr>
        <w:t xml:space="preserve"> </w:t>
      </w:r>
      <w:r w:rsidRPr="00087A72">
        <w:rPr>
          <w:sz w:val="16"/>
          <w:szCs w:val="16"/>
        </w:rPr>
        <w:t>to</w:t>
      </w:r>
      <w:r w:rsidRPr="00087A72">
        <w:rPr>
          <w:spacing w:val="1"/>
          <w:sz w:val="16"/>
          <w:szCs w:val="16"/>
        </w:rPr>
        <w:t xml:space="preserve"> </w:t>
      </w:r>
      <w:r w:rsidRPr="00087A72">
        <w:rPr>
          <w:spacing w:val="2"/>
          <w:sz w:val="16"/>
          <w:szCs w:val="16"/>
        </w:rPr>
        <w:t>locate</w:t>
      </w:r>
      <w:r w:rsidRPr="00087A72">
        <w:rPr>
          <w:spacing w:val="-2"/>
          <w:sz w:val="16"/>
          <w:szCs w:val="16"/>
        </w:rPr>
        <w:t xml:space="preserve"> </w:t>
      </w:r>
      <w:r w:rsidRPr="00087A72">
        <w:rPr>
          <w:sz w:val="16"/>
          <w:szCs w:val="16"/>
        </w:rPr>
        <w:t>Foucauldian</w:t>
      </w:r>
      <w:r w:rsidRPr="00087A72">
        <w:rPr>
          <w:spacing w:val="-7"/>
          <w:sz w:val="16"/>
          <w:szCs w:val="16"/>
        </w:rPr>
        <w:t xml:space="preserve"> </w:t>
      </w:r>
      <w:r w:rsidRPr="00087A72">
        <w:rPr>
          <w:spacing w:val="4"/>
          <w:sz w:val="16"/>
          <w:szCs w:val="16"/>
        </w:rPr>
        <w:t>accounts</w:t>
      </w:r>
      <w:r w:rsidRPr="00087A72">
        <w:rPr>
          <w:spacing w:val="-14"/>
          <w:sz w:val="16"/>
          <w:szCs w:val="16"/>
        </w:rPr>
        <w:t xml:space="preserve"> </w:t>
      </w:r>
      <w:r w:rsidRPr="00087A72">
        <w:rPr>
          <w:spacing w:val="5"/>
          <w:sz w:val="16"/>
          <w:szCs w:val="16"/>
        </w:rPr>
        <w:t>of</w:t>
      </w:r>
      <w:r w:rsidRPr="00087A72">
        <w:rPr>
          <w:spacing w:val="1"/>
          <w:sz w:val="16"/>
          <w:szCs w:val="16"/>
        </w:rPr>
        <w:t xml:space="preserve"> </w:t>
      </w:r>
      <w:r w:rsidRPr="00087A72">
        <w:rPr>
          <w:spacing w:val="2"/>
          <w:sz w:val="16"/>
          <w:szCs w:val="16"/>
        </w:rPr>
        <w:t>modern</w:t>
      </w:r>
      <w:r w:rsidRPr="00087A72">
        <w:rPr>
          <w:spacing w:val="-7"/>
          <w:sz w:val="16"/>
          <w:szCs w:val="16"/>
        </w:rPr>
        <w:t xml:space="preserve"> </w:t>
      </w:r>
      <w:r w:rsidRPr="00087A72">
        <w:rPr>
          <w:sz w:val="16"/>
          <w:szCs w:val="16"/>
        </w:rPr>
        <w:t>sexuality</w:t>
      </w:r>
      <w:r w:rsidRPr="00087A72">
        <w:rPr>
          <w:spacing w:val="-8"/>
          <w:sz w:val="16"/>
          <w:szCs w:val="16"/>
        </w:rPr>
        <w:t xml:space="preserve"> </w:t>
      </w:r>
      <w:r w:rsidRPr="00087A72">
        <w:rPr>
          <w:sz w:val="16"/>
          <w:szCs w:val="16"/>
        </w:rPr>
        <w:t xml:space="preserve">within </w:t>
      </w:r>
      <w:r w:rsidRPr="00087A72">
        <w:rPr>
          <w:spacing w:val="2"/>
          <w:sz w:val="16"/>
          <w:szCs w:val="16"/>
        </w:rPr>
        <w:t xml:space="preserve">colonial </w:t>
      </w:r>
      <w:r w:rsidRPr="00087A72">
        <w:rPr>
          <w:sz w:val="16"/>
          <w:szCs w:val="16"/>
        </w:rPr>
        <w:t xml:space="preserve">studies.' </w:t>
      </w:r>
      <w:r w:rsidRPr="00087A72">
        <w:rPr>
          <w:spacing w:val="2"/>
          <w:sz w:val="16"/>
          <w:szCs w:val="16"/>
        </w:rPr>
        <w:t xml:space="preserve">Although </w:t>
      </w:r>
      <w:r w:rsidRPr="00087A72">
        <w:rPr>
          <w:sz w:val="16"/>
          <w:szCs w:val="16"/>
        </w:rPr>
        <w:t xml:space="preserve">Foucault omitted colonialism from his work </w:t>
      </w:r>
      <w:r w:rsidRPr="00087A72">
        <w:rPr>
          <w:spacing w:val="5"/>
          <w:sz w:val="16"/>
          <w:szCs w:val="16"/>
        </w:rPr>
        <w:t xml:space="preserve">on </w:t>
      </w:r>
      <w:r w:rsidRPr="00087A72">
        <w:rPr>
          <w:spacing w:val="-5"/>
          <w:sz w:val="16"/>
          <w:szCs w:val="16"/>
        </w:rPr>
        <w:t xml:space="preserve">sexuality, </w:t>
      </w:r>
      <w:r w:rsidRPr="00087A72">
        <w:rPr>
          <w:spacing w:val="2"/>
          <w:sz w:val="16"/>
          <w:szCs w:val="16"/>
        </w:rPr>
        <w:t xml:space="preserve">Stoler </w:t>
      </w:r>
      <w:r w:rsidRPr="00087A72">
        <w:rPr>
          <w:sz w:val="16"/>
          <w:szCs w:val="16"/>
        </w:rPr>
        <w:t xml:space="preserve">demonstrated </w:t>
      </w:r>
      <w:r w:rsidRPr="00087A72">
        <w:rPr>
          <w:spacing w:val="-3"/>
          <w:sz w:val="16"/>
          <w:szCs w:val="16"/>
        </w:rPr>
        <w:t xml:space="preserve">how </w:t>
      </w:r>
      <w:r w:rsidRPr="00087A72">
        <w:rPr>
          <w:sz w:val="16"/>
          <w:szCs w:val="16"/>
        </w:rPr>
        <w:t xml:space="preserve">the histories he </w:t>
      </w:r>
      <w:r w:rsidRPr="00087A72">
        <w:rPr>
          <w:spacing w:val="3"/>
          <w:sz w:val="16"/>
          <w:szCs w:val="16"/>
        </w:rPr>
        <w:t xml:space="preserve">traced </w:t>
      </w:r>
      <w:r w:rsidRPr="00087A72">
        <w:rPr>
          <w:spacing w:val="-3"/>
          <w:sz w:val="16"/>
          <w:szCs w:val="16"/>
        </w:rPr>
        <w:t xml:space="preserve">in </w:t>
      </w:r>
      <w:r w:rsidRPr="00087A72">
        <w:rPr>
          <w:sz w:val="16"/>
          <w:szCs w:val="16"/>
        </w:rPr>
        <w:t xml:space="preserve">Europe explain those </w:t>
      </w:r>
      <w:r w:rsidRPr="00087A72">
        <w:rPr>
          <w:spacing w:val="5"/>
          <w:sz w:val="16"/>
          <w:szCs w:val="16"/>
        </w:rPr>
        <w:t xml:space="preserve">of </w:t>
      </w:r>
      <w:r w:rsidRPr="00087A72">
        <w:rPr>
          <w:sz w:val="16"/>
          <w:szCs w:val="16"/>
        </w:rPr>
        <w:t xml:space="preserve">imperial metropoles and </w:t>
      </w:r>
      <w:r w:rsidRPr="00087A72">
        <w:rPr>
          <w:spacing w:val="2"/>
          <w:sz w:val="16"/>
          <w:szCs w:val="16"/>
        </w:rPr>
        <w:t xml:space="preserve">colonial </w:t>
      </w:r>
      <w:r w:rsidRPr="00087A72">
        <w:rPr>
          <w:sz w:val="16"/>
          <w:szCs w:val="16"/>
        </w:rPr>
        <w:t xml:space="preserve">societies producing </w:t>
      </w:r>
      <w:r w:rsidRPr="00087A72">
        <w:rPr>
          <w:spacing w:val="2"/>
          <w:sz w:val="16"/>
          <w:szCs w:val="16"/>
        </w:rPr>
        <w:t xml:space="preserve">modern </w:t>
      </w:r>
      <w:r w:rsidRPr="00087A72">
        <w:rPr>
          <w:sz w:val="16"/>
          <w:szCs w:val="16"/>
        </w:rPr>
        <w:t xml:space="preserve">sexuality and "race" as </w:t>
      </w:r>
      <w:r w:rsidRPr="00087A72">
        <w:rPr>
          <w:spacing w:val="-3"/>
          <w:sz w:val="16"/>
          <w:szCs w:val="16"/>
        </w:rPr>
        <w:t xml:space="preserve">biopower.9 </w:t>
      </w:r>
      <w:r w:rsidRPr="00087A72">
        <w:rPr>
          <w:spacing w:val="2"/>
          <w:sz w:val="16"/>
          <w:szCs w:val="16"/>
        </w:rPr>
        <w:t xml:space="preserve">Stoler </w:t>
      </w:r>
      <w:r w:rsidRPr="00087A72">
        <w:rPr>
          <w:sz w:val="16"/>
          <w:szCs w:val="16"/>
        </w:rPr>
        <w:t xml:space="preserve">displaced more common readings </w:t>
      </w:r>
      <w:r w:rsidRPr="00087A72">
        <w:rPr>
          <w:spacing w:val="5"/>
          <w:sz w:val="16"/>
          <w:szCs w:val="16"/>
        </w:rPr>
        <w:t xml:space="preserve">of </w:t>
      </w:r>
      <w:r w:rsidRPr="00087A72">
        <w:rPr>
          <w:sz w:val="16"/>
          <w:szCs w:val="16"/>
        </w:rPr>
        <w:t xml:space="preserve">Foucault's history </w:t>
      </w:r>
      <w:r w:rsidRPr="00087A72">
        <w:rPr>
          <w:spacing w:val="5"/>
          <w:sz w:val="16"/>
          <w:szCs w:val="16"/>
        </w:rPr>
        <w:t xml:space="preserve">of </w:t>
      </w:r>
      <w:r w:rsidRPr="00087A72">
        <w:rPr>
          <w:sz w:val="16"/>
          <w:szCs w:val="16"/>
        </w:rPr>
        <w:t xml:space="preserve">sexuality </w:t>
      </w:r>
      <w:r w:rsidRPr="00087A72">
        <w:rPr>
          <w:spacing w:val="-3"/>
          <w:sz w:val="16"/>
          <w:szCs w:val="16"/>
        </w:rPr>
        <w:t xml:space="preserve">in </w:t>
      </w:r>
      <w:r w:rsidRPr="00087A72">
        <w:rPr>
          <w:spacing w:val="4"/>
          <w:sz w:val="16"/>
          <w:szCs w:val="16"/>
        </w:rPr>
        <w:t xml:space="preserve">queer </w:t>
      </w:r>
      <w:r w:rsidRPr="00087A72">
        <w:rPr>
          <w:sz w:val="16"/>
          <w:szCs w:val="16"/>
        </w:rPr>
        <w:t xml:space="preserve">theory, </w:t>
      </w:r>
      <w:r w:rsidRPr="00087A72">
        <w:rPr>
          <w:spacing w:val="-3"/>
          <w:sz w:val="16"/>
          <w:szCs w:val="16"/>
        </w:rPr>
        <w:t xml:space="preserve">which </w:t>
      </w:r>
      <w:r w:rsidRPr="00087A72">
        <w:rPr>
          <w:spacing w:val="3"/>
          <w:sz w:val="16"/>
          <w:szCs w:val="16"/>
        </w:rPr>
        <w:t xml:space="preserve">tended </w:t>
      </w:r>
      <w:r w:rsidRPr="00087A72">
        <w:rPr>
          <w:sz w:val="16"/>
          <w:szCs w:val="16"/>
        </w:rPr>
        <w:t xml:space="preserve">to frame European societies and their normative whiteness as roots </w:t>
      </w:r>
      <w:r w:rsidRPr="00087A72">
        <w:rPr>
          <w:spacing w:val="5"/>
          <w:sz w:val="16"/>
          <w:szCs w:val="16"/>
        </w:rPr>
        <w:t xml:space="preserve">of </w:t>
      </w:r>
      <w:r w:rsidRPr="00087A72">
        <w:rPr>
          <w:spacing w:val="2"/>
          <w:sz w:val="16"/>
          <w:szCs w:val="16"/>
        </w:rPr>
        <w:t xml:space="preserve">modern </w:t>
      </w:r>
      <w:r w:rsidRPr="00087A72">
        <w:rPr>
          <w:spacing w:val="-5"/>
          <w:sz w:val="16"/>
          <w:szCs w:val="16"/>
        </w:rPr>
        <w:t xml:space="preserve">sexuality, </w:t>
      </w:r>
      <w:r w:rsidRPr="00087A72">
        <w:rPr>
          <w:sz w:val="16"/>
          <w:szCs w:val="16"/>
        </w:rPr>
        <w:t xml:space="preserve">and to pay </w:t>
      </w:r>
      <w:r w:rsidRPr="00087A72">
        <w:rPr>
          <w:spacing w:val="2"/>
          <w:sz w:val="16"/>
          <w:szCs w:val="16"/>
        </w:rPr>
        <w:t xml:space="preserve">secondary </w:t>
      </w:r>
      <w:r w:rsidRPr="00087A72">
        <w:rPr>
          <w:spacing w:val="5"/>
          <w:sz w:val="16"/>
          <w:szCs w:val="16"/>
        </w:rPr>
        <w:t xml:space="preserve">or </w:t>
      </w:r>
      <w:r w:rsidRPr="00087A72">
        <w:rPr>
          <w:sz w:val="16"/>
          <w:szCs w:val="16"/>
        </w:rPr>
        <w:t xml:space="preserve">no </w:t>
      </w:r>
      <w:r w:rsidRPr="00087A72">
        <w:rPr>
          <w:spacing w:val="2"/>
          <w:sz w:val="16"/>
          <w:szCs w:val="16"/>
        </w:rPr>
        <w:t xml:space="preserve">attention </w:t>
      </w:r>
      <w:r w:rsidRPr="00087A72">
        <w:rPr>
          <w:sz w:val="16"/>
          <w:szCs w:val="16"/>
        </w:rPr>
        <w:t xml:space="preserve">to </w:t>
      </w:r>
      <w:r w:rsidRPr="00087A72">
        <w:rPr>
          <w:spacing w:val="2"/>
          <w:sz w:val="16"/>
          <w:szCs w:val="16"/>
        </w:rPr>
        <w:t xml:space="preserve">race </w:t>
      </w:r>
      <w:r w:rsidRPr="00087A72">
        <w:rPr>
          <w:spacing w:val="5"/>
          <w:sz w:val="16"/>
          <w:szCs w:val="16"/>
        </w:rPr>
        <w:t xml:space="preserve">or </w:t>
      </w:r>
      <w:r w:rsidRPr="00087A72">
        <w:rPr>
          <w:sz w:val="16"/>
          <w:szCs w:val="16"/>
        </w:rPr>
        <w:t xml:space="preserve">colonialism. </w:t>
      </w:r>
      <w:r w:rsidRPr="00087A72">
        <w:rPr>
          <w:spacing w:val="3"/>
          <w:sz w:val="16"/>
          <w:szCs w:val="16"/>
        </w:rPr>
        <w:t xml:space="preserve">In </w:t>
      </w:r>
      <w:r w:rsidRPr="00087A72">
        <w:rPr>
          <w:sz w:val="16"/>
          <w:szCs w:val="16"/>
        </w:rPr>
        <w:t xml:space="preserve">particular, </w:t>
      </w:r>
      <w:r w:rsidRPr="00087A72">
        <w:rPr>
          <w:spacing w:val="-3"/>
          <w:sz w:val="16"/>
          <w:szCs w:val="16"/>
        </w:rPr>
        <w:t xml:space="preserve">early </w:t>
      </w:r>
      <w:r w:rsidRPr="00087A72">
        <w:rPr>
          <w:spacing w:val="4"/>
          <w:sz w:val="16"/>
          <w:szCs w:val="16"/>
        </w:rPr>
        <w:t xml:space="preserve">queer accounts </w:t>
      </w:r>
      <w:r w:rsidRPr="00087A72">
        <w:rPr>
          <w:spacing w:val="5"/>
          <w:sz w:val="16"/>
          <w:szCs w:val="16"/>
        </w:rPr>
        <w:t xml:space="preserve">of </w:t>
      </w:r>
      <w:r w:rsidRPr="00087A72">
        <w:rPr>
          <w:sz w:val="16"/>
          <w:szCs w:val="16"/>
        </w:rPr>
        <w:t xml:space="preserve">Foucault's history </w:t>
      </w:r>
      <w:r w:rsidRPr="00087A72">
        <w:rPr>
          <w:spacing w:val="5"/>
          <w:sz w:val="16"/>
          <w:szCs w:val="16"/>
        </w:rPr>
        <w:t xml:space="preserve">of </w:t>
      </w:r>
      <w:r w:rsidRPr="00087A72">
        <w:rPr>
          <w:spacing w:val="2"/>
          <w:sz w:val="16"/>
          <w:szCs w:val="16"/>
        </w:rPr>
        <w:t xml:space="preserve">modern </w:t>
      </w:r>
      <w:r w:rsidRPr="00087A72">
        <w:rPr>
          <w:sz w:val="16"/>
          <w:szCs w:val="16"/>
        </w:rPr>
        <w:t xml:space="preserve">sexuality did </w:t>
      </w:r>
      <w:r w:rsidRPr="00087A72">
        <w:rPr>
          <w:spacing w:val="3"/>
          <w:sz w:val="16"/>
          <w:szCs w:val="16"/>
        </w:rPr>
        <w:t xml:space="preserve">not </w:t>
      </w:r>
      <w:r w:rsidRPr="00087A72">
        <w:rPr>
          <w:spacing w:val="-3"/>
          <w:sz w:val="16"/>
          <w:szCs w:val="16"/>
        </w:rPr>
        <w:t xml:space="preserve">emphasize </w:t>
      </w:r>
      <w:r w:rsidRPr="00087A72">
        <w:rPr>
          <w:sz w:val="16"/>
          <w:szCs w:val="16"/>
        </w:rPr>
        <w:t xml:space="preserve">his reading </w:t>
      </w:r>
      <w:r w:rsidRPr="00087A72">
        <w:rPr>
          <w:spacing w:val="5"/>
          <w:sz w:val="16"/>
          <w:szCs w:val="16"/>
        </w:rPr>
        <w:t xml:space="preserve">of </w:t>
      </w:r>
      <w:r w:rsidRPr="00087A72">
        <w:rPr>
          <w:spacing w:val="-3"/>
          <w:sz w:val="16"/>
          <w:szCs w:val="16"/>
        </w:rPr>
        <w:t xml:space="preserve">it </w:t>
      </w:r>
      <w:r w:rsidRPr="00087A72">
        <w:rPr>
          <w:sz w:val="16"/>
          <w:szCs w:val="16"/>
        </w:rPr>
        <w:t xml:space="preserve">as a mode </w:t>
      </w:r>
      <w:r w:rsidRPr="00087A72">
        <w:rPr>
          <w:spacing w:val="5"/>
          <w:sz w:val="16"/>
          <w:szCs w:val="16"/>
        </w:rPr>
        <w:t xml:space="preserve">of </w:t>
      </w:r>
      <w:r w:rsidRPr="00087A72">
        <w:rPr>
          <w:sz w:val="16"/>
          <w:szCs w:val="16"/>
        </w:rPr>
        <w:t xml:space="preserve">biopolitics, </w:t>
      </w:r>
      <w:r w:rsidRPr="00087A72">
        <w:rPr>
          <w:spacing w:val="-8"/>
          <w:sz w:val="16"/>
          <w:szCs w:val="16"/>
        </w:rPr>
        <w:t xml:space="preserve">by </w:t>
      </w:r>
      <w:r w:rsidRPr="00087A72">
        <w:rPr>
          <w:spacing w:val="-3"/>
          <w:sz w:val="16"/>
          <w:szCs w:val="16"/>
        </w:rPr>
        <w:t xml:space="preserve">which </w:t>
      </w:r>
      <w:r w:rsidRPr="00087A72">
        <w:rPr>
          <w:sz w:val="16"/>
          <w:szCs w:val="16"/>
        </w:rPr>
        <w:t xml:space="preserve">he </w:t>
      </w:r>
      <w:r w:rsidRPr="00087A72">
        <w:rPr>
          <w:spacing w:val="2"/>
          <w:sz w:val="16"/>
          <w:szCs w:val="16"/>
        </w:rPr>
        <w:t xml:space="preserve">described modern </w:t>
      </w:r>
      <w:r w:rsidRPr="00087A72">
        <w:rPr>
          <w:sz w:val="16"/>
          <w:szCs w:val="16"/>
        </w:rPr>
        <w:t xml:space="preserve">regimes that </w:t>
      </w:r>
      <w:r w:rsidRPr="00087A72">
        <w:rPr>
          <w:spacing w:val="2"/>
          <w:sz w:val="16"/>
          <w:szCs w:val="16"/>
        </w:rPr>
        <w:t xml:space="preserve">produce </w:t>
      </w:r>
      <w:r w:rsidRPr="00087A72">
        <w:rPr>
          <w:sz w:val="16"/>
          <w:szCs w:val="16"/>
        </w:rPr>
        <w:t xml:space="preserve">subjects </w:t>
      </w:r>
      <w:r w:rsidRPr="00087A72">
        <w:rPr>
          <w:spacing w:val="5"/>
          <w:sz w:val="16"/>
          <w:szCs w:val="16"/>
        </w:rPr>
        <w:t xml:space="preserve">of </w:t>
      </w:r>
      <w:r w:rsidRPr="00087A72">
        <w:rPr>
          <w:sz w:val="16"/>
          <w:szCs w:val="16"/>
        </w:rPr>
        <w:t xml:space="preserve">life </w:t>
      </w:r>
      <w:r w:rsidRPr="00087A72">
        <w:rPr>
          <w:spacing w:val="-8"/>
          <w:sz w:val="16"/>
          <w:szCs w:val="16"/>
        </w:rPr>
        <w:t xml:space="preserve">by </w:t>
      </w:r>
      <w:r w:rsidRPr="00087A72">
        <w:rPr>
          <w:sz w:val="16"/>
          <w:szCs w:val="16"/>
        </w:rPr>
        <w:t xml:space="preserve">deploying state racism to </w:t>
      </w:r>
      <w:r w:rsidRPr="00087A72">
        <w:rPr>
          <w:spacing w:val="3"/>
          <w:sz w:val="16"/>
          <w:szCs w:val="16"/>
        </w:rPr>
        <w:t xml:space="preserve">deﬁne </w:t>
      </w:r>
      <w:r w:rsidRPr="00087A72">
        <w:rPr>
          <w:spacing w:val="2"/>
          <w:sz w:val="16"/>
          <w:szCs w:val="16"/>
        </w:rPr>
        <w:t xml:space="preserve">populations </w:t>
      </w:r>
      <w:r w:rsidRPr="00087A72">
        <w:rPr>
          <w:sz w:val="16"/>
          <w:szCs w:val="16"/>
        </w:rPr>
        <w:t xml:space="preserve">for regulation. </w:t>
      </w:r>
      <w:r w:rsidRPr="00087A72">
        <w:rPr>
          <w:spacing w:val="2"/>
          <w:sz w:val="16"/>
          <w:szCs w:val="16"/>
        </w:rPr>
        <w:t xml:space="preserve">Stoler </w:t>
      </w:r>
      <w:r w:rsidRPr="00087A72">
        <w:rPr>
          <w:sz w:val="16"/>
          <w:szCs w:val="16"/>
        </w:rPr>
        <w:t xml:space="preserve">argued that </w:t>
      </w:r>
      <w:r w:rsidRPr="00087A72">
        <w:rPr>
          <w:rStyle w:val="Emphasis"/>
        </w:rPr>
        <w:t>linking theories of biopolitics and colonialism shifts trajectories of queer theory that would interpret Foucault's history of sexuality as "a history of western desire.</w:t>
      </w:r>
      <w:r w:rsidRPr="00087A72">
        <w:rPr>
          <w:sz w:val="16"/>
          <w:szCs w:val="16"/>
        </w:rPr>
        <w:t xml:space="preserve">"10 </w:t>
      </w:r>
      <w:r w:rsidRPr="00087A72">
        <w:rPr>
          <w:spacing w:val="3"/>
          <w:sz w:val="16"/>
          <w:szCs w:val="16"/>
        </w:rPr>
        <w:t xml:space="preserve">In </w:t>
      </w:r>
      <w:r w:rsidRPr="00087A72">
        <w:rPr>
          <w:sz w:val="16"/>
          <w:szCs w:val="16"/>
        </w:rPr>
        <w:t xml:space="preserve">light </w:t>
      </w:r>
      <w:r w:rsidRPr="00087A72">
        <w:rPr>
          <w:spacing w:val="5"/>
          <w:sz w:val="16"/>
          <w:szCs w:val="16"/>
        </w:rPr>
        <w:t xml:space="preserve">of </w:t>
      </w:r>
      <w:r w:rsidRPr="00087A72">
        <w:rPr>
          <w:spacing w:val="2"/>
          <w:sz w:val="16"/>
          <w:szCs w:val="16"/>
        </w:rPr>
        <w:t xml:space="preserve">colonial </w:t>
      </w:r>
      <w:r w:rsidRPr="00087A72">
        <w:rPr>
          <w:sz w:val="16"/>
          <w:szCs w:val="16"/>
        </w:rPr>
        <w:t xml:space="preserve">histories, Europe </w:t>
      </w:r>
      <w:r w:rsidRPr="00087A72">
        <w:rPr>
          <w:spacing w:val="-3"/>
          <w:sz w:val="16"/>
          <w:szCs w:val="16"/>
        </w:rPr>
        <w:t xml:space="preserve">is </w:t>
      </w:r>
      <w:r w:rsidRPr="00087A72">
        <w:rPr>
          <w:sz w:val="16"/>
          <w:szCs w:val="16"/>
        </w:rPr>
        <w:t xml:space="preserve">Western only to the </w:t>
      </w:r>
      <w:r w:rsidRPr="00087A72">
        <w:rPr>
          <w:spacing w:val="2"/>
          <w:sz w:val="16"/>
          <w:szCs w:val="16"/>
        </w:rPr>
        <w:t xml:space="preserve">extent </w:t>
      </w:r>
      <w:r w:rsidRPr="00087A72">
        <w:rPr>
          <w:sz w:val="16"/>
          <w:szCs w:val="16"/>
        </w:rPr>
        <w:t xml:space="preserve">that </w:t>
      </w:r>
      <w:r w:rsidRPr="00087A72">
        <w:rPr>
          <w:spacing w:val="-3"/>
          <w:sz w:val="16"/>
          <w:szCs w:val="16"/>
        </w:rPr>
        <w:t xml:space="preserve">it is </w:t>
      </w:r>
      <w:r w:rsidRPr="00087A72">
        <w:rPr>
          <w:sz w:val="16"/>
          <w:szCs w:val="16"/>
        </w:rPr>
        <w:t xml:space="preserve">metropolitan-a </w:t>
      </w:r>
      <w:r w:rsidRPr="00087A72">
        <w:rPr>
          <w:spacing w:val="4"/>
          <w:sz w:val="16"/>
          <w:szCs w:val="16"/>
        </w:rPr>
        <w:t xml:space="preserve">center </w:t>
      </w:r>
      <w:r w:rsidRPr="00087A72">
        <w:rPr>
          <w:spacing w:val="5"/>
          <w:sz w:val="16"/>
          <w:szCs w:val="16"/>
        </w:rPr>
        <w:t xml:space="preserve">of </w:t>
      </w:r>
      <w:r w:rsidRPr="00087A72">
        <w:rPr>
          <w:spacing w:val="2"/>
          <w:sz w:val="16"/>
          <w:szCs w:val="16"/>
        </w:rPr>
        <w:t xml:space="preserve">colonial </w:t>
      </w:r>
      <w:r w:rsidRPr="00087A72">
        <w:rPr>
          <w:sz w:val="16"/>
          <w:szCs w:val="16"/>
        </w:rPr>
        <w:t xml:space="preserve">empires-which means that neither Europe </w:t>
      </w:r>
      <w:r w:rsidRPr="00087A72">
        <w:rPr>
          <w:spacing w:val="3"/>
          <w:sz w:val="16"/>
          <w:szCs w:val="16"/>
        </w:rPr>
        <w:t xml:space="preserve">nor </w:t>
      </w:r>
      <w:r w:rsidRPr="00087A72">
        <w:rPr>
          <w:sz w:val="16"/>
          <w:szCs w:val="16"/>
        </w:rPr>
        <w:t xml:space="preserve">Western </w:t>
      </w:r>
      <w:r w:rsidRPr="00087A72">
        <w:rPr>
          <w:spacing w:val="2"/>
          <w:sz w:val="16"/>
          <w:szCs w:val="16"/>
        </w:rPr>
        <w:t xml:space="preserve">cultural </w:t>
      </w:r>
      <w:r w:rsidRPr="00087A72">
        <w:rPr>
          <w:sz w:val="16"/>
          <w:szCs w:val="16"/>
        </w:rPr>
        <w:t xml:space="preserve">legacies will be </w:t>
      </w:r>
      <w:r w:rsidRPr="00087A72">
        <w:rPr>
          <w:spacing w:val="3"/>
          <w:sz w:val="16"/>
          <w:szCs w:val="16"/>
        </w:rPr>
        <w:t xml:space="preserve">understood </w:t>
      </w:r>
      <w:r w:rsidRPr="00087A72">
        <w:rPr>
          <w:spacing w:val="2"/>
          <w:sz w:val="16"/>
          <w:szCs w:val="16"/>
        </w:rPr>
        <w:t xml:space="preserve">without </w:t>
      </w:r>
      <w:r w:rsidRPr="00087A72">
        <w:rPr>
          <w:sz w:val="16"/>
          <w:szCs w:val="16"/>
        </w:rPr>
        <w:t xml:space="preserve">ﬁrst studying their </w:t>
      </w:r>
      <w:r w:rsidRPr="00087A72">
        <w:rPr>
          <w:spacing w:val="2"/>
          <w:sz w:val="16"/>
          <w:szCs w:val="16"/>
        </w:rPr>
        <w:t xml:space="preserve">formation </w:t>
      </w:r>
      <w:r w:rsidRPr="00087A72">
        <w:rPr>
          <w:spacing w:val="-3"/>
          <w:sz w:val="16"/>
          <w:szCs w:val="16"/>
        </w:rPr>
        <w:t xml:space="preserve">in </w:t>
      </w:r>
      <w:r w:rsidRPr="00087A72">
        <w:rPr>
          <w:sz w:val="16"/>
          <w:szCs w:val="16"/>
        </w:rPr>
        <w:t xml:space="preserve">relationship to </w:t>
      </w:r>
      <w:r w:rsidRPr="00087A72">
        <w:rPr>
          <w:spacing w:val="4"/>
          <w:sz w:val="16"/>
          <w:szCs w:val="16"/>
        </w:rPr>
        <w:t xml:space="preserve">both </w:t>
      </w:r>
      <w:r w:rsidRPr="00087A72">
        <w:rPr>
          <w:sz w:val="16"/>
          <w:szCs w:val="16"/>
        </w:rPr>
        <w:t xml:space="preserve">settler and franchise </w:t>
      </w:r>
      <w:r w:rsidRPr="00087A72">
        <w:rPr>
          <w:spacing w:val="2"/>
          <w:sz w:val="16"/>
          <w:szCs w:val="16"/>
        </w:rPr>
        <w:t xml:space="preserve">colonial </w:t>
      </w:r>
      <w:r w:rsidRPr="00087A72">
        <w:rPr>
          <w:sz w:val="16"/>
          <w:szCs w:val="16"/>
        </w:rPr>
        <w:t xml:space="preserve">societies. </w:t>
      </w:r>
      <w:r w:rsidRPr="00087A72">
        <w:rPr>
          <w:spacing w:val="2"/>
          <w:sz w:val="16"/>
          <w:szCs w:val="16"/>
        </w:rPr>
        <w:t xml:space="preserve">Stoler </w:t>
      </w:r>
      <w:r w:rsidRPr="00087A72">
        <w:rPr>
          <w:sz w:val="16"/>
          <w:szCs w:val="16"/>
        </w:rPr>
        <w:t xml:space="preserve">and </w:t>
      </w:r>
      <w:r w:rsidRPr="00087A72">
        <w:rPr>
          <w:spacing w:val="4"/>
          <w:sz w:val="16"/>
          <w:szCs w:val="16"/>
        </w:rPr>
        <w:t xml:space="preserve">other </w:t>
      </w:r>
      <w:r w:rsidRPr="00087A72">
        <w:rPr>
          <w:sz w:val="16"/>
          <w:szCs w:val="16"/>
        </w:rPr>
        <w:t xml:space="preserve">scholars </w:t>
      </w:r>
      <w:r w:rsidRPr="00087A72">
        <w:rPr>
          <w:spacing w:val="-3"/>
          <w:sz w:val="16"/>
          <w:szCs w:val="16"/>
        </w:rPr>
        <w:t xml:space="preserve">in </w:t>
      </w:r>
      <w:r w:rsidRPr="00087A72">
        <w:rPr>
          <w:spacing w:val="2"/>
          <w:sz w:val="16"/>
          <w:szCs w:val="16"/>
        </w:rPr>
        <w:t xml:space="preserve">colonial </w:t>
      </w:r>
      <w:r w:rsidRPr="00087A72">
        <w:rPr>
          <w:sz w:val="16"/>
          <w:szCs w:val="16"/>
        </w:rPr>
        <w:t xml:space="preserve">studies examined </w:t>
      </w:r>
      <w:r w:rsidRPr="00087A72">
        <w:rPr>
          <w:spacing w:val="-3"/>
          <w:sz w:val="16"/>
          <w:szCs w:val="16"/>
        </w:rPr>
        <w:t xml:space="preserve">how </w:t>
      </w:r>
      <w:r w:rsidRPr="00087A72">
        <w:rPr>
          <w:sz w:val="16"/>
          <w:szCs w:val="16"/>
        </w:rPr>
        <w:t xml:space="preserve">racial and national </w:t>
      </w:r>
      <w:r w:rsidRPr="00087A72">
        <w:rPr>
          <w:spacing w:val="2"/>
          <w:sz w:val="16"/>
          <w:szCs w:val="16"/>
        </w:rPr>
        <w:t>formations</w:t>
      </w:r>
      <w:r w:rsidRPr="00087A72">
        <w:rPr>
          <w:spacing w:val="-22"/>
          <w:sz w:val="16"/>
          <w:szCs w:val="16"/>
        </w:rPr>
        <w:t xml:space="preserve"> </w:t>
      </w:r>
      <w:r w:rsidRPr="00087A72">
        <w:rPr>
          <w:spacing w:val="5"/>
          <w:sz w:val="16"/>
          <w:szCs w:val="16"/>
        </w:rPr>
        <w:t>of</w:t>
      </w:r>
      <w:r w:rsidRPr="00087A72">
        <w:rPr>
          <w:spacing w:val="-9"/>
          <w:sz w:val="16"/>
          <w:szCs w:val="16"/>
        </w:rPr>
        <w:t xml:space="preserve"> </w:t>
      </w:r>
      <w:r w:rsidRPr="00087A72">
        <w:rPr>
          <w:sz w:val="16"/>
          <w:szCs w:val="16"/>
        </w:rPr>
        <w:t>sexuality</w:t>
      </w:r>
      <w:r w:rsidRPr="00087A72">
        <w:rPr>
          <w:spacing w:val="-15"/>
          <w:sz w:val="16"/>
          <w:szCs w:val="16"/>
        </w:rPr>
        <w:t xml:space="preserve"> </w:t>
      </w:r>
      <w:r w:rsidRPr="00087A72">
        <w:rPr>
          <w:spacing w:val="5"/>
          <w:sz w:val="16"/>
          <w:szCs w:val="16"/>
        </w:rPr>
        <w:t>produced</w:t>
      </w:r>
      <w:r w:rsidRPr="00087A72">
        <w:rPr>
          <w:spacing w:val="-13"/>
          <w:sz w:val="16"/>
          <w:szCs w:val="16"/>
        </w:rPr>
        <w:t xml:space="preserve"> </w:t>
      </w:r>
      <w:r w:rsidRPr="00087A72">
        <w:rPr>
          <w:sz w:val="16"/>
          <w:szCs w:val="16"/>
        </w:rPr>
        <w:t>the</w:t>
      </w:r>
      <w:r w:rsidRPr="00087A72">
        <w:rPr>
          <w:spacing w:val="-11"/>
          <w:sz w:val="16"/>
          <w:szCs w:val="16"/>
        </w:rPr>
        <w:t xml:space="preserve"> </w:t>
      </w:r>
      <w:r w:rsidRPr="00087A72">
        <w:rPr>
          <w:sz w:val="16"/>
          <w:szCs w:val="16"/>
        </w:rPr>
        <w:t>biopolitics</w:t>
      </w:r>
      <w:r w:rsidRPr="00087A72">
        <w:rPr>
          <w:spacing w:val="-22"/>
          <w:sz w:val="16"/>
          <w:szCs w:val="16"/>
        </w:rPr>
        <w:t xml:space="preserve"> </w:t>
      </w:r>
      <w:r w:rsidRPr="00087A72">
        <w:rPr>
          <w:spacing w:val="5"/>
          <w:sz w:val="16"/>
          <w:szCs w:val="16"/>
        </w:rPr>
        <w:t>of</w:t>
      </w:r>
      <w:r w:rsidRPr="00087A72">
        <w:rPr>
          <w:spacing w:val="-8"/>
          <w:sz w:val="16"/>
          <w:szCs w:val="16"/>
        </w:rPr>
        <w:t xml:space="preserve"> </w:t>
      </w:r>
      <w:r w:rsidRPr="00087A72">
        <w:rPr>
          <w:spacing w:val="2"/>
          <w:sz w:val="16"/>
          <w:szCs w:val="16"/>
        </w:rPr>
        <w:t>colonial</w:t>
      </w:r>
      <w:r w:rsidRPr="00087A72">
        <w:rPr>
          <w:spacing w:val="-18"/>
          <w:sz w:val="16"/>
          <w:szCs w:val="16"/>
        </w:rPr>
        <w:t xml:space="preserve"> </w:t>
      </w:r>
      <w:r w:rsidRPr="00087A72">
        <w:rPr>
          <w:sz w:val="16"/>
          <w:szCs w:val="16"/>
        </w:rPr>
        <w:t>regimes."</w:t>
      </w:r>
      <w:r w:rsidRPr="00087A72">
        <w:rPr>
          <w:spacing w:val="-21"/>
          <w:sz w:val="16"/>
          <w:szCs w:val="16"/>
        </w:rPr>
        <w:t xml:space="preserve"> </w:t>
      </w:r>
      <w:r w:rsidRPr="00087A72">
        <w:rPr>
          <w:sz w:val="16"/>
          <w:szCs w:val="16"/>
        </w:rPr>
        <w:t>As</w:t>
      </w:r>
      <w:r w:rsidRPr="00087A72">
        <w:rPr>
          <w:spacing w:val="-22"/>
          <w:sz w:val="16"/>
          <w:szCs w:val="16"/>
        </w:rPr>
        <w:t xml:space="preserve"> </w:t>
      </w:r>
      <w:r w:rsidRPr="00087A72">
        <w:rPr>
          <w:spacing w:val="2"/>
          <w:sz w:val="16"/>
          <w:szCs w:val="16"/>
        </w:rPr>
        <w:t xml:space="preserve">Stoler notes, </w:t>
      </w:r>
      <w:r w:rsidRPr="00087A72">
        <w:rPr>
          <w:sz w:val="16"/>
          <w:szCs w:val="16"/>
        </w:rPr>
        <w:t xml:space="preserve">a </w:t>
      </w:r>
      <w:r w:rsidRPr="00087A72">
        <w:rPr>
          <w:spacing w:val="2"/>
          <w:sz w:val="16"/>
          <w:szCs w:val="16"/>
        </w:rPr>
        <w:t xml:space="preserve">focus </w:t>
      </w:r>
      <w:r w:rsidRPr="00087A72">
        <w:rPr>
          <w:spacing w:val="5"/>
          <w:sz w:val="16"/>
          <w:szCs w:val="16"/>
        </w:rPr>
        <w:t xml:space="preserve">on </w:t>
      </w:r>
      <w:r w:rsidRPr="00087A72">
        <w:rPr>
          <w:spacing w:val="2"/>
          <w:sz w:val="16"/>
          <w:szCs w:val="16"/>
        </w:rPr>
        <w:t xml:space="preserve">modes </w:t>
      </w:r>
      <w:r w:rsidRPr="00087A72">
        <w:rPr>
          <w:spacing w:val="5"/>
          <w:sz w:val="16"/>
          <w:szCs w:val="16"/>
        </w:rPr>
        <w:t xml:space="preserve">of </w:t>
      </w:r>
      <w:r w:rsidRPr="00087A72">
        <w:rPr>
          <w:spacing w:val="2"/>
          <w:sz w:val="16"/>
          <w:szCs w:val="16"/>
        </w:rPr>
        <w:t xml:space="preserve">reproduction </w:t>
      </w:r>
      <w:r w:rsidRPr="00087A72">
        <w:rPr>
          <w:sz w:val="16"/>
          <w:szCs w:val="16"/>
        </w:rPr>
        <w:t xml:space="preserve">has </w:t>
      </w:r>
      <w:r w:rsidRPr="00087A72">
        <w:rPr>
          <w:spacing w:val="4"/>
          <w:sz w:val="16"/>
          <w:szCs w:val="16"/>
        </w:rPr>
        <w:t xml:space="preserve">accounted </w:t>
      </w:r>
      <w:r w:rsidRPr="00087A72">
        <w:rPr>
          <w:sz w:val="16"/>
          <w:szCs w:val="16"/>
        </w:rPr>
        <w:t xml:space="preserve">poorly for nonheteronormative sexualities and genders, and </w:t>
      </w:r>
      <w:r w:rsidRPr="00087A72">
        <w:rPr>
          <w:spacing w:val="-3"/>
          <w:sz w:val="16"/>
          <w:szCs w:val="16"/>
        </w:rPr>
        <w:t xml:space="preserve">still </w:t>
      </w:r>
      <w:r w:rsidRPr="00087A72">
        <w:rPr>
          <w:spacing w:val="3"/>
          <w:sz w:val="16"/>
          <w:szCs w:val="16"/>
        </w:rPr>
        <w:t xml:space="preserve">requires </w:t>
      </w:r>
      <w:r w:rsidRPr="00087A72">
        <w:rPr>
          <w:sz w:val="16"/>
          <w:szCs w:val="16"/>
        </w:rPr>
        <w:t xml:space="preserve">critically </w:t>
      </w:r>
      <w:r w:rsidRPr="00087A72">
        <w:rPr>
          <w:spacing w:val="4"/>
          <w:sz w:val="16"/>
          <w:szCs w:val="16"/>
        </w:rPr>
        <w:t xml:space="preserve">queer </w:t>
      </w:r>
      <w:r w:rsidRPr="00087A72">
        <w:rPr>
          <w:sz w:val="16"/>
          <w:szCs w:val="16"/>
        </w:rPr>
        <w:t xml:space="preserve">readings. </w:t>
      </w:r>
      <w:r w:rsidRPr="00087A72">
        <w:rPr>
          <w:spacing w:val="-11"/>
          <w:sz w:val="16"/>
          <w:szCs w:val="16"/>
        </w:rPr>
        <w:t xml:space="preserve">Yet </w:t>
      </w:r>
      <w:r w:rsidRPr="00087A72">
        <w:rPr>
          <w:sz w:val="16"/>
          <w:szCs w:val="16"/>
        </w:rPr>
        <w:t xml:space="preserve">work </w:t>
      </w:r>
      <w:r w:rsidRPr="00087A72">
        <w:rPr>
          <w:spacing w:val="-3"/>
          <w:sz w:val="16"/>
          <w:szCs w:val="16"/>
        </w:rPr>
        <w:t xml:space="preserve">in </w:t>
      </w:r>
      <w:r w:rsidRPr="00087A72">
        <w:rPr>
          <w:spacing w:val="2"/>
          <w:sz w:val="16"/>
          <w:szCs w:val="16"/>
        </w:rPr>
        <w:t xml:space="preserve">colonial </w:t>
      </w:r>
      <w:r w:rsidRPr="00087A72">
        <w:rPr>
          <w:sz w:val="16"/>
          <w:szCs w:val="16"/>
        </w:rPr>
        <w:t xml:space="preserve">strudies </w:t>
      </w:r>
      <w:r w:rsidRPr="00087A72">
        <w:rPr>
          <w:spacing w:val="-4"/>
          <w:sz w:val="16"/>
          <w:szCs w:val="16"/>
        </w:rPr>
        <w:t xml:space="preserve">shows-in </w:t>
      </w:r>
      <w:r w:rsidRPr="00087A72">
        <w:rPr>
          <w:spacing w:val="5"/>
          <w:sz w:val="16"/>
          <w:szCs w:val="16"/>
        </w:rPr>
        <w:t xml:space="preserve">concert </w:t>
      </w:r>
      <w:r w:rsidRPr="00087A72">
        <w:rPr>
          <w:sz w:val="16"/>
          <w:szCs w:val="16"/>
        </w:rPr>
        <w:t xml:space="preserve">with Foucault's work, </w:t>
      </w:r>
      <w:r w:rsidRPr="00087A72">
        <w:rPr>
          <w:spacing w:val="2"/>
          <w:sz w:val="16"/>
          <w:szCs w:val="16"/>
        </w:rPr>
        <w:t xml:space="preserve">but </w:t>
      </w:r>
      <w:r w:rsidRPr="00087A72">
        <w:rPr>
          <w:spacing w:val="-3"/>
          <w:sz w:val="16"/>
          <w:szCs w:val="16"/>
        </w:rPr>
        <w:t xml:space="preserve">against limits </w:t>
      </w:r>
      <w:r w:rsidRPr="00087A72">
        <w:rPr>
          <w:sz w:val="16"/>
          <w:szCs w:val="16"/>
        </w:rPr>
        <w:t xml:space="preserve">he </w:t>
      </w:r>
      <w:r w:rsidRPr="00087A72">
        <w:rPr>
          <w:spacing w:val="2"/>
          <w:sz w:val="16"/>
          <w:szCs w:val="16"/>
        </w:rPr>
        <w:t xml:space="preserve">put </w:t>
      </w:r>
      <w:r w:rsidRPr="00087A72">
        <w:rPr>
          <w:spacing w:val="5"/>
          <w:sz w:val="16"/>
          <w:szCs w:val="16"/>
        </w:rPr>
        <w:t xml:space="preserve">on </w:t>
      </w:r>
      <w:r w:rsidRPr="00087A72">
        <w:rPr>
          <w:sz w:val="16"/>
          <w:szCs w:val="16"/>
        </w:rPr>
        <w:t xml:space="preserve">it-that </w:t>
      </w:r>
      <w:r w:rsidRPr="00087A72">
        <w:rPr>
          <w:spacing w:val="2"/>
          <w:sz w:val="16"/>
          <w:szCs w:val="16"/>
        </w:rPr>
        <w:t xml:space="preserve">modern </w:t>
      </w:r>
      <w:r w:rsidRPr="00087A72">
        <w:rPr>
          <w:sz w:val="16"/>
          <w:szCs w:val="16"/>
        </w:rPr>
        <w:t xml:space="preserve">sexuality </w:t>
      </w:r>
      <w:r w:rsidRPr="00087A72">
        <w:rPr>
          <w:spacing w:val="-4"/>
          <w:sz w:val="16"/>
          <w:szCs w:val="16"/>
        </w:rPr>
        <w:t xml:space="preserve">may </w:t>
      </w:r>
      <w:r w:rsidRPr="00087A72">
        <w:rPr>
          <w:sz w:val="16"/>
          <w:szCs w:val="16"/>
        </w:rPr>
        <w:t xml:space="preserve">have arisen ﬁrst </w:t>
      </w:r>
      <w:r w:rsidRPr="00087A72">
        <w:rPr>
          <w:spacing w:val="-3"/>
          <w:sz w:val="16"/>
          <w:szCs w:val="16"/>
        </w:rPr>
        <w:t xml:space="preserve">in </w:t>
      </w:r>
      <w:r w:rsidRPr="00087A72">
        <w:rPr>
          <w:spacing w:val="2"/>
          <w:sz w:val="16"/>
          <w:szCs w:val="16"/>
        </w:rPr>
        <w:t>colonial</w:t>
      </w:r>
      <w:r w:rsidRPr="00087A72">
        <w:rPr>
          <w:spacing w:val="-11"/>
          <w:sz w:val="16"/>
          <w:szCs w:val="16"/>
        </w:rPr>
        <w:t xml:space="preserve"> </w:t>
      </w:r>
      <w:r w:rsidRPr="00087A72">
        <w:rPr>
          <w:sz w:val="16"/>
          <w:szCs w:val="16"/>
        </w:rPr>
        <w:t>societies,</w:t>
      </w:r>
      <w:r w:rsidRPr="00087A72">
        <w:rPr>
          <w:spacing w:val="-13"/>
          <w:sz w:val="16"/>
          <w:szCs w:val="16"/>
        </w:rPr>
        <w:t xml:space="preserve"> </w:t>
      </w:r>
      <w:r w:rsidRPr="00087A72">
        <w:rPr>
          <w:sz w:val="16"/>
          <w:szCs w:val="16"/>
        </w:rPr>
        <w:t>including</w:t>
      </w:r>
      <w:r w:rsidRPr="00087A72">
        <w:rPr>
          <w:spacing w:val="-9"/>
          <w:sz w:val="16"/>
          <w:szCs w:val="16"/>
        </w:rPr>
        <w:t xml:space="preserve"> </w:t>
      </w:r>
      <w:r w:rsidRPr="00087A72">
        <w:rPr>
          <w:sz w:val="16"/>
          <w:szCs w:val="16"/>
        </w:rPr>
        <w:t>settler</w:t>
      </w:r>
      <w:r w:rsidRPr="00087A72">
        <w:rPr>
          <w:spacing w:val="-4"/>
          <w:sz w:val="16"/>
          <w:szCs w:val="16"/>
        </w:rPr>
        <w:t xml:space="preserve"> </w:t>
      </w:r>
      <w:r w:rsidRPr="00087A72">
        <w:rPr>
          <w:spacing w:val="2"/>
          <w:sz w:val="16"/>
          <w:szCs w:val="16"/>
        </w:rPr>
        <w:t>colonial</w:t>
      </w:r>
      <w:r w:rsidRPr="00087A72">
        <w:rPr>
          <w:spacing w:val="-10"/>
          <w:sz w:val="16"/>
          <w:szCs w:val="16"/>
        </w:rPr>
        <w:t xml:space="preserve"> </w:t>
      </w:r>
      <w:r w:rsidRPr="00087A72">
        <w:rPr>
          <w:sz w:val="16"/>
          <w:szCs w:val="16"/>
        </w:rPr>
        <w:t>societies,</w:t>
      </w:r>
      <w:r w:rsidRPr="00087A72">
        <w:rPr>
          <w:spacing w:val="-13"/>
          <w:sz w:val="16"/>
          <w:szCs w:val="16"/>
        </w:rPr>
        <w:t xml:space="preserve"> </w:t>
      </w:r>
      <w:r w:rsidRPr="00087A72">
        <w:rPr>
          <w:spacing w:val="-3"/>
          <w:sz w:val="16"/>
          <w:szCs w:val="16"/>
        </w:rPr>
        <w:t>if</w:t>
      </w:r>
      <w:r w:rsidRPr="00087A72">
        <w:rPr>
          <w:spacing w:val="17"/>
          <w:sz w:val="16"/>
          <w:szCs w:val="16"/>
        </w:rPr>
        <w:t xml:space="preserve"> </w:t>
      </w:r>
      <w:r w:rsidRPr="00087A72">
        <w:rPr>
          <w:spacing w:val="3"/>
          <w:sz w:val="16"/>
          <w:szCs w:val="16"/>
        </w:rPr>
        <w:t>not</w:t>
      </w:r>
      <w:r w:rsidRPr="00087A72">
        <w:rPr>
          <w:spacing w:val="-4"/>
          <w:sz w:val="16"/>
          <w:szCs w:val="16"/>
        </w:rPr>
        <w:t xml:space="preserve"> </w:t>
      </w:r>
      <w:r w:rsidRPr="00087A72">
        <w:rPr>
          <w:spacing w:val="-3"/>
          <w:sz w:val="16"/>
          <w:szCs w:val="16"/>
        </w:rPr>
        <w:t>in</w:t>
      </w:r>
      <w:r w:rsidRPr="00087A72">
        <w:rPr>
          <w:spacing w:val="-6"/>
          <w:sz w:val="16"/>
          <w:szCs w:val="16"/>
        </w:rPr>
        <w:t xml:space="preserve"> </w:t>
      </w:r>
      <w:r w:rsidRPr="00087A72">
        <w:rPr>
          <w:sz w:val="16"/>
          <w:szCs w:val="16"/>
        </w:rPr>
        <w:t>their</w:t>
      </w:r>
      <w:r w:rsidRPr="00087A72">
        <w:rPr>
          <w:spacing w:val="-3"/>
          <w:sz w:val="16"/>
          <w:szCs w:val="16"/>
        </w:rPr>
        <w:t xml:space="preserve"> </w:t>
      </w:r>
      <w:r w:rsidRPr="00087A72">
        <w:rPr>
          <w:sz w:val="16"/>
          <w:szCs w:val="16"/>
        </w:rPr>
        <w:t xml:space="preserve">relationship to European imperial states. </w:t>
      </w:r>
      <w:r w:rsidRPr="00087A72">
        <w:rPr>
          <w:spacing w:val="3"/>
          <w:sz w:val="16"/>
          <w:szCs w:val="16"/>
        </w:rPr>
        <w:t xml:space="preserve">On </w:t>
      </w:r>
      <w:r w:rsidRPr="00087A72">
        <w:rPr>
          <w:sz w:val="16"/>
          <w:szCs w:val="16"/>
        </w:rPr>
        <w:t xml:space="preserve">this </w:t>
      </w:r>
      <w:r w:rsidRPr="00087A72">
        <w:rPr>
          <w:spacing w:val="-3"/>
          <w:sz w:val="16"/>
          <w:szCs w:val="16"/>
        </w:rPr>
        <w:t xml:space="preserve">basis, </w:t>
      </w:r>
      <w:r w:rsidRPr="00087A72">
        <w:rPr>
          <w:spacing w:val="2"/>
          <w:sz w:val="16"/>
          <w:szCs w:val="16"/>
        </w:rPr>
        <w:t xml:space="preserve">Stoler </w:t>
      </w:r>
      <w:r w:rsidRPr="00087A72">
        <w:rPr>
          <w:sz w:val="16"/>
          <w:szCs w:val="16"/>
        </w:rPr>
        <w:t xml:space="preserve">explains the sexual and racial regimes </w:t>
      </w:r>
      <w:r w:rsidRPr="00087A72">
        <w:rPr>
          <w:spacing w:val="5"/>
          <w:sz w:val="16"/>
          <w:szCs w:val="16"/>
        </w:rPr>
        <w:t xml:space="preserve">of </w:t>
      </w:r>
      <w:r w:rsidRPr="00087A72">
        <w:rPr>
          <w:sz w:val="16"/>
          <w:szCs w:val="16"/>
        </w:rPr>
        <w:t xml:space="preserve">metropolitan and </w:t>
      </w:r>
      <w:r w:rsidRPr="00087A72">
        <w:rPr>
          <w:spacing w:val="2"/>
          <w:sz w:val="16"/>
          <w:szCs w:val="16"/>
        </w:rPr>
        <w:t xml:space="preserve">colonial </w:t>
      </w:r>
      <w:r w:rsidRPr="00087A72">
        <w:rPr>
          <w:sz w:val="16"/>
          <w:szCs w:val="16"/>
        </w:rPr>
        <w:t xml:space="preserve">societies as based </w:t>
      </w:r>
      <w:r w:rsidRPr="00087A72">
        <w:rPr>
          <w:spacing w:val="5"/>
          <w:sz w:val="16"/>
          <w:szCs w:val="16"/>
        </w:rPr>
        <w:t xml:space="preserve">on </w:t>
      </w:r>
      <w:r w:rsidRPr="00087A72">
        <w:rPr>
          <w:sz w:val="16"/>
          <w:szCs w:val="16"/>
        </w:rPr>
        <w:t xml:space="preserve">a </w:t>
      </w:r>
      <w:r w:rsidRPr="00087A72">
        <w:rPr>
          <w:spacing w:val="2"/>
          <w:sz w:val="16"/>
          <w:szCs w:val="16"/>
        </w:rPr>
        <w:t xml:space="preserve">colonial "education </w:t>
      </w:r>
      <w:r w:rsidRPr="00087A72">
        <w:rPr>
          <w:spacing w:val="5"/>
          <w:sz w:val="16"/>
          <w:szCs w:val="16"/>
        </w:rPr>
        <w:t xml:space="preserve">of </w:t>
      </w:r>
      <w:r w:rsidRPr="00087A72">
        <w:rPr>
          <w:sz w:val="16"/>
          <w:szCs w:val="16"/>
        </w:rPr>
        <w:t xml:space="preserve">desire." </w:t>
      </w:r>
      <w:r w:rsidRPr="00087A72">
        <w:rPr>
          <w:rStyle w:val="Emphasis"/>
        </w:rPr>
        <w:t>Stoler here marks how colonial power deployed a sovereign power over death that nevertheless became complementary with a modern and disciplinary education of desire that produced normative subjects of life in relation to subject populations.</w:t>
      </w:r>
      <w:r w:rsidRPr="00087A72">
        <w:rPr>
          <w:sz w:val="16"/>
          <w:szCs w:val="16"/>
        </w:rPr>
        <w:t xml:space="preserve"> She </w:t>
      </w:r>
      <w:r w:rsidRPr="00087A72">
        <w:rPr>
          <w:spacing w:val="2"/>
          <w:sz w:val="16"/>
          <w:szCs w:val="16"/>
        </w:rPr>
        <w:t xml:space="preserve">presents colonial </w:t>
      </w:r>
      <w:r w:rsidRPr="00087A72">
        <w:rPr>
          <w:sz w:val="16"/>
          <w:szCs w:val="16"/>
        </w:rPr>
        <w:t xml:space="preserve">biopolitics as what Foucault called a "society </w:t>
      </w:r>
      <w:r w:rsidRPr="00087A72">
        <w:rPr>
          <w:spacing w:val="5"/>
          <w:sz w:val="16"/>
          <w:szCs w:val="16"/>
        </w:rPr>
        <w:t xml:space="preserve">of </w:t>
      </w:r>
      <w:r w:rsidRPr="00087A72">
        <w:rPr>
          <w:sz w:val="16"/>
          <w:szCs w:val="16"/>
        </w:rPr>
        <w:t xml:space="preserve">normalization"-"a </w:t>
      </w:r>
      <w:r w:rsidRPr="00087A72">
        <w:rPr>
          <w:spacing w:val="2"/>
          <w:sz w:val="16"/>
          <w:szCs w:val="16"/>
        </w:rPr>
        <w:t xml:space="preserve">society </w:t>
      </w:r>
      <w:r w:rsidRPr="00087A72">
        <w:rPr>
          <w:spacing w:val="3"/>
          <w:sz w:val="16"/>
          <w:szCs w:val="16"/>
        </w:rPr>
        <w:t xml:space="preserve">where </w:t>
      </w:r>
      <w:r w:rsidRPr="00087A72">
        <w:rPr>
          <w:sz w:val="16"/>
          <w:szCs w:val="16"/>
        </w:rPr>
        <w:t xml:space="preserve">the </w:t>
      </w:r>
      <w:r w:rsidRPr="00087A72">
        <w:rPr>
          <w:spacing w:val="4"/>
          <w:sz w:val="16"/>
          <w:szCs w:val="16"/>
        </w:rPr>
        <w:t xml:space="preserve">norm </w:t>
      </w:r>
      <w:r w:rsidRPr="00087A72">
        <w:rPr>
          <w:spacing w:val="5"/>
          <w:sz w:val="16"/>
          <w:szCs w:val="16"/>
        </w:rPr>
        <w:t xml:space="preserve">of </w:t>
      </w:r>
      <w:r w:rsidRPr="00087A72">
        <w:rPr>
          <w:sz w:val="16"/>
          <w:szCs w:val="16"/>
        </w:rPr>
        <w:t xml:space="preserve">discipline and the </w:t>
      </w:r>
      <w:r w:rsidRPr="00087A72">
        <w:rPr>
          <w:spacing w:val="4"/>
          <w:sz w:val="16"/>
          <w:szCs w:val="16"/>
        </w:rPr>
        <w:t xml:space="preserve">norm </w:t>
      </w:r>
      <w:r w:rsidRPr="00087A72">
        <w:rPr>
          <w:spacing w:val="5"/>
          <w:sz w:val="16"/>
          <w:szCs w:val="16"/>
        </w:rPr>
        <w:t xml:space="preserve">of </w:t>
      </w:r>
      <w:r w:rsidRPr="00087A72">
        <w:rPr>
          <w:sz w:val="16"/>
          <w:szCs w:val="16"/>
        </w:rPr>
        <w:t xml:space="preserve">regularization </w:t>
      </w:r>
      <w:r w:rsidRPr="00087A72">
        <w:rPr>
          <w:spacing w:val="2"/>
          <w:sz w:val="16"/>
          <w:szCs w:val="16"/>
        </w:rPr>
        <w:t xml:space="preserve">intersect" </w:t>
      </w:r>
      <w:r w:rsidRPr="00087A72">
        <w:rPr>
          <w:spacing w:val="4"/>
          <w:sz w:val="16"/>
          <w:szCs w:val="16"/>
        </w:rPr>
        <w:t xml:space="preserve">-and </w:t>
      </w:r>
      <w:r w:rsidRPr="00087A72">
        <w:rPr>
          <w:spacing w:val="-3"/>
          <w:sz w:val="16"/>
          <w:szCs w:val="16"/>
        </w:rPr>
        <w:t xml:space="preserve">shows </w:t>
      </w:r>
      <w:r w:rsidRPr="00087A72">
        <w:rPr>
          <w:sz w:val="16"/>
          <w:szCs w:val="16"/>
        </w:rPr>
        <w:t xml:space="preserve">that </w:t>
      </w:r>
      <w:r w:rsidRPr="00087A72">
        <w:rPr>
          <w:spacing w:val="-3"/>
          <w:sz w:val="16"/>
          <w:szCs w:val="16"/>
        </w:rPr>
        <w:t xml:space="preserve">it </w:t>
      </w:r>
      <w:r w:rsidRPr="00087A72">
        <w:rPr>
          <w:sz w:val="16"/>
          <w:szCs w:val="16"/>
        </w:rPr>
        <w:t xml:space="preserve">formed subjects </w:t>
      </w:r>
      <w:r w:rsidRPr="00087A72">
        <w:rPr>
          <w:spacing w:val="5"/>
          <w:sz w:val="16"/>
          <w:szCs w:val="16"/>
        </w:rPr>
        <w:t xml:space="preserve">of </w:t>
      </w:r>
      <w:r w:rsidRPr="00087A72">
        <w:rPr>
          <w:sz w:val="16"/>
          <w:szCs w:val="16"/>
        </w:rPr>
        <w:t xml:space="preserve">life and </w:t>
      </w:r>
      <w:r w:rsidRPr="00087A72">
        <w:rPr>
          <w:spacing w:val="2"/>
          <w:sz w:val="16"/>
          <w:szCs w:val="16"/>
        </w:rPr>
        <w:t xml:space="preserve">populations </w:t>
      </w:r>
      <w:r w:rsidRPr="00087A72">
        <w:rPr>
          <w:spacing w:val="-4"/>
          <w:sz w:val="16"/>
          <w:szCs w:val="16"/>
        </w:rPr>
        <w:t>marked</w:t>
      </w:r>
      <w:r w:rsidRPr="00087A72">
        <w:rPr>
          <w:spacing w:val="57"/>
          <w:sz w:val="16"/>
          <w:szCs w:val="16"/>
        </w:rPr>
        <w:t xml:space="preserve"> </w:t>
      </w:r>
      <w:r w:rsidRPr="00087A72">
        <w:rPr>
          <w:sz w:val="16"/>
          <w:szCs w:val="16"/>
        </w:rPr>
        <w:t xml:space="preserve">for deadly regulation </w:t>
      </w:r>
      <w:r w:rsidRPr="00087A72">
        <w:rPr>
          <w:spacing w:val="-8"/>
          <w:sz w:val="16"/>
          <w:szCs w:val="16"/>
        </w:rPr>
        <w:t xml:space="preserve">by </w:t>
      </w:r>
      <w:r w:rsidRPr="00087A72">
        <w:rPr>
          <w:spacing w:val="2"/>
          <w:sz w:val="16"/>
          <w:szCs w:val="16"/>
        </w:rPr>
        <w:t xml:space="preserve">educating them </w:t>
      </w:r>
      <w:r w:rsidRPr="00087A72">
        <w:rPr>
          <w:spacing w:val="-3"/>
          <w:sz w:val="16"/>
          <w:szCs w:val="16"/>
        </w:rPr>
        <w:t xml:space="preserve">in </w:t>
      </w:r>
      <w:r w:rsidRPr="00087A72">
        <w:rPr>
          <w:sz w:val="16"/>
          <w:szCs w:val="16"/>
        </w:rPr>
        <w:t xml:space="preserve">their </w:t>
      </w:r>
      <w:r w:rsidRPr="00087A72">
        <w:rPr>
          <w:spacing w:val="3"/>
          <w:sz w:val="16"/>
          <w:szCs w:val="16"/>
        </w:rPr>
        <w:t xml:space="preserve">interdependent </w:t>
      </w:r>
      <w:r w:rsidRPr="00087A72">
        <w:rPr>
          <w:spacing w:val="2"/>
          <w:sz w:val="16"/>
          <w:szCs w:val="16"/>
        </w:rPr>
        <w:t xml:space="preserve">locations </w:t>
      </w:r>
      <w:r w:rsidRPr="00087A72">
        <w:rPr>
          <w:sz w:val="16"/>
          <w:szCs w:val="16"/>
        </w:rPr>
        <w:t xml:space="preserve">within </w:t>
      </w:r>
      <w:r w:rsidRPr="00087A72">
        <w:rPr>
          <w:spacing w:val="2"/>
          <w:sz w:val="16"/>
          <w:szCs w:val="16"/>
        </w:rPr>
        <w:t>colonial</w:t>
      </w:r>
      <w:r w:rsidRPr="00087A72">
        <w:rPr>
          <w:spacing w:val="-44"/>
          <w:sz w:val="16"/>
          <w:szCs w:val="16"/>
        </w:rPr>
        <w:t xml:space="preserve"> </w:t>
      </w:r>
      <w:r w:rsidRPr="00087A72">
        <w:rPr>
          <w:sz w:val="16"/>
          <w:szCs w:val="16"/>
        </w:rPr>
        <w:t xml:space="preserve">regimes." </w:t>
      </w:r>
      <w:r w:rsidRPr="00087A72">
        <w:rPr>
          <w:rStyle w:val="Emphasis"/>
        </w:rPr>
        <w:t>Stoler's account of colonial biopolitics can illuminate how the sexual colonization of Native peoples in the United States conditioned the settler sexuality that formed to control and supplant them</w:t>
      </w:r>
      <w:r w:rsidRPr="00087A72">
        <w:rPr>
          <w:sz w:val="16"/>
          <w:szCs w:val="16"/>
        </w:rPr>
        <w:t xml:space="preserve">. </w:t>
      </w:r>
      <w:r w:rsidRPr="00087A72">
        <w:rPr>
          <w:spacing w:val="-7"/>
          <w:sz w:val="16"/>
          <w:szCs w:val="16"/>
        </w:rPr>
        <w:t xml:space="preserve">Yet, </w:t>
      </w:r>
      <w:r w:rsidRPr="00087A72">
        <w:rPr>
          <w:spacing w:val="2"/>
          <w:sz w:val="16"/>
          <w:szCs w:val="16"/>
        </w:rPr>
        <w:t>her focus</w:t>
      </w:r>
      <w:r w:rsidRPr="00087A72">
        <w:rPr>
          <w:spacing w:val="69"/>
          <w:sz w:val="16"/>
          <w:szCs w:val="16"/>
        </w:rPr>
        <w:t xml:space="preserve"> </w:t>
      </w:r>
      <w:r w:rsidRPr="00087A72">
        <w:rPr>
          <w:spacing w:val="5"/>
          <w:sz w:val="16"/>
          <w:szCs w:val="16"/>
        </w:rPr>
        <w:t>on</w:t>
      </w:r>
      <w:r w:rsidRPr="00087A72">
        <w:rPr>
          <w:spacing w:val="75"/>
          <w:sz w:val="16"/>
          <w:szCs w:val="16"/>
        </w:rPr>
        <w:t xml:space="preserve"> </w:t>
      </w:r>
      <w:r w:rsidRPr="00087A72">
        <w:rPr>
          <w:sz w:val="16"/>
          <w:szCs w:val="16"/>
        </w:rPr>
        <w:t>franchise</w:t>
      </w:r>
      <w:r w:rsidRPr="00087A72">
        <w:rPr>
          <w:spacing w:val="-4"/>
          <w:sz w:val="16"/>
          <w:szCs w:val="16"/>
        </w:rPr>
        <w:t xml:space="preserve"> </w:t>
      </w:r>
      <w:r w:rsidRPr="00087A72">
        <w:rPr>
          <w:spacing w:val="3"/>
          <w:sz w:val="16"/>
          <w:szCs w:val="16"/>
        </w:rPr>
        <w:t>colonies</w:t>
      </w:r>
      <w:r w:rsidRPr="00087A72">
        <w:rPr>
          <w:spacing w:val="-16"/>
          <w:sz w:val="16"/>
          <w:szCs w:val="16"/>
        </w:rPr>
        <w:t xml:space="preserve"> </w:t>
      </w:r>
      <w:r w:rsidRPr="00087A72">
        <w:rPr>
          <w:spacing w:val="-3"/>
          <w:sz w:val="16"/>
          <w:szCs w:val="16"/>
        </w:rPr>
        <w:t>in</w:t>
      </w:r>
      <w:r w:rsidRPr="00087A72">
        <w:rPr>
          <w:spacing w:val="-8"/>
          <w:sz w:val="16"/>
          <w:szCs w:val="16"/>
        </w:rPr>
        <w:t xml:space="preserve"> </w:t>
      </w:r>
      <w:r w:rsidRPr="00087A72">
        <w:rPr>
          <w:sz w:val="16"/>
          <w:szCs w:val="16"/>
        </w:rPr>
        <w:t>the</w:t>
      </w:r>
      <w:r w:rsidRPr="00087A72">
        <w:rPr>
          <w:spacing w:val="-3"/>
          <w:sz w:val="16"/>
          <w:szCs w:val="16"/>
        </w:rPr>
        <w:t xml:space="preserve"> </w:t>
      </w:r>
      <w:r w:rsidRPr="00087A72">
        <w:rPr>
          <w:spacing w:val="2"/>
          <w:sz w:val="16"/>
          <w:szCs w:val="16"/>
        </w:rPr>
        <w:t>modern</w:t>
      </w:r>
      <w:r w:rsidRPr="00087A72">
        <w:rPr>
          <w:spacing w:val="-8"/>
          <w:sz w:val="16"/>
          <w:szCs w:val="16"/>
        </w:rPr>
        <w:t xml:space="preserve"> </w:t>
      </w:r>
      <w:r w:rsidRPr="00087A72">
        <w:rPr>
          <w:spacing w:val="3"/>
          <w:sz w:val="16"/>
          <w:szCs w:val="16"/>
        </w:rPr>
        <w:t>era</w:t>
      </w:r>
      <w:r w:rsidRPr="00087A72">
        <w:rPr>
          <w:spacing w:val="-10"/>
          <w:sz w:val="16"/>
          <w:szCs w:val="16"/>
        </w:rPr>
        <w:t xml:space="preserve"> </w:t>
      </w:r>
      <w:r w:rsidRPr="00087A72">
        <w:rPr>
          <w:spacing w:val="5"/>
          <w:sz w:val="16"/>
          <w:szCs w:val="16"/>
        </w:rPr>
        <w:t>of</w:t>
      </w:r>
      <w:r w:rsidRPr="00087A72">
        <w:rPr>
          <w:spacing w:val="18"/>
          <w:sz w:val="16"/>
          <w:szCs w:val="16"/>
        </w:rPr>
        <w:t xml:space="preserve"> </w:t>
      </w:r>
      <w:r w:rsidRPr="00087A72">
        <w:rPr>
          <w:sz w:val="16"/>
          <w:szCs w:val="16"/>
        </w:rPr>
        <w:t>biopolitics</w:t>
      </w:r>
      <w:r w:rsidRPr="00087A72">
        <w:rPr>
          <w:spacing w:val="-15"/>
          <w:sz w:val="16"/>
          <w:szCs w:val="16"/>
        </w:rPr>
        <w:t xml:space="preserve"> </w:t>
      </w:r>
      <w:r w:rsidRPr="00087A72">
        <w:rPr>
          <w:sz w:val="16"/>
          <w:szCs w:val="16"/>
        </w:rPr>
        <w:t>distinguishes</w:t>
      </w:r>
      <w:r w:rsidRPr="00087A72">
        <w:rPr>
          <w:spacing w:val="-15"/>
          <w:sz w:val="16"/>
          <w:szCs w:val="16"/>
        </w:rPr>
        <w:t xml:space="preserve"> </w:t>
      </w:r>
      <w:r w:rsidRPr="00087A72">
        <w:rPr>
          <w:spacing w:val="2"/>
          <w:sz w:val="16"/>
          <w:szCs w:val="16"/>
        </w:rPr>
        <w:t>her</w:t>
      </w:r>
      <w:r w:rsidRPr="00087A72">
        <w:rPr>
          <w:spacing w:val="-4"/>
          <w:sz w:val="16"/>
          <w:szCs w:val="16"/>
        </w:rPr>
        <w:t xml:space="preserve"> </w:t>
      </w:r>
      <w:r w:rsidRPr="00087A72">
        <w:rPr>
          <w:sz w:val="16"/>
          <w:szCs w:val="16"/>
        </w:rPr>
        <w:t>work</w:t>
      </w:r>
      <w:r w:rsidRPr="00087A72">
        <w:rPr>
          <w:spacing w:val="-8"/>
          <w:sz w:val="16"/>
          <w:szCs w:val="16"/>
        </w:rPr>
        <w:t xml:space="preserve"> </w:t>
      </w:r>
      <w:r w:rsidRPr="00087A72">
        <w:rPr>
          <w:sz w:val="16"/>
          <w:szCs w:val="16"/>
        </w:rPr>
        <w:t xml:space="preserve">from </w:t>
      </w:r>
      <w:r w:rsidRPr="00087A72">
        <w:rPr>
          <w:spacing w:val="4"/>
          <w:sz w:val="16"/>
          <w:szCs w:val="16"/>
        </w:rPr>
        <w:t>accounts</w:t>
      </w:r>
      <w:r w:rsidRPr="00087A72">
        <w:rPr>
          <w:spacing w:val="-16"/>
          <w:sz w:val="16"/>
          <w:szCs w:val="16"/>
        </w:rPr>
        <w:t xml:space="preserve"> </w:t>
      </w:r>
      <w:r w:rsidRPr="00087A72">
        <w:rPr>
          <w:spacing w:val="5"/>
          <w:sz w:val="16"/>
          <w:szCs w:val="16"/>
        </w:rPr>
        <w:t>of</w:t>
      </w:r>
      <w:r w:rsidRPr="00087A72">
        <w:rPr>
          <w:spacing w:val="17"/>
          <w:sz w:val="16"/>
          <w:szCs w:val="16"/>
        </w:rPr>
        <w:t xml:space="preserve"> </w:t>
      </w:r>
      <w:r w:rsidRPr="00087A72">
        <w:rPr>
          <w:sz w:val="16"/>
          <w:szCs w:val="16"/>
        </w:rPr>
        <w:t>white</w:t>
      </w:r>
      <w:r w:rsidRPr="00087A72">
        <w:rPr>
          <w:spacing w:val="-4"/>
          <w:sz w:val="16"/>
          <w:szCs w:val="16"/>
        </w:rPr>
        <w:t xml:space="preserve"> </w:t>
      </w:r>
      <w:r w:rsidRPr="00087A72">
        <w:rPr>
          <w:sz w:val="16"/>
          <w:szCs w:val="16"/>
        </w:rPr>
        <w:t>settler</w:t>
      </w:r>
      <w:r w:rsidRPr="00087A72">
        <w:rPr>
          <w:spacing w:val="-4"/>
          <w:sz w:val="16"/>
          <w:szCs w:val="16"/>
        </w:rPr>
        <w:t xml:space="preserve"> </w:t>
      </w:r>
      <w:r w:rsidRPr="00087A72">
        <w:rPr>
          <w:spacing w:val="3"/>
          <w:sz w:val="16"/>
          <w:szCs w:val="16"/>
        </w:rPr>
        <w:t>colonization</w:t>
      </w:r>
      <w:r w:rsidRPr="00087A72">
        <w:rPr>
          <w:spacing w:val="-9"/>
          <w:sz w:val="16"/>
          <w:szCs w:val="16"/>
        </w:rPr>
        <w:t xml:space="preserve"> </w:t>
      </w:r>
      <w:r w:rsidRPr="00087A72">
        <w:rPr>
          <w:spacing w:val="-3"/>
          <w:sz w:val="16"/>
          <w:szCs w:val="16"/>
        </w:rPr>
        <w:t>in</w:t>
      </w:r>
      <w:r w:rsidRPr="00087A72">
        <w:rPr>
          <w:spacing w:val="-8"/>
          <w:sz w:val="16"/>
          <w:szCs w:val="16"/>
        </w:rPr>
        <w:t xml:space="preserve"> </w:t>
      </w:r>
      <w:r w:rsidRPr="00087A72">
        <w:rPr>
          <w:sz w:val="16"/>
          <w:szCs w:val="16"/>
        </w:rPr>
        <w:t>the</w:t>
      </w:r>
      <w:r w:rsidRPr="00087A72">
        <w:rPr>
          <w:spacing w:val="-4"/>
          <w:sz w:val="16"/>
          <w:szCs w:val="16"/>
        </w:rPr>
        <w:t xml:space="preserve"> </w:t>
      </w:r>
      <w:r w:rsidRPr="00087A72">
        <w:rPr>
          <w:sz w:val="16"/>
          <w:szCs w:val="16"/>
        </w:rPr>
        <w:t>Americas,</w:t>
      </w:r>
      <w:r w:rsidRPr="00087A72">
        <w:rPr>
          <w:spacing w:val="-13"/>
          <w:sz w:val="16"/>
          <w:szCs w:val="16"/>
        </w:rPr>
        <w:t xml:space="preserve"> </w:t>
      </w:r>
      <w:r w:rsidRPr="00087A72">
        <w:rPr>
          <w:sz w:val="16"/>
          <w:szCs w:val="16"/>
        </w:rPr>
        <w:t>including</w:t>
      </w:r>
      <w:r w:rsidRPr="00087A72">
        <w:rPr>
          <w:spacing w:val="-11"/>
          <w:sz w:val="16"/>
          <w:szCs w:val="16"/>
        </w:rPr>
        <w:t xml:space="preserve"> </w:t>
      </w:r>
      <w:r w:rsidRPr="00087A72">
        <w:rPr>
          <w:sz w:val="16"/>
          <w:szCs w:val="16"/>
        </w:rPr>
        <w:t>its</w:t>
      </w:r>
      <w:r w:rsidRPr="00087A72">
        <w:rPr>
          <w:spacing w:val="-16"/>
          <w:sz w:val="16"/>
          <w:szCs w:val="16"/>
        </w:rPr>
        <w:t xml:space="preserve"> </w:t>
      </w:r>
      <w:r w:rsidRPr="00087A72">
        <w:rPr>
          <w:spacing w:val="2"/>
          <w:sz w:val="16"/>
          <w:szCs w:val="16"/>
        </w:rPr>
        <w:t xml:space="preserve">periodicity </w:t>
      </w:r>
      <w:r w:rsidRPr="00087A72">
        <w:rPr>
          <w:sz w:val="16"/>
          <w:szCs w:val="16"/>
        </w:rPr>
        <w:t xml:space="preserve">across the shifting </w:t>
      </w:r>
      <w:r w:rsidRPr="00087A72">
        <w:rPr>
          <w:spacing w:val="2"/>
          <w:sz w:val="16"/>
          <w:szCs w:val="16"/>
        </w:rPr>
        <w:t xml:space="preserve">modes </w:t>
      </w:r>
      <w:r w:rsidRPr="00087A72">
        <w:rPr>
          <w:spacing w:val="5"/>
          <w:sz w:val="16"/>
          <w:szCs w:val="16"/>
        </w:rPr>
        <w:t xml:space="preserve">of </w:t>
      </w:r>
      <w:r w:rsidRPr="00087A72">
        <w:rPr>
          <w:sz w:val="16"/>
          <w:szCs w:val="16"/>
        </w:rPr>
        <w:t xml:space="preserve">biopower within Western law from the </w:t>
      </w:r>
      <w:r w:rsidRPr="00087A72">
        <w:rPr>
          <w:spacing w:val="3"/>
          <w:sz w:val="16"/>
          <w:szCs w:val="16"/>
        </w:rPr>
        <w:t xml:space="preserve">fifteenth </w:t>
      </w:r>
      <w:r w:rsidRPr="00087A72">
        <w:rPr>
          <w:sz w:val="16"/>
          <w:szCs w:val="16"/>
        </w:rPr>
        <w:t xml:space="preserve">to the </w:t>
      </w:r>
      <w:r w:rsidRPr="00087A72">
        <w:rPr>
          <w:spacing w:val="2"/>
          <w:sz w:val="16"/>
          <w:szCs w:val="16"/>
        </w:rPr>
        <w:t xml:space="preserve">nineteenth centuries. </w:t>
      </w:r>
      <w:r w:rsidRPr="00087A72">
        <w:rPr>
          <w:sz w:val="16"/>
          <w:szCs w:val="16"/>
        </w:rPr>
        <w:t xml:space="preserve">The speciﬁcities </w:t>
      </w:r>
      <w:r w:rsidRPr="00087A72">
        <w:rPr>
          <w:spacing w:val="5"/>
          <w:sz w:val="16"/>
          <w:szCs w:val="16"/>
        </w:rPr>
        <w:t xml:space="preserve">of </w:t>
      </w:r>
      <w:r w:rsidRPr="00087A72">
        <w:rPr>
          <w:sz w:val="16"/>
          <w:szCs w:val="16"/>
        </w:rPr>
        <w:t xml:space="preserve">these histories </w:t>
      </w:r>
      <w:r w:rsidRPr="00087A72">
        <w:rPr>
          <w:spacing w:val="5"/>
          <w:sz w:val="16"/>
          <w:szCs w:val="16"/>
        </w:rPr>
        <w:t xml:space="preserve">of </w:t>
      </w:r>
      <w:r w:rsidRPr="00087A72">
        <w:rPr>
          <w:spacing w:val="4"/>
          <w:sz w:val="16"/>
          <w:szCs w:val="16"/>
        </w:rPr>
        <w:t xml:space="preserve">biopower </w:t>
      </w:r>
      <w:r w:rsidRPr="00087A72">
        <w:rPr>
          <w:sz w:val="16"/>
          <w:szCs w:val="16"/>
        </w:rPr>
        <w:t xml:space="preserve">already appear </w:t>
      </w:r>
      <w:r w:rsidRPr="00087A72">
        <w:rPr>
          <w:spacing w:val="-3"/>
          <w:sz w:val="16"/>
          <w:szCs w:val="16"/>
        </w:rPr>
        <w:t xml:space="preserve">in </w:t>
      </w:r>
      <w:r w:rsidRPr="00087A72">
        <w:rPr>
          <w:sz w:val="16"/>
          <w:szCs w:val="16"/>
        </w:rPr>
        <w:t xml:space="preserve">scholarship </w:t>
      </w:r>
      <w:r w:rsidRPr="00087A72">
        <w:rPr>
          <w:spacing w:val="5"/>
          <w:sz w:val="16"/>
          <w:szCs w:val="16"/>
        </w:rPr>
        <w:t xml:space="preserve">on </w:t>
      </w:r>
      <w:r w:rsidRPr="00087A72">
        <w:rPr>
          <w:sz w:val="16"/>
          <w:szCs w:val="16"/>
        </w:rPr>
        <w:t xml:space="preserve">sexuality and settler colonialism, </w:t>
      </w:r>
      <w:r w:rsidRPr="00087A72">
        <w:rPr>
          <w:spacing w:val="-3"/>
          <w:sz w:val="16"/>
          <w:szCs w:val="16"/>
        </w:rPr>
        <w:t xml:space="preserve">which shows </w:t>
      </w:r>
      <w:r w:rsidRPr="00087A72">
        <w:rPr>
          <w:sz w:val="16"/>
          <w:szCs w:val="16"/>
        </w:rPr>
        <w:t xml:space="preserve">that </w:t>
      </w:r>
      <w:r w:rsidRPr="00087A72">
        <w:rPr>
          <w:spacing w:val="-3"/>
          <w:sz w:val="16"/>
          <w:szCs w:val="16"/>
        </w:rPr>
        <w:t xml:space="preserve">in </w:t>
      </w:r>
      <w:r w:rsidRPr="00087A72">
        <w:rPr>
          <w:sz w:val="16"/>
          <w:szCs w:val="16"/>
        </w:rPr>
        <w:t xml:space="preserve">settler societies </w:t>
      </w:r>
      <w:r w:rsidRPr="00087A72">
        <w:rPr>
          <w:spacing w:val="-3"/>
          <w:sz w:val="16"/>
          <w:szCs w:val="16"/>
        </w:rPr>
        <w:t xml:space="preserve">in </w:t>
      </w:r>
      <w:r w:rsidRPr="00087A72">
        <w:rPr>
          <w:sz w:val="16"/>
          <w:szCs w:val="16"/>
        </w:rPr>
        <w:t xml:space="preserve">the Americas, sexuality served as a primary </w:t>
      </w:r>
      <w:r w:rsidRPr="00087A72">
        <w:rPr>
          <w:spacing w:val="3"/>
          <w:sz w:val="16"/>
          <w:szCs w:val="16"/>
        </w:rPr>
        <w:t xml:space="preserve">locus </w:t>
      </w:r>
      <w:r w:rsidRPr="00087A72">
        <w:rPr>
          <w:spacing w:val="-3"/>
          <w:sz w:val="16"/>
          <w:szCs w:val="16"/>
        </w:rPr>
        <w:t xml:space="preserve">in </w:t>
      </w:r>
      <w:r w:rsidRPr="00087A72">
        <w:rPr>
          <w:sz w:val="16"/>
          <w:szCs w:val="16"/>
        </w:rPr>
        <w:t xml:space="preserve">projecting settler </w:t>
      </w:r>
      <w:r w:rsidRPr="00087A72">
        <w:rPr>
          <w:spacing w:val="2"/>
          <w:sz w:val="16"/>
          <w:szCs w:val="16"/>
        </w:rPr>
        <w:t xml:space="preserve">colonial </w:t>
      </w:r>
      <w:r w:rsidRPr="00087A72">
        <w:rPr>
          <w:spacing w:val="-6"/>
          <w:sz w:val="16"/>
          <w:szCs w:val="16"/>
        </w:rPr>
        <w:t xml:space="preserve">power. </w:t>
      </w:r>
      <w:r w:rsidRPr="00087A72">
        <w:rPr>
          <w:sz w:val="16"/>
          <w:szCs w:val="16"/>
        </w:rPr>
        <w:t xml:space="preserve">With </w:t>
      </w:r>
      <w:r w:rsidRPr="00087A72">
        <w:rPr>
          <w:spacing w:val="3"/>
          <w:sz w:val="16"/>
          <w:szCs w:val="16"/>
        </w:rPr>
        <w:t xml:space="preserve">Andrea </w:t>
      </w:r>
      <w:r w:rsidRPr="00087A72">
        <w:rPr>
          <w:spacing w:val="-3"/>
          <w:sz w:val="16"/>
          <w:szCs w:val="16"/>
        </w:rPr>
        <w:t xml:space="preserve">Smith </w:t>
      </w:r>
      <w:r w:rsidRPr="00087A72">
        <w:rPr>
          <w:sz w:val="16"/>
          <w:szCs w:val="16"/>
        </w:rPr>
        <w:t xml:space="preserve">we see that </w:t>
      </w:r>
      <w:r w:rsidRPr="00087A72">
        <w:rPr>
          <w:rStyle w:val="Emphasis"/>
        </w:rPr>
        <w:t xml:space="preserve">the sexual violence of colonial heteropatriarchy enabled the European conquest of Native peoples as queer to colonial rule, including by targeting Native systems of gender and sexuality that conﬂicted with European colonial logics. </w:t>
      </w:r>
      <w:r w:rsidRPr="00087A72">
        <w:rPr>
          <w:sz w:val="16"/>
          <w:szCs w:val="16"/>
        </w:rPr>
        <w:t xml:space="preserve">Rifkin </w:t>
      </w:r>
      <w:r w:rsidRPr="00087A72">
        <w:rPr>
          <w:spacing w:val="-3"/>
          <w:sz w:val="16"/>
          <w:szCs w:val="16"/>
        </w:rPr>
        <w:t xml:space="preserve">shows </w:t>
      </w:r>
      <w:r w:rsidRPr="00087A72">
        <w:rPr>
          <w:sz w:val="16"/>
          <w:szCs w:val="16"/>
        </w:rPr>
        <w:t xml:space="preserve">that </w:t>
      </w:r>
      <w:r w:rsidRPr="00087A72">
        <w:rPr>
          <w:spacing w:val="2"/>
          <w:sz w:val="16"/>
          <w:szCs w:val="16"/>
        </w:rPr>
        <w:t xml:space="preserve">colonial </w:t>
      </w:r>
      <w:r w:rsidRPr="00087A72">
        <w:rPr>
          <w:sz w:val="16"/>
          <w:szCs w:val="16"/>
        </w:rPr>
        <w:t xml:space="preserve">regulation </w:t>
      </w:r>
      <w:r w:rsidRPr="00087A72">
        <w:rPr>
          <w:spacing w:val="5"/>
          <w:sz w:val="16"/>
          <w:szCs w:val="16"/>
        </w:rPr>
        <w:t xml:space="preserve">of </w:t>
      </w:r>
      <w:r w:rsidRPr="00087A72">
        <w:rPr>
          <w:sz w:val="16"/>
          <w:szCs w:val="16"/>
        </w:rPr>
        <w:t xml:space="preserve">Native </w:t>
      </w:r>
      <w:r w:rsidRPr="00087A72">
        <w:rPr>
          <w:spacing w:val="3"/>
          <w:sz w:val="16"/>
          <w:szCs w:val="16"/>
        </w:rPr>
        <w:t xml:space="preserve">peoples </w:t>
      </w:r>
      <w:r w:rsidRPr="00087A72">
        <w:rPr>
          <w:sz w:val="16"/>
          <w:szCs w:val="16"/>
        </w:rPr>
        <w:t xml:space="preserve">for </w:t>
      </w:r>
      <w:r w:rsidRPr="00087A72">
        <w:rPr>
          <w:spacing w:val="-3"/>
          <w:sz w:val="16"/>
          <w:szCs w:val="16"/>
        </w:rPr>
        <w:t xml:space="preserve">assimilation </w:t>
      </w:r>
      <w:r w:rsidRPr="00087A72">
        <w:rPr>
          <w:spacing w:val="2"/>
          <w:sz w:val="16"/>
          <w:szCs w:val="16"/>
        </w:rPr>
        <w:t xml:space="preserve">targeted </w:t>
      </w:r>
      <w:r w:rsidRPr="00087A72">
        <w:rPr>
          <w:spacing w:val="-3"/>
          <w:sz w:val="16"/>
          <w:szCs w:val="16"/>
        </w:rPr>
        <w:t xml:space="preserve">kinship </w:t>
      </w:r>
      <w:r w:rsidRPr="00087A72">
        <w:rPr>
          <w:sz w:val="16"/>
          <w:szCs w:val="16"/>
        </w:rPr>
        <w:t xml:space="preserve">relations that </w:t>
      </w:r>
      <w:r w:rsidRPr="00087A72">
        <w:rPr>
          <w:spacing w:val="2"/>
          <w:sz w:val="16"/>
          <w:szCs w:val="16"/>
        </w:rPr>
        <w:t xml:space="preserve">appeared </w:t>
      </w:r>
      <w:r w:rsidRPr="00087A72">
        <w:rPr>
          <w:sz w:val="16"/>
          <w:szCs w:val="16"/>
        </w:rPr>
        <w:t xml:space="preserve">nonheteronormative as a way </w:t>
      </w:r>
      <w:r w:rsidRPr="00087A72">
        <w:rPr>
          <w:spacing w:val="5"/>
          <w:sz w:val="16"/>
          <w:szCs w:val="16"/>
        </w:rPr>
        <w:t xml:space="preserve">of </w:t>
      </w:r>
      <w:r w:rsidRPr="00087A72">
        <w:rPr>
          <w:sz w:val="16"/>
          <w:szCs w:val="16"/>
        </w:rPr>
        <w:t xml:space="preserve">maintaining settler </w:t>
      </w:r>
      <w:r w:rsidRPr="00087A72">
        <w:rPr>
          <w:spacing w:val="2"/>
          <w:sz w:val="16"/>
          <w:szCs w:val="16"/>
        </w:rPr>
        <w:t xml:space="preserve">colonial </w:t>
      </w:r>
      <w:r w:rsidRPr="00087A72">
        <w:rPr>
          <w:sz w:val="16"/>
          <w:szCs w:val="16"/>
        </w:rPr>
        <w:t xml:space="preserve">control. </w:t>
      </w:r>
      <w:r w:rsidRPr="00087A72">
        <w:rPr>
          <w:spacing w:val="-3"/>
          <w:sz w:val="16"/>
          <w:szCs w:val="16"/>
        </w:rPr>
        <w:t xml:space="preserve">Smith's </w:t>
      </w:r>
      <w:r w:rsidRPr="00087A72">
        <w:rPr>
          <w:sz w:val="16"/>
          <w:szCs w:val="16"/>
        </w:rPr>
        <w:t xml:space="preserve">and </w:t>
      </w:r>
      <w:r w:rsidRPr="00087A72">
        <w:rPr>
          <w:spacing w:val="-3"/>
          <w:sz w:val="16"/>
          <w:szCs w:val="16"/>
        </w:rPr>
        <w:t xml:space="preserve">Rifkin's </w:t>
      </w:r>
      <w:r w:rsidRPr="00087A72">
        <w:rPr>
          <w:sz w:val="16"/>
          <w:szCs w:val="16"/>
        </w:rPr>
        <w:t>work suggests that the violent disciplinary</w:t>
      </w:r>
      <w:r w:rsidRPr="00087A72">
        <w:rPr>
          <w:spacing w:val="-8"/>
          <w:sz w:val="16"/>
          <w:szCs w:val="16"/>
        </w:rPr>
        <w:t xml:space="preserve"> </w:t>
      </w:r>
      <w:r w:rsidRPr="00087A72">
        <w:rPr>
          <w:sz w:val="16"/>
          <w:szCs w:val="16"/>
        </w:rPr>
        <w:t>regulation</w:t>
      </w:r>
      <w:r w:rsidRPr="00087A72">
        <w:rPr>
          <w:spacing w:val="-6"/>
          <w:sz w:val="16"/>
          <w:szCs w:val="16"/>
        </w:rPr>
        <w:t xml:space="preserve"> </w:t>
      </w:r>
      <w:r w:rsidRPr="00087A72">
        <w:rPr>
          <w:spacing w:val="5"/>
          <w:sz w:val="16"/>
          <w:szCs w:val="16"/>
        </w:rPr>
        <w:t>of</w:t>
      </w:r>
      <w:r w:rsidRPr="00087A72">
        <w:rPr>
          <w:spacing w:val="1"/>
          <w:sz w:val="16"/>
          <w:szCs w:val="16"/>
        </w:rPr>
        <w:t xml:space="preserve"> </w:t>
      </w:r>
      <w:r w:rsidRPr="00087A72">
        <w:rPr>
          <w:sz w:val="16"/>
          <w:szCs w:val="16"/>
        </w:rPr>
        <w:t>Native</w:t>
      </w:r>
      <w:r w:rsidRPr="00087A72">
        <w:rPr>
          <w:spacing w:val="-1"/>
          <w:sz w:val="16"/>
          <w:szCs w:val="16"/>
        </w:rPr>
        <w:t xml:space="preserve"> </w:t>
      </w:r>
      <w:r w:rsidRPr="00087A72">
        <w:rPr>
          <w:spacing w:val="3"/>
          <w:sz w:val="16"/>
          <w:szCs w:val="16"/>
        </w:rPr>
        <w:t>peoples</w:t>
      </w:r>
      <w:r w:rsidRPr="00087A72">
        <w:rPr>
          <w:spacing w:val="-15"/>
          <w:sz w:val="16"/>
          <w:szCs w:val="16"/>
        </w:rPr>
        <w:t xml:space="preserve"> </w:t>
      </w:r>
      <w:r w:rsidRPr="00087A72">
        <w:rPr>
          <w:sz w:val="16"/>
          <w:szCs w:val="16"/>
        </w:rPr>
        <w:t>taught</w:t>
      </w:r>
      <w:r w:rsidRPr="00087A72">
        <w:rPr>
          <w:spacing w:val="-3"/>
          <w:sz w:val="16"/>
          <w:szCs w:val="16"/>
        </w:rPr>
        <w:t xml:space="preserve"> </w:t>
      </w:r>
      <w:r w:rsidRPr="00087A72">
        <w:rPr>
          <w:sz w:val="16"/>
          <w:szCs w:val="16"/>
        </w:rPr>
        <w:t>settlers</w:t>
      </w:r>
      <w:r w:rsidRPr="00087A72">
        <w:rPr>
          <w:spacing w:val="-14"/>
          <w:sz w:val="16"/>
          <w:szCs w:val="16"/>
        </w:rPr>
        <w:t xml:space="preserve"> </w:t>
      </w:r>
      <w:r w:rsidRPr="00087A72">
        <w:rPr>
          <w:sz w:val="16"/>
          <w:szCs w:val="16"/>
        </w:rPr>
        <w:t>doing</w:t>
      </w:r>
      <w:r w:rsidRPr="00087A72">
        <w:rPr>
          <w:spacing w:val="-9"/>
          <w:sz w:val="16"/>
          <w:szCs w:val="16"/>
        </w:rPr>
        <w:t xml:space="preserve"> </w:t>
      </w:r>
      <w:r w:rsidRPr="00087A72">
        <w:rPr>
          <w:sz w:val="16"/>
          <w:szCs w:val="16"/>
        </w:rPr>
        <w:t>this</w:t>
      </w:r>
      <w:r w:rsidRPr="00087A72">
        <w:rPr>
          <w:spacing w:val="-14"/>
          <w:sz w:val="16"/>
          <w:szCs w:val="16"/>
        </w:rPr>
        <w:t xml:space="preserve"> </w:t>
      </w:r>
      <w:r w:rsidRPr="00087A72">
        <w:rPr>
          <w:spacing w:val="3"/>
          <w:sz w:val="16"/>
          <w:szCs w:val="16"/>
        </w:rPr>
        <w:t>work,</w:t>
      </w:r>
      <w:r w:rsidRPr="00087A72">
        <w:rPr>
          <w:spacing w:val="-13"/>
          <w:sz w:val="16"/>
          <w:szCs w:val="16"/>
        </w:rPr>
        <w:t xml:space="preserve"> </w:t>
      </w:r>
      <w:r w:rsidRPr="00087A72">
        <w:rPr>
          <w:spacing w:val="5"/>
          <w:sz w:val="16"/>
          <w:szCs w:val="16"/>
        </w:rPr>
        <w:t>or</w:t>
      </w:r>
      <w:r w:rsidRPr="00087A72">
        <w:rPr>
          <w:spacing w:val="-2"/>
          <w:sz w:val="16"/>
          <w:szCs w:val="16"/>
        </w:rPr>
        <w:t xml:space="preserve"> </w:t>
      </w:r>
      <w:r w:rsidRPr="00087A72">
        <w:rPr>
          <w:sz w:val="16"/>
          <w:szCs w:val="16"/>
        </w:rPr>
        <w:t>any non-Natives</w:t>
      </w:r>
      <w:r w:rsidRPr="00087A72">
        <w:rPr>
          <w:spacing w:val="-16"/>
          <w:sz w:val="16"/>
          <w:szCs w:val="16"/>
        </w:rPr>
        <w:t xml:space="preserve"> </w:t>
      </w:r>
      <w:r w:rsidRPr="00087A72">
        <w:rPr>
          <w:sz w:val="16"/>
          <w:szCs w:val="16"/>
        </w:rPr>
        <w:t>witnessing</w:t>
      </w:r>
      <w:r w:rsidRPr="00087A72">
        <w:rPr>
          <w:spacing w:val="-12"/>
          <w:sz w:val="16"/>
          <w:szCs w:val="16"/>
        </w:rPr>
        <w:t xml:space="preserve"> </w:t>
      </w:r>
      <w:r w:rsidRPr="00087A72">
        <w:rPr>
          <w:spacing w:val="5"/>
          <w:sz w:val="16"/>
          <w:szCs w:val="16"/>
        </w:rPr>
        <w:t>or</w:t>
      </w:r>
      <w:r w:rsidRPr="00087A72">
        <w:rPr>
          <w:spacing w:val="-5"/>
          <w:sz w:val="16"/>
          <w:szCs w:val="16"/>
        </w:rPr>
        <w:t xml:space="preserve"> </w:t>
      </w:r>
      <w:r w:rsidRPr="00087A72">
        <w:rPr>
          <w:sz w:val="16"/>
          <w:szCs w:val="16"/>
        </w:rPr>
        <w:t>inheriting</w:t>
      </w:r>
      <w:r w:rsidRPr="00087A72">
        <w:rPr>
          <w:spacing w:val="-12"/>
          <w:sz w:val="16"/>
          <w:szCs w:val="16"/>
        </w:rPr>
        <w:t xml:space="preserve"> </w:t>
      </w:r>
      <w:r w:rsidRPr="00087A72">
        <w:rPr>
          <w:sz w:val="16"/>
          <w:szCs w:val="16"/>
        </w:rPr>
        <w:t>its</w:t>
      </w:r>
      <w:r w:rsidRPr="00087A72">
        <w:rPr>
          <w:spacing w:val="-16"/>
          <w:sz w:val="16"/>
          <w:szCs w:val="16"/>
        </w:rPr>
        <w:t xml:space="preserve"> </w:t>
      </w:r>
      <w:r w:rsidRPr="00087A72">
        <w:rPr>
          <w:spacing w:val="4"/>
          <w:sz w:val="16"/>
          <w:szCs w:val="16"/>
        </w:rPr>
        <w:t>effects,</w:t>
      </w:r>
      <w:r w:rsidRPr="00087A72">
        <w:rPr>
          <w:spacing w:val="-18"/>
          <w:sz w:val="16"/>
          <w:szCs w:val="16"/>
        </w:rPr>
        <w:t xml:space="preserve"> </w:t>
      </w:r>
      <w:r w:rsidRPr="00087A72">
        <w:rPr>
          <w:sz w:val="16"/>
          <w:szCs w:val="16"/>
        </w:rPr>
        <w:t>the</w:t>
      </w:r>
      <w:r w:rsidRPr="00087A72">
        <w:rPr>
          <w:spacing w:val="-3"/>
          <w:sz w:val="16"/>
          <w:szCs w:val="16"/>
        </w:rPr>
        <w:t xml:space="preserve"> </w:t>
      </w:r>
      <w:r w:rsidRPr="00087A72">
        <w:rPr>
          <w:sz w:val="16"/>
          <w:szCs w:val="16"/>
        </w:rPr>
        <w:t>meaning</w:t>
      </w:r>
      <w:r w:rsidRPr="00087A72">
        <w:rPr>
          <w:spacing w:val="-11"/>
          <w:sz w:val="16"/>
          <w:szCs w:val="16"/>
        </w:rPr>
        <w:t xml:space="preserve"> </w:t>
      </w:r>
      <w:r w:rsidRPr="00087A72">
        <w:rPr>
          <w:spacing w:val="5"/>
          <w:sz w:val="16"/>
          <w:szCs w:val="16"/>
        </w:rPr>
        <w:t>of</w:t>
      </w:r>
      <w:r w:rsidRPr="00087A72">
        <w:rPr>
          <w:spacing w:val="16"/>
          <w:sz w:val="16"/>
          <w:szCs w:val="16"/>
        </w:rPr>
        <w:t xml:space="preserve"> </w:t>
      </w:r>
      <w:r w:rsidRPr="00087A72">
        <w:rPr>
          <w:sz w:val="16"/>
          <w:szCs w:val="16"/>
        </w:rPr>
        <w:t>being</w:t>
      </w:r>
      <w:r w:rsidRPr="00087A72">
        <w:rPr>
          <w:spacing w:val="-11"/>
          <w:sz w:val="16"/>
          <w:szCs w:val="16"/>
        </w:rPr>
        <w:t xml:space="preserve"> </w:t>
      </w:r>
      <w:r w:rsidRPr="00087A72">
        <w:rPr>
          <w:spacing w:val="2"/>
          <w:sz w:val="16"/>
          <w:szCs w:val="16"/>
        </w:rPr>
        <w:t xml:space="preserve">subjected </w:t>
      </w:r>
      <w:r w:rsidRPr="00087A72">
        <w:rPr>
          <w:sz w:val="16"/>
          <w:szCs w:val="16"/>
        </w:rPr>
        <w:t xml:space="preserve">to </w:t>
      </w:r>
      <w:r w:rsidRPr="00087A72">
        <w:rPr>
          <w:spacing w:val="2"/>
          <w:sz w:val="16"/>
          <w:szCs w:val="16"/>
        </w:rPr>
        <w:t xml:space="preserve">modern </w:t>
      </w:r>
      <w:r w:rsidRPr="00087A72">
        <w:rPr>
          <w:sz w:val="16"/>
          <w:szCs w:val="16"/>
        </w:rPr>
        <w:t xml:space="preserve">sexuality as settler </w:t>
      </w:r>
      <w:r w:rsidRPr="00087A72">
        <w:rPr>
          <w:spacing w:val="-5"/>
          <w:sz w:val="16"/>
          <w:szCs w:val="16"/>
        </w:rPr>
        <w:t xml:space="preserve">sexuality. </w:t>
      </w:r>
      <w:r w:rsidRPr="00087A72">
        <w:rPr>
          <w:spacing w:val="3"/>
          <w:sz w:val="16"/>
          <w:szCs w:val="16"/>
        </w:rPr>
        <w:t xml:space="preserve">It </w:t>
      </w:r>
      <w:r w:rsidRPr="00087A72">
        <w:rPr>
          <w:spacing w:val="2"/>
          <w:sz w:val="16"/>
          <w:szCs w:val="16"/>
        </w:rPr>
        <w:t xml:space="preserve">thus </w:t>
      </w:r>
      <w:r w:rsidRPr="00087A72">
        <w:rPr>
          <w:spacing w:val="3"/>
          <w:sz w:val="16"/>
          <w:szCs w:val="16"/>
        </w:rPr>
        <w:t xml:space="preserve">cannot </w:t>
      </w:r>
      <w:r w:rsidRPr="00087A72">
        <w:rPr>
          <w:sz w:val="16"/>
          <w:szCs w:val="16"/>
        </w:rPr>
        <w:t>be separated from</w:t>
      </w:r>
      <w:r w:rsidRPr="00087A72">
        <w:rPr>
          <w:spacing w:val="19"/>
          <w:sz w:val="16"/>
          <w:szCs w:val="16"/>
        </w:rPr>
        <w:t xml:space="preserve"> </w:t>
      </w:r>
      <w:r w:rsidRPr="00087A72">
        <w:rPr>
          <w:sz w:val="16"/>
          <w:szCs w:val="16"/>
        </w:rPr>
        <w:t xml:space="preserve">the </w:t>
      </w:r>
      <w:r w:rsidRPr="00087A72">
        <w:rPr>
          <w:spacing w:val="3"/>
          <w:sz w:val="16"/>
          <w:szCs w:val="16"/>
        </w:rPr>
        <w:t xml:space="preserve">education </w:t>
      </w:r>
      <w:r w:rsidRPr="00087A72">
        <w:rPr>
          <w:spacing w:val="5"/>
          <w:sz w:val="16"/>
          <w:szCs w:val="16"/>
        </w:rPr>
        <w:t xml:space="preserve">of </w:t>
      </w:r>
      <w:r w:rsidRPr="00087A72">
        <w:rPr>
          <w:sz w:val="16"/>
          <w:szCs w:val="16"/>
        </w:rPr>
        <w:t xml:space="preserve">desire </w:t>
      </w:r>
      <w:r w:rsidRPr="00087A72">
        <w:rPr>
          <w:spacing w:val="2"/>
          <w:sz w:val="16"/>
          <w:szCs w:val="16"/>
        </w:rPr>
        <w:t xml:space="preserve">presented </w:t>
      </w:r>
      <w:r w:rsidRPr="00087A72">
        <w:rPr>
          <w:sz w:val="16"/>
          <w:szCs w:val="16"/>
        </w:rPr>
        <w:t xml:space="preserve">to subject racialized </w:t>
      </w:r>
      <w:r w:rsidRPr="00087A72">
        <w:rPr>
          <w:spacing w:val="3"/>
          <w:sz w:val="16"/>
          <w:szCs w:val="16"/>
        </w:rPr>
        <w:t xml:space="preserve">peoples </w:t>
      </w:r>
      <w:r w:rsidRPr="00087A72">
        <w:rPr>
          <w:sz w:val="16"/>
          <w:szCs w:val="16"/>
        </w:rPr>
        <w:t xml:space="preserve">and </w:t>
      </w:r>
      <w:r w:rsidRPr="00087A72">
        <w:rPr>
          <w:spacing w:val="3"/>
          <w:sz w:val="16"/>
          <w:szCs w:val="16"/>
        </w:rPr>
        <w:t xml:space="preserve">peoples </w:t>
      </w:r>
      <w:r w:rsidRPr="00087A72">
        <w:rPr>
          <w:spacing w:val="-3"/>
          <w:sz w:val="16"/>
          <w:szCs w:val="16"/>
        </w:rPr>
        <w:t xml:space="preserve">assimilated </w:t>
      </w:r>
      <w:r w:rsidRPr="00087A72">
        <w:rPr>
          <w:sz w:val="16"/>
          <w:szCs w:val="16"/>
        </w:rPr>
        <w:t xml:space="preserve">into whiteness </w:t>
      </w:r>
      <w:r w:rsidRPr="00087A72">
        <w:rPr>
          <w:spacing w:val="-8"/>
          <w:sz w:val="16"/>
          <w:szCs w:val="16"/>
        </w:rPr>
        <w:t xml:space="preserve">by </w:t>
      </w:r>
      <w:r w:rsidRPr="00087A72">
        <w:rPr>
          <w:sz w:val="16"/>
          <w:szCs w:val="16"/>
        </w:rPr>
        <w:t xml:space="preserve">the sexualized </w:t>
      </w:r>
      <w:r w:rsidRPr="00087A72">
        <w:rPr>
          <w:spacing w:val="2"/>
          <w:sz w:val="16"/>
          <w:szCs w:val="16"/>
        </w:rPr>
        <w:t xml:space="preserve">violence </w:t>
      </w:r>
      <w:r w:rsidRPr="00087A72">
        <w:rPr>
          <w:sz w:val="16"/>
          <w:szCs w:val="16"/>
        </w:rPr>
        <w:t xml:space="preserve">that </w:t>
      </w:r>
      <w:r w:rsidRPr="00087A72">
        <w:rPr>
          <w:spacing w:val="4"/>
          <w:sz w:val="16"/>
          <w:szCs w:val="16"/>
        </w:rPr>
        <w:t xml:space="preserve">deﬁned </w:t>
      </w:r>
      <w:r w:rsidRPr="00087A72">
        <w:rPr>
          <w:sz w:val="16"/>
          <w:szCs w:val="16"/>
        </w:rPr>
        <w:t xml:space="preserve">a white- supremacist </w:t>
      </w:r>
      <w:r w:rsidRPr="00087A72">
        <w:rPr>
          <w:spacing w:val="-3"/>
          <w:sz w:val="16"/>
          <w:szCs w:val="16"/>
        </w:rPr>
        <w:t xml:space="preserve">society. </w:t>
      </w:r>
      <w:r w:rsidRPr="00087A72">
        <w:rPr>
          <w:sz w:val="16"/>
          <w:szCs w:val="16"/>
        </w:rPr>
        <w:t xml:space="preserve">My </w:t>
      </w:r>
      <w:r w:rsidRPr="00087A72">
        <w:rPr>
          <w:spacing w:val="2"/>
          <w:sz w:val="16"/>
          <w:szCs w:val="16"/>
        </w:rPr>
        <w:t xml:space="preserve">focus </w:t>
      </w:r>
      <w:r w:rsidRPr="00087A72">
        <w:rPr>
          <w:spacing w:val="5"/>
          <w:sz w:val="16"/>
          <w:szCs w:val="16"/>
        </w:rPr>
        <w:t xml:space="preserve">on </w:t>
      </w:r>
      <w:r w:rsidRPr="00087A72">
        <w:rPr>
          <w:sz w:val="16"/>
          <w:szCs w:val="16"/>
        </w:rPr>
        <w:t xml:space="preserve">the sexual </w:t>
      </w:r>
      <w:r w:rsidRPr="00087A72">
        <w:rPr>
          <w:spacing w:val="3"/>
          <w:sz w:val="16"/>
          <w:szCs w:val="16"/>
        </w:rPr>
        <w:t xml:space="preserve">colonization </w:t>
      </w:r>
      <w:r w:rsidRPr="00087A72">
        <w:rPr>
          <w:spacing w:val="5"/>
          <w:sz w:val="16"/>
          <w:szCs w:val="16"/>
        </w:rPr>
        <w:t xml:space="preserve">of </w:t>
      </w:r>
      <w:r w:rsidRPr="00087A72">
        <w:rPr>
          <w:sz w:val="16"/>
          <w:szCs w:val="16"/>
        </w:rPr>
        <w:t xml:space="preserve">Native </w:t>
      </w:r>
      <w:r w:rsidRPr="00087A72">
        <w:rPr>
          <w:spacing w:val="3"/>
          <w:sz w:val="16"/>
          <w:szCs w:val="16"/>
        </w:rPr>
        <w:t xml:space="preserve">peoples </w:t>
      </w:r>
      <w:r w:rsidRPr="00087A72">
        <w:rPr>
          <w:spacing w:val="5"/>
          <w:sz w:val="16"/>
          <w:szCs w:val="16"/>
        </w:rPr>
        <w:t xml:space="preserve">does </w:t>
      </w:r>
      <w:r w:rsidRPr="00087A72">
        <w:rPr>
          <w:spacing w:val="3"/>
          <w:sz w:val="16"/>
          <w:szCs w:val="16"/>
        </w:rPr>
        <w:t xml:space="preserve">not </w:t>
      </w:r>
      <w:r w:rsidRPr="00087A72">
        <w:rPr>
          <w:sz w:val="16"/>
          <w:szCs w:val="16"/>
        </w:rPr>
        <w:t xml:space="preserve">suggest its separability </w:t>
      </w:r>
      <w:r w:rsidRPr="00087A72">
        <w:rPr>
          <w:spacing w:val="5"/>
          <w:sz w:val="16"/>
          <w:szCs w:val="16"/>
        </w:rPr>
        <w:t xml:space="preserve">or </w:t>
      </w:r>
      <w:r w:rsidRPr="00087A72">
        <w:rPr>
          <w:spacing w:val="-4"/>
          <w:sz w:val="16"/>
          <w:szCs w:val="16"/>
        </w:rPr>
        <w:t xml:space="preserve">exclusivity, </w:t>
      </w:r>
      <w:r w:rsidRPr="00087A72">
        <w:rPr>
          <w:spacing w:val="2"/>
          <w:sz w:val="16"/>
          <w:szCs w:val="16"/>
        </w:rPr>
        <w:t xml:space="preserve">but </w:t>
      </w:r>
      <w:r w:rsidRPr="00087A72">
        <w:rPr>
          <w:sz w:val="16"/>
          <w:szCs w:val="16"/>
        </w:rPr>
        <w:t xml:space="preserve">instead </w:t>
      </w:r>
      <w:r w:rsidRPr="00087A72">
        <w:rPr>
          <w:spacing w:val="-3"/>
          <w:sz w:val="16"/>
          <w:szCs w:val="16"/>
        </w:rPr>
        <w:t xml:space="preserve">asks how it </w:t>
      </w:r>
      <w:r w:rsidRPr="00087A72">
        <w:rPr>
          <w:sz w:val="16"/>
          <w:szCs w:val="16"/>
        </w:rPr>
        <w:t xml:space="preserve">illuminates the </w:t>
      </w:r>
      <w:r w:rsidRPr="00087A72">
        <w:rPr>
          <w:spacing w:val="2"/>
          <w:sz w:val="16"/>
          <w:szCs w:val="16"/>
        </w:rPr>
        <w:t xml:space="preserve">conditioning </w:t>
      </w:r>
      <w:r w:rsidRPr="00087A72">
        <w:rPr>
          <w:spacing w:val="5"/>
          <w:sz w:val="16"/>
          <w:szCs w:val="16"/>
        </w:rPr>
        <w:t xml:space="preserve">of </w:t>
      </w:r>
      <w:r w:rsidRPr="00087A72">
        <w:rPr>
          <w:sz w:val="16"/>
          <w:szCs w:val="16"/>
        </w:rPr>
        <w:t xml:space="preserve">a white settler </w:t>
      </w:r>
      <w:r w:rsidRPr="00087A72">
        <w:rPr>
          <w:spacing w:val="2"/>
          <w:sz w:val="16"/>
          <w:szCs w:val="16"/>
        </w:rPr>
        <w:t xml:space="preserve">society </w:t>
      </w:r>
      <w:r w:rsidRPr="00087A72">
        <w:rPr>
          <w:spacing w:val="-8"/>
          <w:sz w:val="16"/>
          <w:szCs w:val="16"/>
        </w:rPr>
        <w:t xml:space="preserve">by </w:t>
      </w:r>
      <w:r w:rsidRPr="00087A72">
        <w:rPr>
          <w:sz w:val="16"/>
          <w:szCs w:val="16"/>
        </w:rPr>
        <w:t xml:space="preserve">this mode </w:t>
      </w:r>
      <w:r w:rsidRPr="00087A72">
        <w:rPr>
          <w:spacing w:val="5"/>
          <w:sz w:val="16"/>
          <w:szCs w:val="16"/>
        </w:rPr>
        <w:t xml:space="preserve">of </w:t>
      </w:r>
      <w:r w:rsidRPr="00087A72">
        <w:rPr>
          <w:spacing w:val="2"/>
          <w:sz w:val="16"/>
          <w:szCs w:val="16"/>
        </w:rPr>
        <w:t xml:space="preserve">colonization. Future </w:t>
      </w:r>
      <w:r w:rsidRPr="00087A72">
        <w:rPr>
          <w:sz w:val="16"/>
          <w:szCs w:val="16"/>
        </w:rPr>
        <w:t xml:space="preserve">studies </w:t>
      </w:r>
      <w:r w:rsidRPr="00087A72">
        <w:rPr>
          <w:spacing w:val="2"/>
          <w:sz w:val="16"/>
          <w:szCs w:val="16"/>
        </w:rPr>
        <w:t xml:space="preserve">can </w:t>
      </w:r>
      <w:r w:rsidRPr="00087A72">
        <w:rPr>
          <w:sz w:val="16"/>
          <w:szCs w:val="16"/>
        </w:rPr>
        <w:t xml:space="preserve">pursue this </w:t>
      </w:r>
      <w:r w:rsidRPr="00087A72">
        <w:rPr>
          <w:spacing w:val="3"/>
          <w:sz w:val="16"/>
          <w:szCs w:val="16"/>
        </w:rPr>
        <w:t xml:space="preserve">even </w:t>
      </w:r>
      <w:r w:rsidRPr="00087A72">
        <w:rPr>
          <w:sz w:val="16"/>
          <w:szCs w:val="16"/>
        </w:rPr>
        <w:t xml:space="preserve">more </w:t>
      </w:r>
      <w:r w:rsidRPr="00087A72">
        <w:rPr>
          <w:spacing w:val="-19"/>
          <w:sz w:val="16"/>
          <w:szCs w:val="16"/>
        </w:rPr>
        <w:t xml:space="preserve">by, </w:t>
      </w:r>
      <w:r w:rsidRPr="00087A72">
        <w:rPr>
          <w:sz w:val="16"/>
          <w:szCs w:val="16"/>
        </w:rPr>
        <w:t xml:space="preserve">for </w:t>
      </w:r>
      <w:r w:rsidRPr="00087A72">
        <w:rPr>
          <w:spacing w:val="-3"/>
          <w:sz w:val="16"/>
          <w:szCs w:val="16"/>
        </w:rPr>
        <w:t xml:space="preserve">example, </w:t>
      </w:r>
      <w:r w:rsidRPr="00087A72">
        <w:rPr>
          <w:sz w:val="16"/>
          <w:szCs w:val="16"/>
        </w:rPr>
        <w:t xml:space="preserve">investigating the triangulated histories </w:t>
      </w:r>
      <w:r w:rsidRPr="00087A72">
        <w:rPr>
          <w:spacing w:val="5"/>
          <w:sz w:val="16"/>
          <w:szCs w:val="16"/>
        </w:rPr>
        <w:t xml:space="preserve">of </w:t>
      </w:r>
      <w:r w:rsidRPr="00087A72">
        <w:rPr>
          <w:sz w:val="16"/>
          <w:szCs w:val="16"/>
        </w:rPr>
        <w:t xml:space="preserve">Native </w:t>
      </w:r>
      <w:r w:rsidRPr="00087A72">
        <w:rPr>
          <w:spacing w:val="2"/>
          <w:sz w:val="16"/>
          <w:szCs w:val="16"/>
        </w:rPr>
        <w:t xml:space="preserve">peoples, African </w:t>
      </w:r>
      <w:r w:rsidRPr="00087A72">
        <w:rPr>
          <w:sz w:val="16"/>
          <w:szCs w:val="16"/>
        </w:rPr>
        <w:t xml:space="preserve">diasporic </w:t>
      </w:r>
      <w:r w:rsidRPr="00087A72">
        <w:rPr>
          <w:spacing w:val="2"/>
          <w:sz w:val="16"/>
          <w:szCs w:val="16"/>
        </w:rPr>
        <w:t xml:space="preserve">peoples, </w:t>
      </w:r>
      <w:r w:rsidRPr="00087A72">
        <w:rPr>
          <w:sz w:val="16"/>
          <w:szCs w:val="16"/>
        </w:rPr>
        <w:t xml:space="preserve">and white settlers </w:t>
      </w:r>
      <w:r w:rsidRPr="00087A72">
        <w:rPr>
          <w:spacing w:val="-3"/>
          <w:sz w:val="16"/>
          <w:szCs w:val="16"/>
        </w:rPr>
        <w:t xml:space="preserve">in </w:t>
      </w:r>
      <w:r w:rsidRPr="00087A72">
        <w:rPr>
          <w:sz w:val="16"/>
          <w:szCs w:val="16"/>
        </w:rPr>
        <w:t xml:space="preserve">the United States </w:t>
      </w:r>
      <w:r w:rsidRPr="00087A72">
        <w:rPr>
          <w:spacing w:val="-8"/>
          <w:sz w:val="16"/>
          <w:szCs w:val="16"/>
        </w:rPr>
        <w:t xml:space="preserve">by </w:t>
      </w:r>
      <w:r w:rsidRPr="00087A72">
        <w:rPr>
          <w:sz w:val="16"/>
          <w:szCs w:val="16"/>
        </w:rPr>
        <w:t xml:space="preserve">linking Saidya </w:t>
      </w:r>
      <w:r w:rsidRPr="00087A72">
        <w:rPr>
          <w:spacing w:val="-3"/>
          <w:sz w:val="16"/>
          <w:szCs w:val="16"/>
        </w:rPr>
        <w:t xml:space="preserve">Hartman's </w:t>
      </w:r>
      <w:r w:rsidRPr="00087A72">
        <w:rPr>
          <w:spacing w:val="4"/>
          <w:sz w:val="16"/>
          <w:szCs w:val="16"/>
        </w:rPr>
        <w:t xml:space="preserve">account </w:t>
      </w:r>
      <w:r w:rsidRPr="00087A72">
        <w:rPr>
          <w:spacing w:val="5"/>
          <w:sz w:val="16"/>
          <w:szCs w:val="16"/>
        </w:rPr>
        <w:t xml:space="preserve">on </w:t>
      </w:r>
      <w:r w:rsidRPr="00087A72">
        <w:rPr>
          <w:sz w:val="16"/>
          <w:szCs w:val="16"/>
        </w:rPr>
        <w:t xml:space="preserve">the terrorizing sexualization </w:t>
      </w:r>
      <w:r w:rsidRPr="00087A72">
        <w:rPr>
          <w:spacing w:val="5"/>
          <w:sz w:val="16"/>
          <w:szCs w:val="16"/>
        </w:rPr>
        <w:t xml:space="preserve">of </w:t>
      </w:r>
      <w:r w:rsidRPr="00087A72">
        <w:rPr>
          <w:sz w:val="16"/>
          <w:szCs w:val="16"/>
        </w:rPr>
        <w:t xml:space="preserve">enslavement </w:t>
      </w:r>
      <w:r w:rsidRPr="00087A72">
        <w:rPr>
          <w:spacing w:val="5"/>
          <w:sz w:val="16"/>
          <w:szCs w:val="16"/>
        </w:rPr>
        <w:t xml:space="preserve">or </w:t>
      </w:r>
      <w:r w:rsidRPr="00087A72">
        <w:rPr>
          <w:sz w:val="16"/>
          <w:szCs w:val="16"/>
        </w:rPr>
        <w:t xml:space="preserve">Jim </w:t>
      </w:r>
      <w:r w:rsidRPr="00087A72">
        <w:rPr>
          <w:spacing w:val="-8"/>
          <w:sz w:val="16"/>
          <w:szCs w:val="16"/>
        </w:rPr>
        <w:t xml:space="preserve">Crow </w:t>
      </w:r>
      <w:r w:rsidRPr="00087A72">
        <w:rPr>
          <w:spacing w:val="2"/>
          <w:sz w:val="16"/>
          <w:szCs w:val="16"/>
        </w:rPr>
        <w:t xml:space="preserve">society </w:t>
      </w:r>
      <w:r w:rsidRPr="00087A72">
        <w:rPr>
          <w:sz w:val="16"/>
          <w:szCs w:val="16"/>
        </w:rPr>
        <w:t xml:space="preserve">with the </w:t>
      </w:r>
      <w:r w:rsidRPr="00087A72">
        <w:rPr>
          <w:spacing w:val="2"/>
          <w:sz w:val="16"/>
          <w:szCs w:val="16"/>
        </w:rPr>
        <w:t xml:space="preserve">colonial </w:t>
      </w:r>
      <w:r w:rsidRPr="00087A72">
        <w:rPr>
          <w:spacing w:val="3"/>
          <w:sz w:val="16"/>
          <w:szCs w:val="16"/>
        </w:rPr>
        <w:t xml:space="preserve">education </w:t>
      </w:r>
      <w:r w:rsidRPr="00087A72">
        <w:rPr>
          <w:spacing w:val="5"/>
          <w:sz w:val="16"/>
          <w:szCs w:val="16"/>
        </w:rPr>
        <w:t xml:space="preserve">of </w:t>
      </w:r>
      <w:r w:rsidRPr="00087A72">
        <w:rPr>
          <w:sz w:val="16"/>
          <w:szCs w:val="16"/>
        </w:rPr>
        <w:t xml:space="preserve">desire </w:t>
      </w:r>
      <w:r w:rsidRPr="00087A72">
        <w:rPr>
          <w:spacing w:val="3"/>
          <w:sz w:val="16"/>
          <w:szCs w:val="16"/>
        </w:rPr>
        <w:t xml:space="preserve">under </w:t>
      </w:r>
      <w:r w:rsidRPr="00087A72">
        <w:rPr>
          <w:sz w:val="16"/>
          <w:szCs w:val="16"/>
        </w:rPr>
        <w:t xml:space="preserve">white settler </w:t>
      </w:r>
      <w:r w:rsidRPr="00087A72">
        <w:rPr>
          <w:spacing w:val="3"/>
          <w:sz w:val="16"/>
          <w:szCs w:val="16"/>
        </w:rPr>
        <w:t xml:space="preserve">colonization </w:t>
      </w:r>
      <w:r w:rsidRPr="00087A72">
        <w:rPr>
          <w:spacing w:val="5"/>
          <w:sz w:val="16"/>
          <w:szCs w:val="16"/>
        </w:rPr>
        <w:t xml:space="preserve">of </w:t>
      </w:r>
      <w:r w:rsidRPr="00087A72">
        <w:rPr>
          <w:sz w:val="16"/>
          <w:szCs w:val="16"/>
        </w:rPr>
        <w:t xml:space="preserve">Native </w:t>
      </w:r>
      <w:r w:rsidRPr="00087A72">
        <w:rPr>
          <w:spacing w:val="2"/>
          <w:sz w:val="16"/>
          <w:szCs w:val="16"/>
        </w:rPr>
        <w:t xml:space="preserve">peoples.13 </w:t>
      </w:r>
      <w:r w:rsidRPr="00087A72">
        <w:rPr>
          <w:sz w:val="16"/>
          <w:szCs w:val="16"/>
        </w:rPr>
        <w:t xml:space="preserve">A </w:t>
      </w:r>
      <w:r w:rsidRPr="00087A72">
        <w:rPr>
          <w:spacing w:val="-5"/>
          <w:sz w:val="16"/>
          <w:szCs w:val="16"/>
        </w:rPr>
        <w:t xml:space="preserve">key </w:t>
      </w:r>
      <w:r w:rsidRPr="00087A72">
        <w:rPr>
          <w:spacing w:val="3"/>
          <w:sz w:val="16"/>
          <w:szCs w:val="16"/>
        </w:rPr>
        <w:t xml:space="preserve">contribution </w:t>
      </w:r>
      <w:r w:rsidRPr="00087A72">
        <w:rPr>
          <w:spacing w:val="-8"/>
          <w:sz w:val="16"/>
          <w:szCs w:val="16"/>
        </w:rPr>
        <w:t xml:space="preserve">by </w:t>
      </w:r>
      <w:r w:rsidRPr="00087A72">
        <w:rPr>
          <w:sz w:val="16"/>
          <w:szCs w:val="16"/>
        </w:rPr>
        <w:t xml:space="preserve">Native and settler </w:t>
      </w:r>
      <w:r w:rsidRPr="00087A72">
        <w:rPr>
          <w:spacing w:val="2"/>
          <w:sz w:val="16"/>
          <w:szCs w:val="16"/>
        </w:rPr>
        <w:t xml:space="preserve">colonial </w:t>
      </w:r>
      <w:r w:rsidRPr="00087A72">
        <w:rPr>
          <w:sz w:val="16"/>
          <w:szCs w:val="16"/>
        </w:rPr>
        <w:t xml:space="preserve">studies to such comparisons </w:t>
      </w:r>
      <w:r w:rsidRPr="00087A72">
        <w:rPr>
          <w:spacing w:val="2"/>
          <w:sz w:val="16"/>
          <w:szCs w:val="16"/>
        </w:rPr>
        <w:t xml:space="preserve">would </w:t>
      </w:r>
      <w:r w:rsidRPr="00087A72">
        <w:rPr>
          <w:sz w:val="16"/>
          <w:szCs w:val="16"/>
        </w:rPr>
        <w:t xml:space="preserve">be to explain the </w:t>
      </w:r>
      <w:r w:rsidRPr="00087A72">
        <w:rPr>
          <w:spacing w:val="2"/>
          <w:sz w:val="16"/>
          <w:szCs w:val="16"/>
        </w:rPr>
        <w:t xml:space="preserve">conditioning </w:t>
      </w:r>
      <w:r w:rsidRPr="00087A72">
        <w:rPr>
          <w:spacing w:val="5"/>
          <w:sz w:val="16"/>
          <w:szCs w:val="16"/>
        </w:rPr>
        <w:t xml:space="preserve">of </w:t>
      </w:r>
      <w:r w:rsidRPr="00087A72">
        <w:rPr>
          <w:sz w:val="16"/>
          <w:szCs w:val="16"/>
        </w:rPr>
        <w:t xml:space="preserve">each </w:t>
      </w:r>
      <w:r w:rsidRPr="00087A72">
        <w:rPr>
          <w:spacing w:val="-3"/>
          <w:sz w:val="16"/>
          <w:szCs w:val="16"/>
        </w:rPr>
        <w:t xml:space="preserve">case, </w:t>
      </w:r>
      <w:r w:rsidRPr="00087A72">
        <w:rPr>
          <w:sz w:val="16"/>
          <w:szCs w:val="16"/>
        </w:rPr>
        <w:t xml:space="preserve">and their relationship to each </w:t>
      </w:r>
      <w:r w:rsidRPr="00087A72">
        <w:rPr>
          <w:spacing w:val="-3"/>
          <w:sz w:val="16"/>
          <w:szCs w:val="16"/>
        </w:rPr>
        <w:t xml:space="preserve">other, </w:t>
      </w:r>
      <w:r w:rsidRPr="00087A72">
        <w:rPr>
          <w:spacing w:val="-8"/>
          <w:sz w:val="16"/>
          <w:szCs w:val="16"/>
        </w:rPr>
        <w:t xml:space="preserve">by </w:t>
      </w:r>
      <w:r w:rsidRPr="00087A72">
        <w:rPr>
          <w:sz w:val="16"/>
          <w:szCs w:val="16"/>
        </w:rPr>
        <w:t xml:space="preserve">the logic </w:t>
      </w:r>
      <w:r w:rsidRPr="00087A72">
        <w:rPr>
          <w:spacing w:val="5"/>
          <w:sz w:val="16"/>
          <w:szCs w:val="16"/>
        </w:rPr>
        <w:t xml:space="preserve">of </w:t>
      </w:r>
      <w:r w:rsidRPr="00087A72">
        <w:rPr>
          <w:sz w:val="16"/>
          <w:szCs w:val="16"/>
        </w:rPr>
        <w:t>elimination</w:t>
      </w:r>
      <w:r w:rsidRPr="00087A72">
        <w:rPr>
          <w:spacing w:val="40"/>
          <w:sz w:val="16"/>
          <w:szCs w:val="16"/>
        </w:rPr>
        <w:t xml:space="preserve"> </w:t>
      </w:r>
      <w:r w:rsidRPr="00087A72">
        <w:rPr>
          <w:sz w:val="16"/>
          <w:szCs w:val="16"/>
        </w:rPr>
        <w:t xml:space="preserve">within white- supremacist settler colonialism. </w:t>
      </w:r>
      <w:r w:rsidRPr="00087A72">
        <w:rPr>
          <w:rStyle w:val="Emphasis"/>
        </w:rPr>
        <w:t>My review of these processes afﬁrms that a shift in the genocidal logic of white settler sovereignty, from exacting death to regulating life, explains the queering of Native peoples by colonial heteropatriarchy as a state of exception within the biopolitics of settler colonialism.</w:t>
      </w:r>
      <w:r w:rsidRPr="00087A72">
        <w:rPr>
          <w:sz w:val="16"/>
          <w:szCs w:val="16"/>
        </w:rPr>
        <w:t xml:space="preserve"> </w:t>
      </w:r>
      <w:r w:rsidRPr="00087A72">
        <w:rPr>
          <w:spacing w:val="3"/>
          <w:sz w:val="16"/>
          <w:szCs w:val="16"/>
        </w:rPr>
        <w:t xml:space="preserve">Modern </w:t>
      </w:r>
      <w:r w:rsidRPr="00087A72">
        <w:rPr>
          <w:sz w:val="16"/>
          <w:szCs w:val="16"/>
        </w:rPr>
        <w:t xml:space="preserve">sexuality </w:t>
      </w:r>
      <w:r w:rsidRPr="00087A72">
        <w:rPr>
          <w:spacing w:val="2"/>
          <w:sz w:val="16"/>
          <w:szCs w:val="16"/>
        </w:rPr>
        <w:t xml:space="preserve">appears </w:t>
      </w:r>
      <w:r w:rsidRPr="00087A72">
        <w:rPr>
          <w:sz w:val="16"/>
          <w:szCs w:val="16"/>
        </w:rPr>
        <w:t xml:space="preserve">as settler sexuality </w:t>
      </w:r>
      <w:r w:rsidRPr="00087A72">
        <w:rPr>
          <w:spacing w:val="-3"/>
          <w:sz w:val="16"/>
          <w:szCs w:val="16"/>
        </w:rPr>
        <w:t xml:space="preserve">in </w:t>
      </w:r>
      <w:r w:rsidRPr="00087A72">
        <w:rPr>
          <w:sz w:val="16"/>
          <w:szCs w:val="16"/>
        </w:rPr>
        <w:t xml:space="preserve">this </w:t>
      </w:r>
      <w:r w:rsidRPr="00087A72">
        <w:rPr>
          <w:spacing w:val="3"/>
          <w:sz w:val="16"/>
          <w:szCs w:val="16"/>
        </w:rPr>
        <w:t xml:space="preserve">context. </w:t>
      </w:r>
      <w:r w:rsidRPr="00087A72">
        <w:rPr>
          <w:sz w:val="16"/>
          <w:szCs w:val="16"/>
        </w:rPr>
        <w:t xml:space="preserve">The </w:t>
      </w:r>
      <w:r w:rsidRPr="00087A72">
        <w:rPr>
          <w:spacing w:val="2"/>
          <w:sz w:val="16"/>
          <w:szCs w:val="16"/>
        </w:rPr>
        <w:t xml:space="preserve">queering </w:t>
      </w:r>
      <w:r w:rsidRPr="00087A72">
        <w:rPr>
          <w:spacing w:val="5"/>
          <w:sz w:val="16"/>
          <w:szCs w:val="16"/>
        </w:rPr>
        <w:t xml:space="preserve">of </w:t>
      </w:r>
      <w:r w:rsidRPr="00087A72">
        <w:rPr>
          <w:sz w:val="16"/>
          <w:szCs w:val="16"/>
        </w:rPr>
        <w:t xml:space="preserve">white settlers as outside the </w:t>
      </w:r>
      <w:r w:rsidRPr="00087A72">
        <w:rPr>
          <w:spacing w:val="-4"/>
          <w:sz w:val="16"/>
          <w:szCs w:val="16"/>
        </w:rPr>
        <w:t xml:space="preserve">promise </w:t>
      </w:r>
      <w:r w:rsidRPr="00087A72">
        <w:rPr>
          <w:spacing w:val="5"/>
          <w:sz w:val="16"/>
          <w:szCs w:val="16"/>
        </w:rPr>
        <w:t xml:space="preserve">of </w:t>
      </w:r>
      <w:r w:rsidRPr="00087A72">
        <w:rPr>
          <w:spacing w:val="2"/>
          <w:sz w:val="16"/>
          <w:szCs w:val="16"/>
        </w:rPr>
        <w:t xml:space="preserve">modern </w:t>
      </w:r>
      <w:r w:rsidRPr="00087A72">
        <w:rPr>
          <w:sz w:val="16"/>
          <w:szCs w:val="16"/>
        </w:rPr>
        <w:t xml:space="preserve">sexuality </w:t>
      </w:r>
      <w:r w:rsidRPr="00087A72">
        <w:rPr>
          <w:spacing w:val="2"/>
          <w:sz w:val="16"/>
          <w:szCs w:val="16"/>
        </w:rPr>
        <w:t xml:space="preserve">then </w:t>
      </w:r>
      <w:r w:rsidRPr="00087A72">
        <w:rPr>
          <w:sz w:val="16"/>
          <w:szCs w:val="16"/>
        </w:rPr>
        <w:t xml:space="preserve">incites </w:t>
      </w:r>
      <w:r w:rsidRPr="00087A72">
        <w:rPr>
          <w:spacing w:val="-7"/>
          <w:sz w:val="16"/>
          <w:szCs w:val="16"/>
        </w:rPr>
        <w:t xml:space="preserve">U.S. </w:t>
      </w:r>
      <w:r w:rsidRPr="00087A72">
        <w:rPr>
          <w:spacing w:val="4"/>
          <w:sz w:val="16"/>
          <w:szCs w:val="16"/>
        </w:rPr>
        <w:t xml:space="preserve">queer </w:t>
      </w:r>
      <w:r w:rsidRPr="00087A72">
        <w:rPr>
          <w:sz w:val="16"/>
          <w:szCs w:val="16"/>
        </w:rPr>
        <w:t xml:space="preserve">modernities to form as appeals to white settler </w:t>
      </w:r>
      <w:r w:rsidRPr="00087A72">
        <w:rPr>
          <w:spacing w:val="-3"/>
          <w:sz w:val="16"/>
          <w:szCs w:val="16"/>
        </w:rPr>
        <w:t xml:space="preserve">hegemony, </w:t>
      </w:r>
      <w:r w:rsidRPr="00087A72">
        <w:rPr>
          <w:sz w:val="16"/>
          <w:szCs w:val="16"/>
        </w:rPr>
        <w:t xml:space="preserve">which </w:t>
      </w:r>
      <w:r w:rsidRPr="00087A72">
        <w:rPr>
          <w:spacing w:val="4"/>
          <w:sz w:val="16"/>
          <w:szCs w:val="16"/>
        </w:rPr>
        <w:t>queers</w:t>
      </w:r>
      <w:r w:rsidRPr="00087A72">
        <w:rPr>
          <w:spacing w:val="-48"/>
          <w:sz w:val="16"/>
          <w:szCs w:val="16"/>
        </w:rPr>
        <w:t xml:space="preserve"> </w:t>
      </w:r>
      <w:r w:rsidRPr="00087A72">
        <w:rPr>
          <w:spacing w:val="5"/>
          <w:sz w:val="16"/>
          <w:szCs w:val="16"/>
        </w:rPr>
        <w:t xml:space="preserve">of color </w:t>
      </w:r>
      <w:r w:rsidRPr="00087A72">
        <w:rPr>
          <w:sz w:val="16"/>
          <w:szCs w:val="16"/>
        </w:rPr>
        <w:t xml:space="preserve">and Native </w:t>
      </w:r>
      <w:r w:rsidRPr="00087A72">
        <w:rPr>
          <w:spacing w:val="4"/>
          <w:sz w:val="16"/>
          <w:szCs w:val="16"/>
        </w:rPr>
        <w:t xml:space="preserve">queer </w:t>
      </w:r>
      <w:r w:rsidRPr="00087A72">
        <w:rPr>
          <w:spacing w:val="3"/>
          <w:sz w:val="16"/>
          <w:szCs w:val="16"/>
        </w:rPr>
        <w:t xml:space="preserve">people </w:t>
      </w:r>
      <w:r w:rsidRPr="00087A72">
        <w:rPr>
          <w:spacing w:val="-3"/>
          <w:sz w:val="16"/>
          <w:szCs w:val="16"/>
        </w:rPr>
        <w:t xml:space="preserve">also </w:t>
      </w:r>
      <w:r w:rsidRPr="00087A72">
        <w:rPr>
          <w:sz w:val="16"/>
          <w:szCs w:val="16"/>
        </w:rPr>
        <w:t xml:space="preserve">negotiate </w:t>
      </w:r>
      <w:r w:rsidRPr="00087A72">
        <w:rPr>
          <w:spacing w:val="-3"/>
          <w:sz w:val="16"/>
          <w:szCs w:val="16"/>
        </w:rPr>
        <w:t xml:space="preserve">in </w:t>
      </w:r>
      <w:r w:rsidRPr="00087A72">
        <w:rPr>
          <w:sz w:val="16"/>
          <w:szCs w:val="16"/>
        </w:rPr>
        <w:t xml:space="preserve">distinct ways. </w:t>
      </w:r>
    </w:p>
    <w:p w:rsidR="00514D76" w:rsidRPr="00087A72" w:rsidRDefault="00514D76" w:rsidP="00D005A2">
      <w:pPr>
        <w:pStyle w:val="Heading3"/>
      </w:pPr>
      <w:r w:rsidRPr="00087A72">
        <w:t>Impact – Environmentalism</w:t>
      </w:r>
    </w:p>
    <w:p w:rsidR="00514D76" w:rsidRPr="00087A72" w:rsidRDefault="00514D76" w:rsidP="00514D76">
      <w:pPr>
        <w:pStyle w:val="Heading4"/>
      </w:pPr>
      <w:r w:rsidRPr="00087A72">
        <w:t>“Environmentalism” has a history of Native oppression, and even today continues to perpetuate settler colonialism.</w:t>
      </w:r>
    </w:p>
    <w:p w:rsidR="00514D76" w:rsidRPr="00087A72" w:rsidRDefault="00514D76" w:rsidP="00514D76">
      <w:r w:rsidRPr="00087A72">
        <w:rPr>
          <w:rStyle w:val="Style13ptBold"/>
        </w:rPr>
        <w:t>Bacon 18</w:t>
      </w:r>
      <w:r w:rsidRPr="00087A72">
        <w:t xml:space="preserve"> ( J.M. ESSP, University of Oregon, Eugene, OR, USA, “Settler colonialism as eco-social structure and the production of colonial ecological violence”)</w:t>
      </w:r>
    </w:p>
    <w:p w:rsidR="00514D76" w:rsidRPr="00087A72" w:rsidRDefault="00514D76" w:rsidP="00514D76">
      <w:pPr>
        <w:spacing w:after="0" w:line="240" w:lineRule="auto"/>
        <w:rPr>
          <w:rFonts w:eastAsia="Times New Roman" w:cs="Arial"/>
          <w:b/>
          <w:sz w:val="28"/>
          <w:szCs w:val="28"/>
          <w:u w:val="single"/>
        </w:rPr>
      </w:pPr>
      <w:r w:rsidRPr="00087A72">
        <w:rPr>
          <w:rFonts w:eastAsia="Times New Roman" w:cs="Arial"/>
          <w:sz w:val="16"/>
          <w:szCs w:val="28"/>
        </w:rPr>
        <w:t xml:space="preserve">Even deeply committed environmentalists with a stated commitment to place often have difficulty when it comes to questions that touch upon the settler-colonial structuring of those very places they are committed to. This results not only from widespread erasure but also from the </w:t>
      </w:r>
      <w:r w:rsidRPr="00087A72">
        <w:rPr>
          <w:rFonts w:eastAsia="Times New Roman" w:cs="Arial"/>
          <w:b/>
          <w:sz w:val="28"/>
          <w:szCs w:val="28"/>
          <w:u w:val="single"/>
        </w:rPr>
        <w:t>settler-colonial roots of US environmentalism</w:t>
      </w:r>
      <w:r w:rsidRPr="00087A72">
        <w:rPr>
          <w:rFonts w:eastAsia="Times New Roman" w:cs="Arial"/>
          <w:sz w:val="16"/>
          <w:szCs w:val="28"/>
        </w:rPr>
        <w:t xml:space="preserve">. These roots </w:t>
      </w:r>
      <w:r w:rsidRPr="00087A72">
        <w:rPr>
          <w:rFonts w:eastAsia="Times New Roman" w:cs="Arial"/>
          <w:b/>
          <w:sz w:val="28"/>
          <w:szCs w:val="28"/>
          <w:u w:val="single"/>
        </w:rPr>
        <w:t>and their lasting impacts are important if sociology wishes to have a better understanding of the way settler colonialism structures eco-social relations</w:t>
      </w:r>
      <w:r w:rsidRPr="00087A72">
        <w:rPr>
          <w:rFonts w:eastAsia="Times New Roman" w:cs="Arial"/>
          <w:sz w:val="16"/>
          <w:szCs w:val="28"/>
        </w:rPr>
        <w:t xml:space="preserve">. Thinking of eco-social disruption as purely the product of aggressive extraction, or capitalist expansion is not sufficient. </w:t>
      </w:r>
      <w:r w:rsidRPr="00087A72">
        <w:rPr>
          <w:rFonts w:eastAsia="Times New Roman" w:cs="Arial"/>
          <w:b/>
          <w:sz w:val="28"/>
          <w:szCs w:val="28"/>
          <w:u w:val="single"/>
        </w:rPr>
        <w:t>Mainstream environmental movements – particularly those with wilderness, conservation, preservation, and reform frameworks – are epistemologically bound up with settler colonialism.</w:t>
      </w:r>
      <w:r w:rsidRPr="00087A72">
        <w:rPr>
          <w:rFonts w:eastAsia="Times New Roman" w:cs="Arial"/>
          <w:sz w:val="16"/>
          <w:szCs w:val="28"/>
        </w:rPr>
        <w:t xml:space="preserve"> </w:t>
      </w:r>
      <w:r w:rsidRPr="00087A72">
        <w:rPr>
          <w:rFonts w:eastAsia="Times New Roman" w:cs="Arial"/>
          <w:b/>
          <w:sz w:val="28"/>
          <w:szCs w:val="28"/>
          <w:u w:val="single"/>
        </w:rPr>
        <w:t>They rely on Western science and law as their foundation for identifying and addressing environmental concerns, and in general exhibit no explicit concern for social justice, nor any acknowledgment of Indigenous peoples as contemporary members of the world, but rather frame their arguments around generalized human mismanagement of the Earth’s natural resources.</w:t>
      </w:r>
      <w:r w:rsidRPr="00087A72">
        <w:rPr>
          <w:rFonts w:eastAsia="Times New Roman" w:cs="Arial"/>
          <w:sz w:val="16"/>
          <w:szCs w:val="28"/>
        </w:rPr>
        <w:t xml:space="preserve"> Thankfully this is changing, albeit slowly. Yet, consider this type of phrasing, common across a wide range of environmental discourses, which lays the blame for environmental crisis indiscriminately on all humans: “Few problems are less recognized, but more important than, the accelerating disappearance of the Earth’s biological resources. In pushing other species to extinction, humanity is busy sawing off the limb on which it is perched” (Miller and Spoolman 2012, 48). Or, “[T]hus human beings are now carrying out a large scale geophysical experiment of a kind that could not have happened in the past nor be reproduced in the future. Within a few centuries we are returning to the atmosphere and oceans the concentrated organic carbon stored in sedimentary rocks over hundreds of millions of years.” (McKibben [1989] 2006) A closer look at </w:t>
      </w:r>
      <w:r w:rsidRPr="00087A72">
        <w:rPr>
          <w:rFonts w:eastAsia="Times New Roman" w:cs="Arial"/>
          <w:b/>
          <w:sz w:val="28"/>
          <w:szCs w:val="28"/>
          <w:u w:val="single"/>
        </w:rPr>
        <w:t>statements made by foundational figures in these movements further demonstrates the presence of settler colonial tendencies inherent in each group</w:t>
      </w:r>
      <w:r w:rsidRPr="00087A72">
        <w:rPr>
          <w:rFonts w:eastAsia="Times New Roman" w:cs="Arial"/>
          <w:sz w:val="16"/>
          <w:szCs w:val="28"/>
        </w:rPr>
        <w:t xml:space="preserve">. Histories of US environmentalism often begin with the conflict between conservationists and preservationists. While these two approaches to the environment differed in important ways, both were deeply entrenched in settler-colonial ideologies and practices. </w:t>
      </w:r>
      <w:r w:rsidRPr="00087A72">
        <w:rPr>
          <w:rFonts w:eastAsia="Times New Roman" w:cs="Arial"/>
          <w:b/>
          <w:sz w:val="28"/>
          <w:szCs w:val="28"/>
          <w:u w:val="single"/>
        </w:rPr>
        <w:t>The conservation movement emerged within a discourse of nationalist expansion and white racial decline</w:t>
      </w:r>
      <w:r w:rsidRPr="00087A72">
        <w:rPr>
          <w:rFonts w:eastAsia="Times New Roman" w:cs="Arial"/>
          <w:sz w:val="16"/>
          <w:szCs w:val="28"/>
        </w:rPr>
        <w:t xml:space="preserve"> (Cronon 1996; Dunaway 2000). </w:t>
      </w:r>
      <w:r w:rsidRPr="00087A72">
        <w:rPr>
          <w:rFonts w:eastAsia="Times New Roman" w:cs="Arial"/>
          <w:b/>
          <w:sz w:val="28"/>
          <w:szCs w:val="28"/>
          <w:u w:val="single"/>
        </w:rPr>
        <w:t>Advocates of this position promoted deeper incursions into Indigenous lands while also calling for responsible management of resources. Influential conservationist Madison Grant was deeply committed to both the conservation of land and to pseudoscientific forms of racism which advocated the conquest of the continent by the “Nordic type.</w:t>
      </w:r>
      <w:r w:rsidRPr="00087A72">
        <w:rPr>
          <w:rFonts w:eastAsia="Times New Roman" w:cs="Arial"/>
          <w:sz w:val="16"/>
          <w:szCs w:val="28"/>
        </w:rPr>
        <w:t xml:space="preserve">” Grant’s (1933) position regarding Native peoples may be summed up by his claim that “no one who knew the true nature of the Indian felt any regret that they were driven off” (164). </w:t>
      </w:r>
      <w:r w:rsidRPr="00087A72">
        <w:rPr>
          <w:rFonts w:eastAsia="Times New Roman" w:cs="Arial"/>
          <w:b/>
          <w:sz w:val="28"/>
          <w:szCs w:val="28"/>
          <w:u w:val="single"/>
        </w:rPr>
        <w:t>The stamp of settler colonialism is also apparent on the programs and discourses put forth by the preservationists.</w:t>
      </w:r>
      <w:r w:rsidRPr="00087A72">
        <w:rPr>
          <w:rFonts w:eastAsia="Times New Roman" w:cs="Arial"/>
          <w:sz w:val="16"/>
          <w:szCs w:val="28"/>
        </w:rPr>
        <w:t xml:space="preserve"> The US movement for preservation emerged within the cultural context of developments such as transcendentalism which embraced a spirituality that encouraged wonder at and care for creation (Brulle 2000). Much of </w:t>
      </w:r>
      <w:r w:rsidRPr="00087A72">
        <w:rPr>
          <w:rFonts w:eastAsia="Times New Roman" w:cs="Arial"/>
          <w:b/>
          <w:sz w:val="28"/>
          <w:szCs w:val="28"/>
          <w:u w:val="single"/>
        </w:rPr>
        <w:t>the work of the preservation movement centers wilderness, an idea which itself is the product of a worldview alien to Indigenous peoples whose homes are the very places the term is now so emphatically attached to</w:t>
      </w:r>
      <w:r w:rsidRPr="00087A72">
        <w:rPr>
          <w:rFonts w:eastAsia="Times New Roman" w:cs="Arial"/>
          <w:sz w:val="16"/>
          <w:szCs w:val="28"/>
        </w:rPr>
        <w:t xml:space="preserve"> (Cronon 1996; Spence 1996). </w:t>
      </w:r>
      <w:r w:rsidRPr="00087A72">
        <w:rPr>
          <w:rFonts w:eastAsia="Times New Roman" w:cs="Arial"/>
          <w:b/>
          <w:sz w:val="28"/>
          <w:szCs w:val="28"/>
          <w:u w:val="single"/>
        </w:rPr>
        <w:t>One of the dominant figures of this movement is John Muir, who remains well known for the critical role he played in promoting the preservation of so-called wild places. What is less acknowledged is the way his work encouraged members of settler society to venture out into places they had not previously gone, further displacing Native peoples</w:t>
      </w:r>
      <w:r w:rsidRPr="00087A72">
        <w:rPr>
          <w:rFonts w:eastAsia="Times New Roman" w:cs="Arial"/>
          <w:sz w:val="16"/>
          <w:szCs w:val="28"/>
        </w:rPr>
        <w:t xml:space="preserve"> (Spence 1996). Also less acknowledged is that Muir was an active participant in discourses which romanticized Native peoples at some moments only to demean and dehumanize them at others. In My First Summer in the Sierra, Muir writes: How many centuries Indians have roamed these woods nobody knows, probably a great many, extending far beyond the time that Columbus touched our shores, and it seems strange that heavier marks have not been made. Indians walk softly and hurt the landscape hardly more than the birds and squirrels, and their brush and bark huts last hardly longer than those of wood rats, while their more enduring monuments, excepting those wrought on the forests by the fires they made to improve their hunting grounds, vanish in a few centuries (Muir 1911, 73). This quote, while on the surface relatively benign compared to the words of Grant, is similarly steeped in the idea of inevitable erasure of Native peoples. ENVIRONMENTAL SOCIOLOGY 3 Lesser known, but highly influential in his time, Samuel Bowles also contributed to the settler-colonial character of the wilderness preservation movement. In The Switzerland of America: A Summer Vacation in the Parks and Mountains of Colorado, Bowles (1869) proclaimed, “We know they are not our equals [and] that our right to the soil, as a race capable of its superior improvement, is above theirs; . . . let us act directly and openly. . .. Let us say to [the Indian] . . . you are our ward, our child, the victim of our destiny, ours to displace, ours to protect” (124). </w:t>
      </w:r>
      <w:r w:rsidRPr="00087A72">
        <w:rPr>
          <w:rFonts w:eastAsia="Times New Roman" w:cs="Arial"/>
          <w:b/>
          <w:sz w:val="28"/>
          <w:szCs w:val="28"/>
          <w:u w:val="single"/>
        </w:rPr>
        <w:t>Contemporary mainstream environmentalism bears the lasting impressions of these origins, and over the years each generation has contributed to the settler-colonial character of the movement</w:t>
      </w:r>
      <w:r w:rsidRPr="00087A72">
        <w:rPr>
          <w:rFonts w:eastAsia="Times New Roman" w:cs="Arial"/>
          <w:sz w:val="16"/>
          <w:szCs w:val="28"/>
        </w:rPr>
        <w:t>. In general, US</w:t>
      </w:r>
      <w:r w:rsidRPr="00087A72">
        <w:rPr>
          <w:rFonts w:eastAsia="Times New Roman" w:cs="Arial"/>
          <w:b/>
          <w:sz w:val="28"/>
          <w:szCs w:val="28"/>
          <w:u w:val="single"/>
        </w:rPr>
        <w:t xml:space="preserve"> environmental groups have tended to be oblivious toward Native peoples and/or settler colonialism, or have draw upon perverted images of an “ecological other” via tropes such as the “noble savage,” which has deep roots in the work of early environmentalists</w:t>
      </w:r>
      <w:r w:rsidRPr="00087A72">
        <w:rPr>
          <w:rFonts w:eastAsia="Times New Roman" w:cs="Arial"/>
          <w:sz w:val="16"/>
          <w:szCs w:val="28"/>
        </w:rPr>
        <w:t xml:space="preserve"> and depends upon the limited knowledge of the settler populace regarding the real lived experiences of Native peoples (Smith 2012; Leddy 2017). </w:t>
      </w:r>
      <w:r w:rsidRPr="00087A72">
        <w:rPr>
          <w:rFonts w:eastAsia="Times New Roman" w:cs="Arial"/>
          <w:b/>
          <w:sz w:val="28"/>
          <w:szCs w:val="28"/>
          <w:u w:val="single"/>
        </w:rPr>
        <w:t>The pattern of discounting Indigenous epistemologies and practices is visible everywhere in environmentalist discourse,</w:t>
      </w:r>
      <w:r w:rsidRPr="00087A72">
        <w:rPr>
          <w:rFonts w:eastAsia="Times New Roman" w:cs="Arial"/>
          <w:sz w:val="16"/>
          <w:szCs w:val="28"/>
        </w:rPr>
        <w:t xml:space="preserve"> though perhaps it is most starkly evident in Aldo Leopold’s famous claim that “[t]here is as yet no ethic dealing with man’s relation to land and to the animals and plants which grow upon it” (Leopold 1987). Published in 1949, in A Sand County Almanac, this claim entirely ignores millennia of Indigenous land tenure as well as the social and cultural ethics of Indigenous peoples regarding the treatment of the land. Equally troubling are the assertions of later scholars who acknowledge the existence of Native peoples but have difficulty recognizing the intense coloniality of their claims-making. Consider Roderick Nash’s (1985) contention that “the gospel of ecology should not be seen so much as a revolt against American traditions as an extension and new application of them – as just another rounding out of the American Revolution” (179). In this essay, Nash claims that America is inherently about expanding the provision of liberty to various groups of people, and that ultimately it would be in keeping with this tendency to extend rights and liberty to the environment. While Nash does not completely ignore the existence of Native peoples, he does not acknowledge that the continued existence of the United States represents not a provision of liberty for Native peoples but rather an ongoing settler-colonial occupation of Indigenous territory with increasing incursions into that territory. This type of assertion continues into the 21st century. In a 2014 opinion piece published in the Los Angeles Times, Nash writes “[w]hen we go to designated wilderness we are, as the 1964 act says, ‘visitors’ in someone else’s home. As such there are house rules to be followed.” This statement is particularly interesting since Nash is by no means talking about the human beings whose homes the US government was literally redefining with the Wilderness Act (Spence 1996). Like Nash, Bill McKibben also writes in detail about the American “National Project” and the American Revolution in The End of Nature ([1989] 2006) and in Eaarth (2010), but in neither book does he actively engage in any analysis of settler colonialism, or contemporary Native peoples.8 In Eaarth, McKibben does make a passing reference to “the decimation of the Indians” but nothing more (118). Alternatively, </w:t>
      </w:r>
      <w:r w:rsidRPr="00087A72">
        <w:rPr>
          <w:rFonts w:eastAsia="Times New Roman" w:cs="Arial"/>
          <w:b/>
          <w:sz w:val="28"/>
          <w:szCs w:val="28"/>
          <w:u w:val="single"/>
        </w:rPr>
        <w:t xml:space="preserve">US environmentalists have a strong tendency toward the haphazard taking up, misattributing, and misappropriating of Native ideologies and practices. </w:t>
      </w:r>
      <w:r w:rsidRPr="00087A72">
        <w:rPr>
          <w:rFonts w:eastAsia="Times New Roman" w:cs="Arial"/>
          <w:sz w:val="16"/>
          <w:szCs w:val="28"/>
        </w:rPr>
        <w:t xml:space="preserve">Evidence of this trend can be found throughout a wide range of cultural productions generated by the wilderness, preservation, and deep-ecology frames. </w:t>
      </w:r>
      <w:r w:rsidRPr="00087A72">
        <w:rPr>
          <w:rFonts w:eastAsia="Times New Roman" w:cs="Arial"/>
          <w:b/>
          <w:sz w:val="28"/>
          <w:szCs w:val="28"/>
          <w:u w:val="single"/>
        </w:rPr>
        <w:t>A famous example is Gary Snyder’s use of “Coyote,” and the elevation of this trope by figures central to the development of Deep Ecology</w:t>
      </w:r>
      <w:r w:rsidRPr="00087A72">
        <w:rPr>
          <w:rFonts w:eastAsia="Times New Roman" w:cs="Arial"/>
          <w:sz w:val="16"/>
          <w:szCs w:val="28"/>
        </w:rPr>
        <w:t xml:space="preserve"> such as Bill Devall (1980). While </w:t>
      </w:r>
      <w:r w:rsidRPr="00087A72">
        <w:rPr>
          <w:rFonts w:eastAsia="Times New Roman" w:cs="Arial"/>
          <w:b/>
          <w:sz w:val="28"/>
          <w:szCs w:val="28"/>
          <w:u w:val="single"/>
        </w:rPr>
        <w:t>Snyder does</w:t>
      </w:r>
      <w:r w:rsidRPr="00087A72">
        <w:rPr>
          <w:rFonts w:eastAsia="Times New Roman" w:cs="Arial"/>
          <w:sz w:val="16"/>
          <w:szCs w:val="28"/>
        </w:rPr>
        <w:t xml:space="preserve"> credit Warm Springs people as the source of his knowledge about coyote, the poem itself, and the deployments of the trope within deep ecology thereafter, do </w:t>
      </w:r>
      <w:r w:rsidRPr="00087A72">
        <w:rPr>
          <w:rFonts w:eastAsia="Times New Roman" w:cs="Arial"/>
          <w:b/>
          <w:sz w:val="28"/>
          <w:szCs w:val="28"/>
          <w:u w:val="single"/>
        </w:rPr>
        <w:t>more to elevate a particular form of spiritually eclectic settler environmentalism than they do to acknowledge Indigenous peoples.</w:t>
      </w:r>
      <w:r w:rsidRPr="00087A72">
        <w:rPr>
          <w:rFonts w:eastAsia="Times New Roman" w:cs="Arial"/>
          <w:sz w:val="16"/>
          <w:szCs w:val="28"/>
        </w:rPr>
        <w:t xml:space="preserve"> </w:t>
      </w:r>
      <w:r w:rsidRPr="00087A72">
        <w:rPr>
          <w:rFonts w:eastAsia="Times New Roman" w:cs="Arial"/>
          <w:b/>
          <w:sz w:val="28"/>
          <w:szCs w:val="28"/>
          <w:u w:val="single"/>
        </w:rPr>
        <w:t>In the settler-colonial context, these usages of Native stories, symbols, and images serve to obscure both the historic events related to colonization and the ongoing occupation of Native lands</w:t>
      </w:r>
      <w:r w:rsidRPr="00087A72">
        <w:rPr>
          <w:rFonts w:eastAsia="Times New Roman" w:cs="Arial"/>
          <w:sz w:val="16"/>
          <w:szCs w:val="28"/>
        </w:rPr>
        <w:t xml:space="preserve">. While these practices are mobilizing for some, </w:t>
      </w:r>
      <w:r w:rsidRPr="00087A72">
        <w:rPr>
          <w:rFonts w:eastAsia="Times New Roman" w:cs="Arial"/>
          <w:b/>
          <w:sz w:val="28"/>
          <w:szCs w:val="28"/>
          <w:u w:val="single"/>
        </w:rPr>
        <w:t>the cultural productions and discourses described above also suggest the way settler-colonial interests and perspectives have structured the environmental movement. Mainstream environmentalisms’ public and political discourses frame environmental problems as a human-versus-nature conflict. These discourses impose a particular vision of eco-social relations broadly on all human beings. Namely, these discourses suggest that all humans (or at least those who do not identify as environmentalists) participate in eco-social relationships based on appropriation and exploitation, in which the ecological drivers of identity go unnoticed and are taken for granted. Such assertions disregard the vast differences between human communities with respect to both decision-making power and eco-social norms.</w:t>
      </w:r>
    </w:p>
    <w:p w:rsidR="00D66B35" w:rsidRPr="00087A72" w:rsidRDefault="00D66B35" w:rsidP="00D005A2">
      <w:pPr>
        <w:pStyle w:val="Heading3"/>
      </w:pPr>
      <w:r w:rsidRPr="00087A72">
        <w:t>Impact – Environment (Ecocide)</w:t>
      </w:r>
    </w:p>
    <w:p w:rsidR="00D66B35" w:rsidRPr="00087A72" w:rsidRDefault="00D66B35" w:rsidP="00D66B35">
      <w:pPr>
        <w:pStyle w:val="Heading4"/>
      </w:pPr>
      <w:r w:rsidRPr="00087A72">
        <w:t>Settler colonialism relies on mass ecocide to sustain itself – the very imperial act of the settler necessitates the mass exploitation of resources through the view of land as “terra nullius” which culminates in anthropogenic climate change</w:t>
      </w:r>
    </w:p>
    <w:p w:rsidR="00D66B35" w:rsidRPr="00087A72" w:rsidRDefault="00D66B35" w:rsidP="00D66B35">
      <w:pPr>
        <w:rPr>
          <w:rStyle w:val="Style13ptBold"/>
        </w:rPr>
      </w:pPr>
      <w:r w:rsidRPr="00087A72">
        <w:rPr>
          <w:rStyle w:val="Style13ptBold"/>
        </w:rPr>
        <w:t xml:space="preserve">Short 16 </w:t>
      </w:r>
      <w:r w:rsidRPr="00087A72">
        <w:t>(Damien, a reader in human rights and director of the Human Rights Consortium and Extreme Energy Initiative at the School of Advanced Study, University of London. He is also Editor in Chief of the International Journal of Human Rights. “Redefining Genocide Settler Colonialism, Social Death and Ecocide.” Pp. 38-42)</w:t>
      </w:r>
    </w:p>
    <w:p w:rsidR="00D66B35" w:rsidRPr="00087A72" w:rsidRDefault="00D66B35" w:rsidP="00D66B35"/>
    <w:p w:rsidR="00D66B35" w:rsidRPr="00087A72" w:rsidRDefault="00D66B35" w:rsidP="00D66B35">
      <w:r w:rsidRPr="00087A72">
        <w:t>The neologism ‘ecocide’, ‘eco’ meaning ecosystem and ‘cide’ meaning destruction, has been around for some time. In 1970, during the time of the Vietnam War, a group of scientists coined and propagated the term ‘ecocide’ to denounce the environmental destruction and potential human health catastrophe arising from the herbicidal warfare programme known as Operation Ranch Hand (Zierler 2011: 14). The scientists’ accusation was notable for being levelled against their own government and for effectively forcing national policy to renounce first use of herbicides in future wars (ibid.: 14). Much as happened with genocide, the term ‘ecocide’ has since entered the popular lexicon and come to mean something somewhat different to its original conception. Unlike genocide, however, the term ecocide has since expanded beyond its original meaning and context. As early as 1971 environmental activists soon adopted ‘</w:t>
      </w:r>
      <w:r w:rsidRPr="00087A72">
        <w:rPr>
          <w:rStyle w:val="StyleUnderline"/>
        </w:rPr>
        <w:t xml:space="preserve">ecocide’ </w:t>
      </w:r>
      <w:r w:rsidRPr="00087A72">
        <w:t xml:space="preserve">as their own, with one writer arguing that ‘the message of our day is ecocide, </w:t>
      </w:r>
      <w:r w:rsidRPr="00087A72">
        <w:rPr>
          <w:rStyle w:val="StyleUnderline"/>
        </w:rPr>
        <w:t>the environment being murdered by mankind …</w:t>
      </w:r>
      <w:r w:rsidRPr="00087A72">
        <w:t xml:space="preserve"> Our dense, amber air is a noxious emphysema agent; farming – antihusbandry – </w:t>
      </w:r>
      <w:r w:rsidRPr="00087A72">
        <w:rPr>
          <w:rStyle w:val="StyleUnderline"/>
        </w:rPr>
        <w:t>turns fertile soil into a poisoned wasteland; rivers are sewers, lakes cesspools, and our oceans are dying’ (ibid.: 14). More recent works have used the word ‘ecocide’ to condemn the Euro-American colonial destruction of indigenous peoples’ landbased cultures</w:t>
      </w:r>
      <w:r w:rsidRPr="00087A72">
        <w:t xml:space="preserve">; </w:t>
      </w:r>
      <w:r w:rsidRPr="00087A72">
        <w:rPr>
          <w:rStyle w:val="StyleUnderline"/>
        </w:rPr>
        <w:t>the destruction of rainforests around the equatorial world; the corporate takeover and consequent destruction of a Pacific island; the neoliberal debt crisis in developing countries; the alarming trend of accelerated species extinction in recent decades; and the environmental ravages wrought across Eurasia in the pursuit of a totalitarian command econom</w:t>
      </w:r>
      <w:r w:rsidRPr="00087A72">
        <w:t xml:space="preserve">y (ibid.: 14). Nowadays, </w:t>
      </w:r>
      <w:r w:rsidRPr="00087A72">
        <w:rPr>
          <w:rStyle w:val="StyleUnderline"/>
        </w:rPr>
        <w:t>ecocide is</w:t>
      </w:r>
      <w:r w:rsidRPr="00087A72">
        <w:t xml:space="preserve"> often used in the context of the most pressing environmental issue facing the world, </w:t>
      </w:r>
      <w:r w:rsidRPr="00087A72">
        <w:rPr>
          <w:rStyle w:val="StyleUnderline"/>
        </w:rPr>
        <w:t>anthropogenic climate change</w:t>
      </w:r>
      <w:r w:rsidRPr="00087A72">
        <w:t xml:space="preserve">, while some activists have preferred to use the term ‘climate genocide’ when denouncing carbon-dioxide-emitting corporate operations and the governments that back them and fail to place strong curbs on emissions rates. Nevertheless, despite such usages it’s important, as it is with the concept of genocide, to properly understand the historical origins of the concept, its original intended meaning and practical utility. Since the 1970s the movement to eradicate ecocide has attracted interest from legal theorists, political scientists and environmental activists, but unlike in the field of genocide studies, there has been no serious definitional debate or conceptual consideration of ‘ecocide’, nor is there a rich intellectual history of case studies and comparative research on which to draw. This is perhaps because ecocide is still a concept and not an international crime; for while Lemkin had developed a robust concept of genocide prior to its institutionalization in international law in 1948, the field of genocide studies developed well after the crime’s codification. Crucially, the Genocide Convention, as we saw earlier, was a key reference point for much scholarly work, and without a similar international crime it is unsurprising that, despite a regrettable amount of potential data sets, there is no coherent field of ecocide studies as yet. This chapter, then, rather than surveying a field of ecocide studies and advocating an understanding of the concept, will first delve into the institutional history of ecocide within the UN system and its connection to the crime of genocide before moving on to discuss a high-profile contemporary articulation of ecocide and the empirical underpinnings of the nexus between genocide and ecocide in the world today. Our Ecocide Project research into the history of ecocide in the UN system revealed that members and delegates of several UN institutions, including the Sub-Commission on Prevention of Discrimination and Protection of Minorities,1 the Legal Committee of the General Assembly and the International Law Commission discussed, at different times over a forty-year period, how to define and criminalize severe environmental destruction. These institutions met frequently to discuss the elements and issues involved in formulating such an international crime, including the level of intent required for an offence to constitute ‘ecocide’ or ‘severe damage to the environment’.2 In the years following the implementation of the 1948 United Nations Genocide Convention many governments began to voice their concerns about its effectiveness. Genocide was still a reality in many parts of the world and the Convention seemed to offer little to those groups it was designed to protect. This was, in part, due above and the omission of much of the cultural method in the Genocide Convention. Concern at the lack of utility eventually led to an extensive United Nations (hereafter UN) inquiry into the effectiveness of the Genocide Convention, and it is in just such a review that we find the first attempt to criminalize environmental destruction in international law.3 Early discussions of ecocide were triggered by </w:t>
      </w:r>
      <w:r w:rsidRPr="00087A72">
        <w:rPr>
          <w:rStyle w:val="StyleUnderline"/>
        </w:rPr>
        <w:t xml:space="preserve">extreme environmental damage that </w:t>
      </w:r>
      <w:r w:rsidRPr="00087A72">
        <w:t>was being</w:t>
      </w:r>
      <w:r w:rsidRPr="00087A72">
        <w:rPr>
          <w:rStyle w:val="StyleUnderline"/>
        </w:rPr>
        <w:t xml:space="preserve"> inflicted on Vietnam, Cambodia and Laos through the use of chemical warfare as part of the US campaign there</w:t>
      </w:r>
      <w:r w:rsidRPr="00087A72">
        <w:t>. Because this was the context in which discussions of ecocide began, and because of the urgency and extremity of the harm being done, early definitions of ecocide tended to be restricted to wartime situations in which intent to cause environmental destruction was present and central. The term ‘ecocide’ was firstvhygtf4r3deswaq</w:t>
      </w:r>
      <w:r w:rsidRPr="00087A72">
        <w:tab/>
        <w:t xml:space="preserve"> recorded at the Congressional Conference on War and National Responsibility in Washington, a two-day conference on the question of American war crimes in Vietnam, where Professor Arthur W. Galston ‘proposed a new international agreement to ban ecocide’,4 arguing that: After the end of World War II, and as a result of the Nuremburg trials, we justly condemned the wilful destruction of an entire people and its culture, calling this crime against humanity genocide. It seems to me </w:t>
      </w:r>
      <w:r w:rsidRPr="00087A72">
        <w:rPr>
          <w:rStyle w:val="StyleUnderline"/>
        </w:rPr>
        <w:t>that the wilful and permanent destruction of environment in which a people can live in a manner of their own choosing ought similarly to be considered as a crime against humanity</w:t>
      </w:r>
      <w:r w:rsidRPr="00087A72">
        <w:t xml:space="preserve">, to be designated by the term ecocide. I believe that the </w:t>
      </w:r>
      <w:r w:rsidRPr="00087A72">
        <w:rPr>
          <w:rStyle w:val="StyleUnderline"/>
        </w:rPr>
        <w:t>most highly developed nations have already committed auto-ecocide over large parts of their own countries. At the present time, the United States stands alone as possibly having committed ecocide against another country, Vietnam, through its massive use of chemical defoliants and herbicides.</w:t>
      </w:r>
      <w:r w:rsidRPr="00087A72">
        <w:t xml:space="preserve"> The United Nations would appear to be an appropriate body for the formulation of a proposal against ecocide. (Zierler 2011: 14) In making a link with genocide, Galston was suggesting that environmental destruction can have a genocidal impact but also that the environment can be seen as a victim of ecocide in the same way a social group of people can with genocide. Even so, Galston, it appears, was no environmentalist. Following interviews with Galston, David Zierler (2011) argues that he ‘was not motivated to preserve some indigenous ecological Eden from Western technological predations. If Ranch Hand was an operation of resource extraction, it would not be ecocide.’ Such a position places Galston’s understanding firmly at odds with contemporary articulations (which we shall explore later), but unlike with Lemkin’s conception of genocide, I would suggest that Galston’s articulation of ecocide doesn’t command the same level of intellectual respect. Lemkin went to great lengths to justify the integrity of his concept, its etymology and its application – the same cannot be said of Galston and ecocide. In its early incarnation, then, ecocide was envisaged as a crime that would be committed in a war context. In 1972, at the UN Stockholm Conference on the Human Environment, Mr Olaf Palme, then prime minister of Sweden, spoke explicitly in his opening speech of the Vietnam War as an ‘ecocide’ (Björk 1996). Other heads of state, including Ms Indira Gandhi from India and the leader of the Chinese delegation, Mr Tang Ke, also denounced the Vietnam War on human and environmental terms (ibid.). Even so, the Stockholm Conference itself had a broader focus beyond environmental destruction in times of war. Indeed, it drew international attention to environmental issues, especially in relation to environmental degradation and trans-boundary pollution. While there was no reference to ecocide in the official outcome document of the Stockholm Conference, the potential for a law criminalizing ecocide was widely discussed in the parallel unofficial events, including at the ‘Folkets Forum’ – the People’s Summit – where a working group on the Law of Genocide and Ecocide was established (ibid.). ‘Almost every popular movement and group of NGOs addressed the issue. A demonstration with 7,000 participants was held’ (ibid.). Dai Dong, a branch of the International Fellowship of Reconciliation,5 sponsored a ‘Convention on Ecocidal War’ (CEW), which took place in Stockholm, Sweden.6 The CEW brought together many people, including Professor Richard A. Falk, expert on the international law of war crimes, and Dr Arthur H. Westing and Dr Egbert L. Pfeiffer, who were both biologists, and was coordinated by John Lewallen (Björk 1996). The CEW called for a UN working group on Ecocidal Warfare, which would, among other matters, seek to define and condemn ecocide as an international crime of war (ibid.). A draft International Convention on the Crime of Ecocide was prepared for UN consideration by Falk and reproduced in a journal article he published in 1973 (Falk 1973). It recognized that the Genocide Convention was deficient and that there was a need for another international law that could address ecological crimes. Falk’s draft convention, though, primarily envisaged ecocide as a military offence, which could be committed in times of war or peace, provided the requisite intent was present. As with the crime of genocide there was much academic debate over what would constitute the crime and, in particular, whether intent to commit destruction of ecosystems was a necessary element of the crime. John H. E. Fried, a specialist in international law and member of the Lawyers’ Committee on Nuclear Policy, believed ecocide to denote </w:t>
      </w:r>
      <w:r w:rsidRPr="00087A72">
        <w:rPr>
          <w:rStyle w:val="StyleUnderline"/>
        </w:rPr>
        <w:t>‘various measures of devastation and destruction which … aim at damaging or destroying the ecology of geographic areas to the detriment of human life, animal life, and plant life’</w:t>
      </w:r>
      <w:r w:rsidRPr="00087A72">
        <w:t xml:space="preserve"> (Fried 1972). Even so, it was recognized by others, such as Falk, that ecocide often occurs simply as a consequence of human economic activity rather than being a result of a predetermined, intended direct attack on the environment. Indeed, even though Falk’s draft (1973) Ecocide Convention constructed a primarily military offence, he explicitly acknowledged at the outset that ‘man has consciously and unconsciously inflicted irreparable damage to the environment in times of war and peace’. Meanwhile Westing stated that ‘intent may not only be impossible to establish without admission but, I believe, it is essentially irrelevant’ (Westing 1974).</w:t>
      </w:r>
    </w:p>
    <w:p w:rsidR="005562CD" w:rsidRPr="00087A72" w:rsidRDefault="005562CD" w:rsidP="00D005A2">
      <w:pPr>
        <w:pStyle w:val="Heading3"/>
      </w:pPr>
      <w:r w:rsidRPr="00087A72">
        <w:t>Impact – Environment (Industrial Agriculture)</w:t>
      </w:r>
    </w:p>
    <w:p w:rsidR="005562CD" w:rsidRPr="00087A72" w:rsidRDefault="005562CD" w:rsidP="005562CD">
      <w:pPr>
        <w:pStyle w:val="Heading4"/>
      </w:pPr>
      <w:r w:rsidRPr="00087A72">
        <w:t xml:space="preserve">Current practices of industrial agriculture and the depletion of environments to hegemonic efforts are byproducts of settler colonial efforts and it’s ability to coexist with other degrading epistemologies </w:t>
      </w:r>
    </w:p>
    <w:p w:rsidR="005562CD" w:rsidRPr="00087A72" w:rsidRDefault="005562CD" w:rsidP="005562CD">
      <w:r w:rsidRPr="00087A72">
        <w:rPr>
          <w:rStyle w:val="Style13ptBold"/>
        </w:rPr>
        <w:t xml:space="preserve">Seawright 2014 </w:t>
      </w:r>
      <w:r w:rsidRPr="00087A72">
        <w:t xml:space="preserve">(Gardner doctoral candidate in the Education, Culture, and Society department at the University of Utah, and will graduate in May 2018. His studies focus on the everyday presence of whiteness within educational spaces, as well as the possibilities of challenging this reality “Settler Traditions of Place: Making Explicit the Epistemological Legacy of White Supremacy and Settler Colonialism for Place-Based Education” </w:t>
      </w:r>
      <w:r w:rsidRPr="00087A72">
        <w:rPr>
          <w:i/>
        </w:rPr>
        <w:t>A Journal of the American Educational Studies Association</w:t>
      </w:r>
      <w:r w:rsidRPr="00087A72">
        <w:t>. 50:6, 554-572, pp.559-560)</w:t>
      </w:r>
    </w:p>
    <w:p w:rsidR="005562CD" w:rsidRPr="00087A72" w:rsidRDefault="005562CD" w:rsidP="005562CD">
      <w:pPr>
        <w:rPr>
          <w:sz w:val="8"/>
        </w:rPr>
      </w:pPr>
      <w:r w:rsidRPr="00087A72">
        <w:rPr>
          <w:sz w:val="8"/>
        </w:rPr>
        <w:t>559  On Settler Traditions of Place and Obsessions With Ownership Tewa philosopher Gregory Cajete (1994, 1999) emphasizes the importance of place within Indigenous epistemologies (see also Basso 1996; Deloria and Wildcat 2001; Kawagley and Barnhardt 1999; Pena 1998). The significance of place ˜ is connected with “bodies of knowledge, and practices resulting from direct interaction with the natural world” (Cajete 1994, 39). Cajete’s epistemology of place provides an analytic model of how to assess place as a progenitor of knowledge within the Western world. As indigenous epistemologies are rooted in a particular conception of nature, so is Western epistemology. However, the Western bodies of knowledge have been developed out of a deeply rooted anthropocentrism and hierarchized vision of the world (Plumwood 2002</w:t>
      </w:r>
      <w:r w:rsidRPr="00087A72">
        <w:rPr>
          <w:rStyle w:val="StyleUnderline"/>
        </w:rPr>
        <w:t>). White supremacy, heteropatriarchy, and colonialism coexist with anthropocentrism in the Western body of knowledge to create settler traditions of place.</w:t>
      </w:r>
      <w:r w:rsidRPr="00087A72">
        <w:rPr>
          <w:sz w:val="8"/>
        </w:rPr>
        <w:t xml:space="preserve"> This is </w:t>
      </w:r>
      <w:r w:rsidRPr="00087A72">
        <w:rPr>
          <w:rStyle w:val="StyleUnderline"/>
        </w:rPr>
        <w:t>seen in the history of the slave trade, plantations, conceptions of manifest destiny, and the many other forms of violence enacted in pursuit of ownership</w:t>
      </w:r>
      <w:r w:rsidRPr="00087A72">
        <w:rPr>
          <w:sz w:val="8"/>
        </w:rPr>
        <w:t xml:space="preserve">. The </w:t>
      </w:r>
      <w:r w:rsidRPr="00087A72">
        <w:rPr>
          <w:rStyle w:val="StyleUnderline"/>
        </w:rPr>
        <w:t>Western body of knowledge produces a fetish of ownership that sits at the foundation of settler traditions of place.</w:t>
      </w:r>
      <w:r w:rsidRPr="00087A72">
        <w:rPr>
          <w:sz w:val="8"/>
        </w:rPr>
        <w:t xml:space="preserve"> The Western imaginary </w:t>
      </w:r>
      <w:r w:rsidRPr="00087A72">
        <w:rPr>
          <w:rStyle w:val="StyleUnderline"/>
        </w:rPr>
        <w:t>encourages ownership and domination of the land, while simultaneously curtailing the possibilities and parameters of ownership in a racialized and gendered manner, delimiting who can own, what can be owned, and how things should be owned.</w:t>
      </w:r>
      <w:r w:rsidRPr="00087A72">
        <w:rPr>
          <w:sz w:val="8"/>
        </w:rPr>
        <w:t xml:space="preserve"> In the United States, historical and contemporary examples of white-settler epistemic constructions of the natural world help illustrate settler traditions of place and their intersecting components (racialized, gendered, and economized understandings of land, self, and others). Terra nullius and the settler colonial push westward serve this notion in the historical register. Terra nullius, or </w:t>
      </w:r>
      <w:r w:rsidRPr="00087A72">
        <w:rPr>
          <w:rStyle w:val="StyleUnderline"/>
        </w:rPr>
        <w:t>the belief that prospective land for colonizing/settling is in fact empty, was predicated upon an understanding that only so-called civilized societies/peoples can own land (Pateman and Mills 2007). Despite the presence of many Indigenous nations in North America, European colonizers perceived the continent as empty, because only so-called uncivilized peoples populated it. The ongoing occupation of Indigenous lands and the extreme reluctance of settlers operating with the prevailing epistemology to acknowledge this reality provides ample evidence of contemporary settler relations to place</w:t>
      </w:r>
      <w:r w:rsidRPr="00087A72">
        <w:rPr>
          <w:sz w:val="8"/>
        </w:rPr>
        <w:t xml:space="preserve">. But a more specific example of how the white settler knowledge regime encourages a continued drive toward ownership can be seen in </w:t>
      </w:r>
      <w:r w:rsidRPr="00087A72">
        <w:rPr>
          <w:rStyle w:val="StyleUnderline"/>
        </w:rPr>
        <w:t>industrial agriculture and the genetic modification and patenting of crops and other products</w:t>
      </w:r>
      <w:r w:rsidRPr="00087A72">
        <w:rPr>
          <w:sz w:val="8"/>
        </w:rPr>
        <w:t xml:space="preserve">. As </w:t>
      </w:r>
      <w:r w:rsidRPr="00087A72">
        <w:rPr>
          <w:rStyle w:val="StyleUnderline"/>
        </w:rPr>
        <w:t>part of settler traditions of place, industrial food production and genetic engineering exhibit white supremacist, capitalistic, and settler understandings of the world</w:t>
      </w:r>
      <w:r w:rsidRPr="00087A72">
        <w:rPr>
          <w:sz w:val="8"/>
        </w:rPr>
        <w:t xml:space="preserve">. In pursuit of property, </w:t>
      </w:r>
      <w:r w:rsidRPr="00087A72">
        <w:rPr>
          <w:rStyle w:val="StyleUnderline"/>
        </w:rPr>
        <w:t>the West plunders natural resources from around the world and has laid claim to ownership over vast swaths of nature through patents and copyrights</w:t>
      </w:r>
      <w:r w:rsidRPr="00087A72">
        <w:rPr>
          <w:sz w:val="8"/>
        </w:rPr>
        <w:t xml:space="preserve">. In Biopiracy, Vandana Shiva (1997) powerfully illustrates how 560 </w:t>
      </w:r>
      <w:r w:rsidRPr="00087A72">
        <w:rPr>
          <w:rStyle w:val="StyleUnderline"/>
        </w:rPr>
        <w:t>the Western world has pirated the seeds, plants, and knowledge of Indigenous peoples across the globe</w:t>
      </w:r>
      <w:r w:rsidRPr="00087A72">
        <w:rPr>
          <w:sz w:val="8"/>
        </w:rPr>
        <w:t xml:space="preserve">. These </w:t>
      </w:r>
      <w:r w:rsidRPr="00087A72">
        <w:rPr>
          <w:rStyle w:val="StyleUnderline"/>
        </w:rPr>
        <w:t>actions are justified by racialized and gendered perceptions of Indigenous knowledge holders, marking them as uncivilized and incapable of owning or properly cultivating their knowledge, seeds, and plants</w:t>
      </w:r>
      <w:r w:rsidRPr="00087A72">
        <w:rPr>
          <w:sz w:val="8"/>
        </w:rPr>
        <w:t xml:space="preserve">. The stolen seeds and plants are cultivated and manipulated at the genetic level, and subsequently patented for continued ownership and profit. </w:t>
      </w:r>
      <w:r w:rsidRPr="00087A72">
        <w:rPr>
          <w:rStyle w:val="StyleUnderline"/>
        </w:rPr>
        <w:t>The actors participating in these actions are situated within the white settler epistemology as successful and rational</w:t>
      </w:r>
      <w:r w:rsidRPr="00087A72">
        <w:rPr>
          <w:sz w:val="8"/>
        </w:rPr>
        <w:t xml:space="preserve">. From this perspective, these </w:t>
      </w:r>
      <w:r w:rsidRPr="00087A72">
        <w:rPr>
          <w:rStyle w:val="StyleUnderline"/>
        </w:rPr>
        <w:t>settler actors are simply realizing their full potential</w:t>
      </w:r>
      <w:r w:rsidRPr="00087A72">
        <w:rPr>
          <w:sz w:val="8"/>
        </w:rPr>
        <w:t xml:space="preserve">. These </w:t>
      </w:r>
      <w:r w:rsidRPr="00087A72">
        <w:rPr>
          <w:rStyle w:val="StyleUnderline"/>
        </w:rPr>
        <w:t>acts of settling are not the simple accumulation of property to individually settle-down, but are part of a continuous drive to pursue and consume property of all kinds and add it to a settled dominion</w:t>
      </w:r>
      <w:r w:rsidRPr="00087A72">
        <w:rPr>
          <w:sz w:val="8"/>
        </w:rPr>
        <w:t xml:space="preserve">. </w:t>
      </w:r>
      <w:r w:rsidRPr="00087A72">
        <w:rPr>
          <w:rStyle w:val="StyleUnderline"/>
        </w:rPr>
        <w:t>Industrial agriculture is the byproduct of the dominant Western epistemology that has normalized and rationalized the aggressive accumulation of massive amounts of land and other properties</w:t>
      </w:r>
      <w:r w:rsidRPr="00087A72">
        <w:rPr>
          <w:sz w:val="8"/>
        </w:rPr>
        <w:t xml:space="preserve">. This remains the norm despite the fact that the </w:t>
      </w:r>
      <w:r w:rsidRPr="00087A72">
        <w:rPr>
          <w:rStyle w:val="StyleUnderline"/>
        </w:rPr>
        <w:t>actions resulting from this knowledge</w:t>
      </w:r>
      <w:r w:rsidRPr="00087A72">
        <w:rPr>
          <w:sz w:val="8"/>
        </w:rPr>
        <w:t xml:space="preserve"> system </w:t>
      </w:r>
      <w:r w:rsidRPr="00087A72">
        <w:rPr>
          <w:rStyle w:val="StyleUnderline"/>
        </w:rPr>
        <w:t>have displaced, dispossessed, and exploited many—primarily Indigenous communities and communities of color, but also poor white settlers</w:t>
      </w:r>
      <w:r w:rsidRPr="00087A72">
        <w:rPr>
          <w:sz w:val="8"/>
        </w:rPr>
        <w:t>. But due to the racialized nature of the Western knowledge regime, epistemic conditions have been cultivated in such a way that this deleterious perception of reality remains the norm for many of those who are oppressed by its mass operationalization. The need for a full understanding of the logic of domination that flourishes across Western society has been emphasized by activists, scholars, and educators alike, making an argument that there needs to be an intimate examination of taken-for-granted assumptions about the world (Martusewicz et al., 2011). Settler traditions of place impact the possibilities of place-based education, and if this educational model is broadly oriented toward social and ecological justice, then the body of knowledge that emerged from settler interactions with the natural world must be understood in its entirety.</w:t>
      </w:r>
    </w:p>
    <w:p w:rsidR="00450204" w:rsidRPr="00087A72" w:rsidRDefault="00450204" w:rsidP="00D005A2">
      <w:pPr>
        <w:pStyle w:val="Heading3"/>
      </w:pPr>
      <w:r w:rsidRPr="00087A72">
        <w:t>Impact – Extinction (Environment)</w:t>
      </w:r>
    </w:p>
    <w:p w:rsidR="00450204" w:rsidRPr="00087A72" w:rsidRDefault="00450204" w:rsidP="00450204">
      <w:pPr>
        <w:pStyle w:val="Heading4"/>
      </w:pPr>
      <w:r w:rsidRPr="00087A72">
        <w:t>The environment is on the verge of collapse because of the settler colonizsm world we live in</w:t>
      </w:r>
    </w:p>
    <w:p w:rsidR="00450204" w:rsidRPr="00087A72" w:rsidRDefault="00450204" w:rsidP="00450204">
      <w:pPr>
        <w:rPr>
          <w:b/>
          <w:sz w:val="26"/>
          <w:szCs w:val="26"/>
        </w:rPr>
      </w:pPr>
      <w:r w:rsidRPr="00087A72">
        <w:rPr>
          <w:b/>
          <w:sz w:val="26"/>
          <w:szCs w:val="26"/>
        </w:rPr>
        <w:t>Blanco 13</w:t>
      </w:r>
      <w:r w:rsidRPr="00087A72">
        <w:rPr>
          <w:rStyle w:val="Style13ptBold"/>
          <w:b w:val="0"/>
          <w:sz w:val="12"/>
          <w:szCs w:val="12"/>
        </w:rPr>
        <w:t>( Hugo Blanco is a Peruvian political figure, leader of the </w:t>
      </w:r>
      <w:hyperlink r:id="rId21" w:tooltip="Confederación Campesina del Perú" w:history="1">
        <w:r w:rsidRPr="00087A72">
          <w:rPr>
            <w:rStyle w:val="Style13ptBold"/>
            <w:b w:val="0"/>
            <w:sz w:val="12"/>
            <w:szCs w:val="12"/>
          </w:rPr>
          <w:t>Confederación Campesina del Perú</w:t>
        </w:r>
      </w:hyperlink>
      <w:r w:rsidRPr="00087A72">
        <w:rPr>
          <w:rStyle w:val="Style13ptBold"/>
          <w:b w:val="0"/>
          <w:sz w:val="12"/>
          <w:szCs w:val="12"/>
        </w:rPr>
        <w:t> (CCP, Campesino Confederation of Peru), leader of Trotsky's </w:t>
      </w:r>
      <w:hyperlink r:id="rId22" w:tooltip="Fourth International" w:history="1">
        <w:r w:rsidRPr="00087A72">
          <w:rPr>
            <w:rStyle w:val="Style13ptBold"/>
            <w:b w:val="0"/>
            <w:sz w:val="12"/>
            <w:szCs w:val="12"/>
          </w:rPr>
          <w:t>Fourth International</w:t>
        </w:r>
      </w:hyperlink>
      <w:r w:rsidRPr="00087A72">
        <w:rPr>
          <w:rStyle w:val="Style13ptBold"/>
          <w:b w:val="0"/>
          <w:sz w:val="12"/>
          <w:szCs w:val="12"/>
        </w:rPr>
        <w:t xml:space="preserve">, Re centering and re- envisioning , lets save humanity from exaction vol.24 n.03 151-159) </w:t>
      </w:r>
    </w:p>
    <w:p w:rsidR="00450204" w:rsidRPr="00087A72" w:rsidRDefault="00450204" w:rsidP="00450204">
      <w:pPr>
        <w:rPr>
          <w:sz w:val="12"/>
        </w:rPr>
      </w:pPr>
      <w:r w:rsidRPr="00087A72">
        <w:rPr>
          <w:rStyle w:val="StyleUnderline"/>
        </w:rPr>
        <w:t>I speak of humans as an endangered species in light of the ferocious attack unleashed upon nature in general and, thereby, humanity by the ruling neoliberal capitalist system</w:t>
      </w:r>
      <w:r w:rsidRPr="00087A72">
        <w:rPr>
          <w:sz w:val="12"/>
          <w:szCs w:val="16"/>
        </w:rPr>
        <w:t xml:space="preserve">. </w:t>
      </w:r>
      <w:r w:rsidRPr="00087A72">
        <w:rPr>
          <w:rStyle w:val="StyleUnderline"/>
        </w:rPr>
        <w:t>The sole motivation of the large transnational corporations currently ruling the world is too be their sacred commandment: ‘‘Gain the most amount of money in the least amount of time.’’ In fulfilling this mandate, they are willing to sacrifice everything, even their future descendants.</w:t>
      </w:r>
      <w:r w:rsidRPr="00087A72">
        <w:rPr>
          <w:sz w:val="12"/>
          <w:szCs w:val="16"/>
        </w:rPr>
        <w:t xml:space="preserve"> The system’s logic does not depend on any single individual’s conscious choices. Although the love someone has for the future offspring might make them decide against building a factory that could damage the environment, chances are that someone else will come along and build it. So </w:t>
      </w:r>
      <w:r w:rsidRPr="00087A72">
        <w:rPr>
          <w:rStyle w:val="StyleUnderline"/>
        </w:rPr>
        <w:t>it is not about putting and end to powerful capitalists, it is about ending the system that makes them the rulers of the world</w:t>
      </w:r>
      <w:r w:rsidRPr="00087A72">
        <w:rPr>
          <w:sz w:val="12"/>
          <w:szCs w:val="16"/>
        </w:rPr>
        <w:t xml:space="preserve">. Attacks against nature are varied and increasing every day. </w:t>
      </w:r>
      <w:r w:rsidRPr="00087A72">
        <w:rPr>
          <w:rStyle w:val="StyleUnderline"/>
        </w:rPr>
        <w:t>Plant and animal species are being exterminated. The most serious attack is the global warming of the atmosphere induced by ever-growing greenhouse gas emissions. With the rulers of the world no longer being able to deny global warming’s existence,</w:t>
      </w:r>
      <w:r w:rsidRPr="00087A72">
        <w:rPr>
          <w:sz w:val="12"/>
          <w:szCs w:val="16"/>
        </w:rPr>
        <w:t xml:space="preserve"> the United Nations (UN) has sponsored high-level summits between the world’s largest polluters. But </w:t>
      </w:r>
      <w:r w:rsidRPr="00087A72">
        <w:rPr>
          <w:rStyle w:val="StyleUnderline"/>
        </w:rPr>
        <w:t>they never agree to do anything about stopping global warming instead, they talk about how they might profit from it. Meanwhile, the icecaps are melting along with glaciers, streams have dried up, and rivers are thinning out. Rising sea levels means islands are disappearing and coastal areas are flooding</w:t>
      </w:r>
      <w:r w:rsidRPr="00087A72">
        <w:rPr>
          <w:sz w:val="12"/>
          <w:szCs w:val="16"/>
        </w:rPr>
        <w:t xml:space="preserve">. The warming of the world has destabilized the climate. Winters are colder, summers are hotter, and hurricanes like Katrina and Sandy are stronger. But the media* beholden as it is to the system*continues to call these ‘‘natural’’ disasters. They are many things, but ‘‘natural’’ is not one of them. </w:t>
      </w:r>
      <w:r w:rsidRPr="00087A72">
        <w:rPr>
          <w:rStyle w:val="StyleUnderline"/>
        </w:rPr>
        <w:t>They are the result of the global warming being caused by the owners of the world.The massive attack on jungles and forests is driving the warming of the globe through the deforestation of carbon-absorbing vegetation .The crimes committed in the interest of mines, fossil fuel extraction, highways, or agribusiness, which among other things converts the denuded landscapes into biofuels, transgenic crops, and cattle ranches. Open-pit mines constitute another major attack, one which developed countries rarely practice on their own turf, preferring to heave the heavy burden onto the backs of their colonies*the so-called ‘‘third world’’ or ‘‘developing countries.’’ Amid dwindling mineral deposits, they explode four tons of rock and earth to extract a single gram of gold, chemically poisoning vast fresh water reserves in the process. The move is noxious for nature and criminal when done at the source of watersheds such as Peru’s Conga mine, a life-destroying project that stands to poison five river valleys whose waters feed into both the Pacific and Atlantic oceans. Agribusiness and the food industry have exacted their own assault. Their monoculture plantations are poisoning soils with chemical fertilizers, insecticides, and herbicides, while the transgenic foods they serve up means our bodies are subject to similar treatment. Agribusiness companies use cutting-edge technology not for the benefit of consumers, but for the benefit of their bottom line at the cost of consumers’ health.</w:t>
      </w:r>
      <w:r w:rsidRPr="00087A72">
        <w:rPr>
          <w:sz w:val="12"/>
          <w:szCs w:val="16"/>
        </w:rPr>
        <w:t xml:space="preserve"> They give cattle a hormone to produce more milk, and the milk, in turn, produces cancer. But all the companies care about is making more profits.Rivers, meanwhile, are under attack from hydroelectric dams, which sap water from the streams used by small-scale farmers who grow nutritious foods and flood the homes and crops of both peasant farmers and indigenous peoples. Highways are also preying on nature, leveling entire jungles in countries like Bolivia and Peru. In Europe, the train line set to link Turin and Lyon has sparked the ‘‘No TAV’’ movement in northern Italy. I could go on: the tar sands in Canada and hopes of its pipeline through the USA, deep-sea oil exploration, bottom-trawl fishing, factory pollution, the ozone hole, nuclear energy, the threat of nuclear war, etc. The end game we are facing means that it is imperative for us to critically reflect on the trajectory of our human existence; we must evaluate what aspects of humanity’s advance </w:t>
      </w:r>
      <w:r w:rsidRPr="00087A72">
        <w:rPr>
          <w:sz w:val="12"/>
        </w:rPr>
        <w:t xml:space="preserve">are positive and which ones are leading ourspecies toward a shallow grave. We should begin by examining our origins. Fortunately, in many parts of the world, we still have auto us,indigenous peoples,theso-called‘‘wild’’peoples.Ifwedropthepejorative baggage associated with this word, it correctly signals that which is not domesticated by civilization, that which is natural. </w:t>
      </w:r>
      <w:r w:rsidRPr="00087A72">
        <w:rPr>
          <w:rStyle w:val="StyleUnderline"/>
        </w:rPr>
        <w:t xml:space="preserve">Despite receiving the least of civilization’s benefits, indigenous peoples have been at the receiving end of its fiercest attacks. In studying these populations, wherever they live, we find that they share some common traits. The shared characteristics are not tied to ethnicity, but to a cultural primitiveness unsullied by the deformations of civilization. </w:t>
      </w:r>
      <w:r w:rsidRPr="00087A72">
        <w:rPr>
          <w:sz w:val="12"/>
        </w:rPr>
        <w:t xml:space="preserve">The indigenous Nunga of Australia, the Dongria Kondh of India, the Bosquimano in Africa, the Sami in Scandinavia, the Attawapiskat of Canada, the Navajo in the USA, the Maya in Mexico, the Nasa in Colombia, the Mapuche in Chile, and the Quechua in Peru they all have some shared beliefs: . </w:t>
      </w:r>
      <w:r w:rsidRPr="00087A72">
        <w:rPr>
          <w:rStyle w:val="StyleUnderline"/>
        </w:rPr>
        <w:t>Nature is our mother, we must respect, love, and care for her these days it is called ‘‘environmentalism.’’ . Decisions of importance to society should be decided by society, not by a single individual or a group of individuals today,</w:t>
      </w:r>
      <w:r w:rsidRPr="00087A72">
        <w:rPr>
          <w:sz w:val="12"/>
        </w:rPr>
        <w:t xml:space="preserve"> this collectivist spirit is described by various names: socialism, communism, anarchism, etc. . Happiness consists of being able to live well(what some of us call buen vivir,collective well-being). Indigenous peoples do not share the main principle of consumerist society, which holds thathappiness is achieved by money and whatmoney canbuy. . </w:t>
      </w:r>
      <w:r w:rsidRPr="00087A72">
        <w:rPr>
          <w:rStyle w:val="StyleUnderline"/>
        </w:rPr>
        <w:t>Indigenous peoples have a profound sense of solidarity. . Indigenous peoples respect difference; they accept that some people talk or dress differently. Indigenous groups realize differences among themselves and that difference is respected. . Knowledge is passed on to children and youth from one generation to the next; education is not a business, and it is done by adults and elders. . Medicine, as a gift from nature, is not a business; individual health is a collective undertaking</w:t>
      </w:r>
      <w:r w:rsidRPr="00087A72">
        <w:rPr>
          <w:sz w:val="12"/>
        </w:rPr>
        <w:t xml:space="preserve">. The most primitive, the wildest indigenous peoples, those least contaminated by civilization, are those who most vigorously uphold these principles. In Peru, the differences between the purer, jungle-dwelling indigenous groups and the more contaminated, highland Quechua and Aymara are notorious. Some examples are the following: . Highland indigenous peoples grow potatoes, corn, or beans. . Jungle dwellers do not grow a set crop. </w:t>
      </w:r>
      <w:r w:rsidRPr="00087A72">
        <w:rPr>
          <w:rStyle w:val="StyleUnderline"/>
        </w:rPr>
        <w:t>They make a small clearing in the forest and plant various species together, imitating nature*inherently an environmentally friendly system that today goes by the name ‘‘permaculture</w:t>
      </w:r>
      <w:r w:rsidRPr="00087A72">
        <w:rPr>
          <w:sz w:val="12"/>
        </w:rPr>
        <w:t xml:space="preserve">.’’ . In the jungle, when an indigenous person hunts a large animal, they do not salt it for storage. Neighbors are called over, and they collectively enjoy the spoils of the individual. An indigenous Quechua person once told me that the chunchos*a pejorative term for jungle dwellers dating back to the Incas*are simply lazy, shoring up his claim with the following anecdote: A rich landowner asked a jungle dweller to clear a stand of forest in exchange for a machete. The landowner was astonished at how well and quickly the native did the job. The rich man handed over the machete in payment and said, ‘‘I’ve got a deal for you. Clear another fourth of what you just did, and I’ll give you another machete.’’ Leaving, the perplexed native responded, ‘‘I only have one right hand. What would I use a second machete for?’’ He did not want progress; he just wanted to live. The Quechua narrator of the story interpreted this as laziness. A few years ago, Peru’s diverse jungle-based indigenous groups joined together from the north, the south, and the center of the country into a single struggle to defend nature. In the highlands, we are just two groups*Quechuas and Aymaras* but have been unable to do the same. </w:t>
      </w:r>
      <w:r w:rsidRPr="00087A72">
        <w:rPr>
          <w:rStyle w:val="StyleUnderline"/>
        </w:rPr>
        <w:t>The Amazon’s uncontaminated indigenous peoples have no idea if it is Sunday or Monday, nor do they care. They leave home with a bow and an arrow. If they find something worth hunting, they hunt it; if they find wild fruits, they harvest them. Passing by their garden patch, they might pick some vegetables or make repairs. They go back home not caring about the time. An outside observer would have no clue if it was just a stroll or work. It was life.</w:t>
      </w:r>
    </w:p>
    <w:p w:rsidR="00D005A2" w:rsidRPr="00087A72" w:rsidRDefault="00D005A2" w:rsidP="00D005A2">
      <w:pPr>
        <w:pStyle w:val="Heading3"/>
      </w:pPr>
      <w:r w:rsidRPr="00087A72">
        <w:t>Impact – Gender/Sexuality</w:t>
      </w:r>
    </w:p>
    <w:p w:rsidR="00D005A2" w:rsidRPr="00087A72" w:rsidRDefault="00D005A2" w:rsidP="00D005A2">
      <w:pPr>
        <w:pStyle w:val="Heading4"/>
      </w:pPr>
      <w:r w:rsidRPr="00087A72">
        <w:t xml:space="preserve">Racial, gendered, and sexual formations within the U.S. is tied to the colonial processes of exploitation and oppression. </w:t>
      </w:r>
    </w:p>
    <w:p w:rsidR="00D005A2" w:rsidRPr="00087A72" w:rsidRDefault="00D005A2" w:rsidP="00D005A2">
      <w:r w:rsidRPr="00087A72">
        <w:rPr>
          <w:b/>
          <w:bCs/>
        </w:rPr>
        <w:t xml:space="preserve">Upadhyay 16 </w:t>
      </w:r>
      <w:r w:rsidRPr="00087A72">
        <w:t>(Nishant, Assistant Professor in Women's and Gender Studies at University of Massachusetts Dartmouth, Ph.D. in Graduate Program in Social and Political Thought at York University, South Asian</w:t>
      </w:r>
      <w:r w:rsidRPr="00087A72">
        <w:rPr>
          <w:i/>
        </w:rPr>
        <w:t xml:space="preserve"> “We’ll Sail Like Columbus”: Race, Indigeneity, Settler Colonialism, and the Making of South Asian Diasporas in Canada.</w:t>
      </w:r>
      <w:r w:rsidRPr="00087A72">
        <w:t xml:space="preserve"> pp. 187-190) OD</w:t>
      </w:r>
    </w:p>
    <w:p w:rsidR="00D005A2" w:rsidRPr="00087A72" w:rsidRDefault="00D005A2" w:rsidP="00D005A2">
      <w:pPr>
        <w:rPr>
          <w:sz w:val="12"/>
        </w:rPr>
      </w:pPr>
      <w:r w:rsidRPr="00087A72">
        <w:rPr>
          <w:sz w:val="12"/>
        </w:rPr>
        <w:t xml:space="preserve">The capitalist demands of the settler colonial economies created the “intimacies of four continents.” </w:t>
      </w:r>
      <w:r w:rsidRPr="00087A72">
        <w:rPr>
          <w:u w:val="single"/>
        </w:rPr>
        <w:t>The dominant understanding of intimacy as “domestic” came up through the formation of European “modern” subject on the backs of colonial, capitalist, racial and gender 187 processes of exploitation and oppression.</w:t>
      </w:r>
      <w:r w:rsidRPr="00087A72">
        <w:rPr>
          <w:sz w:val="12"/>
        </w:rPr>
        <w:t>5 “</w:t>
      </w:r>
      <w:r w:rsidRPr="00087A72">
        <w:rPr>
          <w:b/>
          <w:iCs/>
          <w:u w:val="single"/>
        </w:rPr>
        <w:t>Domestic” and “material” intimacies are coproduced, and both were integral to colonial processes of managing both public and private spheres of colonized peoples’ lives, which included marriage, family, and sexuality</w:t>
      </w:r>
      <w:r w:rsidRPr="00087A72">
        <w:rPr>
          <w:sz w:val="12"/>
        </w:rPr>
        <w:t xml:space="preserve"> (30). These intimacies produced varying racial, gender, and sexual formations </w:t>
      </w:r>
      <w:r w:rsidRPr="00087A72">
        <w:rPr>
          <w:u w:val="single"/>
        </w:rPr>
        <w:t xml:space="preserve">for the maintenance of white settler economies. </w:t>
      </w:r>
      <w:r w:rsidRPr="00087A72">
        <w:rPr>
          <w:sz w:val="12"/>
        </w:rPr>
        <w:t xml:space="preserve">Roderick A. Ferguson notes these complex intersections in the forming of intimacies: “Nonwhite populations were racialized such that gender and sexual transgressions were not incidental to the production of nonwhite labor, but constitutive of it” (13). </w:t>
      </w:r>
      <w:r w:rsidRPr="00087A72">
        <w:rPr>
          <w:b/>
          <w:iCs/>
          <w:u w:val="single"/>
        </w:rPr>
        <w:t xml:space="preserve">Interraciality was a threat to the maintenance of white supremacy and capitalism in these settler states. </w:t>
      </w:r>
      <w:r w:rsidRPr="00087A72">
        <w:rPr>
          <w:sz w:val="12"/>
        </w:rPr>
        <w:t xml:space="preserve">Jared Sexton contends that interracial sexuality is foundational for racial differences and hierarchies, “the field for its production, contestation, and containment” (Amalgamation Schemes 15). </w:t>
      </w:r>
      <w:r w:rsidRPr="00087A72">
        <w:rPr>
          <w:b/>
          <w:iCs/>
          <w:u w:val="single"/>
        </w:rPr>
        <w:t xml:space="preserve">Thus, racial, gendered, and sexual formations within the Americas are intrinsically connected to colonial and capitalist processes. </w:t>
      </w:r>
      <w:r w:rsidRPr="00087A72">
        <w:rPr>
          <w:sz w:val="12"/>
        </w:rPr>
        <w:t xml:space="preserve">With the emergent racial formations in heteropatriarchal white settler states, the states began to invest in the regulation of interracial and crossracial intimacies to maintain their dominance. In this section, </w:t>
      </w:r>
      <w:r w:rsidRPr="00087A72">
        <w:rPr>
          <w:u w:val="single"/>
        </w:rPr>
        <w:t>I analyse colonial anxieties against interracial intimacies and regulations of the “domestic” sphere of intimacies to understand the critical interweaving of gender, sexuality, race, Blackness and indigeneity in the making of white settler states.</w:t>
      </w:r>
      <w:r w:rsidRPr="00087A72">
        <w:rPr>
          <w:sz w:val="12"/>
        </w:rPr>
        <w:t xml:space="preserve"> I draw from Indigenous feminist critiques of the Indian Act and blood quantum theories, Black critiques of anti-miscegenation laws in the United States and critical race feminist critiques of immigration prohibitions and anti-miscegenation laws. I do so not to equate differing intimacies; rather I seek to historicize interracial intimacies in the U.S. and Canada, and to demonstrate how the settler state has always been obsessed with disciplining and regulating erotics and desires. 5 While this chapter focuses on “domestic” intimacies between Indigenous peoples and South Asians in Canada, Chapter 5 examines the formations of “material” intimacies more closely. 188 In the Introduction, I illustrated how </w:t>
      </w:r>
      <w:r w:rsidRPr="00087A72">
        <w:rPr>
          <w:b/>
          <w:iCs/>
          <w:u w:val="single"/>
        </w:rPr>
        <w:t>Indigenous feminists theorize heteropatriarchal processes and violences as one of the primary tools of colonization used by white settler states</w:t>
      </w:r>
      <w:r w:rsidRPr="00087A72">
        <w:rPr>
          <w:sz w:val="12"/>
        </w:rPr>
        <w:t xml:space="preserve">. Anishinaabekwe/Nehayowak writer Tara Williamson, in drawing connections between colonialism and gender violence, further elaborates on this relation: Bonita Lawrence further illustrates the links between Native women’s sexuality and colonialism (“Real” Indians and Others). Analysing the Indian Act, Lawrence argues that </w:t>
      </w:r>
      <w:r w:rsidRPr="00087A72">
        <w:rPr>
          <w:u w:val="single"/>
        </w:rPr>
        <w:t>the settler state imposed definitions of Indianness in ways that were negative and discriminatory against Native women</w:t>
      </w:r>
      <w:r w:rsidRPr="00087A72">
        <w:rPr>
          <w:sz w:val="12"/>
        </w:rPr>
        <w:t xml:space="preserve"> (50). In the nineteenth century, the settler state entrenched heteropatriarchy in the Indian Act through series of legislations and acts; and by 1874 the Indian descent was determined exclusively through the male lineage (50). </w:t>
      </w:r>
      <w:r w:rsidRPr="00087A72">
        <w:rPr>
          <w:u w:val="single"/>
        </w:rPr>
        <w:t xml:space="preserve">These gendered violences were embedded in the Act till 1985 when Bill C-31 reinstated peoples who lost their Indian status due to the racist and heteropatriarchal tenets of the Indian Act. </w:t>
      </w:r>
      <w:r w:rsidRPr="00087A72">
        <w:rPr>
          <w:sz w:val="12"/>
        </w:rPr>
        <w:t xml:space="preserve">Lawrence argues: If one takes into account the fact that for every individual who lost status and had to leave her community, all of her descendants (many of them the products of nonstatus Indian fathers and Indian mothers) also lost status and for the most part were permanently alienated from Native culture, the numbers of individuals who ultimately were removed from Indian status and lost to their nation may, at the most conservative estimates, number between one and two million. (55-56) </w:t>
      </w:r>
      <w:r w:rsidRPr="00087A72">
        <w:rPr>
          <w:u w:val="single"/>
        </w:rPr>
        <w:t xml:space="preserve">The Indian Act was a tool of gendered settler violence as it aggressively disciplined Indigenous women’s sexualities and prohibited interracial intimacies. By </w:t>
      </w:r>
      <w:r w:rsidRPr="00087A72">
        <w:rPr>
          <w:sz w:val="12"/>
        </w:rPr>
        <w:t xml:space="preserve">systematically stripping official colonial Indian status of Indigenous women who refused to be governed by the heteropatriarchal settler-state, </w:t>
      </w:r>
      <w:r w:rsidRPr="00087A72">
        <w:rPr>
          <w:u w:val="single"/>
        </w:rPr>
        <w:t>the Indian Act foreclosed the possibilities for intimacies between Indigenous and non-Indigenous peoples</w:t>
      </w:r>
      <w:r w:rsidRPr="00087A72">
        <w:rPr>
          <w:sz w:val="12"/>
        </w:rPr>
        <w:t xml:space="preserve"> (and more specifically between Indigenous and racialized peoples). The violence that is perpetrated against Indigenous women is </w:t>
      </w:r>
      <w:r w:rsidRPr="00087A72">
        <w:rPr>
          <w:u w:val="single"/>
        </w:rPr>
        <w:t>the same violence that is perpetrated against the land in the tar sands is the same violence that sexually assaulted our parents and grandparents in residential school</w:t>
      </w:r>
      <w:r w:rsidRPr="00087A72">
        <w:rPr>
          <w:sz w:val="12"/>
        </w:rPr>
        <w:t xml:space="preserve"> and is the same violence that displaced and tortured our nations during the first invasions. It’s all colonization. It’s all about power. (n.pag.) 189 Mohawk scholar Audra Simpson demonstrates the effects of the Indian Act in the Mohawk nation at Kahnawà:ke. By 1985, Kahnawà:ke had assimilated and incorporated some of the doctrines of the Indian Act, as Simpson observes: “Kahnawà:ke enforced Canada’s rules with respect to the women who married non-Indians, because the rules had become useful to some, men in particular, and perhaps because the power of white men was still threatening” (61). She traces the origins of the blood-quantum code in Kahnawà:ke to the Indian Act and Bill C-31. Before Bill C-31, in the 1970s, many community members were organizing on the questions of intermarriage with whites and membership policy resulting in the passing of the Moratorium on Mixed Marriages in 1981, where if Mohawks married non-Indians they lost status within the nation (62). Moreover, in 1984, the Mohawk Law on Membership was passed, which required all children born to Mohawk parents after 1948 to posses at least fifty percent blood quantum to be recognized as Kahnawà:ke (62). When Bill C-31 was passed in 1985, many in the community saw it as a threat to Mohawk sovereignty. In spite of the dominance of heteropatriarchal logics with the Mohawk nation and the settler state, Simpson illustrates the anti-settler state praxis within the nation</w:t>
      </w:r>
      <w:r w:rsidRPr="00087A72">
        <w:rPr>
          <w:b/>
          <w:iCs/>
          <w:u w:val="single"/>
        </w:rPr>
        <w:t>. Many Mohawk peoples embody a “politics of refusal,”</w:t>
      </w:r>
      <w:r w:rsidRPr="00087A72">
        <w:rPr>
          <w:sz w:val="12"/>
        </w:rPr>
        <w:t xml:space="preserve"> as Simpson elaborates: </w:t>
      </w:r>
      <w:r w:rsidRPr="00087A72">
        <w:rPr>
          <w:b/>
          <w:iCs/>
          <w:u w:val="single"/>
        </w:rPr>
        <w:t>They deploy it as a political and ethical stance that stands in stark contrast to the desire to have one’s distinctiveness as a culture, as a people, recognized</w:t>
      </w:r>
      <w:r w:rsidRPr="00087A72">
        <w:rPr>
          <w:sz w:val="12"/>
        </w:rPr>
        <w:t xml:space="preserve">. Refusal comes with the requirement of having one’s political sovereignty acknowledged and upheld, and raises the questions of legitimacy for those who are usually in the position of recognizing. (11, emphasis in original) Bailey, the Mohawk woman in search of love, from Mohawk Girls, is an example of a Mohawk woman refusing heteropatriarchal laws imposed by her nation as well as the settler state by seeking out non-Native partners. Her desires and sexuality are beyond the boundaries prescribed on her body through centuries of gendered colonialism. </w:t>
      </w:r>
    </w:p>
    <w:p w:rsidR="00D005A2" w:rsidRPr="00087A72" w:rsidRDefault="00D005A2" w:rsidP="00D005A2"/>
    <w:p w:rsidR="00C72150" w:rsidRPr="00087A72" w:rsidRDefault="00C72150" w:rsidP="00D005A2">
      <w:pPr>
        <w:pStyle w:val="Heading3"/>
      </w:pPr>
      <w:r w:rsidRPr="00087A72">
        <w:t>Impact – Genocide</w:t>
      </w:r>
    </w:p>
    <w:p w:rsidR="006D3B3B" w:rsidRPr="00087A72" w:rsidRDefault="006D3B3B" w:rsidP="006D3B3B">
      <w:pPr>
        <w:pStyle w:val="Heading4"/>
      </w:pPr>
      <w:r w:rsidRPr="00087A72">
        <w:t>Ontological genocide impact</w:t>
      </w:r>
    </w:p>
    <w:p w:rsidR="006D3B3B" w:rsidRPr="00087A72" w:rsidRDefault="006D3B3B" w:rsidP="006D3B3B">
      <w:r w:rsidRPr="00087A72">
        <w:rPr>
          <w:rStyle w:val="Style13ptBold"/>
        </w:rPr>
        <w:t>Wilderson 10</w:t>
      </w:r>
      <w:r w:rsidRPr="00087A72">
        <w:t xml:space="preserve"> (Frank, Full Professor of Drama and African American studies at the University of California, Irvine </w:t>
      </w:r>
      <w:r w:rsidRPr="00087A72">
        <w:rPr>
          <w:i/>
        </w:rPr>
        <w:t>Red, White, and Black: Cinema and the Structure of U.S. Antagonisms</w:t>
      </w:r>
      <w:r w:rsidRPr="00087A72">
        <w:t xml:space="preserve"> pp. 193-195) NIJ</w:t>
      </w:r>
    </w:p>
    <w:p w:rsidR="006D3B3B" w:rsidRPr="00087A72" w:rsidRDefault="006D3B3B" w:rsidP="006D3B3B">
      <w:pPr>
        <w:rPr>
          <w:sz w:val="12"/>
        </w:rPr>
      </w:pPr>
      <w:r w:rsidRPr="00087A72">
        <w:rPr>
          <w:sz w:val="12"/>
        </w:rPr>
        <w:t xml:space="preserve">At this point in the film it becomes clear to us that </w:t>
      </w:r>
      <w:r w:rsidRPr="00087A72">
        <w:rPr>
          <w:rStyle w:val="StyleUnderline"/>
        </w:rPr>
        <w:t xml:space="preserve">the topography of Mogie Yellow Lodge’s body is the place where “vectors of death” </w:t>
      </w:r>
      <w:r w:rsidRPr="00087A72">
        <w:rPr>
          <w:sz w:val="12"/>
        </w:rPr>
        <w:t xml:space="preserve">(Churchill, A Little Matter of Genocide) </w:t>
      </w:r>
      <w:r w:rsidRPr="00087A72">
        <w:rPr>
          <w:rStyle w:val="StyleUnderline"/>
        </w:rPr>
        <w:t>meet. His body is the hub of these vectors of death. As such, “terminal” takes on a double meaning. It is the space of death, a place where multiple deaths meet, unnaming the named place, decomposing it as dead, unrepresentable space. And it is a time of death, that is, the destruction of temporality.</w:t>
      </w:r>
      <w:r w:rsidRPr="00087A72">
        <w:rPr>
          <w:sz w:val="12"/>
        </w:rPr>
        <w:t xml:space="preserve"> </w:t>
      </w:r>
      <w:r w:rsidRPr="00087A72">
        <w:rPr>
          <w:rStyle w:val="Emphasis"/>
        </w:rPr>
        <w:t>Mogie Yellow Lodge is not only terminal but he was terminal prior to his burns, a time and space of genocide long before Rudy set fire to the liquor store—five hundred years before, to be exact.</w:t>
      </w:r>
      <w:r w:rsidRPr="00087A72">
        <w:rPr>
          <w:sz w:val="12"/>
        </w:rPr>
        <w:t xml:space="preserve"> The exchange between Rudy and Dr. Fitzgerald catches the hubris of Rudy’s sovereign agency off guard. Even if the script does not intend this painful comeuppance, the film’s spectator experiences the information that Dr. Fitzgerald imparts to Rudy like a punctuation mark at the end of a sentence: what has gone before begins to make sense, albeit in a less than conscious fashion. </w:t>
      </w:r>
      <w:r w:rsidRPr="00087A72">
        <w:rPr>
          <w:rStyle w:val="StyleUnderline"/>
        </w:rPr>
        <w:t>It suddenly becomes clear why Mogie’s power of spectator interpellation is greater than Rudy’s when the two are on screen together. Mogie is the “living” embodiment of death, where as Rudy is the living embodiment of culture. The authenticity of culture (i.e., sovereignty) is always contested; whereas death is beyond contestation for it is beyond the symbolic. When Mogie appears on screen, we must turn and look away. No one wants to die, or, more precisely, be “hailed” by this body of bits and pieces of death. Nonetheless we are compelled and riveted to his every word and gesture, fixed by Mogie’s authority, an authority derived from the universality of his authenticity. And Mogie’s universal authenticity is not founded on the statement, We all have our cultures, but rather on the statement, We will all be dead.</w:t>
      </w:r>
      <w:r w:rsidRPr="00087A72">
        <w:rPr>
          <w:sz w:val="12"/>
        </w:rPr>
        <w:t xml:space="preserve"> </w:t>
      </w:r>
      <w:r w:rsidRPr="00087A72">
        <w:rPr>
          <w:rStyle w:val="Emphasis"/>
        </w:rPr>
        <w:t>Mogie Yellow Lodge is one of two creatures in the Western Hemisphere (the “Savage” and the Slave) for whom death is the meaning of life. Many generations before Mogie was a were burn victim he was a victim of gratuitous violence, violence beyond the scope of symbolism and its powers of comprehension</w:t>
      </w:r>
      <w:r w:rsidRPr="00087A72">
        <w:rPr>
          <w:sz w:val="12"/>
        </w:rPr>
        <w:t xml:space="preserve">… [A]t Wounded Knee…three hundred and fifty-odd unarmed terrified immobilized Lakota were rained with Hotchkiss guns by a reconstituted 7 th Calvary and blown to pieces. They were chasing children three miles up snow-filled ravines in order to hack them apart with sabers and hatchets at the end; and then dragged them back to the concentration point [where they were] carefully counted and dumped them into a mass grave. (Churchill: Book Tour Speech July 31, 2004) </w:t>
      </w:r>
      <w:r w:rsidRPr="00087A72">
        <w:rPr>
          <w:rStyle w:val="StyleUnderline"/>
        </w:rPr>
        <w:t>…violence too immense for sovereignty’s imaginary of cultural restoration</w:t>
      </w:r>
      <w:r w:rsidRPr="00087A72">
        <w:rPr>
          <w:sz w:val="12"/>
        </w:rPr>
        <w:t xml:space="preserve">, the cinematic labor which Rudy’s character is called upon to perform. </w:t>
      </w:r>
      <w:r w:rsidRPr="00087A72">
        <w:rPr>
          <w:rStyle w:val="StyleUnderline"/>
        </w:rPr>
        <w:t>Not only is Mogie’s condition always already terminal, but the violence that precipitates his condition exceeds and anticipates any individuated, representable, or nameable violence</w:t>
      </w:r>
      <w:r w:rsidRPr="00087A72">
        <w:rPr>
          <w:sz w:val="12"/>
        </w:rPr>
        <w:t xml:space="preserve"> such as, in this case, Rudy’s act of arson. </w:t>
      </w:r>
      <w:r w:rsidRPr="00087A72">
        <w:rPr>
          <w:rStyle w:val="StyleUnderline"/>
        </w:rPr>
        <w:t>Genocide is not a name for violence in the way that “arson” is; genocide is a linguistic placeholder connoting that violence which outstrips the power of connotation. To represent it we have to dismantle it, pretend that we can identify its component parts, force a name into its hole— macrocytes, spur cells, kidneys at half-throttle, a thoroughly ulcerated stomach, Wounded Knee, Sand Creek—and make it what it is not, the way one fills the tucked sleeve of a one-armed boy. But these fillers, these phantom limbs of connotation, can only be imagined separately, and as such they take on the ruse of items that science, love, aesthetics, or justice—some form of symbolic intervention—can attend to and set right. They become treatable, much like the massacre at Wounded Knee were it not for the fact that to comprehend Wounded Knee, three hundred-plus men, women, and children in a snow-filled ravine, one must comprehend those three hundred synchronically over three thousand miles (the forty-eight contiguous States) and diachronically over five hundred years. Here, madness sets in and the promises of symbolic intervention turn to dust. We are returned to the time and space of no time and space, the “terminal.”</w:t>
      </w:r>
      <w:r w:rsidRPr="00087A72">
        <w:rPr>
          <w:sz w:val="12"/>
        </w:rPr>
        <w:t xml:space="preserve"> Mogie Yellow Lodge is a refusal of such symbolic assistance; he laughs, sardonically, in the face of its bad faith.</w:t>
      </w:r>
    </w:p>
    <w:p w:rsidR="00D66B35" w:rsidRPr="00087A72" w:rsidRDefault="00D66B35" w:rsidP="00D66B35">
      <w:pPr>
        <w:pStyle w:val="Heading4"/>
      </w:pPr>
      <w:r w:rsidRPr="00087A72">
        <w:t>Settler colonialism is defined by an ongoing relationship to violence and genocide through the biological and social extermination of Indigenous life.</w:t>
      </w:r>
    </w:p>
    <w:p w:rsidR="00D66B35" w:rsidRPr="00087A72" w:rsidRDefault="00D66B35" w:rsidP="00D66B35">
      <w:pPr>
        <w:rPr>
          <w:rStyle w:val="Style13ptBold"/>
        </w:rPr>
      </w:pPr>
      <w:r w:rsidRPr="00087A72">
        <w:rPr>
          <w:rStyle w:val="Style13ptBold"/>
        </w:rPr>
        <w:t xml:space="preserve">Short 16 </w:t>
      </w:r>
      <w:r w:rsidRPr="00087A72">
        <w:t>(Damien, a reader in human rights and director of the Human Rights Consortium and Extreme Energy Initiative at the School of Advanced Study, University of London. He is also Editor in Chief of the International Journal of Human Rights. “Redefining Genocide Settler Colonialism, Social Death and Ecocide.” Pp. 23-25)</w:t>
      </w:r>
    </w:p>
    <w:p w:rsidR="00D66B35" w:rsidRPr="00087A72" w:rsidRDefault="00D66B35" w:rsidP="00D66B35">
      <w:r w:rsidRPr="00087A72">
        <w:t xml:space="preserve">Lemkin and settler colonialism Out of the two definitions that Lemkin helped to create, the legal definition has, inevitably, been the predominant definition of genocide. Furthermore, the fact that </w:t>
      </w:r>
      <w:r w:rsidRPr="00087A72">
        <w:rPr>
          <w:rStyle w:val="StyleUnderline"/>
        </w:rPr>
        <w:t>the genocide concept was formed during the context of the Second World War ensured that the Holocaust deeply influenced its conception and the subsequent understanding of the term by scholars</w:t>
      </w:r>
      <w:r w:rsidRPr="00087A72">
        <w:t>. Indeed, views such as that the Holocaust is the ‘ultimate expression’ (Horowitz 1982, cited in Curthoys and Docker 2008: 27) of genocide has led to it commonly being the example case that other potential genocides are compared against. Despite the important sociological interventions mentioned above, by the mid-1980s the perception that genocide ‘equals mass murder’ was ‘an orthodoxy of sorts’.20 Shaw concurs with this view: ‘because Genocide has been narrowed down to Nazi-like extermination policies, few recent cases have been recognised’. Only that of Rwanda (1994) has been overwhelmingly accepted, since it involved physical destruction (Shaw 2007: 48) and the designated perpetrator regime was no friend of the international community’s power brokers. For Moses, this reductionist interpretation of genocide dismisses the validity of the experience of other genocide victims: ‘</w:t>
      </w:r>
      <w:r w:rsidRPr="00087A72">
        <w:rPr>
          <w:rStyle w:val="StyleUnderline"/>
        </w:rPr>
        <w:t>the establishment of the Holocaust as the threshold of trauma in western modernity conveniently renders invisible the experience of trauma that has driven the vengeful yet redemptive politics of minorities and displaced peoples for centuries,</w:t>
      </w:r>
      <w:r w:rsidRPr="00087A72">
        <w:t xml:space="preserve"> including, significantly, the Palestinian one’ (Moses 2011: 13). This trend has meant that ‘from a legal perspective, genocide unaccompanied by mass killing is rare, and has stood little chance of being prosecuted’ (Jones 2006: 13). However, it is significant that it isn’t actually necessary for anyone to be killed in order for genocide to take place under the Genocide Convention’s definition. So, rather than prioritizing mass killings; Lemkin’s focus lay with the destruction of the rudiments of social and cultural existence: Generally speaking, genocide does not necessarily mean the immediate destruction of a nation, except when accomplished by mass killing of all members of a nation. It is intended rather to signify a coordinated plan of different actions aiming at the destruction of the essential foundations of the life of national groups, with the aim of annihilating the groups themselves. The objectives of such a plan would be disintegration of the political and social institutions of culture, language, national feelings, religion, and the economic existence of national groups, and the destruction of the personal security, liberty, health, dignity, and even the lives of the individuals belonging to such groups. Genocide is directed against the national group as an entity, and the actions involved are directed against individuals, not in their individual capacity, but as members of the national group. (Lemkin 1944: 79, emphasis added) A key strand of recent genocide scholarship focuses on the link Lemkin made between colonization processes21 and genocidal practices,22 at the heart of which is an understanding of the importance of territory as a primary cause of violence (Zimmerer 2014: 273). As Jürgen Zimmerer points out, </w:t>
      </w:r>
      <w:r w:rsidRPr="00087A72">
        <w:rPr>
          <w:rStyle w:val="StyleUnderline"/>
        </w:rPr>
        <w:t xml:space="preserve">Space is a finite quantity for which people </w:t>
      </w:r>
      <w:r w:rsidRPr="00087A72">
        <w:t xml:space="preserve">(by definition indefinite in their numbers) </w:t>
      </w:r>
      <w:r w:rsidRPr="00087A72">
        <w:rPr>
          <w:rStyle w:val="StyleUnderline"/>
        </w:rPr>
        <w:t>compete.</w:t>
      </w:r>
      <w:r w:rsidRPr="00087A72">
        <w:t xml:space="preserve"> </w:t>
      </w:r>
      <w:r w:rsidRPr="00087A72">
        <w:rPr>
          <w:rStyle w:val="StyleUnderline"/>
        </w:rPr>
        <w:t>The need for land can be real or imagined</w:t>
      </w:r>
      <w:r w:rsidRPr="00087A72">
        <w:t xml:space="preserve"> (it can include imaginative landscapes, for example, plans for settlements, economic or agricultural use, or fear of land shortage). </w:t>
      </w:r>
      <w:r w:rsidRPr="00087A72">
        <w:rPr>
          <w:rStyle w:val="StyleUnderline"/>
        </w:rPr>
        <w:t xml:space="preserve">Early globalisation in the form of European colonialism affected this in </w:t>
      </w:r>
      <w:r w:rsidRPr="00087A72">
        <w:t>three ways:</w:t>
      </w:r>
      <w:r w:rsidRPr="00087A72">
        <w:rPr>
          <w:rStyle w:val="StyleUnderline"/>
        </w:rPr>
        <w:t xml:space="preserve"> The movement of people</w:t>
      </w:r>
      <w:r w:rsidRPr="00087A72">
        <w:t xml:space="preserve"> (settlement), the inclusion of distant regions in the emerging world economy (agriculture, mining, hunting, trading with certain impacts on people living there) and an increase in communication over vast distances (exchange of personnel, representations, learning experiences) </w:t>
      </w:r>
      <w:r w:rsidRPr="00087A72">
        <w:rPr>
          <w:rStyle w:val="Emphasis"/>
        </w:rPr>
        <w:t>… Colonialism, in particular settler colonialism, can be seen as the control of space (land) on the basis of race. It is – if nothing else – land grabbing by the colonisers on a truly global scale. Genocidal violence accompanied the colonial settlement process, particularly in settler colonies</w:t>
      </w:r>
      <w:r w:rsidRPr="00087A72">
        <w:t xml:space="preserve">. (Ibid.: 273) </w:t>
      </w:r>
      <w:r w:rsidRPr="00087A72">
        <w:rPr>
          <w:rStyle w:val="StyleUnderline"/>
        </w:rPr>
        <w:t>Racist colonial ideologies of ‘superiority’ and ‘progress’ served land grabs by placing the indigenous inhabitants outside the sphere of moral concern</w:t>
      </w:r>
      <w:r w:rsidRPr="00087A72">
        <w:t xml:space="preserve">. It’s important to note, however, that the primary driver of colonial genocide is an expansionist economic system, which rationally requires more and more territory to control and exploit. In this sense rational (economic) choice is facilitated </w:t>
      </w:r>
      <w:r w:rsidRPr="00087A72">
        <w:rPr>
          <w:rStyle w:val="StyleUnderline"/>
        </w:rPr>
        <w:t>by ideology and not driven by it (ibid.: 275). When Lemkin defined the genocide concept, he defined it as ‘intrinsically colonial’ (Moses 2008: 9). Indeed, he stated that once the ‘national pattern’ of a victim group had been destroyed, the act of genocide involved the imposition of the ‘national pattern’ of the colonial oppressor, while the oppressed population can be allowed to remain following the colonization of the area by the oppressor’s own national</w:t>
      </w:r>
      <w:r w:rsidRPr="00087A72">
        <w:t>s (Lemkin 1944: 79). Taking up this connection, some contemporary writers such as Churchill (in Jones 2004: 80) concur that where the practice of imposing the ‘national pattern’ of the colonial oppressor is the result of ‘policy’, it should indeed be considered genocidal. Jean-Paul Sartre stated that ‘</w:t>
      </w:r>
      <w:r w:rsidRPr="00087A72">
        <w:rPr>
          <w:rStyle w:val="StyleUnderline"/>
        </w:rPr>
        <w:t>Colonialization is … necessarily a cultural genocide’</w:t>
      </w:r>
      <w:r w:rsidRPr="00087A72">
        <w:t xml:space="preserve"> (Sartre 1967). This view has since been expanded by others such as Card, who describes genocide as </w:t>
      </w:r>
      <w:r w:rsidRPr="00087A72">
        <w:rPr>
          <w:rStyle w:val="StyleUnderline"/>
        </w:rPr>
        <w:t>a ‘social death’</w:t>
      </w:r>
      <w:r w:rsidRPr="00087A72">
        <w:t xml:space="preserve"> (Card 2003). For Abed, it is this ‘social death’ that makes acts genocidal (Abed 2006). This focus on the genocidal nature of destroying a group culture is, as we have seen, similar to Lemkin’s own position. He wrote: ‘the destruction of cultural symbols is genocide’ (Lemkin, cited in Moses 2008: 12). To destroy their function ‘menaces the existence of the social group which exists by virtue of its common culture’ (ibid.). Lemkin also recognized that national groups do not last for ever, and differentiated between cultural change and cultural genocide, when nations either ‘fade away after having exhausted their spiritual and physical energies’ (Lemkin, cited in Moses 2010) or ‘when they are murdered on the highway of world history. Dying of age or disease is a disaster but genocide is a crime’ (ibid.).</w:t>
      </w:r>
    </w:p>
    <w:p w:rsidR="00C72150" w:rsidRPr="00087A72" w:rsidRDefault="00C72150" w:rsidP="00C72150">
      <w:pPr>
        <w:pStyle w:val="Heading4"/>
      </w:pPr>
      <w:r w:rsidRPr="00087A72">
        <w:t>Historical exploitation and disadvantaged living conditions based on separation policies and toxic environments has disregarded life and further operationalizes the genocide occurring</w:t>
      </w:r>
    </w:p>
    <w:p w:rsidR="00C72150" w:rsidRPr="00087A72" w:rsidRDefault="00C72150" w:rsidP="00C72150">
      <w:pPr>
        <w:spacing w:before="240"/>
        <w:rPr>
          <w:b/>
          <w:sz w:val="26"/>
          <w:szCs w:val="26"/>
        </w:rPr>
      </w:pPr>
      <w:r w:rsidRPr="00087A72">
        <w:t>(</w:t>
      </w:r>
      <w:r w:rsidRPr="00087A72">
        <w:rPr>
          <w:b/>
          <w:sz w:val="26"/>
          <w:szCs w:val="26"/>
        </w:rPr>
        <w:t>Nunn 18 (</w:t>
      </w:r>
      <w:r w:rsidRPr="00087A72">
        <w:rPr>
          <w:rFonts w:cs="Arial"/>
          <w:color w:val="404040"/>
          <w:sz w:val="20"/>
          <w:szCs w:val="20"/>
          <w:shd w:val="clear" w:color="auto" w:fill="FFFFFF"/>
        </w:rPr>
        <w:t>, Neil Nunn, University of Victoria, 2011</w:t>
      </w:r>
      <w:r w:rsidRPr="00087A72">
        <w:rPr>
          <w:rFonts w:cs="Arial"/>
          <w:color w:val="404040"/>
          <w:sz w:val="20"/>
          <w:szCs w:val="20"/>
        </w:rPr>
        <w:t xml:space="preserve"> ,</w:t>
      </w:r>
      <w:r w:rsidRPr="00087A72">
        <w:rPr>
          <w:rFonts w:cs="Arial"/>
          <w:color w:val="404040"/>
          <w:sz w:val="20"/>
          <w:szCs w:val="20"/>
          <w:shd w:val="clear" w:color="auto" w:fill="FFFFFF"/>
        </w:rPr>
        <w:t xml:space="preserve">B.A., Human Geography, Simon Fraser University,  Toxic Encounters, Settler Logics of Elimination, and the Future of a Continent 2008 publish </w:t>
      </w:r>
      <w:r w:rsidRPr="00087A72">
        <w:rPr>
          <w:rFonts w:cs="Arial"/>
          <w:color w:val="1C1D1E"/>
          <w:sz w:val="21"/>
          <w:szCs w:val="21"/>
          <w:shd w:val="clear" w:color="auto" w:fill="FFFFFF"/>
        </w:rPr>
        <w:t>10 June 2018,  PP- 5-9</w:t>
      </w:r>
    </w:p>
    <w:p w:rsidR="00C72150" w:rsidRPr="00087A72" w:rsidRDefault="00C72150" w:rsidP="00C72150"/>
    <w:p w:rsidR="00C72150" w:rsidRPr="00087A72" w:rsidRDefault="00C72150" w:rsidP="00C72150">
      <w:r w:rsidRPr="00087A72">
        <w:rPr>
          <w:rStyle w:val="StyleUnderline"/>
        </w:rPr>
        <w:t>How do we make a living from the earth without destroying it? How do we maintain a culture in a swiftly shifting world? How do we continue our way of life when there are activities in our Traditional Land Use Area that threatens our Aboriginal and Treaty Rights? These questions will not go away. Leaving them unanswered means others will speak in our silence</w:t>
      </w:r>
      <w:r w:rsidRPr="00087A72">
        <w:t xml:space="preserve">. (Elder John Fobister, Grassy Narrows First Nation) The above message from Elder John Fobister welcomes visitors to the Grassy Narrows Nation’s home page. When read with </w:t>
      </w:r>
      <w:r w:rsidRPr="00087A72">
        <w:rPr>
          <w:rStyle w:val="StyleUnderline"/>
        </w:rPr>
        <w:t>knowledge of the history of the Nation, the message says much. It speaks of creative anti-colonial approaches to address the structures that have fractured sacred, millennia-spanning relationships with their territory</w:t>
      </w:r>
      <w:r w:rsidRPr="00087A72">
        <w:t xml:space="preserve">. It speaks of an incessant patriarchal power that seeks to usurp the Nation’s sovereignty. </w:t>
      </w:r>
      <w:r w:rsidRPr="00087A72">
        <w:rPr>
          <w:rStyle w:val="StyleUnderline"/>
        </w:rPr>
        <w:t>It communicates that in the face of incredible toxic affronts, this Nation, like so many across Canada and around the world, refuses the too widely accepted fallacy (that is taught in schools and churches) of being conquered</w:t>
      </w:r>
      <w:r w:rsidRPr="00087A72">
        <w:t xml:space="preserve"> (Thobani 2007). Grassy Narrows (Asubpeeschoseewagong) First Nation is an Ojibwe Annishnaabeg Nation located in Northern Ontario with a population of 1511 people (Grassy Narrows 2018). The nation is situated in Treaty 3 territory approximately 90 km north of Kenora, 300 km east of Winnipeg in a part of Turtle Island known for its vast and interconnected lakes, river systems and evergreen forests (Da Silva Toxic Encounters and Settler Logics of Elimination 5 ª 2018 The Author. Antipode ª 2018 Antipode Foundation Ltd. 2010; Shkilnyk 1985; Vecsey 1987; Willow 2010, 2011). Like </w:t>
      </w:r>
      <w:r w:rsidRPr="00087A72">
        <w:rPr>
          <w:rStyle w:val="StyleUnderline"/>
        </w:rPr>
        <w:t>most Indigenous communities across Turtle Island, Grassy Narrows has endured and resisted centuries of coercion, exploitation, and death at the hand of colonial bodies and institutions. These include their own history of forced relocation, unconsented resource extraction on their treaty lands, and today mercury contamination across their traditional territories.</w:t>
      </w:r>
      <w:r w:rsidRPr="00087A72">
        <w:t xml:space="preserve"> The opening of the Dryden paper plant in 1952 marked </w:t>
      </w:r>
      <w:r w:rsidRPr="00087A72">
        <w:rPr>
          <w:rStyle w:val="StyleUnderline"/>
        </w:rPr>
        <w:t>the beginning of an era of toxic disregard for life</w:t>
      </w:r>
      <w:r w:rsidRPr="00087A72">
        <w:t xml:space="preserve"> in the region (Da Silva 2010). </w:t>
      </w:r>
      <w:r w:rsidRPr="00087A72">
        <w:rPr>
          <w:rStyle w:val="StyleUnderline"/>
        </w:rPr>
        <w:t>It is estimated that between 1962 and 1969, the Dryden Paper Mill released approximately 10 tonnes of mercury into the Wabigoon River</w:t>
      </w:r>
      <w:r w:rsidRPr="00087A72">
        <w:t xml:space="preserve">, 100 km upstream from Grassy Narrows (Rudd et al. 2016). </w:t>
      </w:r>
      <w:r w:rsidRPr="00087A72">
        <w:rPr>
          <w:rStyle w:val="StyleUnderline"/>
        </w:rPr>
        <w:t>The contamination was ﬁrst detected in 1972 when community members started noticing an unusual amount of dead ﬁsh ﬂoating to the surface of rivers and lakes; today, streams and waterways adjacent to Grassy Narrows remain at lethal levels</w:t>
      </w:r>
      <w:r w:rsidRPr="00087A72">
        <w:t xml:space="preserve"> (Da Silva 2010). </w:t>
      </w:r>
      <w:r w:rsidRPr="00087A72">
        <w:rPr>
          <w:rStyle w:val="StyleUnderline"/>
        </w:rPr>
        <w:t>Three generations of Grassy Narrows people, including children, continue to be diagnosed with the life-altering illness related to mercury pollution, like various types of cancer and Alzheimer’s and Parkinson’s diseases</w:t>
      </w:r>
      <w:r w:rsidRPr="00087A72">
        <w:t xml:space="preserve"> (PSAC AFPC 2016). Judy Da Silva, a community advocate and resident of Grassy Narrows, describes her people as ”river people” who have historically ”lived from the water”. For these reasons, I refuse to believe that it is hyperbole when Judy Da Silva likens this toxic contamination to a genocide of her people (Da Silva 2010; PSAC AFPC 2016). </w:t>
      </w:r>
      <w:r w:rsidRPr="00087A72">
        <w:rPr>
          <w:rStyle w:val="StyleUnderline"/>
        </w:rPr>
        <w:t>This history of toxicity, however, cannot be understood simply through the lens of chemical contamination since the poisoning of her people and traditional territory are embedded with histories of political control and expressions of toxic disregard for Indigenous life</w:t>
      </w:r>
      <w:r w:rsidRPr="00087A72">
        <w:t xml:space="preserve">. Take Grassy Narrows’ own history of forcible relocation for example. Through the 1960s the Federal Government relocated the community of Grassy Narrows from a remote resource-rich area of islands and peninsulas to a location with limited access to traditional resources, ﬁve miles inland on a main logging road. The location of the new site had poor soils for food cultivation and lacked spiritual signiﬁcance, in part due to the tight layout of the houses, speaking to the extent to which the relocation disregarded preexisting traditions and social structures and disrupted sacred relationships and ancestral practices of care and reciprocity (Shkilnyk 1985; Vecsey 1987), contributing to what Barker (2017:7) describes as the all-too-familiar </w:t>
      </w:r>
      <w:r w:rsidRPr="00087A72">
        <w:rPr>
          <w:rStyle w:val="StyleUnderline"/>
        </w:rPr>
        <w:t>”imperial-colonial” processes that ”operationalize genocide and dispossession by ideologically and discursively vacating the Indigenous from the Indigenous”. Unsurprisingly, this vacating of Indigenousness has assisted broader state goals of unfettered access to land for both the extraction of capital and usage as a toxic dumping ground in the service of generating capital</w:t>
      </w:r>
      <w:r w:rsidRPr="00087A72">
        <w:t xml:space="preserve">. </w:t>
      </w:r>
      <w:r w:rsidRPr="00087A72">
        <w:rPr>
          <w:rStyle w:val="StyleUnderline"/>
        </w:rPr>
        <w:t>Given that socio-economic, cultural, and spiritual practices are central to how the people of Grassy Narrows come to exist in the world, these various forms of cultural, social, and spiritual death, cannot be understood outside physical health effects from the industrial mercury contamination</w:t>
      </w:r>
      <w:r w:rsidRPr="00087A72">
        <w:t xml:space="preserve">. But ﬁrst, it is important to acknowledge that rarely, if ever, have </w:t>
      </w:r>
      <w:r w:rsidRPr="00087A72">
        <w:rPr>
          <w:rStyle w:val="StyleUnderline"/>
        </w:rPr>
        <w:t>these manifestations of colonial constraint not been met with diverse and persistent forms of counterhegemonic resistance</w:t>
      </w:r>
      <w:r w:rsidRPr="00087A72">
        <w:t xml:space="preserve">. The history of Grassy Narrows is exemplary of this point. Grassy Narrows is home to the longest standing roadblock in Canada that has been in place since 2002 (Barker and Ross 2017; Da Silva 2010; Wallace 2010). In 2011, the Nation won a decade-long court battle against the province of Ontario that ruled against logging on their treaty territory. In recent years, a signiﬁcant portion of resistance efforts have been oriented towards making industry and government accountable for the mercury contamination on their territory. Resistance to these structures, according to Willow (2010:53), is an act of honouring traditions of care that have been fostered since time immemorial,and represents the strength of the Anishinaabe past and her determination to carry this past into a vibrant future”. Of course, underscoring the vitality of Grassy Narrows’ resistance, does not lessen the egregiousness of the sneaky and surreptitious methods employed to inﬂict violence on the Nation. Speaking to the egregiousness of this violence and the importance of understanding toxicity in relation to capital production, governance, and sovereignty, recently unearthed archival documents show that in 1983, following the release of a government-led environmental analysis (Wabigoon-English River Mercury Study Steering Committee 1983), the Minister of the Environment urged the cabinet and provincial government to clean up the contamination. This recommendation, however, was ignored by both the federal and provincial governments at the time (Poisson and Bruser 2016; Porter 2016; Rudd et al. 2016). And </w:t>
      </w:r>
      <w:r w:rsidRPr="00087A72">
        <w:rPr>
          <w:rStyle w:val="StyleUnderline"/>
        </w:rPr>
        <w:t>while it is disturbing that in 1983 there was little, if any, response to the Minister of the Environment’s recommendation that the river should be cleaned up, it is equally as disturbing that there has only been movement towards cleaning up the contamination since the case has gained global media attention. In this case, sadly, lives only become valued as such when the news of their disavowal serves to threaten the support from the polity that constitutes the foundation for sovereign rule</w:t>
      </w:r>
      <w:r w:rsidRPr="00087A72">
        <w:t xml:space="preserve"> (Rifkin 2009). At a speech to the Ontario Legislative Assembly, in June 2016, Ontario’s Premier Kathleen Wynn announced: ”I am willing to look for ways to remediate the situation, if that is at all possible. I’m deadly serious about this. I want this to happen” (Bruser and Benzie 2016). ”Deadly serious”—an interesting choice of words from someone who is the most recent of a line of government leaders who have demonstrated a disregard for the health and well-being of the Grassy Narrows people. </w:t>
      </w:r>
      <w:r w:rsidRPr="00087A72">
        <w:rPr>
          <w:rStyle w:val="StyleUnderline"/>
        </w:rPr>
        <w:t>This blatant disavowal of lives and livelihoods of the people</w:t>
      </w:r>
      <w:r w:rsidRPr="00087A72">
        <w:t xml:space="preserve"> at Grassy Narrows </w:t>
      </w:r>
      <w:r w:rsidRPr="00087A72">
        <w:rPr>
          <w:rStyle w:val="StyleUnderline"/>
        </w:rPr>
        <w:t>is disturbing</w:t>
      </w:r>
      <w:r w:rsidRPr="00087A72">
        <w:t xml:space="preserve">. However, as this paper suggests, </w:t>
      </w:r>
      <w:r w:rsidRPr="00087A72">
        <w:rPr>
          <w:rStyle w:val="StyleUnderline"/>
        </w:rPr>
        <w:t>the solutions for this history of genocide extends well beyond the recklessness of industry or a long line of disavowal by governing bodies through the history of the contamination. Addressing these toxic colonial systems requires examining and attempting to understand larger structures, value systems, and ideologies that shape these toxic encounters</w:t>
      </w:r>
      <w:r w:rsidRPr="00087A72">
        <w:t xml:space="preserve">. How, then, might we </w:t>
      </w:r>
      <w:r w:rsidRPr="00087A72">
        <w:rPr>
          <w:rStyle w:val="StyleUnderline"/>
        </w:rPr>
        <w:t>better understand this disregard for the health and well-being of this community as entangled with other forms of toxic disregard for life and existing as part of a tightly knit web of sociopolitical life that characterises settler colonialism</w:t>
      </w:r>
      <w:r w:rsidRPr="00087A72">
        <w:t xml:space="preserve">? To answer this question, </w:t>
      </w:r>
      <w:r w:rsidRPr="00087A72">
        <w:rPr>
          <w:rStyle w:val="StyleUnderline"/>
        </w:rPr>
        <w:t>it is helpful to take a step back to acknowledge the broader ideological frameworks, logics, and mythologies that have underpinned the settler colonial project</w:t>
      </w:r>
      <w:r w:rsidRPr="00087A72">
        <w:t xml:space="preserve">. Through the 15th and 16th centuries, like today, beliefs of European cultural and moral superiority were so deeply steeped in to the settler colonial project that they were incorporated into law. The Doctrine of Discovery is a legal doctrine that was fundamental to the age of discovery as it granted </w:t>
      </w:r>
      <w:r w:rsidRPr="00087A72">
        <w:rPr>
          <w:rStyle w:val="StyleUnderline"/>
        </w:rPr>
        <w:t>Christian colonial bodies the powers to dispossess non-Christians of their ”dominium, their governmental sovereignty and their property</w:t>
      </w:r>
      <w:r w:rsidRPr="00087A72">
        <w:t xml:space="preserve">” (Miller et al. 2010:9) </w:t>
      </w:r>
      <w:r w:rsidRPr="00087A72">
        <w:rPr>
          <w:rStyle w:val="StyleUnderline"/>
        </w:rPr>
        <w:t>by claiming the lands to be terra nullius, or empty and free to be discovered. This so-called ”divine mandate” provided a legal justiﬁcation, framed through the language of ”duty” and ”responsibility</w:t>
      </w:r>
      <w:r w:rsidRPr="00087A72">
        <w:t xml:space="preserve">” (Borrows 2015:724), to intervene with those perceived as secular inﬁdels. Given that lands were clearly not empty of human sovereignty, </w:t>
      </w:r>
      <w:r w:rsidRPr="00087A72">
        <w:rPr>
          <w:rStyle w:val="StyleUnderline"/>
        </w:rPr>
        <w:t xml:space="preserve">this framework is premised on the racist belief that Indigenous governance powers were too primitive to legitimately claim sovereignty. This assumption served to reinforce the self-aggrandising views that Europeans were superior to other cultures, religions, and races of the world, and worked to justify the control of Indigenous lands and render Indigenous Nations subjects of the European sovereign without consent or adequate knowledge of these systems </w:t>
      </w:r>
      <w:r w:rsidRPr="00087A72">
        <w:t>(Asch 2002; Borrows 2015; Miller et al. 2010). This international law remains the primary legal precedent that informs native affairs and rights across Canada, the United States, New Zealand, and Australia (Miller et al. 2010), and is upheld in Canadian law through the ”de facto acceptance” that Crown sovereignty historically displaced Indigenous sovereignty ”simply by claiming it as such” Borrows (2015:724). The colonisation of Indigenous peoples in Canada, then, is inseparable from the work that these legal mythologies have done to code Indigenous peoples as anachronistic, non-existent, less-than-human, since these very beliefs are at the core of colonial structures that work to control, dispossess, and kill Indigenous territory and bodies. Building on the work of these still salient legal doctrines</w:t>
      </w:r>
      <w:r w:rsidRPr="00087A72">
        <w:rPr>
          <w:rStyle w:val="StyleUnderline"/>
        </w:rPr>
        <w:t>, to further understand how toxicity manifests itself today</w:t>
      </w:r>
      <w:r w:rsidRPr="00087A72">
        <w:t xml:space="preserve"> it is useful </w:t>
      </w:r>
      <w:r w:rsidRPr="00087A72">
        <w:rPr>
          <w:rStyle w:val="StyleUnderline"/>
        </w:rPr>
        <w:t>to question the broader arch and ambitions that compose the ongoing settler colonial project</w:t>
      </w:r>
      <w:r w:rsidRPr="00087A72">
        <w:t xml:space="preserve">. The colonial context in North America can be characterised as a settler model of colonialism. Whereas other </w:t>
      </w:r>
      <w:r w:rsidRPr="00087A72">
        <w:rPr>
          <w:rStyle w:val="StyleUnderline"/>
        </w:rPr>
        <w:t>forms of colonialism can be understood through the exploitation of labour and capital, settler colonialism is a territorial project that is centred on the accumulation and control of dispossessed land. Because the structure of settler colonialism is such that acquiring territory, and maintaining a sense of legitimacy over the acquired territory is the main concern</w:t>
      </w:r>
      <w:r w:rsidRPr="00087A72">
        <w:t>, and because Indigenous peoples have legitimate claims to desired, capital-rich, territories, they must be eliminated (Wolfe 2011, 2016). Historically, the thirst for land, alongside the naturalisation of Eurowestern value systems, frames Indigenous life and living as a problem (Simpson 2014). While it may be true, as Wolfe (2006:387) puts it, that ”the question of genocide is never far from discussions of settler colonialism”, it is important to return to the point that elimination has not existed simply through outright murder. Forced cultural assimilation projects like residential schooling and child abduction through child ”welfare” programs, and the breaking-down of native title into individual freeholds has resulted in the dissolution of Indigenous life, thus opening space to supplant colonial infrastructures and institutions in its place (Wolfe 2006, Framing the settler colonial project in this way helps to crystallise how various levels of government levels could ignore the mass life-threatening toxic conditions at Grassy Narrows. Networks of colonial infrastructures—pipelines, logging roads, shopping malls, ”public parks”—all rely on a dissolution of Indigenous connections to territory. Historically, it has been made abundantly clear the lengths that will be taken to prop up a narrow set of archetypal values. It is also important to note that the project of settler colonialism is ongoing and necessarily incomplete. The ongoing resistance to colonial constraint across Turtle Island is a testament to this. As Simpson (2014:7–8) puts it: ”colonialism survives in a settler form. In this form, it fails at what it is supposed to do: eliminate Indigenous people; take all their land; absorb them into a white, propertyowning body politic”. Or, as Veracini (2013) suggests, a successful settler colonial project exists when the population can be reduced to a ”manageable” remnant. This attrition takes place through an assemblage of multiple overlapping eliminatory strategies. Fundamental to the acceptance of this violence by the general population is a host of naturalised myths about Indigenous populations. Views of Indigenous populations as anachronistic, morally inferior, incapable of making productive use of land, beneﬁting from assimilation, or posing a threat to ”hardworking” citizens are just a few of the powerful cultural myths that work to occlude the violent extent of these eliminatory strategies. In this sense, as we will see next, the notion of elimination is neither exclusively material nor symbolic. It shapes not only physically violent strategies of acquiring land, but is central in creating narratives that deﬁne Western life, and non-Western death.</w:t>
      </w:r>
    </w:p>
    <w:p w:rsidR="00C72150" w:rsidRPr="00087A72" w:rsidRDefault="00C72150" w:rsidP="00C72150">
      <w:pPr>
        <w:pStyle w:val="Heading4"/>
      </w:pPr>
      <w:r w:rsidRPr="00087A72">
        <w:t>Settler colonialism biopolitics leads to the eventual elimination of Indigenous peoples</w:t>
      </w:r>
    </w:p>
    <w:p w:rsidR="00C72150" w:rsidRPr="00087A72" w:rsidRDefault="00C72150" w:rsidP="00C72150">
      <w:r w:rsidRPr="00087A72">
        <w:rPr>
          <w:b/>
          <w:bCs/>
        </w:rPr>
        <w:t>Morgensen 11</w:t>
      </w:r>
      <w:r w:rsidRPr="00087A72">
        <w:t xml:space="preserve"> [Scott, Associate Professor in Gender Studies and the Graduate Program in Cultural Studies, Graduate Coordinator for Gender Studies, “The Biopolitics of Settler Colonialism: Right Here, Right Now” </w:t>
      </w:r>
      <w:r w:rsidRPr="00087A72">
        <w:rPr>
          <w:i/>
          <w:iCs/>
        </w:rPr>
        <w:t>Settler Colonial Studies</w:t>
      </w:r>
      <w:r w:rsidRPr="00087A72">
        <w:t xml:space="preserve"> Issue 1, No. 1, PP 52-54]</w:t>
      </w:r>
    </w:p>
    <w:p w:rsidR="00C72150" w:rsidRPr="00087A72" w:rsidRDefault="00C72150" w:rsidP="00C72150">
      <w:r w:rsidRPr="00087A72">
        <w:t xml:space="preserve">If, following Patrick Wolfe, </w:t>
      </w:r>
      <w:r w:rsidRPr="00087A72">
        <w:rPr>
          <w:u w:val="single"/>
        </w:rPr>
        <w:t>settler colonialism produces settler societies by pursuing the elimination of Indigenous peoples via amalgamation and replacement, then it is exemplary of biopower.</w:t>
      </w:r>
      <w:r w:rsidRPr="00087A72">
        <w:t xml:space="preserve"> Adapting Giorgio Agamben, </w:t>
      </w:r>
      <w:r w:rsidRPr="00087A72">
        <w:rPr>
          <w:u w:val="single"/>
        </w:rPr>
        <w:t>we find that Europeans establish Western law and a new People on settled land by practicing an exception to the law that permits eliminating Indigenous peoples while defining settlers as those who replace.</w:t>
      </w:r>
      <w:r w:rsidRPr="00087A72">
        <w:t xml:space="preserve">1 </w:t>
      </w:r>
      <w:r w:rsidRPr="00087A72">
        <w:rPr>
          <w:u w:val="single"/>
        </w:rPr>
        <w:t>Settler colonialism performs biopower in deeply historical and fully contemporary ways.</w:t>
      </w:r>
      <w:r w:rsidRPr="00087A72">
        <w:t xml:space="preserve"> As scholars increasingly theorise biopower as definitive of our times, with many insisting that this quality of biopower is colonial, we must confront our inheritance of settler colonialism as a primary condition of biopower in the contemporary world. The work of Michel Foucault and Agamben and of their interlocutors must be resituated within a new genealogy of settler colonialism that can shift interpretations of biopower today. For more than five hundred years, Western law functioned as biopower in relation to ongoing practices of European settler colonialism. </w:t>
      </w:r>
      <w:r w:rsidRPr="00087A72">
        <w:rPr>
          <w:u w:val="single"/>
        </w:rPr>
        <w:t>Settler colonialism has conditioned not only Indigenous peoples and their lands and the settler societies that occupy them, but all political, economic and cultural processes that those societies touch.</w:t>
      </w:r>
      <w:r w:rsidRPr="00087A72">
        <w:t xml:space="preserve"> </w:t>
      </w:r>
      <w:r w:rsidRPr="00087A72">
        <w:rPr>
          <w:u w:val="single"/>
        </w:rPr>
        <w:t>Settler colonialism directly informs past and present processes of European colonisation, global capitalism, liberal modernity and international governance.</w:t>
      </w:r>
      <w:r w:rsidRPr="00087A72">
        <w:t xml:space="preserve"> If settler colonialism is not theorised in accounts of these formations, then its power remains naturalised in the world that we engage and in the theoretical apparatuses with which we attempt to explain it. </w:t>
      </w:r>
      <w:r w:rsidRPr="00087A72">
        <w:rPr>
          <w:u w:val="single"/>
        </w:rPr>
        <w:t>Settler colonialism can be denaturalised by theorising its constitution as biopower, as well as how it in turn conditions all modern modes of colonialism and biopower.</w:t>
      </w:r>
      <w:r w:rsidRPr="00087A72">
        <w:t xml:space="preserve"> My argument critically shifts recent theories of the coloniality of biopower by centreing settler colonialism in analysis. </w:t>
      </w:r>
      <w:r w:rsidRPr="00087A72">
        <w:rPr>
          <w:u w:val="single"/>
        </w:rPr>
        <w:t>Wolfe has observed</w:t>
      </w:r>
      <w:r w:rsidRPr="00087A72">
        <w:t xml:space="preserve"> in histories of the Americas that </w:t>
      </w:r>
      <w:r w:rsidRPr="00087A72">
        <w:rPr>
          <w:u w:val="single"/>
        </w:rPr>
        <w:t>a settler colonial ‘logic of elimination’ located Indigenous Americans relationally, yet distinctly from Africans in the transatlantic slave trade or colonised indentured labour, thereby illuminating</w:t>
      </w:r>
      <w:r w:rsidRPr="00087A72">
        <w:t xml:space="preserve"> (as Mark Rifkin notes) </w:t>
      </w:r>
      <w:r w:rsidRPr="00087A72">
        <w:rPr>
          <w:u w:val="single"/>
        </w:rPr>
        <w:t>the ‘peculiar’ status of Indigenous peoples within the biopolitics of settler colonialism.</w:t>
      </w:r>
      <w:r w:rsidRPr="00087A72">
        <w:t xml:space="preserve">2 Western law is troubled once European subjects are redefined as settlers in relation to the Indigenous peoples, histories, and lands incorporated by white settler nations. I argue that this tension is engaged productively by Agamben’s tracing of the state of exception to homo sacer, and notably its derivation in Roman law from a thesis of consanguinity. I adapt </w:t>
      </w:r>
      <w:r w:rsidRPr="00087A72">
        <w:rPr>
          <w:u w:val="single"/>
        </w:rPr>
        <w:t>this quality to illuminate why and how Western law incorporates Indigenous peoples into the settler nation by simultaneously pursuing their elimination.</w:t>
      </w:r>
      <w:r w:rsidRPr="00087A72">
        <w:t xml:space="preserve"> I further argue that </w:t>
      </w:r>
      <w:r w:rsidRPr="00087A72">
        <w:rPr>
          <w:u w:val="single"/>
        </w:rPr>
        <w:t>these deeply historical processes ultimately enact biopower as a persistent activity of settler states that were never decolonised and of the global regimes that extend and naturalise their power.</w:t>
      </w:r>
      <w:r w:rsidRPr="00087A72">
        <w:t xml:space="preserve"> By the twentieth century – amid a formal demise of colonial empires, putative decolonisation of the global South, and global capitalist recolonisation – the universalisation of Western law as liberal governance was ensured by the actions of settler states. A genealogy of the biopolitics of settler colonialism will explain that the colonial era never ended because settler colonialism remains the naturalised activity projecting Western law and its exception along global scales today. </w:t>
      </w:r>
      <w:r w:rsidRPr="00087A72">
        <w:rPr>
          <w:u w:val="single"/>
        </w:rPr>
        <w:t xml:space="preserve">Theories of the biopolitical state, regimes of global governance, and the war on terror will be insufficient unless they critically theorise settler colonialism as a historical and present condition and method of all such power. </w:t>
      </w:r>
    </w:p>
    <w:p w:rsidR="00C72150" w:rsidRPr="00087A72" w:rsidRDefault="00C72150" w:rsidP="00C72150">
      <w:pPr>
        <w:pStyle w:val="Heading4"/>
      </w:pPr>
      <w:r w:rsidRPr="00087A72">
        <w:t>Settler colonizers perform purposed elimination of Indigenous peoples and enslave them, producing racialised labour.</w:t>
      </w:r>
    </w:p>
    <w:p w:rsidR="00C72150" w:rsidRPr="00087A72" w:rsidRDefault="00C72150" w:rsidP="00C72150">
      <w:r w:rsidRPr="00087A72">
        <w:rPr>
          <w:b/>
          <w:bCs/>
        </w:rPr>
        <w:t>Morgensen 11</w:t>
      </w:r>
      <w:r w:rsidRPr="00087A72">
        <w:t xml:space="preserve"> [Scott, Associate Professor in Gender Studies and the Graduate Program in Cultural Studies, Graduate Coordinator for Gender Studies, “The Biopolitics of Settler Colonialism: Right Here, Right Now” </w:t>
      </w:r>
      <w:r w:rsidRPr="00087A72">
        <w:rPr>
          <w:i/>
          <w:iCs/>
        </w:rPr>
        <w:t>Settler Colonial Studies</w:t>
      </w:r>
      <w:r w:rsidRPr="00087A72">
        <w:t xml:space="preserve"> Issue 1, No. 1, PP 56-58]</w:t>
      </w:r>
    </w:p>
    <w:p w:rsidR="00540BEA" w:rsidRPr="00087A72" w:rsidRDefault="00C72150" w:rsidP="006B227D">
      <w:r w:rsidRPr="00087A72">
        <w:t xml:space="preserve">Patrick Wolfe’s theorisation of settler colonialism already incites a genealogy of its biopolitical form. Arguing that </w:t>
      </w:r>
      <w:r w:rsidRPr="00087A72">
        <w:rPr>
          <w:u w:val="single"/>
        </w:rPr>
        <w:t>‘settler colonizers come to stay: invasion is a structure, not an event’</w:t>
      </w:r>
      <w:r w:rsidRPr="00087A72">
        <w:t xml:space="preserve">, Wolfe explains that </w:t>
      </w:r>
      <w:r w:rsidRPr="00087A72">
        <w:rPr>
          <w:u w:val="single"/>
        </w:rPr>
        <w:t>assertions of sovereignty by settlers ground Western law in ‘a logic of elimination’.</w:t>
      </w:r>
      <w:r w:rsidRPr="00087A72">
        <w:t xml:space="preserve">13 Noting that scholars after Raphael Lemkin tend to correlate genocide with extermination, Wolfe argues that </w:t>
      </w:r>
      <w:r w:rsidRPr="00087A72">
        <w:rPr>
          <w:u w:val="single"/>
        </w:rPr>
        <w:t>settler colonialism performs genocide alongside a variety of practices that converge on a purposed elimination of Indigenous peoples.</w:t>
      </w:r>
      <w:r w:rsidRPr="00087A72">
        <w:t xml:space="preserve">14 </w:t>
      </w:r>
      <w:r w:rsidRPr="00087A72">
        <w:rPr>
          <w:u w:val="single"/>
        </w:rPr>
        <w:t>While the erasure and replacement of Indigenous peoples may transpire through deadly violence,</w:t>
      </w:r>
      <w:r w:rsidRPr="00087A72">
        <w:t xml:space="preserve"> Wolfe emphasises that </w:t>
      </w:r>
      <w:r w:rsidRPr="00087A72">
        <w:rPr>
          <w:u w:val="single"/>
        </w:rPr>
        <w:t>elimination may follow efforts not to destroy but to produce life, as in methods to amalgamate Indigenous peoples, cultures and lands into the body of the settler nation.</w:t>
      </w:r>
      <w:r w:rsidRPr="00087A72">
        <w:t xml:space="preserve"> As Wolfe and Katherine Ellinghaus explain, </w:t>
      </w:r>
      <w:r w:rsidRPr="00087A72">
        <w:rPr>
          <w:u w:val="single"/>
        </w:rPr>
        <w:t>this amalgamation precisely narrows or erases the possibility of distinctive Indigenous nationalities challenging the prerogative of the settler nation that means to replace them on, now, ‘its own’ lands.</w:t>
      </w:r>
      <w:r w:rsidRPr="00087A72">
        <w:t xml:space="preserve">15 Wolfe argues that </w:t>
      </w:r>
      <w:r w:rsidRPr="00087A72">
        <w:rPr>
          <w:u w:val="single"/>
        </w:rPr>
        <w:t>the racialised political economy of ‘franchise colonialism’ intersects settler colonialism, while bearing distinct implications for Indigenous peoples and for racialised peoples brought by settlers to Indigenous lands.</w:t>
      </w:r>
      <w:r w:rsidRPr="00087A72">
        <w:t xml:space="preserve"> In the Americas, for instance, </w:t>
      </w:r>
      <w:r w:rsidRPr="00087A72">
        <w:rPr>
          <w:u w:val="single"/>
        </w:rPr>
        <w:t>the earliest settlers enslaved Indigenous peoples while producing racialised labour from the transatlantic slave trade and colonised indentured labour, resulting in the formation of franchise colonies</w:t>
      </w:r>
      <w:r w:rsidRPr="00087A72">
        <w:t xml:space="preserve"> that in the sixteenth and seventeenth centuries were among Europe’s most lucrative colonial projects. Yet Wolfe clarifies that these – and their seeming parallel to </w:t>
      </w:r>
      <w:r w:rsidRPr="00087A72">
        <w:rPr>
          <w:u w:val="single"/>
        </w:rPr>
        <w:t>franchise colonies</w:t>
      </w:r>
      <w:r w:rsidRPr="00087A72">
        <w:t xml:space="preserve"> that appeared </w:t>
      </w:r>
      <w:r w:rsidRPr="00087A72">
        <w:rPr>
          <w:u w:val="single"/>
        </w:rPr>
        <w:t xml:space="preserve">across Africa and Asia </w:t>
      </w:r>
      <w:r w:rsidRPr="00087A72">
        <w:t xml:space="preserve">into the eighteenth and nineteenth centuries – </w:t>
      </w:r>
      <w:r w:rsidRPr="00087A72">
        <w:rPr>
          <w:u w:val="single"/>
        </w:rPr>
        <w:t>derived from prior and simultaneous settler colonialism.</w:t>
      </w:r>
      <w:r w:rsidRPr="00087A72">
        <w:t xml:space="preserve"> </w:t>
      </w:r>
      <w:r w:rsidRPr="00087A72">
        <w:rPr>
          <w:u w:val="single"/>
        </w:rPr>
        <w:t>American settler societies formed distinctly when practicing franchise colonialism</w:t>
      </w:r>
      <w:r w:rsidRPr="00087A72">
        <w:t xml:space="preserve">: often, </w:t>
      </w:r>
      <w:r w:rsidRPr="00087A72">
        <w:rPr>
          <w:u w:val="single"/>
        </w:rPr>
        <w:t>by removing European migrants to cultivate ‘emptied’ land, while amalgamating Indigenous peoples within societies dutiful to settler productivity</w:t>
      </w:r>
      <w:r w:rsidRPr="00087A72">
        <w:t xml:space="preserve">; and by creating franchises that require prior and ongoing conquest of Indigenous peoples to exist and sustain. Thus, Wolfe reminds us that </w:t>
      </w:r>
      <w:r w:rsidRPr="00087A72">
        <w:rPr>
          <w:u w:val="single"/>
        </w:rPr>
        <w:t xml:space="preserve">even societies defined by the franchise-orientation of European global capitalism – notably, the slave plantation economies </w:t>
      </w:r>
      <w:r w:rsidRPr="00087A72">
        <w:t xml:space="preserve">of the Caribbean or southern British American colonies, or of colonial Brazil – </w:t>
      </w:r>
      <w:r w:rsidRPr="00087A72">
        <w:rPr>
          <w:u w:val="single"/>
        </w:rPr>
        <w:t>relied on settler colonialism to function.</w:t>
      </w:r>
      <w:r w:rsidRPr="00087A72">
        <w:t xml:space="preserve"> Wolfe argues that </w:t>
      </w:r>
      <w:r w:rsidRPr="00087A72">
        <w:rPr>
          <w:u w:val="single"/>
        </w:rPr>
        <w:t>plantation slavery pursued the elimination of Indigenous nations by plying a ‘difference between one group of people who had survived a centuries-long genocidal catastrophe with correspondingly depleted numbers</w:t>
      </w:r>
      <w:r w:rsidRPr="00087A72">
        <w:t xml:space="preserve"> and another group who, as commodities, had been preserved, their reproduction constituting a singularly primitive form of accumulation for their owners’.16 Of course, slavery also produced a centuries-long genocidal catastrophe by commodifying African people not for survivability but exchangeability. </w:t>
      </w:r>
      <w:r w:rsidRPr="00087A72">
        <w:rPr>
          <w:u w:val="single"/>
        </w:rPr>
        <w:t>Any seeming ‘preservation’ of Blackness in white settler societies thus was coterminous with the perpetual subjection of Black peoples to spaces of death, while eliding the formation of Black communities precisely through mixture with Indigenous and European peoples.</w:t>
      </w:r>
      <w:r w:rsidRPr="00087A72">
        <w:t xml:space="preserve"> </w:t>
      </w:r>
      <w:r w:rsidRPr="00087A72">
        <w:rPr>
          <w:u w:val="single"/>
        </w:rPr>
        <w:t>We find here that the biopolitics of settler colonialism arose in the Americas by perpetuating African diasporic subjugation and Indigenous elimination simultaneously.</w:t>
      </w:r>
      <w:r w:rsidRPr="00087A72">
        <w:t xml:space="preserve"> Following Wolfe’s reading, settler colonialism establishes Western law within a white supremacist political economy premised upon the perpetual elimination of Indigenous peoples. As Thobani eloquently affirms, </w:t>
      </w:r>
      <w:r w:rsidRPr="00087A72">
        <w:rPr>
          <w:u w:val="single"/>
        </w:rPr>
        <w:t>Indigenous elimination then crucially defines the state of exception in the Western law of settler societies.</w:t>
      </w:r>
      <w:r w:rsidRPr="00087A72">
        <w:t xml:space="preserve">17 While I will examine specific modes of governance placing Indigenous peoples in exception to Western law, I emphasise first that their settler colonisation informs any simultaneous or subsequent appearance of the state of exception in settler societies or other sites of European colonisation. This analytical qualification is necessary to complicate and deepen recent theories of the colony as exception. For instance, Mbembe and Paul Gilroy portray the transatlantic slave trade creating slave societies in the Americas in a state of exception, a claim Gilroy advances by framing them precisely as a camp.18 Yet Wolfe’s reading, which I think affirms theirs, specifies that </w:t>
      </w:r>
      <w:r w:rsidRPr="00087A72">
        <w:rPr>
          <w:u w:val="single"/>
        </w:rPr>
        <w:t>the transatlantic slave trade formed amid a prior, simultaneous and continuous exception assigned to Indigenous peoples, which conditioned Western sovereignty on the lands where the African diaspora took form.</w:t>
      </w:r>
      <w:r w:rsidRPr="00087A72">
        <w:t xml:space="preserve"> Indeed, the space-outside-law defining Agamben’s reading of the camp defines slave societies only to the extent that the lands placed in exception to terminate Indigenous tenure became available to new biopolitical violences, even as this naturalised the settler violence enabling them. The implications of such an analysis echo within and also shift Mbembe’s account of colonialism and biopower. Mbembe’s reading of ‘necropolitics’ as the logic of the colony as exception references plantation slavery ‘as one of the first instances of biopolitical experimentation’, and then frames relations among African diasporic peoples and white settlers as emblematic of the racialisation of colonialism.19 Mbembe later cites ‘the extermination of vanquished peoples’ assigned the status of ‘savages’ within a list of effects of colonisation worldwide, but without specifically naming Indigenous peoples in settler societies.20 Following Wolfe, we can read extermination as a biopolitics originary to the settler colonial situations that conditioned enslavement on settled land. While Mbembe is aware that settlement in the Americas appears in his story, it remains oblique, seemingly absorbed within a more general object, ‘colonialism’. This object then appears in his account to be more definitive of populations framed as suffering it in perpetuity, at the expense of bodies that, here, appear erased from its history. </w:t>
      </w:r>
    </w:p>
    <w:p w:rsidR="00D005A2" w:rsidRPr="00087A72" w:rsidRDefault="00D005A2" w:rsidP="00D005A2">
      <w:pPr>
        <w:pStyle w:val="Heading3"/>
      </w:pPr>
      <w:r w:rsidRPr="00087A72">
        <w:t>Impact – Hauntology</w:t>
      </w:r>
    </w:p>
    <w:p w:rsidR="00D005A2" w:rsidRPr="00087A72" w:rsidRDefault="00D005A2" w:rsidP="00D005A2">
      <w:pPr>
        <w:pStyle w:val="Heading4"/>
      </w:pPr>
      <w:r w:rsidRPr="00087A72">
        <w:t xml:space="preserve">The haunting of the Indigenous woman engages in the killing of the “settler” for solidarity. These haunting intimacies unravel the complicit and contradictory experiences of racialization and colonization. </w:t>
      </w:r>
    </w:p>
    <w:p w:rsidR="00D005A2" w:rsidRPr="00087A72" w:rsidRDefault="00D005A2" w:rsidP="00D005A2">
      <w:r w:rsidRPr="00087A72">
        <w:rPr>
          <w:b/>
          <w:bCs/>
        </w:rPr>
        <w:t xml:space="preserve">Upadhyay 16 </w:t>
      </w:r>
      <w:r w:rsidRPr="00087A72">
        <w:t>(Nishant, Assistant Professor in Women's and Gender Studies at University of Massachusetts Dartmouth, Ph.D. in Graduate Program in Social and Political Thought at York University, South Asian</w:t>
      </w:r>
      <w:r w:rsidRPr="00087A72">
        <w:rPr>
          <w:i/>
        </w:rPr>
        <w:t xml:space="preserve"> “We’ll Sail Like Columbus”: Race, Indigeneity, Settler Colonialism, and the Making of South Asian Diasporas in Canada.</w:t>
      </w:r>
      <w:r w:rsidRPr="00087A72">
        <w:t xml:space="preserve"> pp. 219-228) OD</w:t>
      </w:r>
    </w:p>
    <w:p w:rsidR="00D005A2" w:rsidRPr="00087A72" w:rsidRDefault="00D005A2" w:rsidP="00D005A2">
      <w:pPr>
        <w:rPr>
          <w:sz w:val="12"/>
        </w:rPr>
      </w:pPr>
      <w:r w:rsidRPr="00087A72">
        <w:rPr>
          <w:sz w:val="12"/>
        </w:rPr>
        <w:t xml:space="preserve">On his deathbed, in Lee’s </w:t>
      </w:r>
      <w:r w:rsidRPr="00087A72">
        <w:rPr>
          <w:i/>
          <w:iCs/>
          <w:sz w:val="12"/>
        </w:rPr>
        <w:t xml:space="preserve">Disappearing Moon </w:t>
      </w:r>
      <w:r w:rsidRPr="00087A72">
        <w:rPr>
          <w:sz w:val="12"/>
        </w:rPr>
        <w:t xml:space="preserve">Cafe, Gwei Chang, a Chinese man, remembering his lover Kelora, half Chinese-half Shi'atko woman, says: “You’ve been haunting me all my life” (236). </w:t>
      </w:r>
      <w:r w:rsidRPr="00087A72">
        <w:rPr>
          <w:u w:val="single"/>
        </w:rPr>
        <w:t>Hauntingness is central to Gwei Chang and Kelora’s colonial intimacy</w:t>
      </w:r>
      <w:r w:rsidRPr="00087A72">
        <w:rPr>
          <w:sz w:val="12"/>
        </w:rPr>
        <w:t xml:space="preserve">. For instance, Marie Lo notes Ting An (son of Kelora and Gwei Chang) has an ability to deal with ghosts, which is attributed to his native ancestry (n.pag.). Ting An and his mother, Kelora, are believed to have a ghostliness around them which renders them different than others. Haunting is also a recurring theme in Binning and Highway’s stories as well. In “Eyes in the Dark,” Parminder sees the eyes of the son, and “For a moment, Parminder thought he had seen those eyes before” (65). Those eyes remind him of Sara, the Native woman he married to seek citizenship. In “The Lover Snake,” the photograph of the Sikh on the cover of the magazine makes the protagonist think of 219 his Sikh lover: “I wonder if that isn’t Dahljeet there in his brilliant orange turban and his fine, dark beard” (335). Intriguingly, both stories talk of intimacies as haunting. It is through the haunting eyes and haunting photograph that we learn of their past lovers and colonial intimacies. On ghosts and hauntingness, Indigenous author Sherman Alexie writes: “In the Great American Indian novel, when it is finally written all of the white people will be Indians and all of the Indians will be ghosts” (95). </w:t>
      </w:r>
      <w:r w:rsidRPr="00087A72">
        <w:rPr>
          <w:b/>
          <w:iCs/>
          <w:u w:val="single"/>
        </w:rPr>
        <w:t>Ghosts and hauntingness are integral to settler colonial processes.</w:t>
      </w:r>
      <w:r w:rsidRPr="00087A72">
        <w:rPr>
          <w:sz w:val="12"/>
        </w:rPr>
        <w:t xml:space="preserve"> Eve Tuck and C. Ree argue that settler colonialism is </w:t>
      </w:r>
      <w:r w:rsidRPr="00087A72">
        <w:rPr>
          <w:b/>
          <w:iCs/>
          <w:u w:val="single"/>
        </w:rPr>
        <w:t>“an ongoing horror made invisible by its persistence”</w:t>
      </w:r>
      <w:r w:rsidRPr="00087A72">
        <w:rPr>
          <w:sz w:val="12"/>
        </w:rPr>
        <w:t xml:space="preserve"> (642</w:t>
      </w:r>
      <w:r w:rsidRPr="00087A72">
        <w:rPr>
          <w:b/>
          <w:iCs/>
          <w:u w:val="single"/>
        </w:rPr>
        <w:t xml:space="preserve">). Settler colonialism then entails killing Indigenous peoples to make them into ghosts, “once and future ghosts” (642), in order to appropriate, usurp, occupy and colonize Indigenous lands </w:t>
      </w:r>
      <w:r w:rsidRPr="00087A72">
        <w:rPr>
          <w:sz w:val="12"/>
        </w:rPr>
        <w:t>(Arvin, Tuck, and Morrill 12). Tuck and Ree elaborate on hauntingness: ... [</w:t>
      </w:r>
      <w:r w:rsidRPr="00087A72">
        <w:rPr>
          <w:u w:val="single"/>
        </w:rPr>
        <w:t>It] is the relentless remembering and reminding that will not be appeased by settler society’s assurances of innocence and reconciliation.</w:t>
      </w:r>
      <w:r w:rsidRPr="00087A72">
        <w:rPr>
          <w:sz w:val="12"/>
        </w:rPr>
        <w:t xml:space="preserve"> Haunting is both acute and general; </w:t>
      </w:r>
      <w:r w:rsidRPr="00087A72">
        <w:rPr>
          <w:u w:val="single"/>
        </w:rPr>
        <w:t>individuals are haunted, but so are societies</w:t>
      </w:r>
      <w:r w:rsidRPr="00087A72">
        <w:rPr>
          <w:sz w:val="12"/>
        </w:rPr>
        <w:t xml:space="preserve">. </w:t>
      </w:r>
      <w:r w:rsidRPr="00087A72">
        <w:rPr>
          <w:b/>
          <w:iCs/>
          <w:u w:val="single"/>
        </w:rPr>
        <w:t>The United State is permanently haunted by slavery, genocide, and violence</w:t>
      </w:r>
      <w:r w:rsidRPr="00087A72">
        <w:rPr>
          <w:sz w:val="12"/>
        </w:rPr>
        <w:t xml:space="preserve"> entwined in its first, present and future days ... For ghosts</w:t>
      </w:r>
      <w:r w:rsidRPr="00087A72">
        <w:rPr>
          <w:u w:val="single"/>
        </w:rPr>
        <w:t>, the haunting is the resolving, it is not what needs to be resolved</w:t>
      </w:r>
      <w:r w:rsidRPr="00087A72">
        <w:rPr>
          <w:sz w:val="12"/>
        </w:rPr>
        <w:t xml:space="preserve">. (642) </w:t>
      </w:r>
      <w:r w:rsidRPr="00087A72">
        <w:rPr>
          <w:u w:val="single"/>
        </w:rPr>
        <w:t xml:space="preserve">Hauntingness is a constant reminder of the past and a call for the future to be decolonized. </w:t>
      </w:r>
      <w:r w:rsidRPr="00087A72">
        <w:rPr>
          <w:sz w:val="12"/>
        </w:rPr>
        <w:t xml:space="preserve">It is symbolic and relevant then to talk about the haunting past lovers in the stories mentioned above. The past lovers in these stories are </w:t>
      </w:r>
      <w:r w:rsidRPr="00087A72">
        <w:rPr>
          <w:u w:val="single"/>
        </w:rPr>
        <w:t>ghosts of the past, ghosts of genocide, ghosts of exclusion, ghosts of abandonment, ghosts of colonial and racial violences.</w:t>
      </w:r>
      <w:r w:rsidRPr="00087A72">
        <w:rPr>
          <w:sz w:val="12"/>
        </w:rPr>
        <w:t xml:space="preserve"> For the lovers to haunt </w:t>
      </w:r>
      <w:r w:rsidRPr="00087A72">
        <w:rPr>
          <w:u w:val="single"/>
        </w:rPr>
        <w:t>is to remind the readers of the violences of the colonial intimacies</w:t>
      </w:r>
      <w:r w:rsidRPr="00087A72">
        <w:rPr>
          <w:sz w:val="12"/>
        </w:rPr>
        <w:t xml:space="preserve">, and also perhaps </w:t>
      </w:r>
      <w:r w:rsidRPr="00087A72">
        <w:rPr>
          <w:u w:val="single"/>
        </w:rPr>
        <w:t>to resolve and heal from the violences</w:t>
      </w:r>
      <w:r w:rsidRPr="00087A72">
        <w:rPr>
          <w:sz w:val="12"/>
        </w:rPr>
        <w:t xml:space="preserve">. Indian and other-Indian only come together and </w:t>
      </w:r>
      <w:r w:rsidRPr="00087A72">
        <w:rPr>
          <w:u w:val="single"/>
        </w:rPr>
        <w:t>pursue (haunting) desires within the context of colonialism</w:t>
      </w:r>
      <w:r w:rsidRPr="00087A72">
        <w:rPr>
          <w:sz w:val="12"/>
        </w:rPr>
        <w:t xml:space="preserve">. I call </w:t>
      </w:r>
      <w:r w:rsidRPr="00087A72">
        <w:rPr>
          <w:b/>
          <w:iCs/>
          <w:u w:val="single"/>
        </w:rPr>
        <w:t>these colonial intimacies “haunting intimacies” as they are developed within the structures of settler colonial logics, where desires, violences and silences are continuously haunting and haunted</w:t>
      </w:r>
      <w:r w:rsidRPr="00087A72">
        <w:rPr>
          <w:sz w:val="12"/>
        </w:rPr>
        <w:t xml:space="preserve">. These </w:t>
      </w:r>
      <w:r w:rsidRPr="00087A72">
        <w:rPr>
          <w:u w:val="single"/>
        </w:rPr>
        <w:t>intimacies, proximities and encounters, 220 straight or queer, abusive or loving, one time or long term, violent or transgressive, and beyond these limiting binaries, are all made possible through settler colonial processes</w:t>
      </w:r>
      <w:r w:rsidRPr="00087A72">
        <w:rPr>
          <w:sz w:val="12"/>
        </w:rPr>
        <w:t xml:space="preserve">. Colonialism maintains haunting logics, or vice-versa, hauntingness remains colonial. Talking about “haunting” presence of Indigenous peoples and people of colour within the Canadian nation, Larissa Lai asks: “What then of agency, subjectivity, and sense of self for those who must occupy the site of haunting, those who, in essence, have no essence?” (8). I take her question to ask, </w:t>
      </w:r>
      <w:r w:rsidRPr="00087A72">
        <w:rPr>
          <w:b/>
          <w:iCs/>
          <w:u w:val="single"/>
        </w:rPr>
        <w:t>how do we engage with agency and voices of the haunted? As I note above, Indigenous voices are often erased and silenced in the making of colonial intimacies.</w:t>
      </w:r>
      <w:r w:rsidRPr="00087A72">
        <w:rPr>
          <w:sz w:val="12"/>
        </w:rPr>
        <w:t xml:space="preserve"> The silences of these intimacies are always haunting and are maintained through colonial violences. There are significant silences around Indigenous-South Asian intimacies, from popular discourses to academic literature, and even within the communities themselves. Both Binning and Highway’s stories are attempts to reveal these intimacies and give them voices. Both authors write these stories from a place of solidarity, </w:t>
      </w:r>
      <w:r w:rsidRPr="00087A72">
        <w:rPr>
          <w:u w:val="single"/>
        </w:rPr>
        <w:t>to unravel shared and different, complicit and contradictory, and past and present experiences of racialization and colonization</w:t>
      </w:r>
      <w:r w:rsidRPr="00087A72">
        <w:rPr>
          <w:sz w:val="12"/>
        </w:rPr>
        <w:t xml:space="preserve">. What is the politics of writing-as-solidarity or solidarity-through-writing? Below I demonstrate how both authors write solidarity differently and how their positionalities shape their analysis and writing. Métis and Salish author Lee Maracle's (2013 [1990]) “Yin Chin”25 challenges internalized logics of white supremacy, settler colonialism, and anti-immigrant sentiments within Indigenous and Asian communities—what bell hooks calls the “commodification of Otherness” (“Eating the Other”). Maracle explores relations, intimacies, distances, and frictions between Native and Asian communities.26 She offers a methodology for writing solidarities by 2 221 questioning her own humanity and reflecting on her own complicities of racializing others, in this case Chinese peoples. The Native narrator reflects on her everyday lived experiences and proximities to Chinese peoples, and explains internalized racisms as: “how unkind of the world to school us in ignorance” (327). However, the narrator also notes the shared commonalities and histories of colonialism and racism, and </w:t>
      </w:r>
      <w:r w:rsidRPr="00087A72">
        <w:rPr>
          <w:u w:val="single"/>
        </w:rPr>
        <w:t>calls for Indigenous and racialized communities to come together to struggle against common enemies</w:t>
      </w:r>
      <w:r w:rsidRPr="00087A72">
        <w:rPr>
          <w:sz w:val="12"/>
        </w:rPr>
        <w:t xml:space="preserve">. The narrator says: of that wound, invincible, conscious, and movin' on up. We could laugh because we were no longer a joke. But somewhere along the line we forgot to tell the others, the thousands of our folks that still tell their kids about old chinamen. (324) Maracle illustrates the ways in </w:t>
      </w:r>
      <w:r w:rsidRPr="00087A72">
        <w:rPr>
          <w:u w:val="single"/>
        </w:rPr>
        <w:t>which solidarity is textually conveyed and mobilized, and how writing is anti-racist and anti-colonial solidarity for many Indigenous and Asian writers</w:t>
      </w:r>
      <w:r w:rsidRPr="00087A72">
        <w:rPr>
          <w:sz w:val="12"/>
        </w:rPr>
        <w:t xml:space="preserve">. The above examples of writings by Kogawa, Maracle, Kobayashi, Binning, and Highway provide an array of examples for writing-as-solidarity and solidarity-through-writing. However, processes of solidarity and writing are fraught with complexities and complicities. Reading </w:t>
      </w:r>
      <w:r w:rsidRPr="00087A72">
        <w:rPr>
          <w:i/>
          <w:iCs/>
          <w:sz w:val="12"/>
        </w:rPr>
        <w:t>Disappearing Moon Cafe</w:t>
      </w:r>
      <w:r w:rsidRPr="00087A72">
        <w:rPr>
          <w:sz w:val="12"/>
        </w:rPr>
        <w:t xml:space="preserve">, </w:t>
      </w:r>
      <w:r w:rsidRPr="00087A72">
        <w:rPr>
          <w:i/>
          <w:iCs/>
          <w:sz w:val="12"/>
        </w:rPr>
        <w:t>Exile and the Heart</w:t>
      </w:r>
      <w:r w:rsidRPr="00087A72">
        <w:rPr>
          <w:sz w:val="12"/>
        </w:rPr>
        <w:t xml:space="preserve">, and “Yin Chin,” and other Asian Canadian and Indigenous texts, Wong argues that the intimacies in these texts highlight “how much remains to be addressed and worked through in the process of decolonization” (n.pag.). She asks how ethical relations can be engendered between Asians and Indigenous peoples and stresses that Asian writers, in their </w:t>
      </w:r>
      <w:r w:rsidRPr="00087A72">
        <w:rPr>
          <w:u w:val="single"/>
        </w:rPr>
        <w:t>anti-racist and anti-oppression praxis, need to be attentive to Indigenous peoples and lands in their works but at the same time, not reproduce settler colonial narratives that seek to dehumanize, commodify, efface, or orientalise</w:t>
      </w:r>
      <w:r w:rsidRPr="00087A72">
        <w:rPr>
          <w:sz w:val="12"/>
        </w:rPr>
        <w:t xml:space="preserve"> Indigenous peoples (n.pag.). Further, “the process of ‘doing it well’ requires ... an understanding of how one is embedded within power relations” (n.pag.). Thus, solidarity requires a critical engagement with settler colonial and we were born during the first sword wound that the Third World swung at imperialism. We were children </w:t>
      </w:r>
      <w:r w:rsidRPr="00087A72">
        <w:rPr>
          <w:sz w:val="12"/>
        </w:rPr>
        <w:fldChar w:fldCharType="begin"/>
      </w:r>
      <w:r w:rsidR="008A3560" w:rsidRPr="00087A72">
        <w:rPr>
          <w:sz w:val="12"/>
        </w:rPr>
        <w:instrText xml:space="preserve"> INCLUDEPICTURE "C:\\var\\folders\\t5\\mvr290yn1zl51qm26f5900vm0000gn\\T\\com.microsoft.Word\\WebArchiveCopyPasteTempFiles\\page235image9974992" \* MERGEFORMAT </w:instrText>
      </w:r>
      <w:r w:rsidRPr="00087A72">
        <w:rPr>
          <w:sz w:val="12"/>
        </w:rPr>
        <w:fldChar w:fldCharType="separate"/>
      </w:r>
      <w:r w:rsidRPr="00087A72">
        <w:rPr>
          <w:noProof/>
          <w:sz w:val="12"/>
        </w:rPr>
        <w:drawing>
          <wp:inline distT="0" distB="0" distL="0" distR="0" wp14:anchorId="1DEADF8B" wp14:editId="568E9C81">
            <wp:extent cx="68580" cy="160020"/>
            <wp:effectExtent l="0" t="0" r="0" b="5080"/>
            <wp:docPr id="8" name="Picture 8" descr="page235image9974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age235image997499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 cy="160020"/>
                    </a:xfrm>
                    <a:prstGeom prst="rect">
                      <a:avLst/>
                    </a:prstGeom>
                    <a:noFill/>
                    <a:ln>
                      <a:noFill/>
                    </a:ln>
                  </pic:spPr>
                </pic:pic>
              </a:graphicData>
            </a:graphic>
          </wp:inline>
        </w:drawing>
      </w:r>
      <w:r w:rsidRPr="00087A72">
        <w:rPr>
          <w:sz w:val="12"/>
        </w:rPr>
        <w:fldChar w:fldCharType="end"/>
      </w:r>
      <w:r w:rsidRPr="00087A72">
        <w:rPr>
          <w:sz w:val="12"/>
        </w:rPr>
        <w:t xml:space="preserve"> 222 white supremacist processes and the complicities of the author within. In this section I draw upon Maracle and Wong’s work to further critically engage with stories by Binning and Highway. Sadhu Binning, as I argue above, wrote this story from a place of solidarity. Binning critiques the masculinity and gendered violences he saw around himself in the ‘70s – ‘80s, and pays critical attention to the power dynamics between Indigenous peoples and South Asians. However, the story remains grounded in settler-colonial logics. Firstly, Indigenous-South Asian intimacies get reduced to heterosexual desire and reproduction. And secondly, the Native woman in the story is rendered as the passive victim and is silenced. </w:t>
      </w:r>
      <w:r w:rsidRPr="00087A72">
        <w:rPr>
          <w:b/>
          <w:iCs/>
          <w:u w:val="single"/>
        </w:rPr>
        <w:t>Through their haunting presence, Indigenous women are rendered absent</w:t>
      </w:r>
      <w:r w:rsidRPr="00087A72">
        <w:rPr>
          <w:sz w:val="12"/>
        </w:rPr>
        <w:t xml:space="preserve">.27 Even as Binning challenges the construction of Indigenous women as promiscuous and drunk, in the process he renders them voiceless and without agency. How do we recognize gendered agency even if the Punjabi men in the story are sexist and abusive towards Native women, as well as Punjabi women? How do we understand Sara’s agency in the story? After all, we do not really hear her story, we are just told of the infinite ways in which she is exploited and abused, but never hear a word from her about her own experiences. The only insight we have is that she had reservations about choosing Parminder, because of her sister’s experiences of abandonment by a white man. Indeed, Sara reflecting on her sister’s relationship with a white man here is very telling in terms of Parminder’s masculinity as well as his position in the settler state.28 However, we are told that Sara believes Parminder’s promise to never leave her. 223 Similarly, in my conversations with Sadhu and Paul Binning, Indigenous women were always the victims at the hands of the settler state and Punjabi men. For every Punjabi man who does not come forward with his story, there is at least on Indigenous woman, or more, whose story will never be heard as well. Borrowing from Gayatri Spivak the who will hear the Indigenous woman speak (“Can Subaltern Speak?”)? However, it is not that she is not speaking. On the contrary, plenty of Native women have been speaking and resisting the settler state for centuries; but, drawing from Spivak further, who will listen to them? In the above discussion of Shah’s work, I had similarly asked, how do we hear Indigenous men’s complaints of non- consensual sexual contact and violence committed onto them by South Asian men. I argue that </w:t>
      </w:r>
      <w:r w:rsidRPr="00087A72">
        <w:rPr>
          <w:u w:val="single"/>
        </w:rPr>
        <w:t>these erasures of Native women and queer peoples from accounts of racialized intimacies concomitantly reproduce the state structures that enables the continued disappearance and killing of Indigenous women, girls, queers and Two-spirit peoples.</w:t>
      </w:r>
      <w:r w:rsidRPr="00087A72">
        <w:rPr>
          <w:sz w:val="12"/>
        </w:rPr>
        <w:t xml:space="preserve"> Erasure and silencing of Indigenous desires from these stories is that the same logic that allows for settler state’s apathy towards missing and murdered Indigenous women. Rather than reducing them as fabrications or invisibilizing them to center state processes, how can racialized peoples understand Indigenous experiences of violences and be solidarity with Indigenous peoples in their struggle against continued genocide? The questions that need to be asked here are: Why are these women with Sikh men? What is happening in the communities that these women are part of? What kind of agency do these women have? What is making them choose their partners? By looking at “voiceless” Native women’s agency, what can we understand about gendered colonial processes? As Bonita Lawrence indicated to me in a personal conversation, Indigenous women are more grounded here than Sikh men who are rendered much more foreign to Canada. Further, till 1985, in pursuing 224 these intimacies with non-Native men, Native women lost their Native status. This speaks to their own agency and their willingness to exchange their status for “love,” or money in the cases of marriage of convenience. Needless, Native women exert agency here, in spite of the violences that produce the conditions for this agency. Sikh men seek to become citizens through marriages with Indigenous women. Hence, Indigenous women have power in these dynamics. Only once the men attain power, in this case through citizenship, do they assert power over Native women.29 These relationships appear much akin to fur trade relationships between white settlers and Native women, where white men relied heavily on Native women for their expertise and knowledge (Lawrence, </w:t>
      </w:r>
      <w:r w:rsidRPr="00087A72">
        <w:rPr>
          <w:i/>
          <w:iCs/>
          <w:sz w:val="12"/>
        </w:rPr>
        <w:t>“Real” Indians and Others</w:t>
      </w:r>
      <w:r w:rsidRPr="00087A72">
        <w:rPr>
          <w:sz w:val="12"/>
        </w:rPr>
        <w:t>; Racette). These dynamics changed only when white men were able to establish colonial trade relations.30 I am not comparing white settlers to Sikh men, but perhaps we can understand formations of Sikh masculinity vis-à-vis Native women’s agency more critically through this juxtaposition</w:t>
      </w:r>
      <w:r w:rsidRPr="00087A72">
        <w:rPr>
          <w:u w:val="single"/>
        </w:rPr>
        <w:t>. I highlight in the above discussion that in spite of Binning’s anticolonial solidarity with Indigenous struggles for self- determination, Indigenous women get constructed through the settler colonial gaze</w:t>
      </w:r>
      <w:r w:rsidRPr="00087A72">
        <w:rPr>
          <w:sz w:val="12"/>
        </w:rPr>
        <w:t xml:space="preserve">. What does this limitation tell us about South Asian solidarity with Indigenous sovereignty? To answer this question, I move on to discussing how Highway’s story seeks to answer these difficult questions differently. Highway’s “The Lover Snake” directly tackles the two main problems within Binning’s story. Firstly, it is a story of a queer relationship. And secondly, the narrator is Cree, thus 225 centering a queer Native voice. </w:t>
      </w:r>
      <w:r w:rsidRPr="00087A72">
        <w:rPr>
          <w:u w:val="single"/>
        </w:rPr>
        <w:t>The Native protagonist is the narrator and we hear about the relationship through his perspective. The story challenges not only heteropatriarchal and heteronormative erasures and violences, but also gives the Indigenous person a voice and agency</w:t>
      </w:r>
      <w:r w:rsidRPr="00087A72">
        <w:rPr>
          <w:sz w:val="12"/>
        </w:rPr>
        <w:t xml:space="preserve">. Further, as I demonstrate earlier, it foregrounds simultaneous, but different processes of racialization and colonization that the two Indians—Cree and Sikh—face. This becomes the context of solidarity for Highway and he explicitly lays it out. After all, the story is not about a Cree man and his white lover. The deliberate choice to make the protagonist’s lover Indian speaks to Highway’s political investment in dismantling (settler) colonialism and white supremacy. Furthermore, his engagement with myths and legends of the East draws parallels to indigeneity and processes of cultural and epistemological colonization, opening yet another line of possible solidarity and intimacy. Similar, yet different from silences on Indigenous women, I should note that South Asian women—of all sexualities—are also rendered invisible in such narratives. For instance, we never hear, or from, about Parminder’s wife Kulvir in Binning’s “Eyes in the Dark,” Both stories by Binning and Highway focus on center Indigenous and South Asian cis-men. South Asian women are absent from the memory, archives and literatures, and consequently from this chapter as well. </w:t>
      </w:r>
      <w:r w:rsidRPr="00087A72">
        <w:rPr>
          <w:u w:val="single"/>
        </w:rPr>
        <w:t>Even as I center gender and sexual formations, I am cognizant of how women are erased from the theorization of colonial intimacies. Queerness is, therefore, is a limited framework as long as Indigenous and South Asian women are erased from the narratives and theorizations</w:t>
      </w:r>
      <w:r w:rsidRPr="00087A72">
        <w:rPr>
          <w:sz w:val="12"/>
        </w:rPr>
        <w:t xml:space="preserve">. Can there be colonial intimacies that can open up spaces for resistance, solidarity and decoloniality? The two stories demonstrate that these spaces are limited and limiting through the intersectional structures of colonialism, white supremacy, heteropatriarchy, and heteronormativity. </w:t>
      </w:r>
      <w:r w:rsidRPr="00087A72">
        <w:rPr>
          <w:u w:val="single"/>
        </w:rPr>
        <w:t>This analysis echoes Sexton’s formulation of the conditions of the possibility 226 and impossibility of interraciality.</w:t>
      </w:r>
      <w:r w:rsidRPr="00087A72">
        <w:rPr>
          <w:sz w:val="12"/>
        </w:rPr>
        <w:t xml:space="preserve"> In the previous section, I raised questions of killing and solidarity in Highway’s text. I argue that Highway answers these questions by showing the complexities of colonial intimacies and decolonial love, which I will discuss this in the next section. Highways offers two answers which are dependent on the way solidarity between racialized peoples and Indigenous peoples is imagined and articulated. </w:t>
      </w:r>
      <w:r w:rsidRPr="00087A72">
        <w:rPr>
          <w:u w:val="single"/>
        </w:rPr>
        <w:t xml:space="preserve">The first way of understanding solidarity is to question whether there are indeed spaces of solidarity, i.e. whether we can assume that solidarity can exist from racialized peoples’ perspectives, and whether racialized peoples would be willing to risk their stakes in the decolonization </w:t>
      </w:r>
      <w:r w:rsidRPr="00087A72">
        <w:rPr>
          <w:sz w:val="12"/>
        </w:rPr>
        <w:t xml:space="preserve">of Turtle Island. Then, I argue, Highway’s answer would be in the affirmative. </w:t>
      </w:r>
      <w:r w:rsidRPr="00087A72">
        <w:rPr>
          <w:b/>
          <w:iCs/>
          <w:u w:val="single"/>
        </w:rPr>
        <w:t xml:space="preserve">Solidarity can be achieved by killing the “settler-within,” </w:t>
      </w:r>
      <w:r w:rsidRPr="00087A72">
        <w:rPr>
          <w:sz w:val="12"/>
        </w:rPr>
        <w:t xml:space="preserve">If Dahljeet is able to decolonize himself through opening up to Indigenous resurgence and to the myths and legends of the Weesageechak and the cobra, then the cobra can kill the colonized subject and make Dahljeet and other people of colour committed to Indigenous decolonization. However, if </w:t>
      </w:r>
      <w:r w:rsidRPr="00087A72">
        <w:rPr>
          <w:b/>
          <w:iCs/>
          <w:u w:val="single"/>
        </w:rPr>
        <w:t>the argument is that no such “pure” solidarity can ever exist</w:t>
      </w:r>
      <w:r w:rsidRPr="00087A72">
        <w:rPr>
          <w:sz w:val="12"/>
        </w:rPr>
        <w:t>, i.e. racialized peoples as “settlers” can never be committed to “true decolonization,” in Franz Fanon's words (</w:t>
      </w:r>
      <w:r w:rsidRPr="00087A72">
        <w:rPr>
          <w:i/>
          <w:iCs/>
          <w:sz w:val="12"/>
        </w:rPr>
        <w:t>The Wretched of the Earth</w:t>
      </w:r>
      <w:r w:rsidRPr="00087A72">
        <w:rPr>
          <w:sz w:val="12"/>
        </w:rPr>
        <w:t xml:space="preserve">), because that requires giving up their stakes in the Canadian state, then Highway’s answer would be to kill the “settler.” </w:t>
      </w:r>
      <w:r w:rsidRPr="00087A72">
        <w:rPr>
          <w:b/>
          <w:iCs/>
          <w:u w:val="single"/>
        </w:rPr>
        <w:t>In other words, the cobra does not need to kill the “settler-within,” rather the cobra must simply kill the “settler.”</w:t>
      </w:r>
      <w:r w:rsidRPr="00087A72">
        <w:rPr>
          <w:sz w:val="12"/>
        </w:rPr>
        <w:t xml:space="preserve"> </w:t>
      </w:r>
      <w:r w:rsidRPr="00087A72">
        <w:rPr>
          <w:b/>
          <w:iCs/>
          <w:u w:val="single"/>
        </w:rPr>
        <w:t>Killing can take many forms, from physical extermination to physical removal.</w:t>
      </w:r>
      <w:r w:rsidRPr="00087A72">
        <w:rPr>
          <w:sz w:val="12"/>
        </w:rPr>
        <w:t xml:space="preserve"> Highway’s story leaves the call for solidarity </w:t>
      </w:r>
      <w:r w:rsidRPr="00087A72">
        <w:rPr>
          <w:u w:val="single"/>
        </w:rPr>
        <w:t xml:space="preserve">open for interpretation </w:t>
      </w:r>
      <w:r w:rsidRPr="00087A72">
        <w:rPr>
          <w:sz w:val="12"/>
        </w:rPr>
        <w:t>by the reader. The reader can choose how solidarity looks for them. In this dissertation I fluctuate between theorizing the two forms of solidarity. I assert that t</w:t>
      </w:r>
      <w:r w:rsidRPr="00087A72">
        <w:rPr>
          <w:u w:val="single"/>
        </w:rPr>
        <w:t xml:space="preserve">he complexities and contradictions of the stories open up spaces for thinking through decoloniality </w:t>
      </w:r>
      <w:r w:rsidRPr="00087A72">
        <w:rPr>
          <w:sz w:val="12"/>
        </w:rPr>
        <w:t xml:space="preserve">and assessing the stakes for the same. There is no one solidarity. Rather, solidarity 227 is politically variable, violent, and vibrant. I conclude this chapter by looking at these possibilities and spaces of decolonization and solidarity by exploring “decolonial love,” </w:t>
      </w:r>
    </w:p>
    <w:p w:rsidR="00D005A2" w:rsidRPr="00087A72" w:rsidRDefault="00D005A2" w:rsidP="00D005A2"/>
    <w:p w:rsidR="00FB18E0" w:rsidRPr="00087A72" w:rsidRDefault="00FB18E0" w:rsidP="00496C79">
      <w:pPr>
        <w:pStyle w:val="Heading3"/>
      </w:pPr>
      <w:r w:rsidRPr="00087A72">
        <w:t>Impact – Homonationalism</w:t>
      </w:r>
    </w:p>
    <w:p w:rsidR="00FB18E0" w:rsidRPr="00087A72" w:rsidRDefault="00FB18E0" w:rsidP="00FB18E0">
      <w:pPr>
        <w:pStyle w:val="Heading4"/>
      </w:pPr>
      <w:r w:rsidRPr="00087A72">
        <w:t>Sexuality is not applied and regarded the same way when in the context of native bodies.</w:t>
      </w:r>
    </w:p>
    <w:p w:rsidR="00FB18E0" w:rsidRPr="00087A72" w:rsidRDefault="00FB18E0" w:rsidP="00FB18E0">
      <w:r w:rsidRPr="00087A72">
        <w:rPr>
          <w:rStyle w:val="Style13ptBold"/>
        </w:rPr>
        <w:t>Morgensen 10</w:t>
      </w:r>
      <w:r w:rsidRPr="00087A72">
        <w:t xml:space="preserve">—(Scott, PhD in Anthropology (Women’s Studies) from the University of California at Santa Cruz. Co-Chair of the Association for Queer Anthropology, “Settler Homonationalism theorizing Settler Colonialism within Queer Modernities” </w:t>
      </w:r>
      <w:r w:rsidRPr="00087A72">
        <w:rPr>
          <w:i/>
        </w:rPr>
        <w:t xml:space="preserve">Duke University Press, </w:t>
      </w:r>
      <w:r w:rsidRPr="00087A72">
        <w:t>pp. 105-107)</w:t>
      </w:r>
    </w:p>
    <w:p w:rsidR="00FB18E0" w:rsidRPr="00087A72" w:rsidRDefault="00FB18E0" w:rsidP="00FB18E0">
      <w:pPr>
        <w:rPr>
          <w:sz w:val="16"/>
        </w:rPr>
      </w:pPr>
      <w:r w:rsidRPr="00087A72">
        <w:rPr>
          <w:sz w:val="16"/>
        </w:rPr>
        <w:t xml:space="preserve">In Terrorist Assemblages Jasbir Puar argues that </w:t>
      </w:r>
      <w:r w:rsidRPr="00087A72">
        <w:rPr>
          <w:u w:val="single"/>
        </w:rPr>
        <w:t>the U.S. war on terror engenders among U.S. queer subjects a homonormative nationalism, or “homonationalism</w:t>
      </w:r>
      <w:r w:rsidRPr="00087A72">
        <w:rPr>
          <w:sz w:val="16"/>
        </w:rPr>
        <w:t xml:space="preserve">.” Puar examines how, by appealing to or being embraced by the antiterrorist state, U.S. queers appear as a form of “U.S. exceptionalism.” Their protection or promotion by U.S. imperialism then supports and extends, in Rey Chow’s terms, “the ascendancy of whiteness.”1 Puar adapts Foucauldian theory of biopolitics to </w:t>
      </w:r>
      <w:r w:rsidRPr="00087A72">
        <w:rPr>
          <w:u w:val="single"/>
        </w:rPr>
        <w:t>argue that a key effect of the war on terror is the production of white heteronormative national subjects of life. In turn, terrorists and all who are linked to them are framed as racial and sexual populations marked for death,</w:t>
      </w:r>
      <w:r w:rsidRPr="00087A72">
        <w:rPr>
          <w:sz w:val="16"/>
        </w:rPr>
        <w:t xml:space="preserve"> in a parallel process Achille Mbembe terms “necropolitics.”2 Puar has extended these arguments in other writing with Amit Rai, by arguing that both these life- and death-enhancing projects frame the terrorist as a monster who can be read as queer. </w:t>
      </w:r>
      <w:r w:rsidRPr="00087A72">
        <w:rPr>
          <w:u w:val="single"/>
        </w:rPr>
        <w:t>This is so especially if colonial discourses conflate racialized terrorists with sexual perversion or uphold the heteronormativity of white citizens as in need of enhancement or defense</w:t>
      </w:r>
      <w:r w:rsidRPr="00087A72">
        <w:rPr>
          <w:sz w:val="16"/>
        </w:rPr>
        <w:t>. But as Puar and Rai note, the war on terror creates white heteronormative nationalism as not a target but the agent of terrorizing brutality. Terror in fact is the function of the biopolitics that purports to oppose it.3 This is the context in which U.S. queer subjects become homonationalist: when they try to join an imperial biopolitics as liberal subjects of life, they become what Puar calls “queer as regulatory” over other, queered populations in relation to which they also exert terrorizing control.4 I am compelled by Puar’s analysis, which I extend at the intersections of queer studies and Native studies. Puar presents the term homonationalism to explain how racialized sexuality and national terror interact today</w:t>
      </w:r>
      <w:r w:rsidRPr="00087A72">
        <w:rPr>
          <w:u w:val="single"/>
        </w:rPr>
        <w:t>. I interpret homonationalism as an effect of U.S. queer modernities forming amid the conquest of Native peoples and the settling of Native land. The terrorizing sexual colonization of Native peoples was a historical root of the biopolitics of modern sexuality in the United States. Colonists interpreted diverse practices of gender and sexuality as signs of a general primitivity among Native peoples. Over time, they produced a colonial necropolitics that framed Native peoples as queer populations marked for death</w:t>
      </w:r>
      <w:r w:rsidRPr="00087A72">
        <w:rPr>
          <w:sz w:val="16"/>
        </w:rPr>
        <w:t xml:space="preserve">. </w:t>
      </w:r>
      <w:r w:rsidRPr="00087A72">
        <w:rPr>
          <w:u w:val="single"/>
        </w:rPr>
        <w:t>Colonization produced the biopolitics of modern sexuality that I call “settler sexuality”: a white national heteronormativity that regulates Indigenous sexuality and gender by supplanting them with the sexual modernity of settler subjects.</w:t>
      </w:r>
      <w:r w:rsidRPr="00087A72">
        <w:rPr>
          <w:sz w:val="16"/>
        </w:rPr>
        <w:t xml:space="preserve"> Despite having formed in the United States to serve Anglo-American landowning classes and the Euro-ethnics they absorbed, settler definitions of modern sexuality became hegemonic for all non-Natives, as well as for Native people who sought ties to sexual modernity. </w:t>
      </w:r>
      <w:r w:rsidRPr="00087A72">
        <w:rPr>
          <w:u w:val="single"/>
        </w:rPr>
        <w:t>Settler colonialism thus conditioned the formation of modern sexuality in the United States, including modern queer subjects and politics</w:t>
      </w:r>
      <w:r w:rsidRPr="00087A72">
        <w:rPr>
          <w:sz w:val="16"/>
        </w:rPr>
        <w:t xml:space="preserve">. By the mid-twentieth century U.S. sexual minority movements had formed on normatively white and national terms, which could include reversing the discourses marking them as primitive and embracing a primitive or specifically Native sexual nature. Non-Native queers of color long remained marginal to such projects or critiqued them, as their participants or as the organizers of queer of color coalitions. But over time </w:t>
      </w:r>
      <w:r w:rsidRPr="00087A72">
        <w:rPr>
          <w:rStyle w:val="StyleUnderline"/>
        </w:rPr>
        <w:t>non-Natives were able to form shared identities and movements to claim modern sexual citizenship in the settler state</w:t>
      </w:r>
      <w:r w:rsidRPr="00087A72">
        <w:rPr>
          <w:sz w:val="16"/>
        </w:rPr>
        <w:t xml:space="preserve">. Under such conditions, </w:t>
      </w:r>
      <w:r w:rsidRPr="00087A72">
        <w:rPr>
          <w:rStyle w:val="StyleUnderline"/>
        </w:rPr>
        <w:t>queer movements can naturalize settlement and assume a homonormative and national form that may be read specifically as settler homonationalism.</w:t>
      </w:r>
      <w:r w:rsidRPr="00087A72">
        <w:rPr>
          <w:sz w:val="16"/>
        </w:rPr>
        <w:t xml:space="preserve"> My reading of settler homonationalism extends a larger project in which I am centering settler colonialism as a condition of the formation of modern queer subjects, cultures, and politics in the United States.5 </w:t>
      </w:r>
      <w:r w:rsidRPr="00087A72">
        <w:rPr>
          <w:u w:val="single"/>
        </w:rPr>
        <w:t>Narrating Native histories of sexuality and gender while absenting Native people from sexual modernity produces U.S. queer projects as settler formations. Such projects remain distant from Native queer activisms that challenge the colonial formation of modern sexuality, by denaturalizing settlement, reimagining subjugated Native knowledges, and fostering Native survivance within broader work for decolonization.</w:t>
      </w:r>
      <w:r w:rsidRPr="00087A72">
        <w:rPr>
          <w:sz w:val="16"/>
        </w:rPr>
        <w:t xml:space="preserve"> Inspired by Native queer activisms and Indigenous feminist and queer critiques, my historical and ethnographic work traces the processes that made settler definitions of sexual modernity normative in U.S. queer projects. I conduct this work as a non-Native and white participant in the multiracial U.S. queer cultures and politics I critically engage, and from within allied and dialogic relationships with Native queer activisms and Indigenous queer and feminist work in Native studies. My work invites new conversation among queer of color, queer diasporic, and Indigenous queer critiques and all critical queer projects in the United States that would disrupt homonationalism, by calling all to mark and challenge its settler formation.</w:t>
      </w:r>
    </w:p>
    <w:p w:rsidR="00BF6777" w:rsidRPr="00087A72" w:rsidRDefault="00BF6777" w:rsidP="00496C79">
      <w:pPr>
        <w:pStyle w:val="Heading3"/>
      </w:pPr>
      <w:r w:rsidRPr="00087A72">
        <w:t>Impact – Imperialism</w:t>
      </w:r>
    </w:p>
    <w:p w:rsidR="00BF6777" w:rsidRPr="00087A72" w:rsidRDefault="00BF6777" w:rsidP="00BF6777">
      <w:pPr>
        <w:pStyle w:val="Heading4"/>
        <w:rPr>
          <w:rStyle w:val="Style13ptBold"/>
          <w:rFonts w:cstheme="majorHAnsi"/>
          <w:b/>
        </w:rPr>
      </w:pPr>
      <w:r w:rsidRPr="00087A72">
        <w:rPr>
          <w:rStyle w:val="Style13ptBold"/>
          <w:rFonts w:cstheme="majorHAnsi"/>
          <w:b/>
        </w:rPr>
        <w:t>Settler colonialism sets the discursive basis for imperialistic and militaristic forms of violence, culminating in a global regime of coloniality and capitalism</w:t>
      </w:r>
    </w:p>
    <w:p w:rsidR="00BF6777" w:rsidRPr="00087A72" w:rsidRDefault="00BF6777" w:rsidP="00BF6777">
      <w:pPr>
        <w:rPr>
          <w:rFonts w:cstheme="majorHAnsi"/>
        </w:rPr>
      </w:pPr>
      <w:r w:rsidRPr="00087A72">
        <w:rPr>
          <w:rStyle w:val="Style13ptBold"/>
          <w:rFonts w:cstheme="majorHAnsi"/>
        </w:rPr>
        <w:t>Cornellier and Griffiths 16</w:t>
      </w:r>
      <w:r w:rsidRPr="00087A72">
        <w:rPr>
          <w:rFonts w:cstheme="majorHAnsi"/>
        </w:rPr>
        <w:t xml:space="preserve"> (Bruno and Michael, Department of English, University of Winnipeg, Manitoba, Canada &amp; School of the Arts, English and Media, University of Wollongong, Wollongong, NSW, Australia, “Globalizing unsettlement: an introduction”, </w:t>
      </w:r>
      <w:r w:rsidRPr="00087A72">
        <w:rPr>
          <w:rFonts w:cstheme="majorHAnsi"/>
          <w:i/>
        </w:rPr>
        <w:t>Settler Colonial Studies</w:t>
      </w:r>
      <w:r w:rsidRPr="00087A72">
        <w:rPr>
          <w:rFonts w:cstheme="majorHAnsi"/>
        </w:rPr>
        <w:t>, Issue Number, 4, pp. 305-312)//vikas</w:t>
      </w:r>
    </w:p>
    <w:p w:rsidR="00BF6777" w:rsidRPr="00087A72" w:rsidRDefault="00BF6777" w:rsidP="00BF6777">
      <w:pPr>
        <w:rPr>
          <w:rFonts w:cstheme="majorHAnsi"/>
          <w:sz w:val="10"/>
        </w:rPr>
      </w:pPr>
      <w:r w:rsidRPr="00087A72">
        <w:rPr>
          <w:rFonts w:cstheme="majorHAnsi"/>
          <w:sz w:val="10"/>
        </w:rPr>
        <w:t xml:space="preserve">This issue of Settler Colonial Studies marks the attempt to think the global adjacent to and, indeed, constituted in relation to questions of internal colonialism and settlement. As editors, we implicitly follow a contention of Scott Morgensen’s that settler </w:t>
      </w:r>
      <w:r w:rsidRPr="00087A72">
        <w:rPr>
          <w:rFonts w:cstheme="majorHAnsi"/>
          <w:b/>
          <w:u w:val="single"/>
        </w:rPr>
        <w:t>colonialism is not merely a violent phenomenon of the colonial periphery, but</w:t>
      </w:r>
      <w:r w:rsidRPr="00087A72">
        <w:rPr>
          <w:rFonts w:cstheme="majorHAnsi"/>
          <w:sz w:val="10"/>
        </w:rPr>
        <w:t xml:space="preserve"> in fact </w:t>
      </w:r>
      <w:r w:rsidRPr="00087A72">
        <w:rPr>
          <w:rFonts w:cstheme="majorHAnsi"/>
          <w:b/>
          <w:u w:val="single"/>
        </w:rPr>
        <w:t>functions as constitutive of geopolitics at a global level</w:t>
      </w:r>
      <w:r w:rsidRPr="00087A72">
        <w:rPr>
          <w:rFonts w:cstheme="majorHAnsi"/>
          <w:b/>
          <w:sz w:val="10"/>
        </w:rPr>
        <w:t>.</w:t>
      </w:r>
      <w:r w:rsidRPr="00087A72">
        <w:rPr>
          <w:rFonts w:cstheme="majorHAnsi"/>
          <w:sz w:val="10"/>
        </w:rPr>
        <w:t xml:space="preserve"> As Morgensen puts it, ‘</w:t>
      </w:r>
      <w:r w:rsidRPr="00087A72">
        <w:rPr>
          <w:rFonts w:cstheme="majorHAnsi"/>
          <w:b/>
          <w:u w:val="single"/>
        </w:rPr>
        <w:t>Settler colonialism</w:t>
      </w:r>
      <w:r w:rsidRPr="00087A72">
        <w:rPr>
          <w:rFonts w:cstheme="majorHAnsi"/>
          <w:sz w:val="10"/>
        </w:rPr>
        <w:t xml:space="preserve"> directly </w:t>
      </w:r>
      <w:r w:rsidRPr="00087A72">
        <w:rPr>
          <w:rFonts w:cstheme="majorHAnsi"/>
          <w:b/>
          <w:u w:val="single"/>
        </w:rPr>
        <w:t>informs</w:t>
      </w:r>
      <w:r w:rsidRPr="00087A72">
        <w:rPr>
          <w:rFonts w:cstheme="majorHAnsi"/>
          <w:sz w:val="10"/>
        </w:rPr>
        <w:t xml:space="preserve"> past and present processes of European </w:t>
      </w:r>
      <w:r w:rsidRPr="00087A72">
        <w:rPr>
          <w:rFonts w:cstheme="majorHAnsi"/>
          <w:b/>
          <w:u w:val="single"/>
        </w:rPr>
        <w:t>colonization, global capitalism, liberal modernity and international governance. If settler colonialism is not theorized in accounts of these formations,</w:t>
      </w:r>
      <w:r w:rsidRPr="00087A72">
        <w:rPr>
          <w:rFonts w:cstheme="majorHAnsi"/>
          <w:sz w:val="10"/>
        </w:rPr>
        <w:t xml:space="preserve"> then </w:t>
      </w:r>
      <w:r w:rsidRPr="00087A72">
        <w:rPr>
          <w:rFonts w:cstheme="majorHAnsi"/>
          <w:b/>
          <w:u w:val="single"/>
        </w:rPr>
        <w:t>its power remains naturalized in the world that we engage</w:t>
      </w:r>
      <w:r w:rsidRPr="00087A72">
        <w:rPr>
          <w:rFonts w:cstheme="majorHAnsi"/>
          <w:sz w:val="10"/>
        </w:rPr>
        <w:t xml:space="preserve"> and in the theoretical apparatuses with which we attempt to explain it.’ 1 </w:t>
      </w:r>
      <w:r w:rsidRPr="00087A72">
        <w:rPr>
          <w:rStyle w:val="Emphasis"/>
          <w:rFonts w:cstheme="majorHAnsi"/>
        </w:rPr>
        <w:t>Settler colonialism</w:t>
      </w:r>
      <w:r w:rsidRPr="00087A72">
        <w:rPr>
          <w:rFonts w:cstheme="majorHAnsi"/>
          <w:sz w:val="10"/>
        </w:rPr>
        <w:t xml:space="preserve">, then, is not merely a global phenomenon, it </w:t>
      </w:r>
      <w:r w:rsidRPr="00087A72">
        <w:rPr>
          <w:rStyle w:val="Emphasis"/>
          <w:rFonts w:cstheme="majorHAnsi"/>
        </w:rPr>
        <w:t>is also constitutive of the global</w:t>
      </w:r>
      <w:r w:rsidRPr="00087A72">
        <w:rPr>
          <w:rFonts w:cstheme="majorHAnsi"/>
          <w:sz w:val="10"/>
        </w:rPr>
        <w:t xml:space="preserve">. So many nation states which were founded on settler colonialism are considered first world nation states, and many are implicated, through this role, in broader operations of regional and global neoimperial control of territory and interests. </w:t>
      </w:r>
      <w:r w:rsidRPr="00087A72">
        <w:rPr>
          <w:rFonts w:cstheme="majorHAnsi"/>
          <w:b/>
          <w:u w:val="single"/>
        </w:rPr>
        <w:t>This</w:t>
      </w:r>
      <w:r w:rsidRPr="00087A72">
        <w:rPr>
          <w:rFonts w:cstheme="majorHAnsi"/>
          <w:sz w:val="10"/>
        </w:rPr>
        <w:t xml:space="preserve"> is a central premise of many of the contributions to this volume, from Kevin Bruyneel’s analysis of the settler colonial vocabulary that </w:t>
      </w:r>
      <w:r w:rsidRPr="00087A72">
        <w:rPr>
          <w:rStyle w:val="Emphasis"/>
          <w:rFonts w:cstheme="majorHAnsi"/>
        </w:rPr>
        <w:t>animates US military incursions in the Middle East</w:t>
      </w:r>
      <w:r w:rsidRPr="00087A72">
        <w:rPr>
          <w:rFonts w:cstheme="majorHAnsi"/>
          <w:sz w:val="10"/>
        </w:rPr>
        <w:t xml:space="preserve"> to Shiri Pasternak’s analysis of the relation between Canadian multi-national private resource extraction </w:t>
      </w:r>
      <w:r w:rsidRPr="00087A72">
        <w:rPr>
          <w:rFonts w:cstheme="majorHAnsi"/>
          <w:b/>
          <w:u w:val="single"/>
        </w:rPr>
        <w:t>and the ongoing dispossession of native lands</w:t>
      </w:r>
      <w:r w:rsidRPr="00087A72">
        <w:rPr>
          <w:rFonts w:cstheme="majorHAnsi"/>
          <w:sz w:val="10"/>
        </w:rPr>
        <w:t xml:space="preserve"> in Canada to Mark Rifkin’s careful geopolitical reading of indigenous internationalism in the United Nations (UN) Declaration on the Rights of Indigenous People. If the USA is the most paradigmatic (though not the sole) instantiation of global ‘capitalist-territorialism’ (to use Giovanni Arrighi’s phrase), then as Bruyneel asserts elsewhere ‘</w:t>
      </w:r>
      <w:r w:rsidRPr="00087A72">
        <w:rPr>
          <w:rFonts w:cstheme="majorHAnsi"/>
          <w:b/>
          <w:u w:val="single"/>
        </w:rPr>
        <w:t>the persistent reproduction of the American foundational mythos</w:t>
      </w:r>
      <w:r w:rsidRPr="00087A72">
        <w:rPr>
          <w:rFonts w:cstheme="majorHAnsi"/>
          <w:sz w:val="10"/>
        </w:rPr>
        <w:t xml:space="preserve"> [ … ] ser</w:t>
      </w:r>
      <w:r w:rsidRPr="00087A72">
        <w:rPr>
          <w:rFonts w:cstheme="majorHAnsi"/>
          <w:b/>
          <w:u w:val="single"/>
        </w:rPr>
        <w:t>ves critically in the reproduction and legitimation of settler colonialism as a structure</w:t>
      </w:r>
      <w:r w:rsidRPr="00087A72">
        <w:rPr>
          <w:rFonts w:cstheme="majorHAnsi"/>
          <w:sz w:val="10"/>
        </w:rPr>
        <w:t xml:space="preserve">’, </w:t>
      </w:r>
      <w:r w:rsidRPr="00087A72">
        <w:rPr>
          <w:rFonts w:cstheme="majorHAnsi"/>
          <w:b/>
          <w:u w:val="single"/>
        </w:rPr>
        <w:t>and does so in</w:t>
      </w:r>
      <w:r w:rsidRPr="00087A72">
        <w:rPr>
          <w:rFonts w:cstheme="majorHAnsi"/>
          <w:sz w:val="10"/>
        </w:rPr>
        <w:t xml:space="preserve"> the manifest </w:t>
      </w:r>
      <w:r w:rsidRPr="00087A72">
        <w:rPr>
          <w:rFonts w:cstheme="majorHAnsi"/>
          <w:b/>
          <w:u w:val="single"/>
        </w:rPr>
        <w:t>global reach of its neoimperial imprint</w:t>
      </w:r>
      <w:r w:rsidRPr="00087A72">
        <w:rPr>
          <w:rFonts w:cstheme="majorHAnsi"/>
          <w:sz w:val="10"/>
        </w:rPr>
        <w:t>.2 As such, ‘</w:t>
      </w:r>
      <w:r w:rsidRPr="00087A72">
        <w:rPr>
          <w:rFonts w:cstheme="majorHAnsi"/>
          <w:b/>
          <w:u w:val="single"/>
        </w:rPr>
        <w:t>via the logic of elimination</w:t>
      </w:r>
      <w:r w:rsidRPr="00087A72">
        <w:rPr>
          <w:rFonts w:cstheme="majorHAnsi"/>
          <w:sz w:val="10"/>
        </w:rPr>
        <w:t xml:space="preserve"> [ … ] </w:t>
      </w:r>
      <w:r w:rsidRPr="00087A72">
        <w:rPr>
          <w:rFonts w:cstheme="majorHAnsi"/>
          <w:b/>
          <w:u w:val="single"/>
        </w:rPr>
        <w:t>and dependent upon settler colonialism America takes up</w:t>
      </w:r>
      <w:r w:rsidRPr="00087A72">
        <w:rPr>
          <w:rFonts w:cstheme="majorHAnsi"/>
          <w:sz w:val="10"/>
        </w:rPr>
        <w:t xml:space="preserve"> its </w:t>
      </w:r>
      <w:r w:rsidRPr="00087A72">
        <w:rPr>
          <w:rFonts w:cstheme="majorHAnsi"/>
          <w:b/>
          <w:u w:val="single"/>
        </w:rPr>
        <w:t>imperial stance overlooking the world. This image illustrates that one cannot acknowledge the fact of US empire without acknowledging settler colonialism</w:t>
      </w:r>
      <w:r w:rsidRPr="00087A72">
        <w:rPr>
          <w:rFonts w:cstheme="majorHAnsi"/>
          <w:sz w:val="10"/>
        </w:rPr>
        <w:t xml:space="preserve">, and vice versa’. 3 To cite US Empire here, as constituted in relation to its own history of internal (settler) colonialism and manifest destiny is to cite an example of this relation that might be explored globally. </w:t>
      </w:r>
      <w:r w:rsidRPr="00087A72">
        <w:rPr>
          <w:rFonts w:cstheme="majorHAnsi"/>
          <w:b/>
          <w:u w:val="single"/>
        </w:rPr>
        <w:t>If settler colonialism bears relation to the global,</w:t>
      </w:r>
      <w:r w:rsidRPr="00087A72">
        <w:rPr>
          <w:rFonts w:cstheme="majorHAnsi"/>
          <w:sz w:val="10"/>
        </w:rPr>
        <w:t xml:space="preserve"> as the US example illustrates, </w:t>
      </w:r>
      <w:r w:rsidRPr="00087A72">
        <w:rPr>
          <w:rFonts w:cstheme="majorHAnsi"/>
          <w:b/>
          <w:u w:val="single"/>
        </w:rPr>
        <w:t xml:space="preserve">then </w:t>
      </w:r>
      <w:r w:rsidRPr="00087A72">
        <w:rPr>
          <w:rStyle w:val="Emphasis"/>
          <w:rFonts w:cstheme="majorHAnsi"/>
        </w:rPr>
        <w:t>global comparisons of such modes of dispossession</w:t>
      </w:r>
      <w:r w:rsidRPr="00087A72">
        <w:rPr>
          <w:rFonts w:cstheme="majorHAnsi"/>
          <w:b/>
          <w:u w:val="single"/>
        </w:rPr>
        <w:t xml:space="preserve"> also might shed light on the complexity of specific internal settler colonial experiences. </w:t>
      </w:r>
      <w:r w:rsidRPr="00087A72">
        <w:rPr>
          <w:rFonts w:cstheme="majorHAnsi"/>
          <w:sz w:val="10"/>
        </w:rPr>
        <w:t xml:space="preserve">This issue, then, calls upon scholarship to address the ideologies that traverse comparable political spaces, of which a number are surveyed in this issue: Australia, Canada, and Chiapas, Mexico. From the perspective of a critique of settler colonialism – which this approach, grounded in the initial premise of internal colonialism and the idea of elimination, is uniquely poised to reveal – what these spaces have in common is a certain strange double vision surrounding their self-conception. </w:t>
      </w:r>
      <w:r w:rsidRPr="00087A72">
        <w:rPr>
          <w:rFonts w:cstheme="majorHAnsi"/>
          <w:b/>
          <w:u w:val="single"/>
        </w:rPr>
        <w:t>On the one hand, settler nation states stress</w:t>
      </w:r>
      <w:r w:rsidRPr="00087A72">
        <w:rPr>
          <w:rFonts w:cstheme="majorHAnsi"/>
          <w:sz w:val="10"/>
        </w:rPr>
        <w:t xml:space="preserve"> their </w:t>
      </w:r>
      <w:r w:rsidRPr="00087A72">
        <w:rPr>
          <w:rFonts w:cstheme="majorHAnsi"/>
          <w:b/>
          <w:u w:val="single"/>
        </w:rPr>
        <w:t>liberalism and inclusivity and on the other, they aim to either repress indigenous presence</w:t>
      </w:r>
      <w:r w:rsidRPr="00087A72">
        <w:rPr>
          <w:rFonts w:cstheme="majorHAnsi"/>
          <w:sz w:val="10"/>
        </w:rPr>
        <w:t xml:space="preserve"> and difference, </w:t>
      </w:r>
      <w:r w:rsidRPr="00087A72">
        <w:rPr>
          <w:rFonts w:cstheme="majorHAnsi"/>
          <w:b/>
          <w:u w:val="single"/>
        </w:rPr>
        <w:t>or</w:t>
      </w:r>
      <w:r w:rsidRPr="00087A72">
        <w:rPr>
          <w:rFonts w:cstheme="majorHAnsi"/>
          <w:sz w:val="10"/>
        </w:rPr>
        <w:t xml:space="preserve">, alternately to </w:t>
      </w:r>
      <w:r w:rsidRPr="00087A72">
        <w:rPr>
          <w:rFonts w:cstheme="majorHAnsi"/>
          <w:b/>
          <w:u w:val="single"/>
        </w:rPr>
        <w:t>occlude its particularly salient claims by subsuming this difference under a wider multicultural settlement on the management of alterity.</w:t>
      </w:r>
      <w:r w:rsidRPr="00087A72">
        <w:rPr>
          <w:rFonts w:cstheme="majorHAnsi"/>
          <w:sz w:val="10"/>
        </w:rPr>
        <w:t xml:space="preserve"> Here, the more the modernity and liberalism of the settler state is rhetorically stressed and pushed, the more it indulges in the repression of an indigenous presence often imagined as an anachronistic and aliberal residue of the type of ethnically bound and territorially fixed political cultures that violently clashed and sunk in our pre-global and pre-modern world. This is a second crucial premise of this collection’s relation to the globality of settler colonialism: </w:t>
      </w:r>
      <w:r w:rsidRPr="00087A72">
        <w:rPr>
          <w:rStyle w:val="Emphasis"/>
          <w:rFonts w:cstheme="majorHAnsi"/>
        </w:rPr>
        <w:t>liberal multicultural policies act comparably across multiple sites</w:t>
      </w:r>
      <w:r w:rsidRPr="00087A72">
        <w:rPr>
          <w:rFonts w:cstheme="majorHAnsi"/>
          <w:b/>
          <w:sz w:val="10"/>
        </w:rPr>
        <w:t xml:space="preserve"> </w:t>
      </w:r>
      <w:r w:rsidRPr="00087A72">
        <w:rPr>
          <w:rFonts w:cstheme="majorHAnsi"/>
          <w:sz w:val="10"/>
        </w:rPr>
        <w:t xml:space="preserve">and spaces </w:t>
      </w:r>
      <w:r w:rsidRPr="00087A72">
        <w:rPr>
          <w:rStyle w:val="Emphasis"/>
          <w:rFonts w:cstheme="majorHAnsi"/>
        </w:rPr>
        <w:t>as avenues for the reinstitution of dispossession</w:t>
      </w:r>
      <w:r w:rsidRPr="00087A72">
        <w:rPr>
          <w:rFonts w:cstheme="majorHAnsi"/>
          <w:b/>
          <w:u w:val="single"/>
        </w:rPr>
        <w:t>.</w:t>
      </w:r>
      <w:r w:rsidRPr="00087A72">
        <w:rPr>
          <w:rFonts w:cstheme="majorHAnsi"/>
          <w:sz w:val="10"/>
        </w:rPr>
        <w:t xml:space="preserve"> From Melissa Forbis’ analysis of Chiapas to Michael Griffiths’ argument about the relation between race and culture in Australia, </w:t>
      </w:r>
      <w:r w:rsidRPr="00087A72">
        <w:rPr>
          <w:rFonts w:cstheme="majorHAnsi"/>
          <w:b/>
          <w:u w:val="single"/>
        </w:rPr>
        <w:t>liberal logics are used to conceal new and incipient modes of dispossession globally</w:t>
      </w:r>
      <w:r w:rsidRPr="00087A72">
        <w:rPr>
          <w:rFonts w:cstheme="majorHAnsi"/>
          <w:sz w:val="10"/>
        </w:rPr>
        <w:t xml:space="preserve">. These critical contributions offer us opportunities to return to the inherently globalizing critical insights of postcolonial studies, but this time in conversation with recent developments in indigenous and settler colonial studies. </w:t>
      </w:r>
      <w:r w:rsidRPr="00087A72">
        <w:rPr>
          <w:rFonts w:cstheme="majorHAnsi"/>
          <w:b/>
          <w:u w:val="single"/>
        </w:rPr>
        <w:t>These complementary fields offer us ways to dialectically connect postcolonial concerns with movement</w:t>
      </w:r>
      <w:r w:rsidRPr="00087A72">
        <w:rPr>
          <w:rFonts w:cstheme="majorHAnsi"/>
          <w:sz w:val="10"/>
        </w:rPr>
        <w:t xml:space="preserve"> (conquest, </w:t>
      </w:r>
      <w:r w:rsidRPr="00087A72">
        <w:rPr>
          <w:rFonts w:cstheme="majorHAnsi"/>
          <w:b/>
          <w:u w:val="single"/>
        </w:rPr>
        <w:t>migration</w:t>
      </w:r>
      <w:r w:rsidRPr="00087A72">
        <w:rPr>
          <w:rFonts w:cstheme="majorHAnsi"/>
          <w:sz w:val="10"/>
        </w:rPr>
        <w:t xml:space="preserve">, diaspora, displacement, </w:t>
      </w:r>
      <w:r w:rsidRPr="00087A72">
        <w:rPr>
          <w:rFonts w:cstheme="majorHAnsi"/>
          <w:b/>
          <w:u w:val="single"/>
        </w:rPr>
        <w:t>or return</w:t>
      </w:r>
      <w:r w:rsidRPr="00087A72">
        <w:rPr>
          <w:rFonts w:cstheme="majorHAnsi"/>
          <w:sz w:val="10"/>
        </w:rPr>
        <w:t xml:space="preserve">) </w:t>
      </w:r>
      <w:r w:rsidRPr="00087A72">
        <w:rPr>
          <w:rFonts w:cstheme="majorHAnsi"/>
          <w:b/>
          <w:u w:val="single"/>
        </w:rPr>
        <w:t>to the anchoring and immobilizing violence of settlement and containment.</w:t>
      </w:r>
      <w:r w:rsidRPr="00087A72">
        <w:rPr>
          <w:rFonts w:cstheme="majorHAnsi"/>
          <w:sz w:val="10"/>
        </w:rPr>
        <w:t xml:space="preserve"> Settler colonial studies emerges not only from a different academic history than postcolonial studies. The former has also come to be far more in conversation with indigenous studies than the latter. As Jodi Byrd’s work implicitly registers, this may be due in part to the relegation of indigenous concerns to the margins of literary area studies even as postcolonial studies was in ascendance in the 80s and 90s, In North America during this time, it is a great irony that indigenous concerns engaged far more with American studies than postcolonial studies. Indeed, the study of national culture is ironically recognizing the study of indigenous cultures, even as it implicitly always aimed to contain it. Australian and Canadian national literary studies in their own ways have similarly been involved in an attempt at inclusivity that unfortunately still grounds itself in the settler nation. In the Australian and Aotearoa New Zealand academic spheres, the experience of colonial subalternity often conflated the experiences of settler and indigene. In the social sciences, similarly, indigenous studies as it existed was, until at least the days of the Writing Culture turn in 1986, predicated on the legacy of anthropology’s fetishization of indigenous peoples as constitutive of the Elementary Structures of Religious Life (in Durkheim) or constitutive of the human through the cultural logic of myth and kinship (for instance, in Levi-Strauss, a notion Mark Rifkin has placed in its particularly settler colonial context).4 What this brief introduction aims to do is not to offer a survey of the field. Rather it aims to suggest that this academic history of in-between-ness is not only the legacy of the academy – its vicissitudes, exigencies, and blind spots – </w:t>
      </w:r>
      <w:r w:rsidRPr="00087A72">
        <w:rPr>
          <w:rFonts w:cstheme="majorHAnsi"/>
          <w:b/>
          <w:u w:val="single"/>
        </w:rPr>
        <w:t>but also corresponds to a divergent history of internationalism, geopolitics, and their mechanisms and organelles of recognition and Real-Politik</w:t>
      </w:r>
      <w:r w:rsidRPr="00087A72">
        <w:rPr>
          <w:rFonts w:cstheme="majorHAnsi"/>
          <w:sz w:val="10"/>
        </w:rPr>
        <w:t>. Briefly then, let us give an account of the wider institutional mode by which, in international politics, postcolonial political concerns and those of indigenous peoples in the settler liberal democracies have (in large part) departed on two distinct trajectories: one described by internationalism, the other by relation to a UN mediated discourse of rights. The latter of these trajectories, culminating in the UN Declaration on the Rights of Indigenous Peoples of 2007 (UNDRIP), relies on the enforcement of the very settler nation states that continue to structure indigenous dispossession in their respective territories. In 1923, Iroquois leader Levi General (best known by his title, Deskaheh) visited Geneva. The purpose of his visit was to petition the League of Nations to uphold the claim of the Iroquois Confederacy to nationhood. Deskaheh’s claim was to territory around the banks of Lake Erie, which had been garnered in a 1784 Treaty with the British – a treaty ignored by Canada. Under pressure from Britain, the USA, and Canada, Deskaheh’s petition was ignored by the League. The Bandung Conference 30 years later saw the decolonizing impetus of Asia and Africa formulated in such a way as to birth a series of subsequent alternative political and economic international bodies, most recently the New Asian African Strategic Partnership (of 2005). Indigenous peoples in North America and the Antipodes have, of course, evolved their own strategies of political organization. An alternative internationalism has emerged that culminated very recently in the 2007 UNDRIP. Yet the limited enforceability of this international order and its mediation through signatory settler states bears the legacy of the thwarting of sovereignty that has been an aspect of mainstream indigenous internationalism. Within this particular brand of internationalism, the liberal politics of recognition has dominated indigenous politics and the very nation states whose imposition many indigenous peoples would refuse become the brokers of the imperatives symbolically bestowed upon them by the UN. Settler colonies are strangely exceptional spaces, even as they are constitutive of global normative world orders. What might these distinct genealogies of decolonizing thought and political vicissitude mark? How are we to think indigenous/fourth world decolonization today, in light of this politics of recognition, ostensibly international and yet so reliant on the mediation of settler nation states? Similarly, just as settler nation states can continue to determine the mode by which they approach the measures mandated by this new internationalism, they act to maintain the exceptionalism associated with other settler colonialisms to which their external empires relate. The creation of the United Nations Relief and Works Agency for Palestinian Refugees in the Middle East (UNRWA) is a case in point. The UN created the UNRWA prior to the 1951 signing of the convention on refugees, but did not then incorporate Palestinian refugees into the mainstream system for managing the experience of dispossession and refuge associated with the United Nations High Commission for Refugees. What is it, then, about the archipelago of first world nation states with settler colonial histories that has come to be associated with the thwarting of excessive power for the purposes of dispossession and the reduction of vulnerable bodies, peoples, and populations? It is arguably their desire and capacity to conceal the dispossession central to their foundation that has been and continues to be at odds with, exceptional to, and displaced from their mainstream internationalism. As Patrick Wolfe has recently remarked: ‘</w:t>
      </w:r>
      <w:r w:rsidRPr="00087A72">
        <w:rPr>
          <w:rFonts w:cstheme="majorHAnsi"/>
          <w:b/>
          <w:u w:val="single"/>
        </w:rPr>
        <w:t>settler discourse seeks to shift Native Affairs out of the realm of international relations and reconstitute it internally as a depoliticized branch of the welfare bureaucracy</w:t>
      </w:r>
      <w:r w:rsidRPr="00087A72">
        <w:rPr>
          <w:rFonts w:cstheme="majorHAnsi"/>
          <w:sz w:val="10"/>
        </w:rPr>
        <w:t xml:space="preserve">’. 5 In that sense, then, analysis of settler colonialism necessitates the desire for normative pressure to be placed on the legacies of elimination and dispossession that characterize particular nation state in their geopolitical reality, just as it necessitates further descriptive accounts of the way </w:t>
      </w:r>
      <w:r w:rsidRPr="00087A72">
        <w:rPr>
          <w:rFonts w:cstheme="majorHAnsi"/>
          <w:b/>
          <w:u w:val="single"/>
        </w:rPr>
        <w:t>settler colonialism is one crucial and constitutive phenomenon undergirding the international order and that of global economics and geopolitics</w:t>
      </w:r>
      <w:r w:rsidRPr="00087A72">
        <w:rPr>
          <w:rFonts w:cstheme="majorHAnsi"/>
          <w:sz w:val="10"/>
        </w:rPr>
        <w:t xml:space="preserve">. If we are to think resistance and solidarity in relation to the global imperialism engendered by settler colonialism it might be through a recognition that a multiplicity of heterogeneous indigenous worlds seeks solidarity against a heterogenous, though often comparable, array of settler colonial governing practices. Where settler colonialism is, for instance, always constitutively biopolitical, where it is also always grounded in political economies of dispossession, the particular histories of governance that manifest this dispossession matter. </w:t>
      </w:r>
      <w:r w:rsidRPr="00087A72">
        <w:rPr>
          <w:rFonts w:cstheme="majorHAnsi"/>
          <w:b/>
          <w:u w:val="single"/>
        </w:rPr>
        <w:t>Assimilation and allotment</w:t>
      </w:r>
      <w:r w:rsidRPr="00087A72">
        <w:rPr>
          <w:rFonts w:cstheme="majorHAnsi"/>
          <w:sz w:val="10"/>
        </w:rPr>
        <w:t xml:space="preserve">, for instance, </w:t>
      </w:r>
      <w:r w:rsidRPr="00087A72">
        <w:rPr>
          <w:rFonts w:cstheme="majorHAnsi"/>
          <w:b/>
          <w:u w:val="single"/>
        </w:rPr>
        <w:t>are each biopolitical and each possess a relation to an economics of settler extraction, but they are not identical</w:t>
      </w:r>
      <w:r w:rsidRPr="00087A72">
        <w:rPr>
          <w:rFonts w:cstheme="majorHAnsi"/>
          <w:sz w:val="10"/>
        </w:rPr>
        <w:t xml:space="preserve">. Nor still are the discourses of sovereignty and self-determination that are deployed in settler public spheres to articulate within the limitations of the English language worldings against statist mechanisms of liberal multicultural recognition, worldings such as: Haudenosaunee, tino rangatiratanga to name only two. Hence, the attempt here undertaken is to contribute to the burgeoning conversation around settler colonial studies through an eclecticism and globalism that might begin to address this question of comparison. How is the liberal modernity of the settler colonies always vested in the dispossession of indigenous peoples? How can we also analyze the distinct modes of biopolitical and state power by which these dispossessions are deployed? </w:t>
      </w:r>
      <w:r w:rsidRPr="00087A72">
        <w:rPr>
          <w:rFonts w:cstheme="majorHAnsi"/>
          <w:b/>
          <w:u w:val="single"/>
        </w:rPr>
        <w:t>Settler colonialism</w:t>
      </w:r>
      <w:r w:rsidRPr="00087A72">
        <w:rPr>
          <w:rFonts w:cstheme="majorHAnsi"/>
          <w:sz w:val="10"/>
        </w:rPr>
        <w:t xml:space="preserve">, as Morgensen suggests, </w:t>
      </w:r>
      <w:r w:rsidRPr="00087A72">
        <w:rPr>
          <w:rFonts w:cstheme="majorHAnsi"/>
          <w:b/>
          <w:u w:val="single"/>
        </w:rPr>
        <w:t>is constitutive of globality.</w:t>
      </w:r>
      <w:r w:rsidRPr="00087A72">
        <w:rPr>
          <w:rFonts w:cstheme="majorHAnsi"/>
          <w:sz w:val="10"/>
        </w:rPr>
        <w:t xml:space="preserve"> Yet, Wolfe also insists that </w:t>
      </w:r>
      <w:r w:rsidRPr="00087A72">
        <w:rPr>
          <w:rFonts w:cstheme="majorHAnsi"/>
          <w:b/>
          <w:u w:val="single"/>
        </w:rPr>
        <w:t>liberal internationalism</w:t>
      </w:r>
      <w:r w:rsidRPr="00087A72">
        <w:rPr>
          <w:rFonts w:cstheme="majorHAnsi"/>
          <w:sz w:val="10"/>
        </w:rPr>
        <w:t xml:space="preserve">, </w:t>
      </w:r>
      <w:r w:rsidRPr="00087A72">
        <w:rPr>
          <w:rFonts w:cstheme="majorHAnsi"/>
          <w:b/>
          <w:u w:val="single"/>
        </w:rPr>
        <w:t>under the instrumental pressure of settler colonial nation states</w:t>
      </w:r>
      <w:r w:rsidRPr="00087A72">
        <w:rPr>
          <w:rFonts w:cstheme="majorHAnsi"/>
          <w:sz w:val="10"/>
        </w:rPr>
        <w:t xml:space="preserve"> precisely </w:t>
      </w:r>
      <w:r w:rsidRPr="00087A72">
        <w:rPr>
          <w:rFonts w:cstheme="majorHAnsi"/>
          <w:b/>
          <w:u w:val="single"/>
        </w:rPr>
        <w:t>functions by the disavowal of this geopolitical mode of liberal dispossession.</w:t>
      </w:r>
      <w:r w:rsidRPr="00087A72">
        <w:rPr>
          <w:rFonts w:cstheme="majorHAnsi"/>
          <w:sz w:val="10"/>
        </w:rPr>
        <w:t xml:space="preserve"> Furthermore, </w:t>
      </w:r>
      <w:r w:rsidRPr="00087A72">
        <w:rPr>
          <w:rFonts w:cstheme="majorHAnsi"/>
          <w:b/>
          <w:u w:val="single"/>
        </w:rPr>
        <w:t>critiques of globalization must also manage and invest in the question of the arrivant</w:t>
      </w:r>
      <w:r w:rsidRPr="00087A72">
        <w:rPr>
          <w:rFonts w:cstheme="majorHAnsi"/>
          <w:sz w:val="10"/>
        </w:rPr>
        <w:t xml:space="preserve">, as Jodi Byrd (following Barbadian poet Kamau Brathwaite), names the diasporic subject in the settler colony.6 If diasporic modes of dispossession have been as much a consequence of globalization as the settler colonialism that is constitutive of it, then we might reformulate Morgensen’s contention in part: settler colonialism is constitutive of global Imperialism, though it is not exclusively explanatory as a way to reckon global modes of dispossession. The first arrivants of the New World and the antipodes – from the survivors of the middle passage to the Asian and South Asian socalled ‘Coolie’ laborers used by the British as virtual slaves after formal abolition of slavery in 1807 – arrived against their will. Indeed, indigenous dispossession in relation to settler colonialism has had its own experience of diaspora, from the trail of tears to the diaspora of more than 6 million Palestinians from 1948 onwards. As Morgensen notes, ‘the settler colonization of Indigenous Americans, the transatlantic slave trade, and all colonized indentured labor invoke a global history of colonial modernity in which Indigenous and African diasporic peoples appear relationally’. One question that might be implied by this conjugation is, how might we think the relation of this relational appearance?7 Might the relation between diaspora and indigeneity, native and arrivant be thought through intersectional solidarities beyond the binarism of the settler/native paradigm, while nonetheless continuing to insist on the sovereignty of indigenous rights to their traditional territories? We hope that by addressing settler colonialism globally, the question of diaspora might be made to engage and intersect with it. While Patrick Wolfe has recently asserted that any disruption of the binary logic of settler colonialism might itself be a settler logic, diasporic scholars, and indeed, indigenous scholars attentive to the condition of the arrivant might disagree.8 Where Wolfe insists that any fragmentation of the non-indigenous beyond the indigenous-settler binary merely reifies settler-colonialism, Jodi Byrd insists that we imagine cacophonously. She writes that [b]eyond ‘the Manichean allegories of foreign/native and colonizer/colonized’ it is necessary to ‘imagine cacophonously, to understand that the historical processes that have created our contemporary moment have affected everyone at various points along their transits with and against empire’. 9 This does not, of course, mean that we should compromise the fundamental premise of settler colonialism’s status as a structure and not an event that Wolfe has done so much work to bring to the fore, or the important assertion of the fact that both the ‘settler’ and the ‘arrivant’ experience must wrestle with the fact that, in Byrd’s words, </w:t>
      </w:r>
      <w:r w:rsidRPr="00087A72">
        <w:rPr>
          <w:rFonts w:cstheme="majorHAnsi"/>
          <w:b/>
          <w:u w:val="single"/>
        </w:rPr>
        <w:t>colonialism ‘implicates all those who reside on colonized indigenous lands’</w:t>
      </w:r>
      <w:r w:rsidRPr="00087A72">
        <w:rPr>
          <w:rFonts w:cstheme="majorHAnsi"/>
          <w:sz w:val="10"/>
        </w:rPr>
        <w:t xml:space="preserve">. As Byrd notes, this cacophony ‘often coerces struggles … into complicity with settler colonialism’. As Elizabeth Povinelli has taught us, the logic of </w:t>
      </w:r>
      <w:r w:rsidRPr="00087A72">
        <w:rPr>
          <w:rFonts w:cstheme="majorHAnsi"/>
          <w:b/>
          <w:u w:val="single"/>
        </w:rPr>
        <w:t>multicultural recognition asks that indigenous peoples function as the specter of a late liberal social imaginary that nonetheless serves to constrain their more substantive political aspirations</w:t>
      </w:r>
      <w:r w:rsidRPr="00087A72">
        <w:rPr>
          <w:rFonts w:cstheme="majorHAnsi"/>
          <w:sz w:val="10"/>
        </w:rPr>
        <w:t xml:space="preserve">.10 This is the case even as ‘settlers and arrivants’, differently cathect the space of the native as their home. Settlers, of course, more often than not, desire and appropriate through imaginaries of racism or indifference. But our point is to challenge Wolfe’s binarism while acknowledging that to do so is to nonetheless accept that insurmountable salience of Wolfe’s central notion of elimination as the founding premise of settler colonialism, a notion that, in Byrd’s terms ‘implicates’ all non-indigenous subjects in settler colonial space. How, we ask, might the relation between diaspora and indigeneity, native and arrivant, be thought in a cacophony of solidarity, one that seeks to foreground and diverge from its so frequent reduction to the hegemonic disavowal of indigenous presence and sovereignty? To sum up, this introduction intersects two critical gestures that we find to be paradigmatic of contemporary indigenous and settler colonial studies: first, we have attempted to critically unpack what is cultivated as the exceptionality (or exceptionalization) of the anchoring violence of first world settler nation states and their locally specific modes of colonial dispossession and capitalist extraction as they are co-constitutive of global liberalism; second, we have here attempted to productively tease out the marginalization of indigenous peoples and indigenous lands from the globalizing vocabularies of postcolonial theories and diaspora studies. Each of the articles collected in this special issue of Settler Colonial Studies offer original interventions into these contemporary fields of inquiry. In her contribution to this volume, Shiri Pasternak theorizes ‘fiscal warfare’ as a late stage in a Canadian historical trajectory of Native dispossession. Fiscal warfare describes acts and policies that operate with the faintly disguised objective of extending the state’s sovereign claim to full territorial jurisdiction. It undertakes to obliterate one of the last remaining obstacles standing in the state’s way, namely the remaining fragments of indigenous legal, political, and economic jurisdiction over their land-base. In this particular case, populist assumptions about widespread incompetence, corruption, and reckless spending of public funds on the parts of band councils triggers governmental imposition of an external, third party management system taking control of band finances in the name of fiscal responsibility towards Canadian tax payers. Despite such appeals to ‘the public good’, Pasternak insists that this legal strategy reveals a paradigmatic change in fiduciary governance. The implicit assumption of the strategy is that the primary beneficiaries of First Nations’ financial accountability are no longer located in the state but instead vested in local and global private capital. </w:t>
      </w:r>
      <w:r w:rsidRPr="00087A72">
        <w:rPr>
          <w:rFonts w:cstheme="majorHAnsi"/>
          <w:b/>
          <w:u w:val="single"/>
        </w:rPr>
        <w:t>Opening Indigenous land to private industries in order to feed an international market is</w:t>
      </w:r>
      <w:r w:rsidRPr="00087A72">
        <w:rPr>
          <w:rFonts w:cstheme="majorHAnsi"/>
          <w:sz w:val="10"/>
        </w:rPr>
        <w:t xml:space="preserve"> a </w:t>
      </w:r>
      <w:r w:rsidRPr="00087A72">
        <w:rPr>
          <w:rFonts w:cstheme="majorHAnsi"/>
          <w:b/>
          <w:u w:val="single"/>
        </w:rPr>
        <w:t>dispossession that results from capitalism’s global inability to face the crisis in resource scarcity and</w:t>
      </w:r>
      <w:r w:rsidRPr="00087A72">
        <w:rPr>
          <w:rFonts w:cstheme="majorHAnsi"/>
          <w:sz w:val="10"/>
        </w:rPr>
        <w:t xml:space="preserve"> the exponentially growing cost of </w:t>
      </w:r>
      <w:r w:rsidRPr="00087A72">
        <w:rPr>
          <w:rFonts w:cstheme="majorHAnsi"/>
          <w:b/>
          <w:u w:val="single"/>
        </w:rPr>
        <w:t>resource extraction</w:t>
      </w:r>
      <w:r w:rsidRPr="00087A72">
        <w:rPr>
          <w:rFonts w:cstheme="majorHAnsi"/>
          <w:sz w:val="10"/>
        </w:rPr>
        <w:t xml:space="preserve"> in a context in which global consumption is on the rise. As such, for Pasternak, the new mode of fiscal warfare by which dispossession is accomplished in Canada is inextricably connected to broader global operations of capitalist expansion. Pasternak’s acute analysis of fiscal warfare in one particular locale (contemporary Canada as a distinct settler colonial state) perfectly captures – and as such also introduces – the critical work this collection of essays seeks to accomplish. Her critical foray into the cunning nature of Canadian settler colonialism under Stephen Harper’s conservative government is most revealing of what we described earlier as a liberal internationalism moored to the constant disavowal of the geopolitical specter of dispossession. In the particular case analyzed by Pasternak, Prime Minister Harper’s dismissive response to Attawapiskat Chief Theresa Spence’s hunger strike, near the Canadian Parliament’s building in 2013, is revealing of the colonial dispossession that must remain unaddressed for liberal settler statism to thrive. When the Prime Minister stubbornly refused Chief Spence request to meet with the heads of the Canadian state as a condition to end her hunger strike, such refusal suggests that Harper recognized the sovereign posture embraced by Spence, who thus positioned herself not as an internally governed subject of the state, but as an Indigenous leader seeking an audience as an equal in front of – and therefore outside – state sovereignty. By re-inscribing Spence’s requests for funds and respect towards treaty obligations within a narrative framework of dependency, accountability, and fiscal (ir)responsibility, Harper effectively sanitized what Pasternak calls the ‘fiscal death’ of indigenous communities under third party management. Once justified in the name of public good via a rhetoric of economic rationality, this fiscal sentence to death thus increasingly exposes actual indigenous lives to their own accelerated death by putting native communities in a permanent state of austerity, despite these communities’ paradoxical footing in a land-base now lawfully open to a private, capitalist, and globally oriented liberal economy of resource extraction and primitive accumulation.11 Mark Rifkin’s essay about the UNDRIP is explicitly anchored to such critical intervention in the politics of liberal internationalism, and thus complements interestingly Pasternak’s local analysis of the contemporary colonial operations sustaining settler claims to sovereignty and full territorial jurisdiction. Rifkin, to some extent, ‘internationalizes’ his earlier work on Giorgio Agamben and the geopolitics of settler sovereignty, which appeared in his influential 2009 essay on the ‘peculiar’ status of Native people in US law.12 In the 2009 essay, Rifkin explains how Native peoples represent a ‘gap within U.S. legal discourse’ 13; they are neither inside nor outside, even though they remain in practice subjected to the geopolitical self-evidence of settler sovereignty. If Agamben’s theorization of the state of exception as the primary locus of sovereign power seems ideal to understand this dialectic of the inside/outside, Rifkin insists however that Agamben’s terms need to be revised in order to critically accommodate such ‘peculiar-ization’ of Natives peoples in US legal discourse. In his contribution to this volume, Rifkin moves beyond the jurisdictional space of US territoriality and supplements his inquiry into the limits of Agamben’s critique of sovereignty. He explains how UNDRIP enfolds indigenous peoples (as non-statist agents) within an internationally enshrined (even though not legally binding) document that acknowledges the legal value of the ‘difference’ of indigenous people as an ‘other than’ existing outside the full jurisdictional confine and authority of discrete sovereign settler polities. In other words, whereas ‘Agamben presumes a coherence between territory and political entity, between the space of the nation and the governance of the state’, UNDRIP imagines rights that are ‘neither encompassed by state regimes nor determined by state narrative and criteria’, thus opening opportunities for the legal materialization of modes of indigenous peoplehood beyond this peculiar status as alegal anomalies within state jurisdiction.14 Once again, Rifkin invites us to re-envision the critical potential of Agamben’s work to indigenous studies, but on the condition that we first revise his work in light of what constitutes one of its most critical blind spots: indigeneity and its specific modes of placemaking, which are predicated on the intrinsic connections between birth and territory, something that remains unfathomable to Agamben’s continental theorization of sovereign violence as placemaking. In his much-lauded 2007 book The Third Space of Sovereignty: The Postcolonial Politics of U.S.-Indigenous Relations, Kevin Bruyneel also opened lines of inquiry about the peculiar status of Indigenous people in US legal discourse. He explained how indigenous tribes ‘straddle the temporal and spatial boundaries’ – neither inside nor outside – of American politics.15 In his contribution to this volume, Bruyneel offers us new insights about these dual spatial-temporal boundary-making activities of American statism and liberal colonialism. More accurately, he defines and theorizes the concept of ‘settler memory’ as the ‘active settler logic at the core of American collective memory’, 16 and a logic that is both instrumental to the naturalization of settler sovereignty at home, but also to its global expansion in imperialist violence worldwide. In this particular essay, Bruyneel explores how </w:t>
      </w:r>
      <w:r w:rsidRPr="00087A72">
        <w:rPr>
          <w:rFonts w:cstheme="majorHAnsi"/>
          <w:b/>
          <w:u w:val="single"/>
        </w:rPr>
        <w:t xml:space="preserve">famed and feared nineteenth-century Chiricahua Apache leader </w:t>
      </w:r>
      <w:r w:rsidRPr="00087A72">
        <w:rPr>
          <w:rStyle w:val="Emphasis"/>
          <w:rFonts w:cstheme="majorHAnsi"/>
        </w:rPr>
        <w:t>Geronimo became a codename used by the US military in</w:t>
      </w:r>
      <w:r w:rsidRPr="00087A72">
        <w:rPr>
          <w:rFonts w:cstheme="majorHAnsi"/>
          <w:sz w:val="10"/>
        </w:rPr>
        <w:t xml:space="preserve"> the </w:t>
      </w:r>
      <w:r w:rsidRPr="00087A72">
        <w:rPr>
          <w:rStyle w:val="Emphasis"/>
          <w:rFonts w:cstheme="majorHAnsi"/>
        </w:rPr>
        <w:t>operation leading to the assassination of Osama Bin Laden</w:t>
      </w:r>
      <w:r w:rsidRPr="00087A72">
        <w:rPr>
          <w:rFonts w:cstheme="majorHAnsi"/>
          <w:sz w:val="10"/>
        </w:rPr>
        <w:t xml:space="preserve">, in Pakistan, in May 2011. Bruyneel explains how the use of </w:t>
      </w:r>
      <w:r w:rsidRPr="00087A72">
        <w:rPr>
          <w:rStyle w:val="Emphasis"/>
          <w:rFonts w:cstheme="majorHAnsi"/>
        </w:rPr>
        <w:t>Codename Geronimo captures the temporal boundarymaking activities that sustain</w:t>
      </w:r>
      <w:r w:rsidRPr="00087A72">
        <w:rPr>
          <w:rFonts w:cstheme="majorHAnsi"/>
          <w:sz w:val="10"/>
        </w:rPr>
        <w:t xml:space="preserve"> a </w:t>
      </w:r>
      <w:r w:rsidRPr="00087A72">
        <w:rPr>
          <w:rStyle w:val="Emphasis"/>
          <w:rFonts w:cstheme="majorHAnsi"/>
        </w:rPr>
        <w:t>settler memory that</w:t>
      </w:r>
      <w:r w:rsidRPr="00087A72">
        <w:rPr>
          <w:rFonts w:cstheme="majorHAnsi"/>
          <w:b/>
          <w:u w:val="single"/>
        </w:rPr>
        <w:t xml:space="preserve"> simultaneously </w:t>
      </w:r>
      <w:r w:rsidRPr="00087A72">
        <w:rPr>
          <w:rStyle w:val="Emphasis"/>
          <w:rFonts w:cstheme="majorHAnsi"/>
        </w:rPr>
        <w:t>sets indigeneity within and without American politics and history.</w:t>
      </w:r>
      <w:r w:rsidRPr="00087A72">
        <w:rPr>
          <w:rFonts w:cstheme="majorHAnsi"/>
          <w:sz w:val="10"/>
        </w:rPr>
        <w:t xml:space="preserve"> In this particular case, Geronimo represents </w:t>
      </w:r>
      <w:r w:rsidRPr="00087A72">
        <w:rPr>
          <w:rFonts w:cstheme="majorHAnsi"/>
          <w:b/>
          <w:u w:val="single"/>
        </w:rPr>
        <w:t>an internal signifier that is amalgamated to the nation, but also a signifier for a bygone indigenous threat</w:t>
      </w:r>
      <w:r w:rsidRPr="00087A72">
        <w:rPr>
          <w:rFonts w:cstheme="majorHAnsi"/>
          <w:sz w:val="10"/>
        </w:rPr>
        <w:t xml:space="preserve"> that was </w:t>
      </w:r>
      <w:r w:rsidRPr="00087A72">
        <w:rPr>
          <w:rFonts w:cstheme="majorHAnsi"/>
          <w:b/>
          <w:u w:val="single"/>
        </w:rPr>
        <w:t>external to the expansion of the USA</w:t>
      </w:r>
      <w:r w:rsidRPr="00087A72">
        <w:rPr>
          <w:rFonts w:cstheme="majorHAnsi"/>
          <w:sz w:val="10"/>
        </w:rPr>
        <w:t xml:space="preserve">, and one whose eventual defeat and subjection to the supremacy of American statism is now projected forward in time to signify the assassination of another enemy of the state (Bin Laden), and once again as part of an American imperial intervention outside or beyond its sovereign (spatial) frontier. </w:t>
      </w:r>
      <w:r w:rsidRPr="00087A72">
        <w:rPr>
          <w:rStyle w:val="Emphasis"/>
          <w:rFonts w:cstheme="majorHAnsi"/>
        </w:rPr>
        <w:t>This</w:t>
      </w:r>
      <w:r w:rsidRPr="00087A72">
        <w:rPr>
          <w:rFonts w:cstheme="majorHAnsi"/>
          <w:sz w:val="10"/>
        </w:rPr>
        <w:t xml:space="preserve">, Bruyneel explains, </w:t>
      </w:r>
      <w:r w:rsidRPr="00087A72">
        <w:rPr>
          <w:rStyle w:val="Emphasis"/>
          <w:rFonts w:cstheme="majorHAnsi"/>
        </w:rPr>
        <w:t>is settler memory</w:t>
      </w:r>
      <w:r w:rsidRPr="00087A72">
        <w:rPr>
          <w:rFonts w:cstheme="majorHAnsi"/>
          <w:b/>
          <w:u w:val="single"/>
        </w:rPr>
        <w:t xml:space="preserve"> at work</w:t>
      </w:r>
      <w:r w:rsidRPr="00087A72">
        <w:rPr>
          <w:rFonts w:cstheme="majorHAnsi"/>
          <w:sz w:val="10"/>
        </w:rPr>
        <w:t xml:space="preserve">: it invokes settler colonialism while actively </w:t>
      </w:r>
      <w:r w:rsidRPr="00087A72">
        <w:rPr>
          <w:rFonts w:cstheme="majorHAnsi"/>
          <w:b/>
          <w:u w:val="single"/>
        </w:rPr>
        <w:t>blurring the distinction between past and present</w:t>
      </w:r>
      <w:r w:rsidRPr="00087A72">
        <w:rPr>
          <w:rFonts w:cstheme="majorHAnsi"/>
          <w:sz w:val="10"/>
        </w:rPr>
        <w:t xml:space="preserve">, ‘thus further re-inscribing the practices of present day settler violence and dispossession’. 17 In doing so, Bruyneel offers us a particularly provocative reading of what would otherwise be conceived as the exculpatory character of our liberal and multicultural settler democracies. In such a scenario, the exculpatory rhetoric that drives many collective expressions of regret about a somewhat sanitized vision of the colonial past would offer the (post-)settler nation an opportunity to extinguish the coloniality of a present thereafter experienced as a selective, willful state of amnesia. On the contrary, Bruyneel insists that settler memory is not a manner of forgetting; it is rather a very active and unapologetic form of remembering and articulating knowledge about both past and present violence. Settler memory disavows the political relevance of such remembering, and by the same token disavows the relevance of indigenous people themselves today. And since </w:t>
      </w:r>
      <w:r w:rsidRPr="00087A72">
        <w:rPr>
          <w:rFonts w:cstheme="majorHAnsi"/>
          <w:b/>
          <w:u w:val="single"/>
        </w:rPr>
        <w:t>settler sovereignty</w:t>
      </w:r>
      <w:r w:rsidRPr="00087A72">
        <w:rPr>
          <w:rFonts w:cstheme="majorHAnsi"/>
          <w:sz w:val="10"/>
        </w:rPr>
        <w:t xml:space="preserve">, as Pasternak, Rifkin, and Bruyneel each argue in their own ways, </w:t>
      </w:r>
      <w:r w:rsidRPr="00087A72">
        <w:rPr>
          <w:rFonts w:cstheme="majorHAnsi"/>
          <w:b/>
          <w:u w:val="single"/>
        </w:rPr>
        <w:t>constitutes an unfinished project</w:t>
      </w:r>
      <w:r w:rsidRPr="00087A72">
        <w:rPr>
          <w:rFonts w:cstheme="majorHAnsi"/>
          <w:sz w:val="10"/>
        </w:rPr>
        <w:t xml:space="preserve"> (or an unsettled project), th</w:t>
      </w:r>
      <w:r w:rsidRPr="00087A72">
        <w:rPr>
          <w:rFonts w:cstheme="majorHAnsi"/>
          <w:b/>
          <w:u w:val="single"/>
        </w:rPr>
        <w:t xml:space="preserve">is </w:t>
      </w:r>
      <w:r w:rsidRPr="00087A72">
        <w:rPr>
          <w:rStyle w:val="Emphasis"/>
          <w:rFonts w:cstheme="majorHAnsi"/>
        </w:rPr>
        <w:t>settler memory is always at work and remains central to the reproduction</w:t>
      </w:r>
      <w:r w:rsidRPr="00087A72">
        <w:rPr>
          <w:rFonts w:cstheme="majorHAnsi"/>
          <w:b/>
          <w:u w:val="single"/>
        </w:rPr>
        <w:t xml:space="preserve"> and legitimation </w:t>
      </w:r>
      <w:r w:rsidRPr="00087A72">
        <w:rPr>
          <w:rStyle w:val="Emphasis"/>
          <w:rFonts w:cstheme="majorHAnsi"/>
        </w:rPr>
        <w:t>of</w:t>
      </w:r>
      <w:r w:rsidRPr="00087A72">
        <w:rPr>
          <w:rFonts w:cstheme="majorHAnsi"/>
          <w:b/>
          <w:u w:val="single"/>
        </w:rPr>
        <w:t xml:space="preserve"> settler </w:t>
      </w:r>
      <w:r w:rsidRPr="00087A72">
        <w:rPr>
          <w:rStyle w:val="Emphasis"/>
          <w:rFonts w:cstheme="majorHAnsi"/>
        </w:rPr>
        <w:t>hegemony</w:t>
      </w:r>
      <w:r w:rsidRPr="00087A72">
        <w:rPr>
          <w:rFonts w:cstheme="majorHAnsi"/>
          <w:sz w:val="10"/>
        </w:rPr>
        <w:t xml:space="preserve">, both at home and its global, </w:t>
      </w:r>
      <w:r w:rsidRPr="00087A72">
        <w:rPr>
          <w:rFonts w:cstheme="majorHAnsi"/>
          <w:b/>
          <w:u w:val="single"/>
        </w:rPr>
        <w:t>imperial reach</w:t>
      </w:r>
      <w:r w:rsidRPr="00087A72">
        <w:rPr>
          <w:rFonts w:cstheme="majorHAnsi"/>
          <w:sz w:val="10"/>
        </w:rPr>
        <w:t xml:space="preserve">. Grounded in a different yet adjacent North-American locale, Melissa M. Forbis’s retrospective analysis of the 20th anniversary of the Zapatistas is exemplary of what we described earlier as indigeneity’s heterogeneous and cacophonous worldings. </w:t>
      </w:r>
    </w:p>
    <w:p w:rsidR="00540BEA" w:rsidRPr="00087A72" w:rsidRDefault="00540BEA" w:rsidP="00496C79">
      <w:pPr>
        <w:pStyle w:val="Heading3"/>
      </w:pPr>
      <w:r w:rsidRPr="00087A72">
        <w:t>Impact – Indigenous Femicide</w:t>
      </w:r>
    </w:p>
    <w:p w:rsidR="00540BEA" w:rsidRPr="00087A72" w:rsidRDefault="00540BEA" w:rsidP="00540BEA">
      <w:pPr>
        <w:keepNext/>
        <w:keepLines/>
        <w:spacing w:before="40" w:after="0"/>
        <w:outlineLvl w:val="3"/>
        <w:rPr>
          <w:rFonts w:eastAsiaTheme="majorEastAsia" w:cstheme="majorBidi"/>
          <w:b/>
          <w:iCs/>
          <w:sz w:val="24"/>
        </w:rPr>
      </w:pPr>
      <w:r w:rsidRPr="00087A72">
        <w:rPr>
          <w:rFonts w:eastAsiaTheme="majorEastAsia" w:cstheme="majorBidi"/>
          <w:b/>
          <w:iCs/>
          <w:sz w:val="24"/>
        </w:rPr>
        <w:t>(Impact – Indigenous Womanhood)</w:t>
      </w:r>
    </w:p>
    <w:p w:rsidR="00540BEA" w:rsidRPr="00087A72" w:rsidRDefault="00540BEA" w:rsidP="00540BEA">
      <w:r w:rsidRPr="00087A72">
        <w:rPr>
          <w:b/>
          <w:bCs/>
          <w:sz w:val="24"/>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136-139) NIJ</w:t>
      </w:r>
    </w:p>
    <w:p w:rsidR="00540BEA" w:rsidRPr="00087A72" w:rsidRDefault="00540BEA" w:rsidP="00540BEA">
      <w:pPr>
        <w:rPr>
          <w:sz w:val="12"/>
        </w:rPr>
      </w:pPr>
      <w:r w:rsidRPr="00087A72">
        <w:rPr>
          <w:sz w:val="12"/>
        </w:rPr>
        <w:t xml:space="preserve">This chapter has moved through an account that explicitly connects the incineration of a newborn Aboriginal child with a mythic fantasy of eradication whose mobilizing force is death driven. Thinking Favel’s account of the infant through the body of her young mother, </w:t>
      </w:r>
      <w:r w:rsidRPr="00087A72">
        <w:rPr>
          <w:u w:val="single"/>
        </w:rPr>
        <w:t>I am struck by the over-marked, unclaimed, effaced sign of the Indigenous mother, which opens into a negation of Indigenous womanhood/femininity.</w:t>
      </w:r>
      <w:r w:rsidRPr="00087A72">
        <w:rPr>
          <w:sz w:val="12"/>
        </w:rPr>
        <w:t xml:space="preserve"> The third world woman is a signifier on which Spivak has written extensively, her work taking on the difficulties in fixing such a signifier as an object of knowledge; I would never intend to do so. Cinder writing is the link between the writings of the present and the violences of the past. </w:t>
      </w:r>
      <w:r w:rsidRPr="00087A72">
        <w:rPr>
          <w:u w:val="single"/>
        </w:rPr>
        <w:t xml:space="preserve">Cinder writings, in their excess, overwrite and write over Indigenous women and violence and the contemporary scenes of violence that are, in so many ways, inhabited by the earlier violences of Indian residential schooling in Canada. In the contemporary moment, as well as in the history of residential schooling, even though there were and are physical Indigenous mothers, there was and still is, an excess of orphaning. These kinship-severing practices stem from early coercive means through which the federal government made illegal Indigenous parenting and mandated Indigenous children into residential schools. </w:t>
      </w:r>
      <w:r w:rsidRPr="00087A72">
        <w:rPr>
          <w:sz w:val="12"/>
        </w:rPr>
        <w:t xml:space="preserve">They extend through to the practices of removal common throughout the 1960’s that further severed Indigenous kinship systems and practices of Indigenous parenting (referred to in the contemporary moment as ‘the 60’s scoop’). In this era, the Aboriginal mother was deemed unfit and children were removed and placed in federal foster systems. </w:t>
      </w:r>
      <w:r w:rsidRPr="00087A72">
        <w:rPr>
          <w:u w:val="single"/>
        </w:rPr>
        <w:t>Throughout the history of contact, the Indigenous mother— synthesized into/symbolized in a rather careless and ac hoc way that elides all Aboriginal mothering practices into the figure of the Indigenous woman—is a poignant site of de-futuring, erasure, sexual violence, loss, what I call in chapter two enshattering. Her persistent living lives against the force of (a) violent caesura. The figure of Indigenous femininity</w:t>
      </w:r>
      <w:r w:rsidRPr="00087A72">
        <w:rPr>
          <w:sz w:val="12"/>
        </w:rPr>
        <w:t xml:space="preserve"> extends beyond the purview of the work at hand, but in the current moment in Canada, this—she—</w:t>
      </w:r>
      <w:r w:rsidRPr="00087A72">
        <w:rPr>
          <w:u w:val="single"/>
        </w:rPr>
        <w:t>is a site of intense, intensifying violence, towards which the present work opens into in ways that beckon, that insist upon recognition.</w:t>
      </w:r>
      <w:r w:rsidRPr="00087A72">
        <w:rPr>
          <w:sz w:val="12"/>
        </w:rPr>
        <w:t xml:space="preserve"> In the chapter that follows, the concluding chapter of this dissertation, </w:t>
      </w:r>
      <w:r w:rsidRPr="00087A72">
        <w:rPr>
          <w:u w:val="single"/>
        </w:rPr>
        <w:t>I begin</w:t>
      </w:r>
      <w:r w:rsidRPr="00087A72">
        <w:rPr>
          <w:sz w:val="12"/>
        </w:rPr>
        <w:t xml:space="preserve"> with an analysis that continues the work of the current chapter </w:t>
      </w:r>
      <w:r w:rsidRPr="00087A72">
        <w:rPr>
          <w:u w:val="single"/>
        </w:rPr>
        <w:t>by illustrating the untimely structure of violence that emerges like heat from the incinerating force of Indian residential schooling, permeating the sign of Indigenous femininity. To be clear, this is emphatically not a moment of archival elision, in which I read one site of Indigenous loss and pain as identical to the next, thereby eliding the plurality, multivocality, and complex intersectionality of Indigenous identities and forms of life in an abstracted, epistemically violent argument on the bodily costs to Indigenous persons and personhood extracted by imperial worldings.</w:t>
      </w:r>
      <w:r w:rsidRPr="00087A72">
        <w:rPr>
          <w:sz w:val="12"/>
        </w:rPr>
        <w:t xml:space="preserve"> Rather, my argument is that in the contemporary moment </w:t>
      </w:r>
      <w:r w:rsidRPr="00087A72">
        <w:rPr>
          <w:u w:val="single"/>
        </w:rPr>
        <w:t>the Aboriginal woman</w:t>
      </w:r>
      <w:r w:rsidRPr="00087A72">
        <w:rPr>
          <w:sz w:val="12"/>
        </w:rPr>
        <w:t xml:space="preserve"> in Canada </w:t>
      </w:r>
      <w:r w:rsidRPr="00087A72">
        <w:rPr>
          <w:u w:val="single"/>
        </w:rPr>
        <w:t>is an intense lightening-rod for displaced/deferred (post)colonial aggressiveness. The psychic, social, personal, and political density and death-driven psychic dimensions of this aggressiveness conjoin with corporeal violence to produce an uncloseable circle effected by the impossibility of eradicating the problematic difference of the other/of ‘inconvenient otherness’. The obscure, underground operations of this circularity—to be clear, I am talking here of the death drive—is best made legible/understandable in a mythic moment of incineration that, perhaps, never took place, at least in the way we think of something ‘taking place’. In my analysis of the burning infant, I indicated that what remains</w:t>
      </w:r>
      <w:r w:rsidRPr="00087A72">
        <w:rPr>
          <w:sz w:val="12"/>
        </w:rPr>
        <w:t xml:space="preserve">, particularly in the eyes of the clergy who took part in the event, as well as the young Aboriginal woman (Favel) who witnesses it, </w:t>
      </w:r>
      <w:r w:rsidRPr="00087A72">
        <w:rPr>
          <w:u w:val="single"/>
        </w:rPr>
        <w:t xml:space="preserve">are the social relations of subordination indexed by the presence of the infant (sexual domination by the male, imperial, priest— Father—of the young Aboriginal schoolgirl) and the burning of the infant (the absolute privilege to kill and to place under erasure any trace of that killing). </w:t>
      </w:r>
      <w:r w:rsidRPr="00087A72">
        <w:rPr>
          <w:sz w:val="12"/>
        </w:rPr>
        <w:t xml:space="preserve">In the second chapter in this dissertation, I suggested that </w:t>
      </w:r>
      <w:r w:rsidRPr="00087A72">
        <w:rPr>
          <w:u w:val="single"/>
        </w:rPr>
        <w:t>we might find a way to think colonial sexuality from both directions—from the archives it creates, and the ones it (simultaneously) burns to the ground. I suggested that doing so impels following the anarchical violence the archive indexes and tamps down, following it most vociferously where it most seems to vanish.</w:t>
      </w:r>
      <w:r w:rsidRPr="00087A72">
        <w:rPr>
          <w:sz w:val="12"/>
        </w:rPr>
        <w:t xml:space="preserve"> In this chapter’s account, I have argued that vanishing points in archives and in theory open us towards aporia, places at which there is no single way out or across, sites at which we must orient towards the provisional, the partial—sites that demand that we re-orient away from attempts to recover lost bodies or subjectivities, imagining ways to recuperate them as objects of knowledge. In her book For the Record, Anjali Arondekar marks an awareness, stemming from her own research on sexual perversions in nineteenth-century India, of what she calls ‘archival aporia,’ the sense of an “unrepresentable search for an impossible object” (xi). In the book’s preface she writes: “in many ways, the present work [which looks for/at sexual perversions in colonial records of nineteenth-century India] is an attempt to trace and push against the force of archival aporia” (ibid). In one of the book’s epigraphs, Arondekar summons Spivak’s account of the Rani of Sirmur, a meditation on reading archives in which the cherished object of Spivak’s analysis, the Rani, seems to fall from the archives into an a-topic timelessness; Spivak comments upon, without directly noting, the personally wounding affectivities of this type of erasure. Here, as in “Can the Subaltern Speak?,” </w:t>
      </w:r>
      <w:r w:rsidRPr="00087A72">
        <w:rPr>
          <w:u w:val="single"/>
        </w:rPr>
        <w:t xml:space="preserve">Spivak talks about her desire to place her hand against the skin of a woman (in the form of a painting, or in the recuperation of some elements of a lost story) who is gone, as an act of personal piety. </w:t>
      </w:r>
      <w:r w:rsidRPr="00087A72">
        <w:rPr>
          <w:sz w:val="12"/>
        </w:rPr>
        <w:t xml:space="preserve">‘Where,’ her work on the Rani seems to ask, in a moment of resonance with Blocker, ‘is the Rani of Sirmur?’ </w:t>
      </w:r>
      <w:r w:rsidRPr="00087A72">
        <w:rPr>
          <w:u w:val="single"/>
        </w:rPr>
        <w:t>This</w:t>
      </w:r>
      <w:r w:rsidRPr="00087A72">
        <w:rPr>
          <w:sz w:val="12"/>
        </w:rPr>
        <w:t xml:space="preserve"> is a question that asks for more than a series of coordinates of bodies in time and space. It is a question that asks/</w:t>
      </w:r>
      <w:r w:rsidRPr="00087A72">
        <w:rPr>
          <w:u w:val="single"/>
        </w:rPr>
        <w:t>speaks into a confluence of colonial-imperial-patriarchal power that simply did not deem the Rani’s fate significant enough to report.</w:t>
      </w:r>
      <w:r w:rsidRPr="00087A72">
        <w:rPr>
          <w:sz w:val="12"/>
        </w:rPr>
        <w:t xml:space="preserve"> Spivak’s account of the Rani seems to be asking where the Rani is not. She is not in authorized accounts of colonial India, in which her death seems to have fallen out of history, or at least the writing of it. Spivak’s account of the Rani’s absent burning burns like Mendieta’s hand/brand. </w:t>
      </w:r>
      <w:r w:rsidRPr="00087A72">
        <w:rPr>
          <w:u w:val="single"/>
        </w:rPr>
        <w:t>Why do we still seek truth in archives?</w:t>
      </w:r>
      <w:r w:rsidRPr="00087A72">
        <w:rPr>
          <w:sz w:val="12"/>
        </w:rPr>
        <w:t xml:space="preserve"> The truth of Mendieta’s death, the Rani’s burning, the unnamed, unknowable infant whose incineration this account has, so searingly, attempted to trace, do not have origins or even (past) presence there.</w:t>
      </w:r>
    </w:p>
    <w:p w:rsidR="007F2DDD" w:rsidRPr="00087A72" w:rsidRDefault="007F2DDD" w:rsidP="00496C79">
      <w:pPr>
        <w:pStyle w:val="Heading3"/>
      </w:pPr>
      <w:r w:rsidRPr="00087A72">
        <w:t>Impact – Nationalism</w:t>
      </w:r>
    </w:p>
    <w:p w:rsidR="007F2DDD" w:rsidRPr="00087A72" w:rsidRDefault="007F2DDD" w:rsidP="007F2DDD">
      <w:pPr>
        <w:pStyle w:val="Heading4"/>
      </w:pPr>
      <w:r w:rsidRPr="00087A72">
        <w:t>Settler colonialism causes nationalist discourse which causes oppressive means of control</w:t>
      </w:r>
    </w:p>
    <w:p w:rsidR="007F2DDD" w:rsidRPr="00087A72" w:rsidRDefault="007F2DDD" w:rsidP="007F2DDD">
      <w:r w:rsidRPr="00087A72">
        <w:rPr>
          <w:rStyle w:val="Style13ptBold"/>
        </w:rPr>
        <w:t>Dhamoon 15</w:t>
      </w:r>
      <w:r w:rsidRPr="00087A72">
        <w:t xml:space="preserve"> (Rita, Department of Philosophy &amp; Political Science at the University of the Fraser Valley, British Columbia. co-editor of Sexual Justice/Cultural Justice: Critical Perspectives in Political Theory and Practice. “A Feminist Approach to Decolonizing Anti-Racism: Rethinking Transnationalism, Intersectionality, and Settler Colonialism” Complicities, Connections, &amp; Struggles: Critical Transnational Feminist Analysis of Settler Colonialism, issue 4, no ? , pp 23-25) &gt;CJC</w:t>
      </w:r>
    </w:p>
    <w:p w:rsidR="007F2DDD" w:rsidRPr="00087A72" w:rsidRDefault="007F2DDD" w:rsidP="007F2DDD">
      <w:pPr>
        <w:rPr>
          <w:sz w:val="12"/>
        </w:rPr>
      </w:pPr>
      <w:r w:rsidRPr="00087A72">
        <w:rPr>
          <w:sz w:val="12"/>
        </w:rPr>
        <w:t xml:space="preserve">However, Sharma and Wright make </w:t>
      </w:r>
      <w:r w:rsidRPr="00087A72">
        <w:rPr>
          <w:u w:val="single"/>
        </w:rPr>
        <w:t>two assumptions about nationalism that preclude its liberatory potential: first, that autochthony is “deeply embedded within the processes of capitalist globalization”</w:t>
      </w:r>
      <w:r w:rsidRPr="00087A72">
        <w:rPr>
          <w:sz w:val="12"/>
        </w:rPr>
        <w:t xml:space="preserve"> (2008-9, 124), and second, that </w:t>
      </w:r>
      <w:r w:rsidRPr="00087A72">
        <w:rPr>
          <w:u w:val="single"/>
        </w:rPr>
        <w:t>nationalism inevitability replicates nation-state formations of exploitation and regulation. These assumptions are themselves bound to western ontologies of nation, whether liberal or Marxist, in which it is assumed land is always a commodity</w:t>
      </w:r>
      <w:r w:rsidRPr="00087A72">
        <w:rPr>
          <w:sz w:val="12"/>
        </w:rPr>
        <w:t xml:space="preserve"> whether privately owned or collectively/commonly shared, that man can/must master nature in/as the nation, and that decolonial conceptions of nation about sharing land are not available. </w:t>
      </w:r>
      <w:r w:rsidRPr="00087A72">
        <w:rPr>
          <w:u w:val="single"/>
        </w:rPr>
        <w:t>These colonizing and indeed patriarchal ontological frames limit</w:t>
      </w:r>
      <w:r w:rsidRPr="00087A72">
        <w:rPr>
          <w:sz w:val="12"/>
        </w:rPr>
        <w:t xml:space="preserve"> Sharma and Wright </w:t>
      </w:r>
      <w:r w:rsidRPr="00087A72">
        <w:rPr>
          <w:u w:val="single"/>
        </w:rPr>
        <w:t>because they do not imagine social identities outside of “ongoing practices of ruling</w:t>
      </w:r>
      <w:r w:rsidRPr="00087A72">
        <w:rPr>
          <w:sz w:val="12"/>
        </w:rPr>
        <w:t xml:space="preserve">” (2008-9, 126); </w:t>
      </w:r>
      <w:r w:rsidRPr="00087A72">
        <w:rPr>
          <w:u w:val="single"/>
        </w:rPr>
        <w:t>they deem sovereignty to be intrinsically about “planetary expansion and dominance of capitalist social relations</w:t>
      </w:r>
      <w:r w:rsidRPr="00087A72">
        <w:rPr>
          <w:sz w:val="12"/>
        </w:rPr>
        <w:t xml:space="preserve">” (2008- 9, 128); and </w:t>
      </w:r>
      <w:r w:rsidRPr="00087A72">
        <w:rPr>
          <w:u w:val="single"/>
        </w:rPr>
        <w:t>they start from the premise that those who seek nationalisms (including Indigenous peoples) “also share—or strive to share—the racist control of people’s mobility across and through spaces claimed by various ‘nations’”</w:t>
      </w:r>
      <w:r w:rsidRPr="00087A72">
        <w:rPr>
          <w:sz w:val="12"/>
        </w:rPr>
        <w:t xml:space="preserve"> (2008-9, 128). Not only do Sharma and Wright conflate Indigenous nationalisms with Eurocentric modalities of nationalism, of which expulsion, exclusion, containment, and management of non-white subjects is a constitutive feature, they close off decolonial conceptions of nation and land and, in doing so, they depoliticize nationalism, contrary to their claim. </w:t>
      </w:r>
      <w:r w:rsidRPr="00087A72">
        <w:rPr>
          <w:u w:val="single"/>
        </w:rPr>
        <w:t>In contrast, there are existing ontologies of nation that refuse hierarchies of power and still open decolonial modes of governance</w:t>
      </w:r>
      <w:r w:rsidRPr="00087A72">
        <w:rPr>
          <w:sz w:val="12"/>
        </w:rPr>
        <w:t xml:space="preserve">. For example, Glen Coulthard (2014) grounds his feral feminisms critique of colonial recognition in Indigenous conceptions of nationhood that centre land as an “ontological framework for understanding relationships” that are non-exploitative and based on material survival, constitutive meanings of identity, and relationships between humans and between humans and the environment (60). Decolonization for Coulthard is about considering “land as a system of reciprocal relations and obligations,” not as a struggle for land (2014, 78). By ontologically closing off conceptions of nation that transcend the nation-state, Sharma and Wright do precisely what they critique by effectively depoliticizing forms of nationalism advanced by marginalized peoples. Moreover, they conflate immigration and colonialism because they dehistoricize nationalizing and transnational imperial processes (Saranillio 2013) while simultaneously depoliticizing linkages between practices of immigration and colonialism that advance modes of nation-building. Ultimately, while I take seriously their point that migrants variously arrive in circumscribed contexts (whether “freely” or involuntarily), contra Sharma and Wright, it is the differential impact of settlement on Indigenous peoples and on people of colour, and not just the intention of migrants of colour, that should matter to decolonizing and anti-racist feminist practices. The differential impact of settlement does not serve migrants of colour any more than it does Indigenous peoples (although for different reasons), for the effect is to consolidate colonial and racializing formations of the nation-state. As such, </w:t>
      </w:r>
      <w:r w:rsidRPr="00087A72">
        <w:rPr>
          <w:u w:val="single"/>
        </w:rPr>
        <w:t>settler colonialism has to be confronted directly rather than downplayed</w:t>
      </w:r>
      <w:r w:rsidRPr="00087A72">
        <w:rPr>
          <w:sz w:val="12"/>
        </w:rPr>
        <w:t xml:space="preserve">. </w:t>
      </w:r>
    </w:p>
    <w:p w:rsidR="007F2DDD" w:rsidRPr="00087A72" w:rsidRDefault="007F2DDD" w:rsidP="007F2DDD"/>
    <w:p w:rsidR="002E63E3" w:rsidRPr="00087A72" w:rsidRDefault="002E63E3" w:rsidP="00496C79">
      <w:pPr>
        <w:pStyle w:val="Heading3"/>
      </w:pPr>
      <w:r w:rsidRPr="00087A72">
        <w:t>Impact – Native LGBT2 Violence</w:t>
      </w:r>
    </w:p>
    <w:p w:rsidR="002E63E3" w:rsidRPr="00087A72" w:rsidRDefault="002E63E3" w:rsidP="002E63E3">
      <w:pPr>
        <w:pStyle w:val="Heading4"/>
      </w:pPr>
      <w:r w:rsidRPr="00087A72">
        <w:t>Indigenous people who fall under the two-spirit and other queer categories only isolate them from the images portrayed both of indigenous people and of the queer community. This only leads to more violence from both communities. The binary that is forced is in and of itself violent, as well as the physical and psychological harm they face.</w:t>
      </w:r>
    </w:p>
    <w:p w:rsidR="002E63E3" w:rsidRPr="00087A72" w:rsidRDefault="002E63E3" w:rsidP="002E63E3">
      <w:pPr>
        <w:rPr>
          <w:rFonts w:eastAsia="Calibri" w:cstheme="minorHAnsi"/>
          <w:sz w:val="16"/>
          <w:szCs w:val="16"/>
        </w:rPr>
      </w:pPr>
      <w:r w:rsidRPr="00087A72">
        <w:rPr>
          <w:rFonts w:eastAsia="Calibri"/>
          <w:b/>
        </w:rPr>
        <w:t>Greensmith and Giwa 13</w:t>
      </w:r>
      <w:r w:rsidRPr="00087A72">
        <w:rPr>
          <w:rFonts w:eastAsia="Calibri"/>
        </w:rPr>
        <w:t xml:space="preserve"> </w:t>
      </w:r>
      <w:r w:rsidRPr="00087A72">
        <w:rPr>
          <w:rFonts w:eastAsia="Calibri" w:cstheme="minorHAnsi"/>
          <w:sz w:val="16"/>
          <w:szCs w:val="16"/>
        </w:rPr>
        <w:t>(</w:t>
      </w:r>
      <w:r w:rsidRPr="00087A72">
        <w:rPr>
          <w:rStyle w:val="nlmstring-name"/>
          <w:rFonts w:eastAsiaTheme="majorEastAsia" w:cstheme="minorHAnsi"/>
          <w:color w:val="000000"/>
          <w:sz w:val="16"/>
          <w:szCs w:val="16"/>
        </w:rPr>
        <w:t>Cameron Greensmith</w:t>
      </w:r>
      <w:r w:rsidRPr="00087A72">
        <w:rPr>
          <w:rFonts w:cstheme="minorHAnsi"/>
          <w:color w:val="000000"/>
          <w:sz w:val="16"/>
          <w:szCs w:val="16"/>
        </w:rPr>
        <w:t xml:space="preserve"> and </w:t>
      </w:r>
      <w:r w:rsidRPr="00087A72">
        <w:rPr>
          <w:rStyle w:val="nlmstring-name"/>
          <w:rFonts w:eastAsiaTheme="majorEastAsia" w:cstheme="minorHAnsi"/>
          <w:color w:val="000000"/>
          <w:sz w:val="16"/>
          <w:szCs w:val="16"/>
        </w:rPr>
        <w:t>Sulaimon Giwa</w:t>
      </w:r>
      <w:r w:rsidRPr="00087A72">
        <w:rPr>
          <w:rFonts w:cstheme="minorHAnsi"/>
          <w:color w:val="000000"/>
          <w:sz w:val="16"/>
          <w:szCs w:val="16"/>
        </w:rPr>
        <w:t xml:space="preserve"> (</w:t>
      </w:r>
      <w:r w:rsidRPr="00087A72">
        <w:rPr>
          <w:rFonts w:cstheme="minorHAnsi"/>
          <w:i/>
          <w:iCs/>
          <w:color w:val="000000"/>
          <w:sz w:val="16"/>
          <w:szCs w:val="16"/>
        </w:rPr>
        <w:t>2013</w:t>
      </w:r>
      <w:r w:rsidRPr="00087A72">
        <w:rPr>
          <w:rFonts w:cstheme="minorHAnsi"/>
          <w:color w:val="000000"/>
          <w:sz w:val="16"/>
          <w:szCs w:val="16"/>
        </w:rPr>
        <w:t>) Challenging Settler Colonialism in Contemporary Queer Politics: Settler Homonationalism, Pride Toronto, and Two-Spirit Subjectivities. American Indian Culture and Research Journal: 2013, Vol. 37, No. 2, pp. 129-148.squirms)</w:t>
      </w:r>
    </w:p>
    <w:p w:rsidR="002E63E3" w:rsidRPr="00087A72" w:rsidRDefault="002E63E3" w:rsidP="002E63E3">
      <w:pPr>
        <w:spacing w:after="239"/>
        <w:ind w:left="-15" w:right="33"/>
        <w:rPr>
          <w:rFonts w:cs="Times New Roman"/>
          <w:sz w:val="16"/>
        </w:rPr>
      </w:pPr>
      <w:r w:rsidRPr="00087A72">
        <w:rPr>
          <w:sz w:val="16"/>
        </w:rPr>
        <w:t xml:space="preserve">To varying degrees, each research participant shared experiences of racial oppression or colonization while attending Pride Toronto. For example, Raven readily recalled an experience of discrimination during Pride Toronto in which a bouncer tried to kick him out of a Pride event: I am sitting in the VIP area, and this bouncer comes along, and he sees me sitting there. He looks at me, I am a Native guy, and he tries to kick me out! I was not drinking at the time. I was only twenty-three years old. I was only drinking water. I was not drunk. I was minding my own business and I was trying to enjoy myself. The bouncer came up to me and told me I had to leave. The bouncer was screaming at the manager of the bar, “I want him to get out! I don’t want him to sit there, get him outta there!” The manager said I could stay. So there was still that racism. The bouncer was trying to kick me out because he [did] not think I [was] important enough to be in the VIP area. And this was like a major Pride Toronto event going on, in a major bar. And, they were trying to kick me out because I was not worth[y] [of being there]. Raven experienced extreme bigotry at a large-scale Pride Toronto event. The bouncer believed that Raven’s body should not be present in the VIP area, let alone in the bar. </w:t>
      </w:r>
      <w:r w:rsidRPr="00087A72">
        <w:rPr>
          <w:rStyle w:val="Emphasis"/>
        </w:rPr>
        <w:t xml:space="preserve">This preconception of who belongs or does not belong in a bar assumes that a customer like Raven (like all Indigenous peoples) is a social problem. To sanitize the bar and, indeed, to protect everyone present, Raven was asked to leave. This example of Indigenous exclusion from Queer spaces illustrates the degree to which settler colonialism impacts perceptions of who belongs at Pride Toronto events. </w:t>
      </w:r>
      <w:r w:rsidRPr="00087A72">
        <w:rPr>
          <w:sz w:val="16"/>
        </w:rPr>
        <w:t xml:space="preserve">Similarly, exclusion manifested in Wolf ’s experience of sexual violence when attending Pride Toronto: I experience discrimination based on being female-identified and because I am brown . . . based on my gender . . . People thought I was a gay man. How other gay men would grab [each other] . . . they would do that with me. And of course </w:t>
      </w:r>
      <w:r w:rsidRPr="00087A72">
        <w:rPr>
          <w:rStyle w:val="Emphasis"/>
        </w:rPr>
        <w:t>they would violate my space and the folks I am with.</w:t>
      </w:r>
      <w:r w:rsidRPr="00087A72">
        <w:rPr>
          <w:sz w:val="16"/>
        </w:rPr>
        <w:t xml:space="preserve"> And those folks [were] usually White men—gay White men or heterosexual men . . . [they would say] “Oh I just need a gay man. I just need a good fuck” . . . you know things like that . . . What about me makes [them] think I want a good fuck? . . . the folks to my left, folks to my right can do that just fine, and they don’t have a dick to do it, and if they do [want to] they can strap it on [</w:t>
      </w:r>
      <w:r w:rsidRPr="00087A72">
        <w:rPr>
          <w:i/>
          <w:sz w:val="16"/>
        </w:rPr>
        <w:t>laughs</w:t>
      </w:r>
      <w:r w:rsidRPr="00087A72">
        <w:rPr>
          <w:sz w:val="16"/>
        </w:rPr>
        <w:t xml:space="preserve">]. In Wolf ’s experience, </w:t>
      </w:r>
      <w:r w:rsidRPr="00087A72">
        <w:rPr>
          <w:rStyle w:val="Emphasis"/>
        </w:rPr>
        <w:t xml:space="preserve">Pride Toronto was diluted by White gay men’s hypersexuality. Wolf was sexually assaulted. Due to her butch-gendered representation, Wolf ’s body was misrecognized, and gay men assumed the right to touch and grope her. Moreover, Wolf ’s story of sexual violence renders painfully clear the ways in which White gay male sexualities and desires are privileged and normalized. </w:t>
      </w:r>
      <w:r w:rsidRPr="00087A72">
        <w:rPr>
          <w:sz w:val="16"/>
        </w:rPr>
        <w:t xml:space="preserve">In connection to Wolf ’s story of an intimate and violent sexual encounter, Raven talked about watching an underwear contest: “Some kind of contest was [happening] on Church Street, and it was right across from one of the local bars. Someone said to me, ‘Oh, they are having a competition.’ It was some competition where everybody had to wear a headdress. All of the competitors at one point, all had to wear a traditional headdress, and not one of them was Native. And everybody was cheering them on.” </w:t>
      </w:r>
      <w:r w:rsidRPr="00087A72">
        <w:rPr>
          <w:rStyle w:val="Emphasis"/>
        </w:rPr>
        <w:t xml:space="preserve">Raven’s story exemplifies the phenomenon of indigeneity on display for the visual consumption of voyeurs watching the underwear contest. The headdress was presumably included in the contest to represent Indigenous culture; however, Raven addressed the ways that indigeneity is culturally appropriated in camp-like entertainment events, even when no Indigenous people are present. </w:t>
      </w:r>
      <w:r w:rsidRPr="00087A72">
        <w:rPr>
          <w:sz w:val="16"/>
        </w:rPr>
        <w:t xml:space="preserve">Grizzly Bear spoke to another violent and racist encounter with a waiter at a local restaurant on Church Street after marching in the Pride Parade: We were in a fancy restaurant and this waiter comes up and he was wearing really skimpy clothing and gave us awful service. He kept kicking our chairs and that, and the place started filling up. He clearly did not like us. I said something like, “You know, if you don’t want women here, if you don’t want people with a political analysis here, you should maybe advertise your restaurant sort of more like, we have nothing but self interest or something like that.” The guy was kinda snarky and I said before paying our bill, “You know, why don’t you just read the paper on Saturday morning because there is an article coming out on genocide and First Nations people, and I was the featured interview.” </w:t>
      </w:r>
      <w:r w:rsidRPr="00087A72">
        <w:rPr>
          <w:rStyle w:val="Emphasis"/>
        </w:rPr>
        <w:t>The waiter said to me, “The only thing I want to read in the paper Saturday morning is that you are dead like the rest of your people, and not soon enough.” I said, “Do you want to repeat that?” He said, “You heard me bitch.” Grizzly Bear’s experience in the restaurant during Pride Toronto demonstrates the extent to which overt racist and sexist hate language becomes normalized at LGBTTIQQ2S events and festivals</w:t>
      </w:r>
      <w:r w:rsidRPr="00087A72">
        <w:rPr>
          <w:sz w:val="16"/>
        </w:rPr>
        <w:t xml:space="preserve">. In the interaction, Grizzly Bear suggested that the waiter read an article on Indigenous history, which would have allowed him to begin developing a critical consciousness of indigeneity in Canada; however, that opportunity was refused. As this story indicates, </w:t>
      </w:r>
      <w:r w:rsidRPr="00087A72">
        <w:rPr>
          <w:rStyle w:val="Emphasis"/>
        </w:rPr>
        <w:t>violence (genocide, racism, and sexism) at Pride Toronto is quintessential to the discussion of settler colonialism, and how it infiltrates contemporary Queer politics to solidify racial hierarchies and legitimate settler homonationalism.</w:t>
      </w:r>
      <w:r w:rsidRPr="00087A72">
        <w:rPr>
          <w:rFonts w:eastAsia="Calibri"/>
          <w:sz w:val="16"/>
        </w:rPr>
        <w:t xml:space="preserve"> dIscussIon</w:t>
      </w:r>
      <w:r w:rsidRPr="00087A72">
        <w:rPr>
          <w:sz w:val="16"/>
        </w:rPr>
        <w:t xml:space="preserve"> </w:t>
      </w:r>
      <w:r w:rsidRPr="00087A72">
        <w:rPr>
          <w:rStyle w:val="Emphasis"/>
        </w:rPr>
        <w:t>Results of this study on Two-Spirited people’s participation in and experiences attending Pride Toronto suggest that LGBTTIQQ2S peoples must be aware of how contemporary Queer and Trans subjectivities rely on settler colonialism to function. We make use of an interlocking analysis to dispel the idea that all Queer people experience similar oppression.</w:t>
      </w:r>
      <w:r w:rsidRPr="00087A72">
        <w:rPr>
          <w:sz w:val="16"/>
          <w:vertAlign w:val="superscript"/>
        </w:rPr>
        <w:t>68</w:t>
      </w:r>
      <w:r w:rsidRPr="00087A72">
        <w:rPr>
          <w:sz w:val="16"/>
        </w:rPr>
        <w:t xml:space="preserve"> By taking account of the dis/connections among various and contradictory embodied identities, we move beyond an intersectional analysis to centralize the connection among queerness, race, and settler colonialism.</w:t>
      </w:r>
      <w:r w:rsidRPr="00087A72">
        <w:rPr>
          <w:sz w:val="16"/>
          <w:vertAlign w:val="superscript"/>
        </w:rPr>
        <w:t>69</w:t>
      </w:r>
      <w:r w:rsidRPr="00087A72">
        <w:rPr>
          <w:sz w:val="16"/>
        </w:rPr>
        <w:t xml:space="preserve"> An interlocking analysis provokes the current settler-colonial scholarship and activism to account for the violence of/in contemporary Queer politics. From the research participants’ experiences, settler homonationalism seems to be produced within Pride Toronto when LGBTTIQQ2S people elide categorization of race, racialization, and (settler) colonialism through the activism and celebrations in which they participate. Simultaneously, Indigenous peoples participate in Pride Toronto as a way of subverting settler homonationalism through Indigenous decolonization. The research participants’ experiences of attending and being active in Pride Toronto illumine the ways in which </w:t>
      </w:r>
      <w:r w:rsidRPr="00087A72">
        <w:rPr>
          <w:rStyle w:val="Emphasis"/>
        </w:rPr>
        <w:t>settler homonationalism permeates Pride Toronto’s vision and, indeed, the contemporary imaginations of Queer politics. To become intelligible as Queers, Two-Spirited people must assimilate themselves into contemporary Queer politics; however, when Two-Spirited people become intelligible as Indigenous, they become unintelligible as Queer and, thus, may experience considerable violence. Settler homonationalism manifests through participant experiences of being sexualized, eroticized, racialized, and invisibilized as Two-Spirited people.</w:t>
      </w:r>
      <w:r w:rsidRPr="00087A72">
        <w:rPr>
          <w:sz w:val="16"/>
        </w:rPr>
        <w:t xml:space="preserve"> Within the context of Pride Toronto, Two-Spirited people—under the leadership of 2-Spirits—continue to create and sustain Indigenous activism by decolonizing contemporary Queer politics and unsettling settler homonationalism. As a not-for-profit organization, Pride Toronto receives funding from the City of Toronto, private donors, and multinational corporations (TD Canada Trust, Trojan Condoms, Bud Light, Viagra, Barefoot Wine &amp; Bubbly, etc.).</w:t>
      </w:r>
      <w:r w:rsidRPr="00087A72">
        <w:rPr>
          <w:sz w:val="16"/>
          <w:vertAlign w:val="superscript"/>
        </w:rPr>
        <w:t>70</w:t>
      </w:r>
      <w:r w:rsidRPr="00087A72">
        <w:rPr>
          <w:sz w:val="16"/>
        </w:rPr>
        <w:t xml:space="preserve"> Thus, we suggest, the annual event’s multiplicity of investments clearly allow and prioritize certain notions of LGBTTIQQ2S identity. Due to Pride Toronto’s neoliberal agenda, research participants insist that Two-Spirited people be included to offset and provide an alternative to settler homonationalist Queer politics. </w:t>
      </w:r>
      <w:r w:rsidRPr="00087A72">
        <w:rPr>
          <w:rStyle w:val="Emphasis"/>
        </w:rPr>
        <w:t>Scholarship engaging with Pride festivals and parades on the land of Indigenous peoples continues to centralize White gay-male sexualities and desires.71 The overrepresentation of gay-male sexuality within Pride spaces persistently marginalizes non-homonormative sexual and gendered identities</w:t>
      </w:r>
      <w:r w:rsidRPr="00087A72">
        <w:rPr>
          <w:sz w:val="16"/>
        </w:rPr>
        <w:t>.</w:t>
      </w:r>
      <w:r w:rsidRPr="00087A72">
        <w:rPr>
          <w:sz w:val="16"/>
          <w:vertAlign w:val="superscript"/>
        </w:rPr>
        <w:t>72</w:t>
      </w:r>
      <w:r w:rsidRPr="00087A72">
        <w:rPr>
          <w:sz w:val="16"/>
        </w:rPr>
        <w:t xml:space="preserve"> In Toronto, the representations of LGBTTIQQ2S subjectivities continue to circulate and normalize Whiteness.</w:t>
      </w:r>
      <w:r w:rsidRPr="00087A72">
        <w:rPr>
          <w:sz w:val="16"/>
          <w:vertAlign w:val="superscript"/>
        </w:rPr>
        <w:t>73</w:t>
      </w:r>
      <w:r w:rsidRPr="00087A72">
        <w:rPr>
          <w:sz w:val="16"/>
        </w:rPr>
        <w:t xml:space="preserve"> To combat the dominant representations of White gay and lesbian identities, antiracist and diasporic Queer and Trans scholars continue to trouble the idealization and normalization of White gay-male identities.</w:t>
      </w:r>
      <w:r w:rsidRPr="00087A72">
        <w:rPr>
          <w:sz w:val="16"/>
          <w:vertAlign w:val="superscript"/>
        </w:rPr>
        <w:t>74</w:t>
      </w:r>
      <w:r w:rsidRPr="00087A72">
        <w:rPr>
          <w:sz w:val="16"/>
        </w:rPr>
        <w:t xml:space="preserve"> </w:t>
      </w:r>
      <w:r w:rsidRPr="00087A72">
        <w:rPr>
          <w:rStyle w:val="Emphasis"/>
        </w:rPr>
        <w:t>Contemporary Queer politics in North America are enduringly steeped in the project of settler colonialism.75 In Canada, the experiences of Two-Spirited people attending Pride Toronto complicate hegemonic narratives of Queer inclusion within Queer and antiracist circles by troubling how—and under what settler colonial conditions—Pride festivals exist</w:t>
      </w:r>
      <w:r w:rsidRPr="00087A72">
        <w:rPr>
          <w:sz w:val="16"/>
        </w:rPr>
        <w:t xml:space="preserve">. Within Pride Toronto’s inclusion practices, </w:t>
      </w:r>
      <w:r w:rsidRPr="00087A72">
        <w:rPr>
          <w:rStyle w:val="Emphasis"/>
        </w:rPr>
        <w:t>Two-Spirited is superficially appropriated into Queer identity, exclusive of cultural and communal contexts. Simultaneously, within the narrow confines of settler Queer legibility, Two-Spirited people who attend Pride Toronto are still trying to find safety in, and decolonize, Pride spaces. Pride spaces are being decolonized by Two-Spirited people continually taking part in activist endeavors, marching in the Pride parade with 2-Spirits, and calling attention to the overt manifestations of settler sexuality.</w:t>
      </w:r>
      <w:r w:rsidRPr="00087A72">
        <w:rPr>
          <w:sz w:val="16"/>
        </w:rPr>
        <w:t xml:space="preserve"> Ultimately, Two-Spirited people are included within Pride Toronto through their own volition and active avoidance of classist, racist, colonial, and alcohol-centric spaces. As the research participants indicated, Two-Spirited people and their divergent attachments to indigeneity must be respected. </w:t>
      </w:r>
      <w:r w:rsidRPr="00087A72">
        <w:rPr>
          <w:rStyle w:val="Emphasis"/>
        </w:rPr>
        <w:t>Within this contemporary moment, settler homonationalism continues to seep into contemporary Queer politics, enabling and normalizing racism, genocide, and sexism. Two-Spirited people must be able to enter into divergent Queer spaces without fear of sexism or racism on the part of other LGBTTIQQ2S peoples.</w:t>
      </w:r>
    </w:p>
    <w:p w:rsidR="000314EC" w:rsidRPr="00087A72" w:rsidRDefault="000314EC" w:rsidP="00496C79">
      <w:pPr>
        <w:pStyle w:val="Heading3"/>
      </w:pPr>
      <w:r w:rsidRPr="00087A72">
        <w:t>Impact – Settler Social Movements</w:t>
      </w:r>
    </w:p>
    <w:p w:rsidR="000314EC" w:rsidRPr="00087A72" w:rsidRDefault="000314EC" w:rsidP="000314EC">
      <w:pPr>
        <w:pStyle w:val="Heading4"/>
      </w:pPr>
      <w:r w:rsidRPr="00087A72">
        <w:t>The world is infested with a parasite: Settlers. They spread from continent to continent, Host to host, displacing and erasing the indigenous people, positing themselves as the natural being. This naturalization is prevalent in the struggle for global commons: fighting to take back what isn’t theirs. This re-entrenches settler colonialism as a parasitic structure: killing the host and moving on.</w:t>
      </w:r>
    </w:p>
    <w:p w:rsidR="000314EC" w:rsidRPr="00087A72" w:rsidRDefault="000314EC" w:rsidP="000314EC">
      <w:r w:rsidRPr="00087A72">
        <w:rPr>
          <w:b/>
        </w:rPr>
        <w:t>FORTIER 15</w:t>
      </w:r>
      <w:r w:rsidRPr="00087A72">
        <w:t xml:space="preserve"> </w:t>
      </w:r>
      <w:r w:rsidRPr="00087A72">
        <w:rPr>
          <w:sz w:val="16"/>
        </w:rPr>
        <w:t>(CRAIG, “UNSETTLING MOVEMENTS: DECOLONIZING NON-INDIGENOUS RADICAL STRUGGLES IN SETTLER COLONIAL STATES.” Pp 255-262quirms)</w:t>
      </w:r>
    </w:p>
    <w:p w:rsidR="000314EC" w:rsidRPr="00087A72" w:rsidRDefault="000314EC" w:rsidP="000314EC">
      <w:pPr>
        <w:ind w:left="-5" w:right="34"/>
        <w:rPr>
          <w:sz w:val="12"/>
        </w:rPr>
      </w:pPr>
      <w:r w:rsidRPr="00087A72">
        <w:rPr>
          <w:sz w:val="12"/>
        </w:rPr>
        <w:t xml:space="preserve">In my conversation with Robyn Heaslip, a white settler who works with the Sto:lo Nation, we talked about the difficulty in developing connections to land and space in a society where many people no longer have sustained relationships with the territories on which they live and are in a constant state of precarity, displacement, and movement. Referencing the work of Glen Coulthard, Robyn responded to my question by re- affirming the importance for non-Indigenous people seeking to follow pathways of decolonization to practice mutuality and responsible relationship building with Indigenous communities. Robyn asserts: [Glen Coulthard] talks about place against empire and that there’s a need for settlers to imagine and go down the path of becoming true people of the land that we’re on. But that’s what I was saying before and you’re saying there’s a real contradiction in that being the goal with the fact that there’s so much displacement and requirement to move around and I don’t have the answer to that at all. More that it just kind of puts more emphasis on the need to create communities of mutual support, so that people can stay where they want to and create alternative economies and things like that ... </w:t>
      </w:r>
      <w:r w:rsidRPr="00087A72">
        <w:rPr>
          <w:rStyle w:val="Emphasis"/>
        </w:rPr>
        <w:t>Engaging in the process of reclaiming</w:t>
      </w:r>
      <w:r w:rsidRPr="00087A72">
        <w:rPr>
          <w:sz w:val="12"/>
        </w:rPr>
        <w:t xml:space="preserve"> relationships to place alluded to by Robyn </w:t>
      </w:r>
      <w:r w:rsidRPr="00087A72">
        <w:rPr>
          <w:rStyle w:val="Emphasis"/>
        </w:rPr>
        <w:t>requires that non-Indigenous people break from the concepts of naturalization that dominate struggles for social justice within settler colonial states. In this sense, naturalization is when settlers and Indigenous peoples switch places through a series of “transfers”.</w:t>
      </w:r>
      <w:r w:rsidRPr="00087A72">
        <w:rPr>
          <w:sz w:val="12"/>
        </w:rPr>
        <w:t xml:space="preserve"> In the case of social movements, non-Indigenous activists come to understand the goal of their movements as wrestling the state away from the elite, which rightfully belongs to “the people” or “the multitude”. As Hardy (2012) explains, “</w:t>
      </w:r>
      <w:r w:rsidRPr="00087A72">
        <w:rPr>
          <w:rStyle w:val="Emphasis"/>
        </w:rPr>
        <w:t>the modern citizen-subject of the settler society is rendered natural, and in fact, indigenous to the modern nation-state and its territory while the original inhabitant, the ‘Indian’ or ‘Aborigine’ is de-naturalized, made foreign, and per Wolfe, marked for elimination</w:t>
      </w:r>
      <w:r w:rsidRPr="00087A72">
        <w:rPr>
          <w:sz w:val="12"/>
        </w:rPr>
        <w:t xml:space="preserve">” (132). Such naturalizations are apparent in the ways that some movements uncritically desire to “reclaim American democracy” or “make Canada a safe-haven for queer migrants”. </w:t>
      </w:r>
      <w:r w:rsidRPr="00087A72">
        <w:rPr>
          <w:rStyle w:val="Emphasis"/>
        </w:rPr>
        <w:t xml:space="preserve">In articulating and pursuing these goals, progressive movements can get caught up in the nationalist mythos underlying the settler colonial project. </w:t>
      </w:r>
      <w:r w:rsidRPr="00087A72">
        <w:rPr>
          <w:sz w:val="12"/>
        </w:rPr>
        <w:t xml:space="preserve">Barker (2012) argues that one of the major ways in which </w:t>
      </w:r>
      <w:r w:rsidRPr="00087A72">
        <w:rPr>
          <w:rStyle w:val="Emphasis"/>
        </w:rPr>
        <w:t>this naturalization occurs among radical social movements is through the appeal to a new multiracial or multicultural polity that includes Indigenous peoples as part of a re-imagined commons. In this sense, movements seeking to assert spaces of political liberation or new ways of relating to each other and the land within a settler colonial context attempt to supersede oppressive structures and to create a “post settler polity”</w:t>
      </w:r>
      <w:r w:rsidRPr="00087A72">
        <w:rPr>
          <w:sz w:val="12"/>
        </w:rPr>
        <w:t xml:space="preserve"> (Veracini 2010). In less jargon laden terms</w:t>
      </w:r>
      <w:r w:rsidRPr="00087A72">
        <w:rPr>
          <w:rStyle w:val="Emphasis"/>
        </w:rPr>
        <w:t>, rather than deal with the ongoing structure of settler colonialism, non- Indigenous movements ignore or minimize the importance of Indigenous sovereignty in order to side-step the question altogether. By side-stepping the question of settler colonialism, activists focus on imagining and creating a just society where settler colonialism is re-defined as a past historic event that can be overcome by the liberation of the commons and the inclusion of Indigenous peoples in a new “post-settler” society</w:t>
      </w:r>
      <w:r w:rsidRPr="00087A72">
        <w:rPr>
          <w:sz w:val="12"/>
        </w:rPr>
        <w:t>. These were some of the underlying assumptions that caused such vociferous debates in many of the Occupy encampments. The pre-figurative post settler polity is an underlying and often unconscious goal of non-Indigenous social movements. It can appear within environmentalist fights to stop logging in forests, migrant resistance to racist border policies, the claiming of public/social spaces by queer/trans* communities as they contest heteropatriarchy, mass mobilizations opposed to international trade summits or the Occupy movements’ general assemblies seeking to work out a radical vision of grassroots democracy. Nicholas A. Brown (2014) suggests that resistance by “subjects of empire”, including “settler subjects”, structures the character of primitive accumulation within settler colonial states. In other words</w:t>
      </w:r>
      <w:r w:rsidRPr="00087A72">
        <w:rPr>
          <w:rStyle w:val="Emphasis"/>
        </w:rPr>
        <w:t>, the struggle over resources within these states assumes the naturalization of settler subjects through the ongoing process of Indigenous dispossession</w:t>
      </w:r>
      <w:r w:rsidRPr="00087A72">
        <w:rPr>
          <w:sz w:val="12"/>
        </w:rPr>
        <w:t xml:space="preserve">. Citing the work of Glen Coulthard, Brown argues </w:t>
      </w:r>
      <w:r w:rsidRPr="00087A72">
        <w:rPr>
          <w:rStyle w:val="Emphasis"/>
        </w:rPr>
        <w:t>that the emphasis on the history and experiences of proletarianization of non-Indigenous people and the subsequent resistance to neoliberal dispossession of social goods won through class struggle risks erasing the foundational and ongoing process of Indigenous dispossession that informs dominant modes of Native resistance. These two forms of dispossession are not the same, nor are the resistance movements seeking to halt or reverse them</w:t>
      </w:r>
      <w:r w:rsidRPr="00087A72">
        <w:rPr>
          <w:sz w:val="12"/>
        </w:rPr>
        <w:t xml:space="preserve">. There is a growing broad-based resistance to neoliberal austerity that, in settler states like Canada and the United States fighting against what David Harvey (2004) calls “accumulation by dispossession” - the accumulation of wealth through neoliberal privatization, speculation, and dispossession of the general public through the clawing back of public goods and social services. </w:t>
      </w:r>
      <w:r w:rsidRPr="00087A72">
        <w:rPr>
          <w:rStyle w:val="Emphasis"/>
        </w:rPr>
        <w:t>These movements contest the divisions of wealth within the settler state and even challenge the structure of the state itself, yet they overwhelmingly assume the naturalization of the settler polity within their organizing structure</w:t>
      </w:r>
      <w:r w:rsidRPr="00087A72">
        <w:rPr>
          <w:sz w:val="12"/>
        </w:rPr>
        <w:t xml:space="preserve">. In parallel to Occupy Wall Street, these movements frame their struggles as multicultural and multiracial and seek to re-appropriate social goods from the elite and to redistribute wealth within the settler state in a more just and equitable manner. While such movements are vital if we are to build a broad and mass-based struggle against capitalism, they must also develop relationships of solidarity and mutual aid with Indigenous resistance to dispossession of their territories, a dispossession that is foundational to the settler colonial state. Another function of what Brown (2014) calls </w:t>
      </w:r>
      <w:r w:rsidRPr="00087A72">
        <w:rPr>
          <w:rStyle w:val="Emphasis"/>
        </w:rPr>
        <w:t>“settler accumulation” is the tendency of social movements to prefigure new social relations that remain embedded within the structures settler colonialism. Perhaps there is an assumed evolution of settler spatialities towards a more just and equitable future, but it is not a break from settler control of territories since it does nothing to unsettle or disrupt the logics and structures of elimination and genocide of Indigenous peoples</w:t>
      </w:r>
      <w:r w:rsidRPr="00087A72">
        <w:rPr>
          <w:sz w:val="12"/>
        </w:rPr>
        <w:t xml:space="preserve"> (Wolfe 2006). If we apply the concept of settler accumulation to our understanding of the commons, then we are better able to contend with some of the problematic assumptions that we may hold as we negotiate resistance to neoliberalism and its repossession of social goods within settler states (i.e. like attacks on labour rights, social security, stable employment, public space, marriage equality, etc.). Sharma and Wright (2009) in their critique of Lawrence and Dua’s (2005) article “Decolonizing Anti-Racism”, suggest that by focusing resistance against the expropriation of the commons, movements for decolonization gain a better understanding of how colonization continues to take place. They argue, “By comprehending colonialism as occurring each time the commons is expropriated and the commoners are exploited, our understanding of colonialism and who has been colonized should expand” (Sharma and Wright 2009:133). Sharma and Wright distinguish this type of decolonization from one that is based in nationalist common sense, as they characterize Indigenous sovereignty movements. They explain, “By understanding </w:t>
      </w:r>
      <w:r w:rsidRPr="00087A72">
        <w:rPr>
          <w:i/>
          <w:sz w:val="12"/>
        </w:rPr>
        <w:t xml:space="preserve">colonialism </w:t>
      </w:r>
      <w:r w:rsidRPr="00087A72">
        <w:rPr>
          <w:sz w:val="12"/>
        </w:rPr>
        <w:t xml:space="preserve">as the theft of the commons, the agents of decolonization as the </w:t>
      </w:r>
      <w:r w:rsidRPr="00087A72">
        <w:rPr>
          <w:i/>
          <w:sz w:val="12"/>
        </w:rPr>
        <w:t xml:space="preserve">commoners, </w:t>
      </w:r>
      <w:r w:rsidRPr="00087A72">
        <w:rPr>
          <w:sz w:val="12"/>
        </w:rPr>
        <w:t xml:space="preserve">and decolonization as the gaining of a </w:t>
      </w:r>
      <w:r w:rsidRPr="00087A72">
        <w:rPr>
          <w:i/>
          <w:sz w:val="12"/>
        </w:rPr>
        <w:t>global commons</w:t>
      </w:r>
      <w:r w:rsidRPr="00087A72">
        <w:rPr>
          <w:sz w:val="12"/>
        </w:rPr>
        <w:t xml:space="preserve">, we will gain a clearer sense of </w:t>
      </w:r>
      <w:r w:rsidRPr="00087A72">
        <w:rPr>
          <w:i/>
          <w:sz w:val="12"/>
        </w:rPr>
        <w:t xml:space="preserve">when </w:t>
      </w:r>
      <w:r w:rsidRPr="00087A72">
        <w:rPr>
          <w:sz w:val="12"/>
        </w:rPr>
        <w:t xml:space="preserve">we were colonized, </w:t>
      </w:r>
      <w:r w:rsidRPr="00087A72">
        <w:rPr>
          <w:i/>
          <w:sz w:val="12"/>
        </w:rPr>
        <w:t xml:space="preserve">who </w:t>
      </w:r>
      <w:r w:rsidRPr="00087A72">
        <w:rPr>
          <w:sz w:val="12"/>
        </w:rPr>
        <w:t xml:space="preserve">colonized us, and </w:t>
      </w:r>
      <w:r w:rsidRPr="00087A72">
        <w:rPr>
          <w:i/>
          <w:sz w:val="12"/>
        </w:rPr>
        <w:t xml:space="preserve">how </w:t>
      </w:r>
      <w:r w:rsidRPr="00087A72">
        <w:rPr>
          <w:sz w:val="12"/>
        </w:rPr>
        <w:t xml:space="preserve">to decolonize ourselves and our relationships” (133). However, if we use the concept of settler accumulation to interrogate Sharma and Wright’s proposition, we begin to see the limitation of such an approach. First, Sharma and Wright argue that we need to understand colonialism as “the theft of the commons”. This argument relies on Marx’s </w:t>
      </w:r>
      <w:r w:rsidRPr="00087A72">
        <w:rPr>
          <w:i/>
          <w:sz w:val="12"/>
        </w:rPr>
        <w:t xml:space="preserve">Capital </w:t>
      </w:r>
      <w:r w:rsidRPr="00087A72">
        <w:rPr>
          <w:sz w:val="12"/>
        </w:rPr>
        <w:t>to relate the theft of the commons to the emergence of capital via a primary/original phase of accumulation, often translated as primitive accumulation. More recent formulations expand on Marx’s classic thesis to argue that the process of dispossession is an ongoing and consistent feature of capitalist accumulation (see Harvey 2004; Federici 2004; De Angelis 2005 among others). As Glen Coulthard (2014) explains, these are “</w:t>
      </w:r>
      <w:r w:rsidRPr="00087A72">
        <w:rPr>
          <w:rStyle w:val="Emphasis"/>
        </w:rPr>
        <w:t xml:space="preserve">the “formative acts of violent dispossession [that] set the stage for the emergence of capitalist accumulation and the reproduction of capitalist relations of production by tearing Indigenous societies, peasants, and other small-scale, self-sufficient agricultural producers from the source of their livelihood – the land” </w:t>
      </w:r>
      <w:r w:rsidRPr="00087A72">
        <w:rPr>
          <w:sz w:val="12"/>
        </w:rPr>
        <w:t xml:space="preserve">(Coulthard 2014:7). Silvia Federici (2004) points out that </w:t>
      </w:r>
      <w:r w:rsidRPr="00087A72">
        <w:rPr>
          <w:rStyle w:val="Emphasis"/>
        </w:rPr>
        <w:t>this process has not just involved the severing of people from the land, but has included a longstanding accumulation of “differences, inequality, hierarchies, divisions, which have alienated workers from each other and even from themselves”</w:t>
      </w:r>
      <w:r w:rsidRPr="00087A72">
        <w:rPr>
          <w:sz w:val="12"/>
        </w:rPr>
        <w:t xml:space="preserve"> (115). In this respect, </w:t>
      </w:r>
      <w:r w:rsidRPr="00087A72">
        <w:rPr>
          <w:rStyle w:val="Emphasis"/>
        </w:rPr>
        <w:t xml:space="preserve">the process of dispossessing people of their lands, their removal from their means of production, and their eventual proletarianization has not only transformed our material conditions, but has transformed our ways of being and the relationships that we make with each other and the land. </w:t>
      </w:r>
      <w:r w:rsidRPr="00087A72">
        <w:rPr>
          <w:sz w:val="12"/>
        </w:rPr>
        <w:t xml:space="preserve">One of these major transformations in relationships occurs through the process of settler colonialism. As European peasants are displaced from their territories and their relationships with the land are severed, many are enticed, coerced, or forced into the process of colonialism. </w:t>
      </w:r>
      <w:r w:rsidRPr="00087A72">
        <w:rPr>
          <w:rStyle w:val="Emphasis"/>
        </w:rPr>
        <w:t>In the emerging settler states of Canada and the United States, this process is foundational to the establishment of European control and hegemony of territories with which Indigenous peoples had maintained longstanding relationships. It is this process that places the European commons, influenced by the new relationships emerging out of the capitalist mode of production, in contestation with multiple Indigenous commons.</w:t>
      </w:r>
      <w:r w:rsidRPr="00087A72">
        <w:rPr>
          <w:sz w:val="12"/>
        </w:rPr>
        <w:t xml:space="preserve"> In this sense, both the colonial elite and the settler subject are complicit in the process of severing Indigenous peoples from their longstanding relationships with particular territories and perpetuating an ongoing dispossession through the assertion of settler citizenship. Morgensen (2011) explains that </w:t>
      </w:r>
      <w:r w:rsidRPr="00087A72">
        <w:rPr>
          <w:rStyle w:val="Emphasis"/>
        </w:rPr>
        <w:t>not only are Indigenous peoples dispossessed of their territories through this process but settler citizenship also requires the incorporation of indigeneity in order to claim national belonging</w:t>
      </w:r>
      <w:r w:rsidRPr="00087A72">
        <w:rPr>
          <w:sz w:val="12"/>
        </w:rPr>
        <w:t xml:space="preserve">. In his study of the politics of recognition among radical queer social movements in settler states, he shows how Philip J. Deloria’s argument that </w:t>
      </w:r>
      <w:r w:rsidRPr="00087A72">
        <w:rPr>
          <w:rStyle w:val="Emphasis"/>
        </w:rPr>
        <w:t>settler citizenship is based on the conquest and incorporation of Native American indigeneity, “makes primitivity a resource that settler subjects access when asserting their national belonging</w:t>
      </w:r>
      <w:r w:rsidRPr="00087A72">
        <w:rPr>
          <w:sz w:val="12"/>
        </w:rPr>
        <w:t>” (Morgensen 2011:45). Similarly, through the assertion that decolonization is the struggle to gain a global commons, Sharma and Wright (2009) sidestep the historical process of settler colonization and naturalize settler citizenship</w:t>
      </w:r>
      <w:r w:rsidRPr="00087A72">
        <w:rPr>
          <w:rStyle w:val="Emphasis"/>
        </w:rPr>
        <w:t>. In their effort to rightly critique the conflation of the process of migration with the process of colonialism, they flatten all forms of dispossession as originating from the same process of accumulation or theft of the commons. Such an analysis fails to correctly situate the complicity of settler subjects in participating in the process of dispossessing Indigenous peoples of their territories, even within their own struggles against proletarianization and dispossession at the hands of the capitalist class</w:t>
      </w:r>
      <w:r w:rsidRPr="00087A72">
        <w:rPr>
          <w:sz w:val="12"/>
        </w:rPr>
        <w:t xml:space="preserve">. That being said, building relationships of solidarity with Indigenous movements for decolonization and resurgence does not preclude struggles for the commons, rather it requires that we understand the multiple and diverse ways in which the commons are constituted by different communities and in different contexts and that we take the time to learn, understand, and negotiate the contradictions that may arise in the process of struggling for and achieving such commons. For instance, Glen Coulthard (2014) explains that Indigenous anti-colonialism and anti-capitalism differs from those of settler society, noting: The theory and practice of Indigenous anticolonialism, including Indigenous anticapitalism, is best understood as a struggle primarily inspired by and oriented around </w:t>
      </w:r>
      <w:r w:rsidRPr="00087A72">
        <w:rPr>
          <w:i/>
          <w:sz w:val="12"/>
        </w:rPr>
        <w:t xml:space="preserve">the question of land </w:t>
      </w:r>
      <w:r w:rsidRPr="00087A72">
        <w:rPr>
          <w:sz w:val="12"/>
        </w:rPr>
        <w:t xml:space="preserve">– a struggle not only </w:t>
      </w:r>
      <w:r w:rsidRPr="00087A72">
        <w:rPr>
          <w:i/>
          <w:sz w:val="12"/>
        </w:rPr>
        <w:t xml:space="preserve">for </w:t>
      </w:r>
      <w:r w:rsidRPr="00087A72">
        <w:rPr>
          <w:sz w:val="12"/>
        </w:rPr>
        <w:t xml:space="preserve">land in the material sense, but also deeply </w:t>
      </w:r>
      <w:r w:rsidRPr="00087A72">
        <w:rPr>
          <w:i/>
          <w:sz w:val="12"/>
        </w:rPr>
        <w:t xml:space="preserve">informed </w:t>
      </w:r>
      <w:r w:rsidRPr="00087A72">
        <w:rPr>
          <w:sz w:val="12"/>
        </w:rPr>
        <w:t xml:space="preserve">by what the land </w:t>
      </w:r>
      <w:r w:rsidRPr="00087A72">
        <w:rPr>
          <w:i/>
          <w:sz w:val="12"/>
        </w:rPr>
        <w:t xml:space="preserve">as a system of reciprocal relations and obligations </w:t>
      </w:r>
      <w:r w:rsidRPr="00087A72">
        <w:rPr>
          <w:sz w:val="12"/>
        </w:rPr>
        <w:t xml:space="preserve">can teach us about living our lives in relation to one another and the natural world in nondominating and nonexploitative terms – and less around our emergent status as ‘rightless proletarians’ (13). Coulthard here does not exclude the possibility of non-Indigenous struggles for the commons, rather he offers an important distinction between non-Indigenous anti- capitalist struggles against proletarianization and the questions of land that permeate Indigenous decolonization. </w:t>
      </w:r>
      <w:r w:rsidRPr="00087A72">
        <w:rPr>
          <w:rStyle w:val="Emphasis"/>
        </w:rPr>
        <w:t>We must acknowledge the longstanding distinctions of how settlers, arrivants, and Indigenous peoples relate to and understand our relationships with the land as being both contradictory and incommensurable with each other. Rather than seeking to claim a singular commons, we must see the struggle for the commons as multiplicitous and contingent upon a simultaneous process of decolonization.</w:t>
      </w:r>
      <w:r w:rsidRPr="00087A72">
        <w:rPr>
          <w:sz w:val="12"/>
        </w:rPr>
        <w:t xml:space="preserve"> </w:t>
      </w:r>
    </w:p>
    <w:p w:rsidR="00496C79" w:rsidRPr="00087A72" w:rsidRDefault="00496C79" w:rsidP="00496C79">
      <w:pPr>
        <w:pStyle w:val="Heading3"/>
      </w:pPr>
      <w:r w:rsidRPr="00087A72">
        <w:t>Impact – Three Pillars</w:t>
      </w:r>
    </w:p>
    <w:p w:rsidR="00496C79" w:rsidRPr="00087A72" w:rsidRDefault="00496C79" w:rsidP="00496C79">
      <w:pPr>
        <w:pStyle w:val="Heading4"/>
      </w:pPr>
      <w:r w:rsidRPr="00087A72">
        <w:t xml:space="preserve">Settler colonialism is the basis of anti-black racism, genocide and the constant threat of war and xenophobia. </w:t>
      </w:r>
    </w:p>
    <w:p w:rsidR="00496C79" w:rsidRPr="00087A72" w:rsidRDefault="00496C79" w:rsidP="00496C79">
      <w:r w:rsidRPr="00087A72">
        <w:rPr>
          <w:b/>
          <w:bCs/>
        </w:rPr>
        <w:t xml:space="preserve">Upadhyay 16 </w:t>
      </w:r>
      <w:r w:rsidRPr="00087A72">
        <w:t>(Nishant, Assistant Professor in Women's and Gender Studies at University of Massachusetts Dartmouth, Ph.D. in Graduate Program in Social and Political Thought at York University, South Asian</w:t>
      </w:r>
      <w:r w:rsidRPr="00087A72">
        <w:rPr>
          <w:i/>
        </w:rPr>
        <w:t xml:space="preserve"> “We’ll Sail Like Columbus”: Race, Indigeneity, Settler Colonialism, and the Making of South Asian Diasporas in Canada. </w:t>
      </w:r>
      <w:r w:rsidRPr="00087A72">
        <w:t>Pg. 64-67) OD</w:t>
      </w:r>
    </w:p>
    <w:p w:rsidR="00496C79" w:rsidRPr="00087A72" w:rsidRDefault="00496C79" w:rsidP="00496C79">
      <w:pPr>
        <w:rPr>
          <w:sz w:val="12"/>
        </w:rPr>
      </w:pPr>
      <w:r w:rsidRPr="00087A72">
        <w:rPr>
          <w:sz w:val="12"/>
        </w:rPr>
        <w:t xml:space="preserve">Andrea Smith offers another framework to theorize these continuities, cacophonies and intimacies (“Heteropatriarchy and the Three Pillars”; “Indigeneity, Settler Colonialism”). Smith insists that we “rearticulate our understanding of white supremacy by not assuming that it is enacted in a single fashion; rather, white supremacy is constituted by separate and distinct, but still interrelated logics” (“Indigeneity, Settler Colonialism” 67). </w:t>
      </w:r>
      <w:r w:rsidRPr="00087A72">
        <w:rPr>
          <w:u w:val="single"/>
        </w:rPr>
        <w:t>Her conceptualization of three pillars of white supremacy demonstrates interconnected, overlapping, and contradictory positionalities of Indigenous peoples, Black people, and people of colour.</w:t>
      </w:r>
      <w:r w:rsidRPr="00087A72">
        <w:rPr>
          <w:sz w:val="12"/>
        </w:rPr>
        <w:t xml:space="preserve"> Smith identifies the pillars as: </w:t>
      </w:r>
      <w:r w:rsidRPr="00087A72">
        <w:rPr>
          <w:b/>
          <w:iCs/>
          <w:u w:val="single"/>
        </w:rPr>
        <w:t>slavery/capitalism; genocide/colonialism; and orientalism/war (“</w:t>
      </w:r>
      <w:r w:rsidRPr="00087A72">
        <w:rPr>
          <w:sz w:val="12"/>
        </w:rPr>
        <w:t xml:space="preserve">Heteropatriarchy and the Three Pillars”; “Indigeneity, Settler Colonialism”). </w:t>
      </w:r>
      <w:r w:rsidRPr="00087A72">
        <w:rPr>
          <w:u w:val="single"/>
        </w:rPr>
        <w:t xml:space="preserve">The first pillar enables anti-black racism and seeks to render Black bodies invariably and perpetually enslaved, and allows non-black communities to escape exploitation through capitalism. </w:t>
      </w:r>
      <w:r w:rsidRPr="00087A72">
        <w:rPr>
          <w:sz w:val="12"/>
        </w:rPr>
        <w:t xml:space="preserve">The </w:t>
      </w:r>
      <w:r w:rsidRPr="00087A72">
        <w:rPr>
          <w:b/>
          <w:iCs/>
          <w:u w:val="single"/>
        </w:rPr>
        <w:t>pillar of genocide seeks to erase Indigenous peoples and colonizes their lands, in order to enable non-Indigenous people to occupy their lands</w:t>
      </w:r>
      <w:r w:rsidRPr="00087A72">
        <w:rPr>
          <w:sz w:val="12"/>
        </w:rPr>
        <w:t>. The third pillar, o</w:t>
      </w:r>
      <w:r w:rsidRPr="00087A72">
        <w:rPr>
          <w:b/>
          <w:iCs/>
          <w:u w:val="single"/>
        </w:rPr>
        <w:t>rientalism</w:t>
      </w:r>
      <w:r w:rsidRPr="00087A72">
        <w:rPr>
          <w:sz w:val="12"/>
        </w:rPr>
        <w:t xml:space="preserve">, </w:t>
      </w:r>
      <w:r w:rsidRPr="00087A72">
        <w:rPr>
          <w:b/>
          <w:iCs/>
          <w:u w:val="single"/>
        </w:rPr>
        <w:t xml:space="preserve">marks certain peoples or nations as continuously inferior and deems them to be a constant threat through logics of war and xenophobia. </w:t>
      </w:r>
      <w:r w:rsidRPr="00087A72">
        <w:rPr>
          <w:sz w:val="12"/>
        </w:rPr>
        <w:t xml:space="preserve">According to Smith, it is </w:t>
      </w:r>
      <w:r w:rsidRPr="00087A72">
        <w:rPr>
          <w:b/>
          <w:iCs/>
          <w:u w:val="single"/>
        </w:rPr>
        <w:t xml:space="preserve">through these </w:t>
      </w:r>
      <w:r w:rsidRPr="00087A72">
        <w:rPr>
          <w:sz w:val="12"/>
        </w:rPr>
        <w:t xml:space="preserve">three pillars of </w:t>
      </w:r>
      <w:r w:rsidRPr="00087A72">
        <w:rPr>
          <w:b/>
          <w:iCs/>
          <w:u w:val="single"/>
        </w:rPr>
        <w:t xml:space="preserve">white supremacy that all colonized and racialized peoples are not only victims of but are also complicit in white supremacy. </w:t>
      </w:r>
      <w:r w:rsidRPr="00087A72">
        <w:rPr>
          <w:sz w:val="12"/>
        </w:rPr>
        <w:t xml:space="preserve">Further, these pillars intersect with processes of heteropatriarchy, thus gendering racialized logics of privileges and complicities. While limited in encapsulating the complexities, </w:t>
      </w:r>
      <w:r w:rsidRPr="00087A72">
        <w:rPr>
          <w:b/>
          <w:iCs/>
          <w:u w:val="single"/>
        </w:rPr>
        <w:t>the pillars enable an understanding of simultaneous victimization and complicity as a critical tool to think about overlapping structures of power and privilege</w:t>
      </w:r>
      <w:r w:rsidRPr="00087A72">
        <w:rPr>
          <w:sz w:val="12"/>
        </w:rPr>
        <w:t xml:space="preserve">. This dissertation is an exploration of these varying mutually constitutive complicities. 66 Historical and ongoing continuities of white setter colonialism in the Americas, Australia, and New Zealand are unique from other forms of colonialism—but are not temporally or spatially isolated. They have been continuously and systematically informed by, and have informed, other forms of oppression and violence. The above discussion of Byrd’s cacophonies, Lowe’s intimacies and Smith’s pillars, </w:t>
      </w:r>
      <w:r w:rsidRPr="00087A72">
        <w:rPr>
          <w:u w:val="single"/>
        </w:rPr>
        <w:t>illustrates different modalities of racial and colonial entanglements, complexities, and pernicious continuities</w:t>
      </w:r>
      <w:r w:rsidRPr="00087A72">
        <w:rPr>
          <w:sz w:val="12"/>
        </w:rPr>
        <w:t xml:space="preserve">. This assemblage of frameworks highlights how differently located peoples experience, and continue to experience, the violences of racisms and colonialisms. Lowe notes further: The afterlives of these conditions are deciphered not only in the great events of revolutions, wars, and republics, but in the phenomenon of everyday life, not only in the monumental successes, but also in the too frequently overlooked so-called failures. (162) While each framework relies on different vocabularies, they all demonstrate how Black people, Indigenous peoples, and other people of colour are affected through structures of heteropatriarchy, racism, colonialism, and capitalism, albeit through varied and multiplex methods. Further, </w:t>
      </w:r>
      <w:r w:rsidRPr="00087A72">
        <w:rPr>
          <w:u w:val="single"/>
        </w:rPr>
        <w:t xml:space="preserve">structures of settler colonialism are intermeshed with structures of anti-Black racism, Islamophobia, and “border imperialism” </w:t>
      </w:r>
      <w:r w:rsidRPr="00087A72">
        <w:rPr>
          <w:sz w:val="12"/>
        </w:rPr>
        <w:t xml:space="preserve">(Walia, Undoing Border Imperialism). </w:t>
      </w:r>
      <w:r w:rsidRPr="00087A72">
        <w:rPr>
          <w:u w:val="single"/>
        </w:rPr>
        <w:t>These racial and colonial modalities continuously shape each other, in varying, nonlinear and often contradictory ways.</w:t>
      </w:r>
      <w:r w:rsidRPr="00087A72">
        <w:rPr>
          <w:sz w:val="12"/>
        </w:rPr>
        <w:t xml:space="preserve"> While this dissertation focuses primarily on settler colonialism and how South Asians are located within it, settler colonialism is not produced and maintained in isolation from other structures. In this dissertation, I contend that to grasp the intricacies of South Asian diasporic formations in Canada, a deeper and more complex analysis is required which engages with the nexus of these varying logics of racial and colonial oppression. In addition, logics of heteropatriarchy, cis-heteronormativity, caste, and capitalism further complicate these structures. 67 Differently located South Asians in Canada are, somewhat uniquely but not exclusively, positioned on the margins of these structures—where sometimes they are oppressed through these logics, at other times they are in power, and in yet others they are complicit. In the following sub-sections, I explore the intersections of anti-black racism, Islamophobia and border imperialism within settler colonialism.</w:t>
      </w:r>
    </w:p>
    <w:p w:rsidR="00496C79" w:rsidRPr="00087A72" w:rsidRDefault="00496C79" w:rsidP="00496C79"/>
    <w:p w:rsidR="00FA1026" w:rsidRPr="00087A72" w:rsidRDefault="00FA1026" w:rsidP="00496C79">
      <w:pPr>
        <w:pStyle w:val="Heading3"/>
      </w:pPr>
      <w:r w:rsidRPr="00087A72">
        <w:t>Impact – (Nuclear) War</w:t>
      </w:r>
    </w:p>
    <w:p w:rsidR="00091D3F" w:rsidRPr="00087A72" w:rsidRDefault="00091D3F" w:rsidP="00091D3F">
      <w:pPr>
        <w:pStyle w:val="Heading4"/>
      </w:pPr>
      <w:r w:rsidRPr="00087A72">
        <w:t xml:space="preserve">The Settler colonial drive to recreate itself everywhere bringing with it the western conception of the state that violently wages wars of conquest in the name of securitization.  </w:t>
      </w:r>
    </w:p>
    <w:p w:rsidR="00091D3F" w:rsidRPr="00087A72" w:rsidRDefault="00091D3F" w:rsidP="00091D3F">
      <w:pPr>
        <w:rPr>
          <w:rFonts w:asciiTheme="majorHAnsi" w:hAnsiTheme="majorHAnsi"/>
          <w:b/>
          <w:sz w:val="26"/>
        </w:rPr>
      </w:pPr>
      <w:r w:rsidRPr="00087A72">
        <w:rPr>
          <w:rStyle w:val="Style13ptBold"/>
          <w:rFonts w:asciiTheme="majorHAnsi" w:hAnsiTheme="majorHAnsi"/>
        </w:rPr>
        <w:t xml:space="preserve">Rana, 14 </w:t>
      </w:r>
      <w:r w:rsidRPr="00087A72">
        <w:rPr>
          <w:rFonts w:asciiTheme="majorHAnsi" w:hAnsiTheme="majorHAnsi"/>
        </w:rPr>
        <w:t xml:space="preserve">(Aziz Rana, Cornell University, </w:t>
      </w:r>
      <w:r w:rsidRPr="00087A72">
        <w:rPr>
          <w:rFonts w:asciiTheme="majorHAnsi" w:hAnsiTheme="majorHAnsi"/>
          <w:i/>
        </w:rPr>
        <w:t>Settler wars and the national security state</w:t>
      </w:r>
      <w:r w:rsidRPr="00087A72">
        <w:rPr>
          <w:rFonts w:asciiTheme="majorHAnsi" w:hAnsiTheme="majorHAnsi"/>
        </w:rPr>
        <w:t xml:space="preserve">, Settler Colonial Studies, 2014squirms) </w:t>
      </w:r>
    </w:p>
    <w:p w:rsidR="00091D3F" w:rsidRPr="00087A72" w:rsidRDefault="00091D3F" w:rsidP="00091D3F">
      <w:pPr>
        <w:rPr>
          <w:sz w:val="10"/>
        </w:rPr>
      </w:pPr>
      <w:r w:rsidRPr="00087A72">
        <w:rPr>
          <w:sz w:val="10"/>
        </w:rPr>
        <w:t xml:space="preserve">Frederick Jackson Turner famously stated that </w:t>
      </w:r>
      <w:r w:rsidRPr="00087A72">
        <w:rPr>
          <w:rStyle w:val="StyleUnderline"/>
        </w:rPr>
        <w:t>“the ﬁrst ideal of the pioneer was that of conquest” and that “the riﬂe and the ax” were his principal “symbols”.</w:t>
      </w:r>
      <w:r w:rsidRPr="00087A72">
        <w:rPr>
          <w:sz w:val="10"/>
        </w:rPr>
        <w:t xml:space="preserve"> For my remarks, I plan to develop this thought </w:t>
      </w:r>
      <w:r w:rsidRPr="00087A72">
        <w:rPr>
          <w:rStyle w:val="StyleUnderline"/>
        </w:rPr>
        <w:t>by assessing what settler wars on the American frontier – speciﬁcally conﬂicts with native peoples over land and material resources – tell us about the contemporary national security state</w:t>
      </w:r>
      <w:r w:rsidRPr="00087A72">
        <w:rPr>
          <w:sz w:val="10"/>
        </w:rPr>
        <w:t xml:space="preserve">. Due to limitations of time, the argument I am going to make is a schematic one, so bear with me in its bluntness and lack of nuance. The basic claim is that we tend to think of frontier wars between settlers and natives as episodes in a distant historical past that say very little about the present. But in actuality, </w:t>
      </w:r>
      <w:r w:rsidRPr="00087A72">
        <w:rPr>
          <w:rStyle w:val="StyleUnderline"/>
        </w:rPr>
        <w:t>it was precisely through these conﬂicts that American settlers developed key political and legal scripts concerning which political communities can claim full sovereignty as well as who rightly enjoys meaningful protections during wartime.</w:t>
      </w:r>
      <w:r w:rsidRPr="00087A72">
        <w:rPr>
          <w:sz w:val="10"/>
        </w:rPr>
        <w:t xml:space="preserve"> Today, these scripts continue to inﬂuence foreign and domestic policy – not only in the United States and Europe but even in postcolonial states – and mirror current debates (such as over the status of non-state actors or the use of drones in international humanitarian law). For all these reasons, I think it is worth taking a moment to go back to the early nineteenth century and to revisit especially how American jurists in the context of the frontier conceived of the legal rules governing war with native communities. To begin with, a quick word about international humanitarian law (IHL) (or the law of armed conﬂict) may be useful. IHL has long been thought of – in the nineteenth century as well as today – as providing both a “sword” and a “shield”. In other words, the historic purpose behind IHL was to sanction practices that during peace time would be viewed as criminal. For instance, although in peace time you cannot engage in murder, during warfare certain forms of violence against individuals become legally acceptable. As a result, the laws of war provide a sword to belligerents, justifying their capacity to employ coercive violence. At the same time, these laws are also meant to be a shield to those groups caught up in armed conﬂicts; they are supposed to establish clear limitations and constraints on the use of force and to ensure that individuals (combatants and civilians) enjoy basic rights. </w:t>
      </w:r>
      <w:r w:rsidRPr="00087A72">
        <w:rPr>
          <w:rStyle w:val="StyleUnderline"/>
        </w:rPr>
        <w:t>What settler wars raised, in the interaction between the US federal government and American Indian nations, was a central question about whether communities whose forms of political and social organization were not cognizable under traditional ideas of Western statecraft, especially the Westphalian state, would nonetheless be treated as self-determining and rights bearing subjects.</w:t>
      </w:r>
      <w:r w:rsidRPr="00087A72">
        <w:rPr>
          <w:sz w:val="10"/>
        </w:rPr>
        <w:t xml:space="preserve"> After independence, one of the very ﬁrst responses to this question was presented by Supreme Court Chief Justice John Marshall in the 1823 case Johnson v. M’Intosh. As I discuss in my book, The Two Faces of American Freedom, the case concerned whether American courts should respect the validity of revolutionary-era land purchases between white settlers and native peoples. In speaking for a unanimous Court and holding such sales invalid, Marshall argued that private citizens could not buy land directly from American Indians. Rather the </w:t>
      </w:r>
      <w:r w:rsidRPr="00087A72">
        <w:rPr>
          <w:rStyle w:val="StyleUnderline"/>
        </w:rPr>
        <w:t>US federal government enjoyed ultimate title to the land and alone could extinguish native occupancy.</w:t>
      </w:r>
      <w:r w:rsidRPr="00087A72">
        <w:rPr>
          <w:sz w:val="10"/>
        </w:rPr>
        <w:t xml:space="preserve"> I am not going to go through Marshall’s holding in great detail, but he grounded his argument in what he called the “Doctrine of Discovery”. According to Marshall, </w:t>
      </w:r>
      <w:r w:rsidRPr="00087A72">
        <w:rPr>
          <w:rStyle w:val="StyleUnderline"/>
        </w:rPr>
        <w:t>this doctrine</w:t>
      </w:r>
      <w:r w:rsidRPr="00087A72">
        <w:rPr>
          <w:sz w:val="10"/>
        </w:rPr>
        <w:t xml:space="preserve"> had long been recognized as part of international law (or the law of nations), and </w:t>
      </w:r>
      <w:r w:rsidRPr="00087A72">
        <w:rPr>
          <w:rStyle w:val="StyleUnderline"/>
        </w:rPr>
        <w:t>gave to European states in the New World an “exclusive right to extinguish the Indian title of occupancy either by purchase or conquest.” Such customary imperial authority meant that native peoples did not possess legally recognizable sovereignty, akin to European states, over their own territory. Indeed, if a European state were to stake a claim to territory within the American zone of discovery (but still practically controlled by an Indian nation) this was in fact an act of aggression against the USA, the relevant sovereign power</w:t>
      </w:r>
      <w:r w:rsidRPr="00087A72">
        <w:rPr>
          <w:sz w:val="10"/>
        </w:rPr>
        <w:t>. A far less explored element of this case is how Marshall struggled with the issue of frontier confrontations between settlers and natives, and particularly which laws were supposed to govern these military conﬂicts. As a normative matter, Marshall was deeply wary of defending indigenous conquest – not to mention frontier violence against native peoples – through arguments about the “superior genius” of Europeans or the “character and religion” of American Indians. He viewed many of these claims as ultimately justiﬁcations for the mistreatment of native communities. Nonetheless</w:t>
      </w:r>
      <w:r w:rsidRPr="00087A72">
        <w:rPr>
          <w:rStyle w:val="StyleUnderline"/>
        </w:rPr>
        <w:t>, Marshall accepted the inevitability of war on the frontier and maintained that the Doctrine of Discovery could be legitimately converted into a right of conquest – one that presumed that local peoples could be removed at will by settlers. The problem as he saw it was that native societies at root could never be made peaceable, a fact tied for Marshall to the very “nobility” of the American Indian. Precisely because the US federal government was engaged in a project of conquering their land, native peoples would refuse to submit</w:t>
      </w:r>
      <w:r w:rsidRPr="00087A72">
        <w:rPr>
          <w:sz w:val="10"/>
        </w:rPr>
        <w:t xml:space="preserve">. In his view, American Indians were “as brave and as high spirited as they were ﬁerce, and were ready to repel by arms every attempt on their independence.” This indigenous bravery meant that in refusing to submit native peoples would use all the available means of violence at their disposal. And as a consequence, they could not be counted on to engage in self limitation or to abide by basic principles of just war, principles that European states supposedly respected. </w:t>
      </w:r>
      <w:r w:rsidRPr="00087A72">
        <w:rPr>
          <w:rStyle w:val="StyleUnderline"/>
        </w:rPr>
        <w:t xml:space="preserve">Unless white settlers conquered deﬁnitively their indigenous neighbors on the frontier, American colonists would risk “exposing themselves and their families to the perpetual hazard of being massacred”. It is for this reason that Marshall reached a stunning conclusion: both the laws of war and the laws of occupation that applied among Europeans – and ensured that “the conquered shall not be wantonly oppressed”–could not apply with native peoples. For Marshall, “the tribes of Indians inhabiting this country were ﬁerce savages, whose occupation was war.” </w:t>
      </w:r>
      <w:r w:rsidRPr="00087A72">
        <w:rPr>
          <w:sz w:val="10"/>
        </w:rPr>
        <w:t>Any effort to extend legal protections, ordinarily granted to European publics, to native communities would be fatal to internal security. It would be the equivalent of waging war with one hand tied behind your back. In a sense, Marshall, whatever his qualms with the frontier treatment of indigenous neighbors, nonetheless articulated an initial defense of total war. Such war was acceptable in the context of conﬂicts with native peoples, precisely because settlers would be trapped in an asymmetrical ﬁght with an opponent that ignored the classic rules of military engagement. Marshall’s arguments have had a remarkably long shelf life in both national security policy and international humanitarian law. First of all</w:t>
      </w:r>
      <w:r w:rsidRPr="00087A72">
        <w:rPr>
          <w:rStyle w:val="StyleUnderline"/>
        </w:rPr>
        <w:t>, one could well argue that for Americans (perhaps even more so than the Civil War or the World Wars) it was the confrontation with native peoples that helped to deﬁne what “war” itself meant.</w:t>
      </w:r>
      <w:r w:rsidRPr="00087A72">
        <w:rPr>
          <w:sz w:val="10"/>
        </w:rPr>
        <w:t xml:space="preserve"> Marshall’s claims about the limited rules that applied in the context of the frontier were directly tied to a view about what actually constitutes a legally cognizable war, complete with a formal declaration. Real wars were those between states where assumptions about reciprocity applied – these were conﬂicts governed by limitations on coercive force and fought between legitimate sovereigns. But conﬂicts with native peoples, however violent, were not true “wars”; they were skirmishes at the edges of American power. Since US expansion into territory within its zone of discovery was not invasion (unlike an aggressive act against an actually sovereign state), conﬂicts on the frontier were simply threats that needed to be paciﬁed for domestic security. </w:t>
      </w:r>
      <w:r w:rsidRPr="00087A72">
        <w:rPr>
          <w:rStyle w:val="StyleUnderline"/>
        </w:rPr>
        <w:t>And since the ordinarily rules did not apply to these paciﬁcation efforts, not surprisingly federal ofﬁcials persistently refused to formalize these encounters with declarations of war or explicit congressional authorizations. According to this logic, you do not declare war against the Indian communities in the Southwest or on the Great Plains because they do not have a structure that looks like the state, they cannot claim sovereignty, and above all they cannot be expected behave as a rational state would.</w:t>
      </w:r>
      <w:r w:rsidRPr="00087A72">
        <w:rPr>
          <w:sz w:val="10"/>
        </w:rPr>
        <w:t xml:space="preserve"> One of the great ironies of these presumptions about what constitutes “real” war (and so brings with it reciprocal rights protections) is that in historical fact the “real” wars – think only of the two World Wars – produced a degree of unconstrained and organized violence on both sides that dwarfed any danger posed by native peoples ﬁghting to protect their land. If Marshall’s claims have justiﬁed a framework for what counts as legitimate war, they also have been integrated into the basic discourses of IHL and underscore the dark side of the laws of war themselves. The classic argument made by public international lawyers as well as by legal historians is that the expansion of IHL across the globe in the twentieth century was really a bumpy but progressive spread of basic rights. But again in historical fact, the very construction and entrenchment of IHL rested in practice on arguments not that different from those made by Marshall. Indeed, as Frédéric Mégret has shown in his essential article, “From ‘Savages’ to ‘Unlawful Combatants’” European lawyers in the late nineteenth century who played a central role in devising IHL norms developed their views against the backdrop of colonial wars in Asia and Africa. In the process, they too employed similar legal and political scripts in making claims about the limited responsibilities owed indigenous peoples (due to the presumed failure of local communities to distinguish non-combatants from combatants, to self-limit, or to respect legal reciprocity). For Mégret, the way that non-Western communities ﬁnally got treated as formally sovereign equals and rights-bearing subjects during wartime was by simply adopting the modern Westphalian state after independence, and in particular by replicating the institutions of a standing army and thus the national security state (complete with hierarchy, discipline, and a separate military class of experts to make key decisions about the use of force). Now, there are evident parallels between the American frontier context and the present moment. The ﬁrst and most obvious is in the title Mégret gives his article and concerns the status today of non-state actors. We see a clear continuity between those presently viewed as unwilling and unable to obey the laws of war (unlawful combatants) and native communities in the historical past. But more tellingly, we also see the continuity of claims about provisional or incomplete sovereignty. Just as expansion into native land was not viewed as invasion because of the limited control exercised by native peoples over their territory, contemporary American policymakers argue that you can use speciﬁc kinds of violence, like drone attacks, in places such as Yemen (whether or not they are a hostile nation), because Yemen is fundamentally a failed state. Using a drone attack in Yemen is different than using one in Germany or France given the underlying nature of the political community and existing institutional structures. The very persistence of claims – even in the era of formal sovereign equality – about provisional sovereignty suggests the embeddedness of settler frameworks in our national security narratives. One need look no further than the common security conversation about the dangers of asymmetrical conﬂict. Now one might think, just as an objective fact, that the relevant asymmetry in our post-9/11 world – not to mention the settler wars that Marshall discussed nearly 200 years ago – is an asymmetry between a state that can organize tremendous resources to engage in large scale forms of violence and its far weaker foe. Moreover, this asymmetry is further compounded by the additional fact that the relevant state claims the sword of IHL (all its coercive legitimacy) but rejects most of the shields that might limit it (those protections guaranteed to rights-bearing subjects). But in point of fact that the argument about asymmetry is the one we have all been conditioned to accept by our national security discourse</w:t>
      </w:r>
      <w:r w:rsidRPr="00087A72">
        <w:rPr>
          <w:rStyle w:val="StyleUnderline"/>
        </w:rPr>
        <w:t>. This is the claim that the USA ﬁnds itself ﬁghting wars at a military disadvantage due to existing rules of engagement. As we have seen, such a claim goes all the way back to the settler conﬂicts and recurs time and again: in the late nineteenth century colonial wars in Asia and Africa, during independence struggles in the midtwentieth century, throughout the Cold War in the depiction of guerrillas, and of course at the present moment</w:t>
      </w:r>
      <w:r w:rsidRPr="00087A72">
        <w:rPr>
          <w:sz w:val="10"/>
        </w:rPr>
        <w:t>. Perhaps even more pointedly we see the continued power of classic colonial scripts in how the national security state has itself become the universal institutional form governing the connection between statecraft and warfare. One of the remarkable features of the early twenty-ﬁrst century is the practical elimination of alternative modes of political and social life, modes that proliferated at the time Marshall penned his opinion in Johnson v. M’Intosh. Today, even in postcolonial settings, institutions marked by executive centralization, limited transparency, and a professional military increasingly deﬁnes modern decision making in the context of armed conﬂict or presumed emergency. Indeed, there are tremendous incentives for previously colonized communities to adopt these dominant forms of statecraft; such forms not only help validate claims to territorial sovereignty but also greatly enhance the capacity of governments to mobilize resource, protect citizens, and (more ominously) suppress dissent. Still, at the end of the day one might say, what is the problem with either the dominance of the Westphalian state (particularly in its national security iteration) or an IHL regime that privileges state actors over non-state ones? Certainly belligerents during armed conﬂicts that refuse to self limit or do not respect reciprocity should be seen as problematic</w:t>
      </w:r>
      <w:r w:rsidRPr="00087A72">
        <w:rPr>
          <w:rStyle w:val="StyleUnderline"/>
        </w:rPr>
        <w:t>. But it is nonetheless worth noting that the dominance of the national security state – its institutions and legal prerequisites – comes at profound costs (and this is where I will end). To begin with, these structures drawn from the Westphalian model and adopted in colonized societies reinscribe historic conﬂicts between settlers and natives</w:t>
      </w:r>
      <w:r w:rsidRPr="00087A72">
        <w:rPr>
          <w:sz w:val="10"/>
        </w:rPr>
        <w:t xml:space="preserve"> but only now between what Antony Anghie has called the third and the fourth world (i.e. postcolonial states and local indigenous communities within them). In contemporary struggles over land and resources, precisely due to the logics of statecraft indigenous peoples often still ﬁnd themselves framed as outsiders without meaningful political legitimacy or full rights-bearing status. </w:t>
      </w:r>
      <w:r w:rsidRPr="00087A72">
        <w:rPr>
          <w:rStyle w:val="StyleUnderline"/>
        </w:rPr>
        <w:t>This leaves them in the remarkable position of facing threats and coercion in the post-independence period from previous anti-colonial allies</w:t>
      </w:r>
      <w:r w:rsidRPr="00087A72">
        <w:rPr>
          <w:sz w:val="10"/>
        </w:rPr>
        <w:t xml:space="preserve">. More generally, </w:t>
      </w:r>
      <w:r w:rsidRPr="00087A72">
        <w:rPr>
          <w:rStyle w:val="StyleUnderline"/>
        </w:rPr>
        <w:t>the global mimicry of a particular mode of statecraft – tied to a colonial past and bound today to national security discourses – has pointedly failed to produce a more peaceful global community, precisely what jurists like Marshall imagined would be the result of an international community of “civilized” Westphalian states. Instead, this form has generated an insulated war-making apparatus, able to organize resources on a vast scale and engage in total war.</w:t>
      </w:r>
      <w:r w:rsidRPr="00087A72">
        <w:rPr>
          <w:sz w:val="10"/>
        </w:rPr>
        <w:t xml:space="preserve"> Such power has been a recipe not only for truly brutal international conﬂicts but also for the domestic application of violence against suspected internal enemies, often deemed “terrorists”. And in the post-9/11 American context, the persistence of ofﬁcial claims about asymmetry, provisional sovereignty, and threats from failed states and non-state actors has in practice promoted greater not less instability at the present day edges of US power. Not unlike Marshall’s old fears of ineradicable danger from native communities, these ofﬁcial judgments have justiﬁed a continual project of expanding the American footprint into the frontier, a footprint that has left in its wake more local insurrections and even greater need for territorial presence. The ultimate result is a vicious cycle of temporary paciﬁcation and sustained conﬂict, one sadly familiar to scholars of the American frontier but seemingly unrecognized by today’s political elites.</w:t>
      </w:r>
    </w:p>
    <w:p w:rsidR="00E42CFE" w:rsidRPr="00087A72" w:rsidRDefault="00E42CFE" w:rsidP="00E42CFE">
      <w:pPr>
        <w:pStyle w:val="Heading4"/>
      </w:pPr>
      <w:r w:rsidRPr="00087A72">
        <w:t>Settler colonialism becomes the condition of possibility for war globally. Either through the development of the bomb and current nuclear development on Native nations or in the ways in which settler colonialism provides the motor force for imperial wars. In the end, every tool used to kill the Indian becomes a tool to kill another.</w:t>
      </w:r>
    </w:p>
    <w:p w:rsidR="00E42CFE" w:rsidRPr="00087A72" w:rsidRDefault="00E42CFE" w:rsidP="00E42CFE">
      <w:r w:rsidRPr="00087A72">
        <w:rPr>
          <w:rStyle w:val="Style13ptBold"/>
        </w:rPr>
        <w:t>Tuck and Yang 12</w:t>
      </w:r>
      <w:r w:rsidRPr="00087A72">
        <w:t xml:space="preserve"> (Eve; K. Wayne, the dynamic duo “Decolonization Is Not a Metaphor” </w:t>
      </w:r>
      <w:r w:rsidRPr="00087A72">
        <w:rPr>
          <w:i/>
        </w:rPr>
        <w:t xml:space="preserve">Decolonization: Indigeneity, Education &amp; Society </w:t>
      </w:r>
      <w:r w:rsidRPr="00087A72">
        <w:t>1, no. 1, pp. 31-33) NIJ</w:t>
      </w:r>
    </w:p>
    <w:p w:rsidR="00FA1026" w:rsidRDefault="00FA1026" w:rsidP="00FA1026">
      <w:pPr>
        <w:rPr>
          <w:rStyle w:val="StyleUnderline"/>
        </w:rPr>
      </w:pPr>
      <w:r w:rsidRPr="00087A72">
        <w:rPr>
          <w:sz w:val="12"/>
        </w:rPr>
        <w:t>There is so much that is incommensurable, so many overlaps that can’t be figured, that</w:t>
      </w:r>
      <w:r w:rsidR="00E42CFE" w:rsidRPr="00087A72">
        <w:rPr>
          <w:sz w:val="12"/>
        </w:rPr>
        <w:t xml:space="preserve"> </w:t>
      </w:r>
      <w:r w:rsidRPr="00087A72">
        <w:rPr>
          <w:sz w:val="12"/>
        </w:rPr>
        <w:t xml:space="preserve">cannot be resolved. </w:t>
      </w:r>
      <w:r w:rsidRPr="00087A72">
        <w:rPr>
          <w:rStyle w:val="Emphasis"/>
        </w:rPr>
        <w:t>Settler colonialism fuels imperialism all around the globe.</w:t>
      </w:r>
      <w:r w:rsidRPr="00087A72">
        <w:rPr>
          <w:sz w:val="12"/>
        </w:rPr>
        <w:t xml:space="preserve"> </w:t>
      </w:r>
      <w:r w:rsidRPr="00087A72">
        <w:rPr>
          <w:rStyle w:val="StyleUnderline"/>
        </w:rPr>
        <w:t>Oil is the motor</w:t>
      </w:r>
      <w:r w:rsidR="00E42CFE" w:rsidRPr="00087A72">
        <w:rPr>
          <w:rStyle w:val="StyleUnderline"/>
        </w:rPr>
        <w:t xml:space="preserve"> </w:t>
      </w:r>
      <w:r w:rsidRPr="00087A72">
        <w:rPr>
          <w:rStyle w:val="StyleUnderline"/>
        </w:rPr>
        <w:t>and motive for war and so was salt, so will be water.</w:t>
      </w:r>
      <w:r w:rsidRPr="00087A72">
        <w:rPr>
          <w:sz w:val="12"/>
        </w:rPr>
        <w:t xml:space="preserve"> </w:t>
      </w:r>
      <w:r w:rsidRPr="00087A72">
        <w:rPr>
          <w:rStyle w:val="Emphasis"/>
        </w:rPr>
        <w:t>Settler sovereignty over these very pieces of</w:t>
      </w:r>
      <w:r w:rsidR="00E42CFE" w:rsidRPr="00087A72">
        <w:rPr>
          <w:rStyle w:val="Emphasis"/>
        </w:rPr>
        <w:t xml:space="preserve"> </w:t>
      </w:r>
      <w:r w:rsidRPr="00087A72">
        <w:rPr>
          <w:rStyle w:val="Emphasis"/>
        </w:rPr>
        <w:t>earth, air, and water is what makes possible these imperialisms.</w:t>
      </w:r>
      <w:r w:rsidRPr="00087A72">
        <w:rPr>
          <w:sz w:val="12"/>
        </w:rPr>
        <w:t xml:space="preserve"> </w:t>
      </w:r>
      <w:r w:rsidRPr="00087A72">
        <w:rPr>
          <w:rStyle w:val="StyleUnderline"/>
        </w:rPr>
        <w:t>The same yellow pollen in the</w:t>
      </w:r>
      <w:r w:rsidR="00E42CFE" w:rsidRPr="00087A72">
        <w:rPr>
          <w:rStyle w:val="StyleUnderline"/>
        </w:rPr>
        <w:t xml:space="preserve"> </w:t>
      </w:r>
      <w:r w:rsidRPr="00087A72">
        <w:rPr>
          <w:rStyle w:val="StyleUnderline"/>
        </w:rPr>
        <w:t>water of the Laguna Pueblo reservation in New Mexico</w:t>
      </w:r>
      <w:r w:rsidRPr="00087A72">
        <w:rPr>
          <w:sz w:val="12"/>
        </w:rPr>
        <w:t xml:space="preserve">, Leslie Marmon Silko reminds us, </w:t>
      </w:r>
      <w:r w:rsidRPr="00087A72">
        <w:rPr>
          <w:rStyle w:val="StyleUnderline"/>
        </w:rPr>
        <w:t>is the</w:t>
      </w:r>
      <w:r w:rsidR="00E42CFE" w:rsidRPr="00087A72">
        <w:rPr>
          <w:rStyle w:val="StyleUnderline"/>
        </w:rPr>
        <w:t xml:space="preserve"> </w:t>
      </w:r>
      <w:r w:rsidRPr="00087A72">
        <w:rPr>
          <w:rStyle w:val="StyleUnderline"/>
        </w:rPr>
        <w:t>same uranium that annihilated over 200,000 strangers in 2 flashes. The same yellow pollen that</w:t>
      </w:r>
      <w:r w:rsidR="00E42CFE" w:rsidRPr="00087A72">
        <w:rPr>
          <w:rStyle w:val="StyleUnderline"/>
        </w:rPr>
        <w:t xml:space="preserve"> </w:t>
      </w:r>
      <w:r w:rsidRPr="00087A72">
        <w:rPr>
          <w:rStyle w:val="StyleUnderline"/>
        </w:rPr>
        <w:t>poisons the land from where it came. Used in the same war that took a generation of young</w:t>
      </w:r>
      <w:r w:rsidR="00E42CFE" w:rsidRPr="00087A72">
        <w:rPr>
          <w:rStyle w:val="StyleUnderline"/>
        </w:rPr>
        <w:t xml:space="preserve"> </w:t>
      </w:r>
      <w:r w:rsidRPr="00087A72">
        <w:rPr>
          <w:rStyle w:val="StyleUnderline"/>
        </w:rPr>
        <w:t>Pueblo men.</w:t>
      </w:r>
      <w:r w:rsidRPr="00087A72">
        <w:rPr>
          <w:sz w:val="12"/>
        </w:rPr>
        <w:t xml:space="preserve"> Through the voice of her character Betonie, Silko writes, “Thirty thousand years</w:t>
      </w:r>
      <w:r w:rsidR="00E42CFE" w:rsidRPr="00087A72">
        <w:rPr>
          <w:sz w:val="12"/>
        </w:rPr>
        <w:t xml:space="preserve"> </w:t>
      </w:r>
      <w:r w:rsidRPr="00087A72">
        <w:rPr>
          <w:sz w:val="12"/>
        </w:rPr>
        <w:t>ago they were not strangers. You saw what the evil had done; you saw the witchery ranging as</w:t>
      </w:r>
      <w:r w:rsidR="00E42CFE" w:rsidRPr="00087A72">
        <w:rPr>
          <w:sz w:val="12"/>
        </w:rPr>
        <w:t xml:space="preserve"> </w:t>
      </w:r>
      <w:r w:rsidRPr="00087A72">
        <w:rPr>
          <w:sz w:val="12"/>
        </w:rPr>
        <w:t>wide as the world" (Silko, 1982, p. 174). In Tucson, Arizona, where Silko lives, her books are</w:t>
      </w:r>
      <w:r w:rsidR="00E42CFE" w:rsidRPr="00087A72">
        <w:rPr>
          <w:sz w:val="12"/>
        </w:rPr>
        <w:t xml:space="preserve"> </w:t>
      </w:r>
      <w:r w:rsidRPr="00087A72">
        <w:rPr>
          <w:sz w:val="12"/>
        </w:rPr>
        <w:t>now banned in schools. Only curricular materials affirming the settler innocence, ingenuity, and</w:t>
      </w:r>
      <w:r w:rsidR="00E42CFE" w:rsidRPr="00087A72">
        <w:rPr>
          <w:sz w:val="12"/>
        </w:rPr>
        <w:t xml:space="preserve"> </w:t>
      </w:r>
      <w:r w:rsidRPr="00087A72">
        <w:rPr>
          <w:sz w:val="12"/>
        </w:rPr>
        <w:t>right to America may be taught.</w:t>
      </w:r>
      <w:r w:rsidR="00E42CFE" w:rsidRPr="00087A72">
        <w:rPr>
          <w:sz w:val="12"/>
        </w:rPr>
        <w:t xml:space="preserve"> </w:t>
      </w:r>
      <w:r w:rsidRPr="00087A72">
        <w:rPr>
          <w:sz w:val="12"/>
        </w:rPr>
        <w:t>In “No”, her response to the 2003 United States invasion of Iraq, Mvskoke/Creek poet</w:t>
      </w:r>
      <w:r w:rsidR="00E42CFE" w:rsidRPr="00087A72">
        <w:rPr>
          <w:sz w:val="12"/>
        </w:rPr>
        <w:t xml:space="preserve"> </w:t>
      </w:r>
      <w:r w:rsidRPr="00087A72">
        <w:rPr>
          <w:sz w:val="12"/>
        </w:rPr>
        <w:t>Joy Harjo (2004) writes, “Yes, that was me you saw shaking with bravery, with a government</w:t>
      </w:r>
      <w:r w:rsidR="00E42CFE" w:rsidRPr="00087A72">
        <w:rPr>
          <w:sz w:val="12"/>
        </w:rPr>
        <w:t xml:space="preserve"> </w:t>
      </w:r>
      <w:r w:rsidRPr="00087A72">
        <w:rPr>
          <w:sz w:val="12"/>
        </w:rPr>
        <w:t>issued rifle on my back. I’m sorry I could not greet you, as you deserved, my relative.” Don’t</w:t>
      </w:r>
      <w:r w:rsidR="00E42CFE" w:rsidRPr="00087A72">
        <w:rPr>
          <w:sz w:val="12"/>
        </w:rPr>
        <w:t xml:space="preserve"> </w:t>
      </w:r>
      <w:r w:rsidRPr="00087A72">
        <w:rPr>
          <w:sz w:val="12"/>
        </w:rPr>
        <w:t>Native Americans participate in greater rates in the military? asks the young-ish man from Viet</w:t>
      </w:r>
      <w:r w:rsidR="00E42CFE" w:rsidRPr="00087A72">
        <w:rPr>
          <w:sz w:val="12"/>
        </w:rPr>
        <w:t xml:space="preserve"> </w:t>
      </w:r>
      <w:r w:rsidRPr="00087A72">
        <w:rPr>
          <w:sz w:val="12"/>
        </w:rPr>
        <w:t>Nam.</w:t>
      </w:r>
      <w:r w:rsidR="00E42CFE" w:rsidRPr="00087A72">
        <w:rPr>
          <w:sz w:val="12"/>
        </w:rPr>
        <w:t xml:space="preserve"> </w:t>
      </w:r>
      <w:r w:rsidRPr="00087A72">
        <w:rPr>
          <w:rStyle w:val="StyleUnderline"/>
        </w:rPr>
        <w:t>“Indian Country” was/is the term used in Viet Nam, Afghanistan, Iraq by the U.S.</w:t>
      </w:r>
      <w:r w:rsidR="00E42CFE" w:rsidRPr="00087A72">
        <w:rPr>
          <w:rStyle w:val="StyleUnderline"/>
        </w:rPr>
        <w:t xml:space="preserve"> </w:t>
      </w:r>
      <w:r w:rsidRPr="00087A72">
        <w:rPr>
          <w:rStyle w:val="StyleUnderline"/>
        </w:rPr>
        <w:t>military for ‘enemy territory’. The first Black American President said without blinking, “There</w:t>
      </w:r>
      <w:r w:rsidR="00E42CFE" w:rsidRPr="00087A72">
        <w:rPr>
          <w:rStyle w:val="StyleUnderline"/>
        </w:rPr>
        <w:t xml:space="preserve"> </w:t>
      </w:r>
      <w:r w:rsidRPr="00087A72">
        <w:rPr>
          <w:rStyle w:val="StyleUnderline"/>
        </w:rPr>
        <w:t>was a point before folks had left, before we had gotten everybody back on the helicopter and</w:t>
      </w:r>
      <w:r w:rsidR="00E42CFE" w:rsidRPr="00087A72">
        <w:rPr>
          <w:rStyle w:val="StyleUnderline"/>
        </w:rPr>
        <w:t xml:space="preserve"> </w:t>
      </w:r>
      <w:r w:rsidRPr="00087A72">
        <w:rPr>
          <w:rStyle w:val="StyleUnderline"/>
        </w:rPr>
        <w:t>were flying back to base, where they said Geronimo has been killed, and Geronimo was the code</w:t>
      </w:r>
      <w:r w:rsidR="00E42CFE" w:rsidRPr="00087A72">
        <w:rPr>
          <w:rStyle w:val="StyleUnderline"/>
        </w:rPr>
        <w:t xml:space="preserve"> </w:t>
      </w:r>
      <w:r w:rsidRPr="00087A72">
        <w:rPr>
          <w:rStyle w:val="StyleUnderline"/>
        </w:rPr>
        <w:t>name for bin Laden.” Elmer Pratt, Black Panther leader, falsely imprisoned for 27 years, was a</w:t>
      </w:r>
      <w:r w:rsidR="00E42CFE" w:rsidRPr="00087A72">
        <w:rPr>
          <w:rStyle w:val="StyleUnderline"/>
        </w:rPr>
        <w:t xml:space="preserve"> </w:t>
      </w:r>
      <w:r w:rsidRPr="00087A72">
        <w:rPr>
          <w:rStyle w:val="StyleUnderline"/>
        </w:rPr>
        <w:t>Vietnam Veteran, was nicknamed ‘Geronimo’. Geronimo is settler nickname for the Bedonkohe</w:t>
      </w:r>
      <w:r w:rsidR="00E42CFE" w:rsidRPr="00087A72">
        <w:rPr>
          <w:rStyle w:val="StyleUnderline"/>
        </w:rPr>
        <w:t xml:space="preserve"> </w:t>
      </w:r>
      <w:r w:rsidRPr="00087A72">
        <w:rPr>
          <w:rStyle w:val="StyleUnderline"/>
        </w:rPr>
        <w:t>Apache warrior who fought Mexican and then U.S. expansion into Apache tribal lands. The Colt</w:t>
      </w:r>
      <w:r w:rsidR="00E42CFE" w:rsidRPr="00087A72">
        <w:rPr>
          <w:rStyle w:val="StyleUnderline"/>
        </w:rPr>
        <w:t xml:space="preserve"> </w:t>
      </w:r>
      <w:r w:rsidRPr="00087A72">
        <w:rPr>
          <w:rStyle w:val="StyleUnderline"/>
        </w:rPr>
        <w:t>.45 was perfected to kill Indigenous people during the ‘liberation’ of what became the</w:t>
      </w:r>
      <w:r w:rsidR="00E42CFE" w:rsidRPr="00087A72">
        <w:rPr>
          <w:rStyle w:val="StyleUnderline"/>
        </w:rPr>
        <w:t xml:space="preserve"> </w:t>
      </w:r>
      <w:r w:rsidRPr="00087A72">
        <w:rPr>
          <w:rStyle w:val="StyleUnderline"/>
        </w:rPr>
        <w:t>Philippines, but it was first invented for the ‘Indian Wars’ in North America alongside The</w:t>
      </w:r>
      <w:r w:rsidR="00E42CFE" w:rsidRPr="00087A72">
        <w:rPr>
          <w:rStyle w:val="StyleUnderline"/>
        </w:rPr>
        <w:t xml:space="preserve"> </w:t>
      </w:r>
      <w:r w:rsidRPr="00087A72">
        <w:rPr>
          <w:rStyle w:val="StyleUnderline"/>
        </w:rPr>
        <w:t>Hotchkiss Canon- a gattling gun that shot canonballs. The technologies of the permanent settler</w:t>
      </w:r>
      <w:r w:rsidR="00E42CFE" w:rsidRPr="00087A72">
        <w:rPr>
          <w:rStyle w:val="StyleUnderline"/>
        </w:rPr>
        <w:t xml:space="preserve"> </w:t>
      </w:r>
      <w:r w:rsidRPr="00087A72">
        <w:rPr>
          <w:rStyle w:val="StyleUnderline"/>
        </w:rPr>
        <w:t>war are reserviced for foreign wars, including boarding schools, colonial schools, urban schools</w:t>
      </w:r>
      <w:r w:rsidR="00E42CFE" w:rsidRPr="00087A72">
        <w:rPr>
          <w:rStyle w:val="StyleUnderline"/>
        </w:rPr>
        <w:t xml:space="preserve"> </w:t>
      </w:r>
      <w:r w:rsidRPr="00087A72">
        <w:rPr>
          <w:rStyle w:val="StyleUnderline"/>
        </w:rPr>
        <w:t>run by military personnel.</w:t>
      </w:r>
      <w:r w:rsidR="00E42CFE" w:rsidRPr="00087A72">
        <w:rPr>
          <w:rStyle w:val="StyleUnderline"/>
        </w:rPr>
        <w:t xml:space="preserve"> </w:t>
      </w:r>
      <w:r w:rsidRPr="00087A72">
        <w:rPr>
          <w:rStyle w:val="StyleUnderline"/>
        </w:rPr>
        <w:t>It is properly called Indian Country.</w:t>
      </w:r>
      <w:r w:rsidR="00E42CFE" w:rsidRPr="00087A72">
        <w:rPr>
          <w:rStyle w:val="StyleUnderline"/>
        </w:rPr>
        <w:t xml:space="preserve"> </w:t>
      </w:r>
      <w:r w:rsidRPr="00087A72">
        <w:rPr>
          <w:rStyle w:val="StyleUnderline"/>
        </w:rPr>
        <w:t>Ideologies of US settler colonialism directly informed Australian settler colonialism.</w:t>
      </w:r>
      <w:r w:rsidR="00E42CFE" w:rsidRPr="00087A72">
        <w:rPr>
          <w:rStyle w:val="StyleUnderline"/>
        </w:rPr>
        <w:t xml:space="preserve"> </w:t>
      </w:r>
      <w:r w:rsidRPr="00087A72">
        <w:rPr>
          <w:rStyle w:val="StyleUnderline"/>
        </w:rPr>
        <w:t>South African apartheid townships, the kill-zones in what became the Philippine colony, then</w:t>
      </w:r>
      <w:r w:rsidR="00E42CFE" w:rsidRPr="00087A72">
        <w:rPr>
          <w:rStyle w:val="StyleUnderline"/>
        </w:rPr>
        <w:t xml:space="preserve"> </w:t>
      </w:r>
      <w:r w:rsidRPr="00087A72">
        <w:rPr>
          <w:rStyle w:val="StyleUnderline"/>
        </w:rPr>
        <w:t>nation-state, the checkerboarding of Palestinian land with checkpoints, were modeled after U.S.</w:t>
      </w:r>
      <w:r w:rsidR="00E42CFE" w:rsidRPr="00087A72">
        <w:rPr>
          <w:rStyle w:val="StyleUnderline"/>
        </w:rPr>
        <w:t xml:space="preserve"> </w:t>
      </w:r>
      <w:r w:rsidRPr="00087A72">
        <w:rPr>
          <w:rStyle w:val="StyleUnderline"/>
        </w:rPr>
        <w:t>seizures of land and containments of Indian bodies to reservations. The racial science developed</w:t>
      </w:r>
      <w:r w:rsidR="00E42CFE" w:rsidRPr="00087A72">
        <w:rPr>
          <w:rStyle w:val="StyleUnderline"/>
        </w:rPr>
        <w:t xml:space="preserve"> </w:t>
      </w:r>
      <w:r w:rsidRPr="00087A72">
        <w:rPr>
          <w:rStyle w:val="StyleUnderline"/>
        </w:rPr>
        <w:t>in the U.S. (a settler colonial racial science) informed Hitler’s designs on racial purity</w:t>
      </w:r>
      <w:r w:rsidRPr="00087A72">
        <w:rPr>
          <w:sz w:val="12"/>
        </w:rPr>
        <w:t xml:space="preserve"> (“This</w:t>
      </w:r>
      <w:r w:rsidR="00E42CFE" w:rsidRPr="00087A72">
        <w:rPr>
          <w:sz w:val="12"/>
        </w:rPr>
        <w:t xml:space="preserve"> </w:t>
      </w:r>
      <w:r w:rsidRPr="00087A72">
        <w:rPr>
          <w:sz w:val="12"/>
        </w:rPr>
        <w:t xml:space="preserve">book is my bible” he said of Madison Grant’s The Passing of the Great Race). </w:t>
      </w:r>
      <w:r w:rsidRPr="00087A72">
        <w:rPr>
          <w:rStyle w:val="StyleUnderline"/>
        </w:rPr>
        <w:t>The admiration is</w:t>
      </w:r>
      <w:r w:rsidR="00E42CFE" w:rsidRPr="00087A72">
        <w:rPr>
          <w:rStyle w:val="StyleUnderline"/>
        </w:rPr>
        <w:t xml:space="preserve"> </w:t>
      </w:r>
      <w:r w:rsidRPr="00087A72">
        <w:rPr>
          <w:rStyle w:val="StyleUnderline"/>
        </w:rPr>
        <w:t>sometimes mutual, the doctors and administrators of forced sterilizations of black, Native,</w:t>
      </w:r>
      <w:r w:rsidR="00E42CFE" w:rsidRPr="00087A72">
        <w:rPr>
          <w:rStyle w:val="StyleUnderline"/>
        </w:rPr>
        <w:t xml:space="preserve"> </w:t>
      </w:r>
      <w:r w:rsidRPr="00087A72">
        <w:rPr>
          <w:rStyle w:val="StyleUnderline"/>
        </w:rPr>
        <w:t>disabled, poor, and mostly female people - The Sterilization Act accompanied the Racial</w:t>
      </w:r>
      <w:r w:rsidR="00E42CFE" w:rsidRPr="00087A72">
        <w:rPr>
          <w:rStyle w:val="StyleUnderline"/>
        </w:rPr>
        <w:t xml:space="preserve"> </w:t>
      </w:r>
      <w:r w:rsidRPr="00087A72">
        <w:rPr>
          <w:rStyle w:val="StyleUnderline"/>
        </w:rPr>
        <w:t>Integrity Act and the Pocohontas Exception - praised the Nazi eugenics program.</w:t>
      </w:r>
      <w:r w:rsidRPr="00087A72">
        <w:rPr>
          <w:sz w:val="12"/>
        </w:rPr>
        <w:t xml:space="preserve"> Forced</w:t>
      </w:r>
      <w:r w:rsidR="00E42CFE" w:rsidRPr="00087A72">
        <w:rPr>
          <w:sz w:val="12"/>
        </w:rPr>
        <w:t xml:space="preserve"> </w:t>
      </w:r>
      <w:r w:rsidRPr="00087A72">
        <w:rPr>
          <w:sz w:val="12"/>
        </w:rPr>
        <w:t xml:space="preserve">sterilizations became illegal in California in 1964. </w:t>
      </w:r>
      <w:r w:rsidRPr="00087A72">
        <w:rPr>
          <w:rStyle w:val="StyleUnderline"/>
        </w:rPr>
        <w:t>The management technologies of North</w:t>
      </w:r>
      <w:r w:rsidR="00E42CFE" w:rsidRPr="00087A72">
        <w:rPr>
          <w:rStyle w:val="StyleUnderline"/>
        </w:rPr>
        <w:t xml:space="preserve"> </w:t>
      </w:r>
      <w:r w:rsidRPr="00087A72">
        <w:rPr>
          <w:rStyle w:val="StyleUnderline"/>
        </w:rPr>
        <w:t>American settler colonialism have provided the tools for internal colonialisms elsewhere.</w:t>
      </w:r>
      <w:r w:rsidR="00E42CFE" w:rsidRPr="00087A72">
        <w:rPr>
          <w:rStyle w:val="StyleUnderline"/>
        </w:rPr>
        <w:t xml:space="preserve"> </w:t>
      </w:r>
      <w:r w:rsidRPr="00087A72">
        <w:rPr>
          <w:rStyle w:val="StyleUnderline"/>
        </w:rPr>
        <w:t>So to with philosophies of state and corporate land-grabbing</w:t>
      </w:r>
      <w:r w:rsidRPr="00087A72">
        <w:rPr>
          <w:sz w:val="12"/>
        </w:rPr>
        <w:t xml:space="preserve"> 24 . The prominence of “flat</w:t>
      </w:r>
      <w:r w:rsidR="00E42CFE" w:rsidRPr="00087A72">
        <w:rPr>
          <w:sz w:val="12"/>
        </w:rPr>
        <w:t xml:space="preserve"> </w:t>
      </w:r>
      <w:r w:rsidRPr="00087A72">
        <w:rPr>
          <w:sz w:val="12"/>
        </w:rPr>
        <w:t>world” perspectives asserts that technology has afforded a diminished significance of place and</w:t>
      </w:r>
      <w:r w:rsidR="00E42CFE" w:rsidRPr="00087A72">
        <w:rPr>
          <w:sz w:val="12"/>
        </w:rPr>
        <w:t xml:space="preserve"> </w:t>
      </w:r>
      <w:r w:rsidRPr="00087A72">
        <w:rPr>
          <w:sz w:val="12"/>
        </w:rPr>
        <w:t xml:space="preserve">borders. </w:t>
      </w:r>
      <w:r w:rsidRPr="00087A72">
        <w:rPr>
          <w:rStyle w:val="StyleUnderline"/>
        </w:rPr>
        <w:t>The claim is that U.S. borders have become more flexible, yet simultaneously, the</w:t>
      </w:r>
      <w:r w:rsidR="00E42CFE" w:rsidRPr="00087A72">
        <w:rPr>
          <w:rStyle w:val="StyleUnderline"/>
        </w:rPr>
        <w:t xml:space="preserve"> </w:t>
      </w:r>
      <w:r w:rsidRPr="00087A72">
        <w:rPr>
          <w:rStyle w:val="StyleUnderline"/>
        </w:rPr>
        <w:t>physical border has become more absolute and enforced. The border is no longer just a line</w:t>
      </w:r>
      <w:r w:rsidR="00E42CFE" w:rsidRPr="00087A72">
        <w:rPr>
          <w:rStyle w:val="StyleUnderline"/>
        </w:rPr>
        <w:t xml:space="preserve"> </w:t>
      </w:r>
      <w:r w:rsidRPr="00087A72">
        <w:rPr>
          <w:rStyle w:val="StyleUnderline"/>
        </w:rPr>
        <w:t>suturing two nation-states; the U.S. now polices its borders interior to its territory and exercises</w:t>
      </w:r>
      <w:r w:rsidR="00E42CFE" w:rsidRPr="00087A72">
        <w:rPr>
          <w:rStyle w:val="StyleUnderline"/>
        </w:rPr>
        <w:t xml:space="preserve"> </w:t>
      </w:r>
      <w:r w:rsidRPr="00087A72">
        <w:rPr>
          <w:rStyle w:val="StyleUnderline"/>
        </w:rPr>
        <w:t>sovereignty throughout the globe. Just as sovereignty has expanded, so has settler colonialism in</w:t>
      </w:r>
      <w:r w:rsidR="00E42CFE" w:rsidRPr="00087A72">
        <w:rPr>
          <w:rStyle w:val="StyleUnderline"/>
        </w:rPr>
        <w:t xml:space="preserve"> </w:t>
      </w:r>
      <w:r w:rsidRPr="00087A72">
        <w:rPr>
          <w:rStyle w:val="StyleUnderline"/>
        </w:rPr>
        <w:t>partial forms.</w:t>
      </w:r>
    </w:p>
    <w:p w:rsidR="00457D4E" w:rsidRDefault="00457D4E" w:rsidP="00457D4E">
      <w:pPr>
        <w:pStyle w:val="Heading4"/>
      </w:pPr>
      <w:r>
        <w:t xml:space="preserve">The genocide of the Native becomes the condition of possibility for the US to wage imperial war across the world. </w:t>
      </w:r>
    </w:p>
    <w:p w:rsidR="00457D4E" w:rsidRPr="005D523F" w:rsidRDefault="00457D4E" w:rsidP="00457D4E">
      <w:r w:rsidRPr="005D523F">
        <w:rPr>
          <w:rStyle w:val="Style13ptBold"/>
        </w:rPr>
        <w:t>Byrd 11</w:t>
      </w:r>
      <w:r>
        <w:t xml:space="preserve"> (Jodi, Associate Professor of English, Gender and Women's Studies, and Jewish Culture and Society at the University of Illinois </w:t>
      </w:r>
      <w:r>
        <w:rPr>
          <w:i/>
        </w:rPr>
        <w:t>The Transit of Empire: Indigenous Critiques of Colonialism</w:t>
      </w:r>
      <w:r>
        <w:t>, pp. 122-126) NIJ</w:t>
      </w:r>
    </w:p>
    <w:p w:rsidR="00457D4E" w:rsidRPr="00457D4E" w:rsidRDefault="00457D4E" w:rsidP="00FA1026">
      <w:pPr>
        <w:rPr>
          <w:rStyle w:val="StyleUnderline"/>
          <w:sz w:val="12"/>
          <w:u w:val="none"/>
        </w:rPr>
      </w:pPr>
      <w:r w:rsidRPr="00426230">
        <w:rPr>
          <w:sz w:val="12"/>
        </w:rPr>
        <w:t xml:space="preserve">Pride and Prejudice </w:t>
      </w:r>
      <w:r w:rsidRPr="00611C7A">
        <w:rPr>
          <w:rStyle w:val="Emphasis"/>
        </w:rPr>
        <w:t>That the continued colonization of American Indian nations, peoples, and</w:t>
      </w:r>
      <w:r>
        <w:rPr>
          <w:rStyle w:val="Emphasis"/>
        </w:rPr>
        <w:t xml:space="preserve"> </w:t>
      </w:r>
      <w:r w:rsidRPr="00611C7A">
        <w:rPr>
          <w:rStyle w:val="Emphasis"/>
        </w:rPr>
        <w:t>lands provides the United States the economic and material resources</w:t>
      </w:r>
      <w:r>
        <w:rPr>
          <w:rStyle w:val="Emphasis"/>
        </w:rPr>
        <w:t xml:space="preserve"> </w:t>
      </w:r>
      <w:r w:rsidRPr="00611C7A">
        <w:rPr>
          <w:rStyle w:val="Emphasis"/>
        </w:rPr>
        <w:t>needed to cast its imperialist gaze globally is a fact that is simultaneously</w:t>
      </w:r>
      <w:r>
        <w:rPr>
          <w:rStyle w:val="Emphasis"/>
        </w:rPr>
        <w:t xml:space="preserve"> </w:t>
      </w:r>
      <w:r w:rsidRPr="00611C7A">
        <w:rPr>
          <w:rStyle w:val="Emphasis"/>
        </w:rPr>
        <w:t>obvious within—and yet continually obscure</w:t>
      </w:r>
      <w:r>
        <w:rPr>
          <w:rStyle w:val="Emphasis"/>
        </w:rPr>
        <w:t>d by—what is essentially a set</w:t>
      </w:r>
      <w:r w:rsidRPr="00611C7A">
        <w:rPr>
          <w:rStyle w:val="Emphasis"/>
        </w:rPr>
        <w:t>tler colony’s national construction of itsel</w:t>
      </w:r>
      <w:r>
        <w:rPr>
          <w:rStyle w:val="Emphasis"/>
        </w:rPr>
        <w:t>f as an ever more perfect multi</w:t>
      </w:r>
      <w:r w:rsidRPr="00611C7A">
        <w:rPr>
          <w:rStyle w:val="Emphasis"/>
        </w:rPr>
        <w:t>cultural, multiracial democracy.</w:t>
      </w:r>
      <w:r w:rsidRPr="00426230">
        <w:rPr>
          <w:sz w:val="12"/>
        </w:rPr>
        <w:t xml:space="preserve"> </w:t>
      </w:r>
      <w:r w:rsidRPr="00611C7A">
        <w:rPr>
          <w:rStyle w:val="StyleUnderline"/>
        </w:rPr>
        <w:t>As the United States constructs a Manichean allegory of settler democracy through which imperialism can finally</w:t>
      </w:r>
      <w:r>
        <w:rPr>
          <w:rStyle w:val="StyleUnderline"/>
        </w:rPr>
        <w:t xml:space="preserve"> </w:t>
      </w:r>
      <w:r w:rsidRPr="00611C7A">
        <w:rPr>
          <w:rStyle w:val="StyleUnderline"/>
        </w:rPr>
        <w:t>be brought humanely and justifiably to the world through discourses of</w:t>
      </w:r>
      <w:r>
        <w:rPr>
          <w:rStyle w:val="StyleUnderline"/>
        </w:rPr>
        <w:t xml:space="preserve"> </w:t>
      </w:r>
      <w:r w:rsidRPr="00611C7A">
        <w:rPr>
          <w:rStyle w:val="StyleUnderline"/>
        </w:rPr>
        <w:t>“fighting them there so we don’t fight them here,” the status of American</w:t>
      </w:r>
      <w:r>
        <w:rPr>
          <w:rStyle w:val="StyleUnderline"/>
        </w:rPr>
        <w:t xml:space="preserve"> </w:t>
      </w:r>
      <w:r w:rsidRPr="00611C7A">
        <w:rPr>
          <w:rStyle w:val="StyleUnderline"/>
        </w:rPr>
        <w:t>Indians</w:t>
      </w:r>
      <w:r w:rsidRPr="00426230">
        <w:rPr>
          <w:sz w:val="12"/>
        </w:rPr>
        <w:t xml:space="preserve"> as sovereign nations colonized by the United States </w:t>
      </w:r>
      <w:r w:rsidRPr="00611C7A">
        <w:rPr>
          <w:rStyle w:val="StyleUnderline"/>
        </w:rPr>
        <w:t>continues to</w:t>
      </w:r>
      <w:r>
        <w:rPr>
          <w:rStyle w:val="StyleUnderline"/>
        </w:rPr>
        <w:t xml:space="preserve"> </w:t>
      </w:r>
      <w:r w:rsidRPr="00611C7A">
        <w:rPr>
          <w:rStyle w:val="StyleUnderline"/>
        </w:rPr>
        <w:t>haunt and inflect its raison d’être.</w:t>
      </w:r>
      <w:r w:rsidRPr="00426230">
        <w:rPr>
          <w:sz w:val="12"/>
        </w:rPr>
        <w:t xml:space="preserve"> Or as American Indian scholar Elizabeth Cook-Lynn explains: </w:t>
      </w:r>
      <w:r w:rsidRPr="00611C7A">
        <w:rPr>
          <w:rStyle w:val="StyleUnderline"/>
        </w:rPr>
        <w:t>The current mission of the United States to become the center of</w:t>
      </w:r>
      <w:r>
        <w:rPr>
          <w:rStyle w:val="StyleUnderline"/>
        </w:rPr>
        <w:t xml:space="preserve"> </w:t>
      </w:r>
      <w:r w:rsidRPr="00611C7A">
        <w:rPr>
          <w:rStyle w:val="StyleUnderline"/>
        </w:rPr>
        <w:t>political enlightenment to be taught to the rest of the world began</w:t>
      </w:r>
      <w:r>
        <w:rPr>
          <w:rStyle w:val="StyleUnderline"/>
        </w:rPr>
        <w:t xml:space="preserve"> </w:t>
      </w:r>
      <w:r w:rsidRPr="00611C7A">
        <w:rPr>
          <w:rStyle w:val="StyleUnderline"/>
        </w:rPr>
        <w:t>with the Indian wars and has become the dangerous provocation of</w:t>
      </w:r>
      <w:r>
        <w:rPr>
          <w:rStyle w:val="StyleUnderline"/>
        </w:rPr>
        <w:t xml:space="preserve"> </w:t>
      </w:r>
      <w:r w:rsidRPr="00611C7A">
        <w:rPr>
          <w:rStyle w:val="StyleUnderline"/>
        </w:rPr>
        <w:t>this nation’s historical intent. The historical connection between the</w:t>
      </w:r>
      <w:r>
        <w:rPr>
          <w:rStyle w:val="StyleUnderline"/>
        </w:rPr>
        <w:t xml:space="preserve"> </w:t>
      </w:r>
      <w:r w:rsidRPr="00611C7A">
        <w:rPr>
          <w:rStyle w:val="StyleUnderline"/>
        </w:rPr>
        <w:t>Little Big Horn event and the “uprising” in Baghdad must become</w:t>
      </w:r>
      <w:r>
        <w:rPr>
          <w:rStyle w:val="StyleUnderline"/>
        </w:rPr>
        <w:t xml:space="preserve"> </w:t>
      </w:r>
      <w:r w:rsidRPr="00611C7A">
        <w:rPr>
          <w:rStyle w:val="StyleUnderline"/>
        </w:rPr>
        <w:t>part of the political dialogue of Am</w:t>
      </w:r>
      <w:r>
        <w:rPr>
          <w:rStyle w:val="StyleUnderline"/>
        </w:rPr>
        <w:t>erica if the fiction of decolo</w:t>
      </w:r>
      <w:r w:rsidRPr="00611C7A">
        <w:rPr>
          <w:rStyle w:val="StyleUnderline"/>
        </w:rPr>
        <w:t>nization is to happen and the hoped-for deconstruction of the</w:t>
      </w:r>
      <w:r>
        <w:rPr>
          <w:rStyle w:val="StyleUnderline"/>
        </w:rPr>
        <w:t xml:space="preserve"> </w:t>
      </w:r>
      <w:r w:rsidRPr="00611C7A">
        <w:rPr>
          <w:rStyle w:val="StyleUnderline"/>
        </w:rPr>
        <w:t>colonial story is to come about.</w:t>
      </w:r>
      <w:r w:rsidRPr="00426230">
        <w:rPr>
          <w:sz w:val="12"/>
        </w:rPr>
        <w:t xml:space="preserve"> ¹⁸ </w:t>
      </w:r>
      <w:r w:rsidRPr="00426230">
        <w:rPr>
          <w:rStyle w:val="StyleUnderline"/>
        </w:rPr>
        <w:t>Cook-Lynn here refers at least in part to the invasive military intent of</w:t>
      </w:r>
      <w:r>
        <w:rPr>
          <w:rStyle w:val="StyleUnderline"/>
        </w:rPr>
        <w:t xml:space="preserve"> </w:t>
      </w:r>
      <w:r w:rsidRPr="00426230">
        <w:rPr>
          <w:rStyle w:val="StyleUnderline"/>
        </w:rPr>
        <w:t>Custer’s Seventh Cavalry that confronted and then lost to Cheyenne and</w:t>
      </w:r>
      <w:r>
        <w:rPr>
          <w:rStyle w:val="StyleUnderline"/>
        </w:rPr>
        <w:t xml:space="preserve"> </w:t>
      </w:r>
      <w:r w:rsidRPr="00426230">
        <w:rPr>
          <w:rStyle w:val="StyleUnderline"/>
        </w:rPr>
        <w:t>Lakota warriors at the Battle of the Little Bighorn in 1876</w:t>
      </w:r>
      <w:r>
        <w:rPr>
          <w:rStyle w:val="StyleUnderline"/>
        </w:rPr>
        <w:t>, went on to massa</w:t>
      </w:r>
      <w:r w:rsidRPr="00426230">
        <w:rPr>
          <w:rStyle w:val="StyleUnderline"/>
        </w:rPr>
        <w:t>cre Big Foot’s band at Wounded Knee in 1890, stayed in Japan as part of the</w:t>
      </w:r>
      <w:r>
        <w:rPr>
          <w:rStyle w:val="StyleUnderline"/>
        </w:rPr>
        <w:t xml:space="preserve"> </w:t>
      </w:r>
      <w:r w:rsidRPr="00426230">
        <w:rPr>
          <w:rStyle w:val="StyleUnderline"/>
        </w:rPr>
        <w:t>occupation after World War II, participated in U.S. military engagements in</w:t>
      </w:r>
      <w:r>
        <w:rPr>
          <w:rStyle w:val="StyleUnderline"/>
        </w:rPr>
        <w:t xml:space="preserve"> </w:t>
      </w:r>
      <w:r w:rsidRPr="00426230">
        <w:rPr>
          <w:rStyle w:val="StyleUnderline"/>
        </w:rPr>
        <w:t>Vietnam, and most recently helped secure the March 20, 2003, invasion of</w:t>
      </w:r>
      <w:r>
        <w:rPr>
          <w:rStyle w:val="StyleUnderline"/>
        </w:rPr>
        <w:t xml:space="preserve"> </w:t>
      </w:r>
      <w:r w:rsidRPr="00426230">
        <w:rPr>
          <w:rStyle w:val="StyleUnderline"/>
        </w:rPr>
        <w:t>Iraq. The Third Infantry Division–Seventh Cavalry was</w:t>
      </w:r>
      <w:r>
        <w:rPr>
          <w:rStyle w:val="StyleUnderline"/>
        </w:rPr>
        <w:t xml:space="preserve"> one of the first mili</w:t>
      </w:r>
      <w:r w:rsidRPr="00426230">
        <w:rPr>
          <w:rStyle w:val="StyleUnderline"/>
        </w:rPr>
        <w:t>tary units to reach Baghdad in the initial push into Iraq during spring 2003,</w:t>
      </w:r>
      <w:r>
        <w:rPr>
          <w:rStyle w:val="StyleUnderline"/>
        </w:rPr>
        <w:t xml:space="preserve"> </w:t>
      </w:r>
      <w:r w:rsidRPr="00426230">
        <w:rPr>
          <w:rStyle w:val="StyleUnderline"/>
        </w:rPr>
        <w:t>and throughout late March and April of that year, CNN ran reports from</w:t>
      </w:r>
      <w:r>
        <w:rPr>
          <w:rStyle w:val="StyleUnderline"/>
        </w:rPr>
        <w:t xml:space="preserve"> </w:t>
      </w:r>
      <w:r w:rsidRPr="00426230">
        <w:rPr>
          <w:rStyle w:val="StyleUnderline"/>
        </w:rPr>
        <w:t>embedded journalists who traveled with them to highlight the shock and</w:t>
      </w:r>
      <w:r>
        <w:rPr>
          <w:rStyle w:val="StyleUnderline"/>
        </w:rPr>
        <w:t xml:space="preserve"> </w:t>
      </w:r>
      <w:r w:rsidRPr="00426230">
        <w:rPr>
          <w:rStyle w:val="StyleUnderline"/>
        </w:rPr>
        <w:t xml:space="preserve">awe of U.S. military prowess. </w:t>
      </w:r>
      <w:r w:rsidRPr="00426230">
        <w:rPr>
          <w:rStyle w:val="Emphasis"/>
        </w:rPr>
        <w:t>The continued presence of the 7th Cavalry,</w:t>
      </w:r>
      <w:r>
        <w:rPr>
          <w:rStyle w:val="Emphasis"/>
        </w:rPr>
        <w:t xml:space="preserve"> </w:t>
      </w:r>
      <w:r w:rsidRPr="00426230">
        <w:rPr>
          <w:rStyle w:val="Emphasis"/>
        </w:rPr>
        <w:t>which was constituted in 1866 for the express purpose of fighting Indians,</w:t>
      </w:r>
      <w:r>
        <w:rPr>
          <w:rStyle w:val="Emphasis"/>
        </w:rPr>
        <w:t xml:space="preserve"> </w:t>
      </w:r>
      <w:r w:rsidRPr="00426230">
        <w:rPr>
          <w:rStyle w:val="Emphasis"/>
        </w:rPr>
        <w:t>demonstrates the degree to which the United States’ twenty-first-century</w:t>
      </w:r>
      <w:r>
        <w:rPr>
          <w:rStyle w:val="Emphasis"/>
        </w:rPr>
        <w:t xml:space="preserve"> </w:t>
      </w:r>
      <w:r w:rsidRPr="00426230">
        <w:rPr>
          <w:rStyle w:val="Emphasis"/>
        </w:rPr>
        <w:t>imperialist-military desires the world over depend upon discourses and</w:t>
      </w:r>
      <w:r>
        <w:rPr>
          <w:rStyle w:val="Emphasis"/>
        </w:rPr>
        <w:t xml:space="preserve"> </w:t>
      </w:r>
      <w:r w:rsidRPr="00426230">
        <w:rPr>
          <w:rStyle w:val="Emphasis"/>
        </w:rPr>
        <w:t>policies that were catalyzed in the nineteenth-century campaigns to colonize and “domesticate” external American Indian nations within a United</w:t>
      </w:r>
      <w:r>
        <w:rPr>
          <w:rStyle w:val="Emphasis"/>
        </w:rPr>
        <w:t xml:space="preserve"> </w:t>
      </w:r>
      <w:r w:rsidRPr="00426230">
        <w:rPr>
          <w:rStyle w:val="Emphasis"/>
        </w:rPr>
        <w:t>States that consumed a wide swath of the North American continent.</w:t>
      </w:r>
      <w:r w:rsidRPr="00426230">
        <w:rPr>
          <w:sz w:val="12"/>
        </w:rPr>
        <w:t xml:space="preserve"> ¹⁹ Drawing upon that historical memory, which arises from indigenous lived experiences of colonization and genocide and which links those experiences with globalization and imperialism, </w:t>
      </w:r>
      <w:r w:rsidRPr="00426230">
        <w:rPr>
          <w:rStyle w:val="StyleUnderline"/>
        </w:rPr>
        <w:t>indigenous critical theory</w:t>
      </w:r>
      <w:r>
        <w:rPr>
          <w:rStyle w:val="StyleUnderline"/>
        </w:rPr>
        <w:t xml:space="preserve"> </w:t>
      </w:r>
      <w:r w:rsidRPr="00426230">
        <w:rPr>
          <w:rStyle w:val="StyleUnderline"/>
        </w:rPr>
        <w:t xml:space="preserve">prioritizes indigenous ontologies to read </w:t>
      </w:r>
      <w:r>
        <w:rPr>
          <w:rStyle w:val="StyleUnderline"/>
        </w:rPr>
        <w:t>symptomatically against the co</w:t>
      </w:r>
      <w:r w:rsidRPr="00426230">
        <w:rPr>
          <w:rStyle w:val="StyleUnderline"/>
        </w:rPr>
        <w:t>lonialist discourses of settler societies. By foregrounding how colonialist</w:t>
      </w:r>
      <w:r>
        <w:rPr>
          <w:rStyle w:val="StyleUnderline"/>
        </w:rPr>
        <w:t xml:space="preserve"> </w:t>
      </w:r>
      <w:r w:rsidRPr="00426230">
        <w:rPr>
          <w:rStyle w:val="StyleUnderline"/>
        </w:rPr>
        <w:t>discourses justify the legal, political, economic, and physical dispossession</w:t>
      </w:r>
      <w:r>
        <w:rPr>
          <w:rStyle w:val="StyleUnderline"/>
        </w:rPr>
        <w:t xml:space="preserve"> </w:t>
      </w:r>
      <w:r w:rsidRPr="00426230">
        <w:rPr>
          <w:rStyle w:val="StyleUnderline"/>
        </w:rPr>
        <w:t>of American Indian lives, lands, and cultures, and by centering indigenous</w:t>
      </w:r>
      <w:r>
        <w:rPr>
          <w:rStyle w:val="StyleUnderline"/>
        </w:rPr>
        <w:t xml:space="preserve"> </w:t>
      </w:r>
      <w:r w:rsidRPr="00426230">
        <w:rPr>
          <w:rStyle w:val="StyleUnderline"/>
        </w:rPr>
        <w:t>subjectivities and epistemologies through which we might theorize the</w:t>
      </w:r>
      <w:r>
        <w:rPr>
          <w:rStyle w:val="StyleUnderline"/>
        </w:rPr>
        <w:t xml:space="preserve"> </w:t>
      </w:r>
      <w:r w:rsidRPr="00426230">
        <w:rPr>
          <w:rStyle w:val="StyleUnderline"/>
        </w:rPr>
        <w:t>violences of the United States’ “manifest destiny,”</w:t>
      </w:r>
      <w:r w:rsidRPr="00426230">
        <w:rPr>
          <w:sz w:val="12"/>
        </w:rPr>
        <w:t xml:space="preserve"> scholars interested in developing a conversation among postcolonial, subaltern, and transnational indigenous studies might begin by understanding how the United States’ global imperialist projects are underwritten by the continued colonization of American Indian, Alaska Native, and Hawaiian lands. Here, I would suggest, indigenous critical theory might make some important contributions to critical race and postcolonial studies through a sustained exploration of the incommensurability of the “internal” for the over 560 sovereign Indigenous nations that consolidate under the U.S. umbrella designation as “Native American.” As Gayatri Spivak argues, </w:t>
      </w:r>
      <w:r w:rsidRPr="00426230">
        <w:rPr>
          <w:rStyle w:val="StyleUnderline"/>
        </w:rPr>
        <w:t>the work of the colonizer is</w:t>
      </w:r>
      <w:r>
        <w:rPr>
          <w:rStyle w:val="StyleUnderline"/>
        </w:rPr>
        <w:t xml:space="preserve"> </w:t>
      </w:r>
      <w:r w:rsidRPr="00426230">
        <w:rPr>
          <w:rStyle w:val="StyleUnderline"/>
        </w:rPr>
        <w:t>at some level “consolidating the Self of Europe by obliging the native to</w:t>
      </w:r>
      <w:r>
        <w:rPr>
          <w:rStyle w:val="StyleUnderline"/>
        </w:rPr>
        <w:t xml:space="preserve"> </w:t>
      </w:r>
      <w:r w:rsidRPr="00426230">
        <w:rPr>
          <w:rStyle w:val="StyleUnderline"/>
        </w:rPr>
        <w:t>cathect the space of the Other on his home ground.” Within the context</w:t>
      </w:r>
      <w:r>
        <w:rPr>
          <w:rStyle w:val="StyleUnderline"/>
        </w:rPr>
        <w:t xml:space="preserve"> </w:t>
      </w:r>
      <w:r w:rsidRPr="00426230">
        <w:rPr>
          <w:rStyle w:val="StyleUnderline"/>
        </w:rPr>
        <w:t>of indigenous nations in North America, that cathexis of the space of the</w:t>
      </w:r>
      <w:r>
        <w:rPr>
          <w:rStyle w:val="StyleUnderline"/>
        </w:rPr>
        <w:t xml:space="preserve"> </w:t>
      </w:r>
      <w:r w:rsidRPr="00426230">
        <w:rPr>
          <w:rStyle w:val="StyleUnderline"/>
        </w:rPr>
        <w:t>Other demands at the same time a capitulation to the self as assimilated</w:t>
      </w:r>
      <w:r>
        <w:rPr>
          <w:rStyle w:val="StyleUnderline"/>
        </w:rPr>
        <w:t xml:space="preserve"> </w:t>
      </w:r>
      <w:r w:rsidRPr="00426230">
        <w:rPr>
          <w:rStyle w:val="StyleUnderline"/>
        </w:rPr>
        <w:t>possibility, an obligation</w:t>
      </w:r>
      <w:r w:rsidRPr="00426230">
        <w:rPr>
          <w:sz w:val="12"/>
        </w:rPr>
        <w:t xml:space="preserve">, in Spivak’s words, </w:t>
      </w:r>
      <w:r>
        <w:rPr>
          <w:rStyle w:val="StyleUnderline"/>
        </w:rPr>
        <w:t>to “domesticate the alien [set</w:t>
      </w:r>
      <w:r w:rsidRPr="00426230">
        <w:rPr>
          <w:rStyle w:val="StyleUnderline"/>
        </w:rPr>
        <w:t>tler] as Master.”</w:t>
      </w:r>
      <w:r w:rsidRPr="00426230">
        <w:rPr>
          <w:sz w:val="12"/>
        </w:rPr>
        <w:t xml:space="preserve"> In other words, according to Spivak, </w:t>
      </w:r>
      <w:r w:rsidRPr="00426230">
        <w:rPr>
          <w:rStyle w:val="StyleUnderline"/>
        </w:rPr>
        <w:t>colonialism functions</w:t>
      </w:r>
      <w:r>
        <w:rPr>
          <w:rStyle w:val="StyleUnderline"/>
        </w:rPr>
        <w:t xml:space="preserve"> </w:t>
      </w:r>
      <w:r w:rsidRPr="00426230">
        <w:rPr>
          <w:rStyle w:val="StyleUnderline"/>
        </w:rPr>
        <w:t>dialectically as a process of “worlding” that obliges the native to imagine</w:t>
      </w:r>
      <w:r>
        <w:rPr>
          <w:rStyle w:val="StyleUnderline"/>
        </w:rPr>
        <w:t xml:space="preserve"> </w:t>
      </w:r>
      <w:r w:rsidRPr="00426230">
        <w:rPr>
          <w:rStyle w:val="StyleUnderline"/>
        </w:rPr>
        <w:t>and invest herself counter to her own world.</w:t>
      </w:r>
      <w:r w:rsidRPr="00426230">
        <w:rPr>
          <w:sz w:val="12"/>
        </w:rPr>
        <w:t xml:space="preserve"> ²⁰ As indigenous nations colonized by the United States are continually worlded into the more perfect union, the United States—which has only existed as fifty states for just over fifty years—gains hegemonic authority to enact paternalistic policies that seek to protect U.S. “homelands” by expanding control and markets in an ever-widening net of influence. In this chapter, I am particularly interested in how the idea of “internal” as modifier to “colonialism” has emerged as a critical race and postcolonial theoretical category through which to engage U.S. systems of disenfranchisement on the North American continent. Taking the Cherokee Nation of Oklahoma’s 2007 popular vote to disenfranchise descendants of Cherokee slaves—some who and some who do not have Cherokee “blood”—as my occasion to elucidate the dialectics of race and colonialism still at play in the United States, I hope to begin to provide a means through which the radical inclusion of the Cherokee Freedmen in the Cherokee Nation does not have to result in the radical exclusion of the Cherokee Nation from itself. The problem is that, as the concept of “internal colonialism” to discuss race in the United States continues to circulate, the distinctions be- tween indigenous political sovereignty recognized by treaties and the individual sovereignty that forms the basis for inclusive personhood within U.S. multicultural democracy collapse as the United States is cathected as master. ²¹ Thus, when colonialism is used to describe indigenous peoples’ experiences of land loss and genocide, often the “internal” is layered as supplement onto such discussions by a U.S. hegemony that asserts the internal within the symbolic order of juridical colonization at the expense of the external “real” for indigenous nations. Interrogating the emergence of and limits to “internal colonialism,” which many scholars acknowledge as a not always sufficient analogy even for race, may allow a site of intervention through which scholars might center indigenous experiences of U.S. colonialism as that which exceeds discussions of race. Doing so may help point the way for more robust intersections between postcolonial, subaltern, and indigenous worlds. In many ways, then, one might argue that the idea of “internal colonialism” services the construction of the United States as a multicultural nation that is struggling with the legacies of racism rather than as a colonialist power engaged in territorial expansion since its beginning. Seen in this light, American Indians might be apprehended as subaltern if we take Antonio Gramsci’s “Some Aspects of the Southern Question” as one of the theoretical genealogical entry points for subaltern studies, especially given that the theoretical notion of “internal colonialism” stems from that same discussion of North/South divisions within a state’s territory. However, the emphasis on the in as condition of </w:t>
      </w:r>
      <w:r w:rsidRPr="00426230">
        <w:rPr>
          <w:rStyle w:val="StyleUnderline"/>
        </w:rPr>
        <w:t>subalternity presents</w:t>
      </w:r>
      <w:r w:rsidRPr="00426230">
        <w:rPr>
          <w:rStyle w:val="StyleUnderline"/>
          <w:sz w:val="12"/>
          <w:u w:val="none"/>
        </w:rPr>
        <w:t xml:space="preserve"> </w:t>
      </w:r>
      <w:r w:rsidRPr="00426230">
        <w:rPr>
          <w:rStyle w:val="StyleUnderline"/>
        </w:rPr>
        <w:t>fundamental problems when applied to understanding American Indian</w:t>
      </w:r>
      <w:r>
        <w:rPr>
          <w:rStyle w:val="StyleUnderline"/>
        </w:rPr>
        <w:t xml:space="preserve"> </w:t>
      </w:r>
      <w:r w:rsidRPr="00426230">
        <w:rPr>
          <w:rStyle w:val="StyleUnderline"/>
        </w:rPr>
        <w:t>nations vis-à-vis the United States, precisely because that in reifies the</w:t>
      </w:r>
      <w:r>
        <w:rPr>
          <w:rStyle w:val="StyleUnderline"/>
        </w:rPr>
        <w:t xml:space="preserve"> </w:t>
      </w:r>
      <w:r w:rsidRPr="00426230">
        <w:rPr>
          <w:rStyle w:val="StyleUnderline"/>
        </w:rPr>
        <w:t>United States as the overarching state author</w:t>
      </w:r>
      <w:r>
        <w:rPr>
          <w:rStyle w:val="StyleUnderline"/>
        </w:rPr>
        <w:t>ity and is always already a co</w:t>
      </w:r>
      <w:r w:rsidRPr="00426230">
        <w:rPr>
          <w:rStyle w:val="StyleUnderline"/>
        </w:rPr>
        <w:t>lonial spatialization.</w:t>
      </w:r>
      <w:r w:rsidRPr="00426230">
        <w:rPr>
          <w:sz w:val="12"/>
        </w:rPr>
        <w:t xml:space="preserve"> ²² </w:t>
      </w:r>
      <w:r w:rsidRPr="00426230">
        <w:rPr>
          <w:rStyle w:val="StyleUnderline"/>
        </w:rPr>
        <w:t>This transformation of more than five hundred and</w:t>
      </w:r>
      <w:r>
        <w:rPr>
          <w:rStyle w:val="StyleUnderline"/>
        </w:rPr>
        <w:t xml:space="preserve"> </w:t>
      </w:r>
      <w:r w:rsidRPr="00426230">
        <w:rPr>
          <w:rStyle w:val="StyleUnderline"/>
        </w:rPr>
        <w:t>sixty indigenous nations into a single racial minority</w:t>
      </w:r>
      <w:r w:rsidRPr="00426230">
        <w:rPr>
          <w:sz w:val="12"/>
        </w:rPr>
        <w:t xml:space="preserve"> within the national borders of the United States </w:t>
      </w:r>
      <w:r w:rsidRPr="00426230">
        <w:rPr>
          <w:rStyle w:val="StyleUnderline"/>
        </w:rPr>
        <w:t>is folded a priori into postcolonial and racial</w:t>
      </w:r>
      <w:r>
        <w:rPr>
          <w:rStyle w:val="StyleUnderline"/>
        </w:rPr>
        <w:t xml:space="preserve"> </w:t>
      </w:r>
      <w:r w:rsidRPr="00426230">
        <w:rPr>
          <w:rStyle w:val="StyleUnderline"/>
        </w:rPr>
        <w:t>critiques of what Patrick Wolfe has identified as “regimes of difference”</w:t>
      </w:r>
      <w:r>
        <w:rPr>
          <w:rStyle w:val="StyleUnderline"/>
        </w:rPr>
        <w:t xml:space="preserve"> </w:t>
      </w:r>
      <w:r w:rsidRPr="00426230">
        <w:rPr>
          <w:rStyle w:val="StyleUnderline"/>
        </w:rPr>
        <w:t>within deep settler societies.</w:t>
      </w:r>
      <w:r w:rsidRPr="00426230">
        <w:rPr>
          <w:sz w:val="12"/>
        </w:rPr>
        <w:t xml:space="preserve"> ²³ This presumed self-evidentiary process of minoritization, of making racial what is international, continues to infect competing understandings of citizenship, identity, inclusion, and exclusion with, among, and outside the intersections of sovereignty, race, land, and labor. The processes by which citizens of American Indian nations become minorities within the United States, with no prior claim to nation or territory that exceeds the U.S.’s will, further inform current struggles over citizenship and historical reconciliation within the indigenous nations colonized by the United States and is nowhere more striking than in Indian Territory—what is now Oklahoma—where unresolved histories of removal, slavery, racialization, allotment, settlement, and sovereignty threaten to make internal once and for all that which is external: native space.</w:t>
      </w:r>
    </w:p>
    <w:p w:rsidR="00496C79" w:rsidRPr="00087A72" w:rsidRDefault="00496C79" w:rsidP="00496C79">
      <w:pPr>
        <w:pStyle w:val="Heading3"/>
      </w:pPr>
      <w:r w:rsidRPr="00087A72">
        <w:t>Impact – War on Terror</w:t>
      </w:r>
    </w:p>
    <w:p w:rsidR="00496C79" w:rsidRPr="00087A72" w:rsidRDefault="00496C79" w:rsidP="00496C79">
      <w:pPr>
        <w:pStyle w:val="Heading4"/>
      </w:pPr>
      <w:r w:rsidRPr="00087A72">
        <w:t xml:space="preserve">The War on Terror constructs a symbol of the dangerous Muslim man, rendering a forever outsider in white imperial states. Islamophobia and racism are central to the making of North America as a settler colonial state. </w:t>
      </w:r>
    </w:p>
    <w:p w:rsidR="00496C79" w:rsidRPr="00087A72" w:rsidRDefault="00496C79" w:rsidP="00496C79">
      <w:r w:rsidRPr="00087A72">
        <w:rPr>
          <w:b/>
          <w:bCs/>
        </w:rPr>
        <w:t xml:space="preserve">Upadhyay 16 </w:t>
      </w:r>
      <w:r w:rsidRPr="00087A72">
        <w:t>(Nishant, Assistant Professor in Women's and Gender Studies at University of Massachusetts Dartmouth, Ph.D. in Graduate Program in Social and Political Thought at York University, South Asian</w:t>
      </w:r>
      <w:r w:rsidRPr="00087A72">
        <w:rPr>
          <w:i/>
        </w:rPr>
        <w:t xml:space="preserve"> “We’ll Sail Like Columbus”: Race, Indigeneity, Settler Colonialism, and the Making of South Asian Diasporas in Canada.</w:t>
      </w:r>
      <w:r w:rsidRPr="00087A72">
        <w:t xml:space="preserve"> Pg. ) OD</w:t>
      </w:r>
    </w:p>
    <w:p w:rsidR="00496C79" w:rsidRPr="00087A72" w:rsidRDefault="00496C79" w:rsidP="00496C79">
      <w:pPr>
        <w:rPr>
          <w:sz w:val="12"/>
        </w:rPr>
      </w:pPr>
      <w:r w:rsidRPr="00087A72">
        <w:rPr>
          <w:sz w:val="12"/>
        </w:rPr>
        <w:t xml:space="preserve">Logics of Islamophobia and Sikhophobia </w:t>
      </w:r>
      <w:r w:rsidRPr="00087A72">
        <w:rPr>
          <w:u w:val="single"/>
        </w:rPr>
        <w:t>The above sections demonstrate how racial critiques of the Americas are grounded through an analysis of indigeneity and Blackness</w:t>
      </w:r>
      <w:r w:rsidRPr="00087A72">
        <w:rPr>
          <w:sz w:val="12"/>
        </w:rPr>
        <w:t xml:space="preserve">. The Muslim-other and critiques of Islamophobia are often amiss in these theorizations. I argue that Islamophobia needs to be contextualized in the continuities and complexities of racial and colonial formations in white settler societies. </w:t>
      </w:r>
      <w:r w:rsidRPr="00087A72">
        <w:rPr>
          <w:u w:val="single"/>
        </w:rPr>
        <w:t xml:space="preserve">The occurrence of 9/11 marked a significant shift in the racializing of Muslim bodies and making of the global north. </w:t>
      </w:r>
      <w:r w:rsidRPr="00087A72">
        <w:rPr>
          <w:sz w:val="12"/>
        </w:rPr>
        <w:t xml:space="preserve">Scholars in Canada have shown how through </w:t>
      </w:r>
      <w:r w:rsidRPr="00087A72">
        <w:rPr>
          <w:u w:val="single"/>
        </w:rPr>
        <w:t>the post-9/11 “war on terror” Canada has become increasingly Islamophobic, intolerant, and violent towards those racialized as Muslims</w:t>
      </w:r>
      <w:r w:rsidRPr="00087A72">
        <w:rPr>
          <w:sz w:val="12"/>
        </w:rPr>
        <w:t>.13 Muslim, is not just limited to a religious identity, but rather is deployed as an overarching and all-encompassing identifier that includes Arabs, Africans, South Asians, Black peoples, brown peoples, Muslims, Sikhs, Hindus, and even racialized atheists</w:t>
      </w:r>
      <w:r w:rsidRPr="00087A72">
        <w:rPr>
          <w:b/>
          <w:iCs/>
          <w:u w:val="single"/>
        </w:rPr>
        <w:t xml:space="preserve">. Islamophobia works then across racial, religious and regional borders, encompassing anyone who is rendered as a forever outsider in white settler and imperial states of the global north. </w:t>
      </w:r>
      <w:r w:rsidRPr="00087A72">
        <w:rPr>
          <w:sz w:val="12"/>
        </w:rPr>
        <w:t xml:space="preserve">Islamophobia </w:t>
      </w:r>
      <w:r w:rsidRPr="00087A72">
        <w:rPr>
          <w:u w:val="single"/>
        </w:rPr>
        <w:t>renders all Muslims as uncivilized, static, and barbaric, while simultaneously whiteness is constructed as civilized, modern and dynamic</w:t>
      </w:r>
      <w:r w:rsidRPr="00087A72">
        <w:rPr>
          <w:sz w:val="12"/>
        </w:rPr>
        <w:t xml:space="preserve">. Contemporary forms Islamophobia are a manifestation of what Edward Said identified as “orientalism” (Orientalism). Through time, Islam and Muslimness have been constructed through a similar orientalist rationale of white supremacy. In this section, I explore logics of Islamophobia in the making of race in the Americas, in conversation with critiques of settler colonialism and anti-Black racism. I also draw parallels between the processes of Islamophobia and Sikhophobia to illustrate the complexities of race-making and the racialization of Muslims and Sikhs alike. Grounding the project in transnational and intersectional analyses, I also provide a brief discussion of Islamophobia and Sikhophobia in India. This engagement illustrates cartographic complexities of Islamophobia and draws connections globally to understand categories of race, religion, and migration. 13 On Islamophobia in Canada, see: Haque, “Homegrown, Muslim and Other”; Jiwani, “Gendering Terror”; Jiwani, Discourses of Denial; Jiwani, “Doubling Discourses and the Veiled Other”; Lakhani; Razack, Casting out; Razack, “Abandonment and the Dance”; Razack, “Imperiled Muslim Women”; Razack, “The ‘Sharia Law Debate’”; Thobani, Exalted Subjects; and Thobani, “White Innocence, Western Supremacy,” 78 Sherene Razack argues that Muslims have been expelled and excluded in North America and Europe through “stigmatization, surveillance, incarceration, abandonment, torture, and bombs” (Casting Out 5). Unmapping these exclusions within the history of the west, Razack contends: …for Muslims and Arabs it is underpinned by the idea that modern enlightened, secular people must protect themselves from pre-modern, religious people whose loyalty to tribe and community reigns over their commitment to the rule of law. (9-10) </w:t>
      </w:r>
      <w:r w:rsidRPr="00087A72">
        <w:rPr>
          <w:u w:val="single"/>
        </w:rPr>
        <w:t>Constructing these binaries between Muslims and the west, the violences against Muslims are deemed normalized, inevitable, and necessary for the maintenance of the west</w:t>
      </w:r>
      <w:r w:rsidRPr="00087A72">
        <w:rPr>
          <w:sz w:val="12"/>
        </w:rPr>
        <w:t xml:space="preserve">. Muslims are, Razack asserts, “cast out” from the borders and boundaries of the global north. This rationale overlaps with multiple histories and contexts, and in the process universalizes the Muslim figure and all violences against Muslims, from Canada to France to Occupied Palestine to India to Australia. Muslims, globally, are rendered dangerous, unwanted, and terrorist. Razack elaborates on these constructions, and shows </w:t>
      </w:r>
      <w:r w:rsidRPr="00087A72">
        <w:rPr>
          <w:b/>
          <w:iCs/>
          <w:u w:val="single"/>
        </w:rPr>
        <w:t>how the “war on terror” has constructed the symbolic figures of the dangerous Muslim man, the imperiled Muslim woman, and the civilized European wo/man</w:t>
      </w:r>
      <w:r w:rsidRPr="00087A72">
        <w:rPr>
          <w:sz w:val="12"/>
        </w:rPr>
        <w:t xml:space="preserve"> (5). </w:t>
      </w:r>
      <w:r w:rsidRPr="00087A72">
        <w:rPr>
          <w:b/>
          <w:iCs/>
          <w:u w:val="single"/>
        </w:rPr>
        <w:t>The Muslim man is forever deemed a terrorist threat to the state, who through his “barbaric” religious convictions, is always willing to destroy the west.14 These racist articulations of the Muslim man make possible indefinite detainments, deportations, and death, both here and there.</w:t>
      </w:r>
      <w:r w:rsidRPr="00087A72">
        <w:rPr>
          <w:sz w:val="12"/>
        </w:rPr>
        <w:t xml:space="preserve"> Thus, war, deportation, incarceration, and mass killing are required to maintain the empire. Gender has always been at the heart of Islamophobic logics. Razack argues that Muslim “veiled” women are constructed as victims of Muslim men’s patriarchy and misogyny, always therefore in need of protection. Thus, following Gayatri Spivak's argument, brown (Muslim) women need to be saved from brown (Muslim) men by 14 This construction of a terrorist Muslim man cuts across all age groups, including young children: for instance, 6- year-old Canadian Syed Adam Ahmed is on the high risk no-fly list in Canada (Murphy). 79 white men (and women) (“Can the Subaltern Speak?”). This saving justifies everything from “domestic” anti-veiling policies in Canada and France; to war, occupation, and bombing in Iraq, Afghanistan, Pakistan, Yemen, Libya, Syria, and elsewhere. Increasingly, discourses of rescue have incorporated saving Muslims queers from homophobic Muslim men.15 Saadia Toor notes: Within this neo-Orientalist discourse 'the Muslim' enemy is today configured as both misogynist and homophobic, with an essentialized Islam comfortably posited as the roots of his illiberalism. This illiberalism is then presented as both the mark and the evidence of Islam's radical alterity from Western civilization, an alterity that cannot be tolerated and must, in fact, be destroyed. (n.pag., emphasis in original) The essentialized Muslim figure is crucial to the making of the white western subject. Muslims are always posited as outsiders and threats to the west. </w:t>
      </w:r>
      <w:r w:rsidRPr="00087A72">
        <w:rPr>
          <w:u w:val="single"/>
        </w:rPr>
        <w:t>Through the “war on terror,” the United States has asserted itself as the global sovereign power.</w:t>
      </w:r>
      <w:r w:rsidRPr="00087A72">
        <w:rPr>
          <w:sz w:val="12"/>
        </w:rPr>
        <w:t xml:space="preserve"> Sunera Thobani illustrates how Canada has used “its middle power status and its international stature as a more ‘compassionate’ nation” to support American (Islamophobic) imperialist projects, and thereby its own imperial desires (Exalted Subjects 220-21). Those whom Thobani calls the “exalted subjects” of the west, “belonging to a superior order of humanity,” all become the defenders of western civilization against the constructed dangerous, illogical, religious Muslim terrorists (228). While 9/11 has been crucial in shaping Islamophobia in the west, Muslim scholars, like Nabil I. Matar, Shaista Patel (“Defining Muslim Feminist”; “The Red/White/Black”), and Junaid Rana demonstrate how Islam has been central to formulations of race. Patel draws connections between histories of the “discovery” of the Americas to the expulsion of Muslims from Spain to demonstrate the braided intricacies between violences against the Muslims and Indigenous peoples (“Defining Muslim Feminist”). 16 Rana elaborates further: 15 See for instance: Haritaworn, Tauqir, and Erdem; J. Puar; and Toor. 16 Patel argues further to centre these connections and violences in contemporary politics of solidarity: “It is futile to ask for justice for Muslims in a nation-state where the genocide, the continual extermination of its Indigenous 80 … anti-Muslim racism and Islamophobia are central to the narrative of modern nations— and to modernity itself—because they emerged in the contact between the Old World and the New World … Islam and Muslims are a central part of the concepts of race and racism though histories that span European and American forms of Orientalism and the formation and maintenance of empire through war and conquest. (27-28) </w:t>
      </w:r>
      <w:r w:rsidRPr="00087A72">
        <w:rPr>
          <w:u w:val="single"/>
        </w:rPr>
        <w:t xml:space="preserve">Linking the figures of the infidel savage, slave/captive, terrorist and immigrant, Rana demonstrates how Islam and Muslims have always shaped and informed processes of white supremacy and colonization. He draws foundational links to the Crusades and the Inquisition, to show how the figure of the Muslim shaped precolonial Europe and subsequently informed conquest, enslavement, and colonialism. He asserts, thus, that the figure of the Muslim in the west, as a racial category connects Indigenous peoples, Blacks, and racialized immigrants. </w:t>
      </w:r>
      <w:r w:rsidRPr="00087A72">
        <w:rPr>
          <w:sz w:val="12"/>
        </w:rPr>
        <w:t xml:space="preserve">This formulation substantially changes understandings of race through conquest and enslavement, while instead locating its formulation in medieval Europe. </w:t>
      </w:r>
      <w:r w:rsidRPr="00087A72">
        <w:rPr>
          <w:b/>
          <w:iCs/>
          <w:u w:val="single"/>
        </w:rPr>
        <w:t>Thus, anti-Muslim racism and Islamophobia are as central to the making of North America as settler colonialism and enslavement have been</w:t>
      </w:r>
      <w:r w:rsidRPr="00087A72">
        <w:rPr>
          <w:sz w:val="12"/>
        </w:rPr>
        <w:t xml:space="preserve">. This demonstrates the continuities of racial violences across continents and oceans. While there are different histories of Islamophobia in the west, there are different trajectories of Islamophobia in South Asia as well.17 In India, since the inception of the Mughal Empire, constructs of the Muslim other have been used to invent not only who the Hindu subject is, but also the “Indian” subject. During the colonial era, divide and rule tactics of the British peoples, is a matter of dull and daily state affairs. Our politics must unsettle these daily practices of violence” (“Defining Muslim Feminist Politics” n.pag.). 17 Since my respondents were mainly Indians from India, I discuss Islamophobia only in India. But Islamophobia shapes to the rest of South Asia as well. In Sri Lanka, for instance, there has been an escalation of anti-Muslim violence since 2009, with the support of the Sinhala Buddhist nationalist state (for more, see: Amarasingham and Xavier). In Pakistan, these multiple histories shape all forms of inclusion and exclusion of Muslims. From its inception as a secular state, to its becoming an Islamic state, to the separation of Bangladesh, and the dictatorship of General Zia have all shaped who is the “right” Pakistani Muslim and who is not. On the one hand, Sunni nationalism renders Shias, Ismailis, Ahmadiyyas, Hindus, Sikhs, Christians and all other non-Sunnis as not Pakistani, on the other hand, under the “War on terror” regime and war against Taliban in Afghanistan, Pakistanis have come under direct attack from the west by means of drone killings and military operations (for more, see: Hasan). 81 Empire mobilized communal tensions between Hindus and Muslims. It is commonly argued that these tensions finally resulted in the partition of the subcontinent along religious lines into Pakistan and India. However, scholars have shown political fractures among the elite and British interference as the driving forces of partition.18 Religious and communal tensions thrived in the limited understandings of what partition was and what it did. In postcolonial India, the state continues to define Indianness through the figure of the Muslim-other.19 The occupation of Kashmir by the Indian state renders the Kashmiri Muslim other, and by default all Muslim others, as terrorist, anti-nationalistic, and anti-Hindu.20 Along with Kashmir, there are continued violences perpetuated against Muslims in different parts of the country with the rise in right wing Hindutva ideologies. Since the 1990s, the growth of mainstream and popular Hindutva ideologies has resulted in an escalation in exclusion, marginalization, and oppression of Muslims in the country. Accordingly, in these articulations, Muslims are always the outsider, always supportive of Pakistan and always the terrorist. Indian-specific Hindu-led Islamophobic practices and violences have combined to form a nexus with </w:t>
      </w:r>
      <w:r w:rsidRPr="00087A72">
        <w:rPr>
          <w:u w:val="single"/>
        </w:rPr>
        <w:t xml:space="preserve">the global “war on terror” discourses, which construct Muslims as always jihadist, anti-civilization </w:t>
      </w:r>
      <w:r w:rsidRPr="00087A72">
        <w:rPr>
          <w:sz w:val="12"/>
        </w:rPr>
        <w:t xml:space="preserve">(Christian or Hindu or Jewish),21 and dangerous. The nexus has connected 9/11 to different “terrorist” attacks in India, to the London attacks of 2005, and to the Paris attacks of 2015, to Islamic groups considered “terrorist” such as Al Qaeda, the Taliban, and more recently to ISIS. Those fighting against occupations in Kashmir, Palestine, Iraq, and Afghanistan are all imagined to be part of a global jihadi network. Since the election of right wing Hindutva leader Narendra Modi as the Prime Minister of India in 2014 (the main perpetrator of anti-Muslim genocide in the Indian state of Gujarat in 2002), violence against Muslims in Occupied Kashmir and India has increased tremendously. Modi seeks to work in tandem with the global nexus against the “war on terror” connecting violences against Muslims in India with those in Occupied Palestine, Afghanistan, Pakistan, Iraq, Yemen, France, the U.K., Australia, the U.S., and Canada. </w:t>
      </w:r>
    </w:p>
    <w:p w:rsidR="00496C79" w:rsidRPr="00087A72" w:rsidRDefault="00496C79" w:rsidP="00496C79"/>
    <w:p w:rsidR="005562CD" w:rsidRPr="00087A72" w:rsidRDefault="005562CD" w:rsidP="0021729E">
      <w:pPr>
        <w:pStyle w:val="Heading3"/>
      </w:pPr>
      <w:r w:rsidRPr="00087A72">
        <w:t>Impact – White Supremacy</w:t>
      </w:r>
    </w:p>
    <w:p w:rsidR="005562CD" w:rsidRPr="00087A72" w:rsidRDefault="005562CD" w:rsidP="005562CD">
      <w:pPr>
        <w:pStyle w:val="Heading4"/>
      </w:pPr>
      <w:r w:rsidRPr="00087A72">
        <w:t xml:space="preserve">White supremacy is the cause of racial hierarchies. </w:t>
      </w:r>
      <w:r w:rsidR="009556BB" w:rsidRPr="00087A72">
        <w:t>T</w:t>
      </w:r>
      <w:r w:rsidRPr="00087A72">
        <w:t>he idea that a white(r) person is superior is a direct for of violence against non-white people</w:t>
      </w:r>
    </w:p>
    <w:p w:rsidR="005562CD" w:rsidRPr="00087A72" w:rsidRDefault="005562CD" w:rsidP="005562CD">
      <w:r w:rsidRPr="00087A72">
        <w:rPr>
          <w:rStyle w:val="Style13ptBold"/>
        </w:rPr>
        <w:t xml:space="preserve">Seawright 2014 </w:t>
      </w:r>
      <w:r w:rsidRPr="00087A72">
        <w:t xml:space="preserve">(Gardner doctoral candidate in the Education, Culture, and Society department at the University of Utah, and will graduate in May 2018. His studies focus on the everyday presence of whiteness within educational spaces, as well as the possibilities of challenging this reality “Settler Traditions of Place: Making Explicit the Epistemological Legacy of White Supremacy and Settler Colonialism for Place-Based Education” </w:t>
      </w:r>
      <w:r w:rsidRPr="00087A72">
        <w:rPr>
          <w:i/>
        </w:rPr>
        <w:t>A Journal of the American Educational Studies Association</w:t>
      </w:r>
      <w:r w:rsidRPr="00087A72">
        <w:t>. 50:6, 554-572, pp.562-564)</w:t>
      </w:r>
    </w:p>
    <w:p w:rsidR="005562CD" w:rsidRPr="00087A72" w:rsidRDefault="005562CD" w:rsidP="005562CD">
      <w:pPr>
        <w:rPr>
          <w:b/>
          <w:bCs/>
          <w:sz w:val="26"/>
        </w:rPr>
      </w:pPr>
      <w:r w:rsidRPr="00087A72">
        <w:rPr>
          <w:sz w:val="8"/>
        </w:rPr>
        <w:t xml:space="preserve">The Nature of White Supremacy Charles Mills (1998) suggests that </w:t>
      </w:r>
      <w:r w:rsidRPr="00087A72">
        <w:rPr>
          <w:rStyle w:val="StyleUnderline"/>
        </w:rPr>
        <w:t>white supremacy can be seen as a sociopolitical system</w:t>
      </w:r>
      <w:r w:rsidRPr="00087A72">
        <w:rPr>
          <w:sz w:val="8"/>
        </w:rPr>
        <w:t>, and a “</w:t>
      </w:r>
      <w:r w:rsidRPr="00087A72">
        <w:rPr>
          <w:rStyle w:val="StyleUnderline"/>
        </w:rPr>
        <w:t>particular mode of domination, with its special norms for allocating benefits and burdens, rights and duties; its own ideology; and an internal, at least semi-autonomous logic that influences law, culture, and consciousness</w:t>
      </w:r>
      <w:r w:rsidRPr="00087A72">
        <w:rPr>
          <w:sz w:val="8"/>
        </w:rPr>
        <w:t>,” and as a conception that “</w:t>
      </w:r>
      <w:r w:rsidRPr="00087A72">
        <w:rPr>
          <w:rStyle w:val="StyleUnderline"/>
        </w:rPr>
        <w:t xml:space="preserve">encompasses de facto as well as de jure white privilege and </w:t>
      </w:r>
      <w:r w:rsidRPr="00087A72">
        <w:rPr>
          <w:sz w:val="8"/>
        </w:rPr>
        <w:t>565 refers more broadly to the European domination of the planet that has left us with the racialized distributions of economic, political, and cultural power that we have today” (98</w:t>
      </w:r>
      <w:r w:rsidRPr="00087A72">
        <w:rPr>
          <w:rStyle w:val="StyleUnderline"/>
        </w:rPr>
        <w:t>). Central to this white supremacy is a particular conception of the rational social actor who is driven toward ownership and the domination of nature, subsequently including a unique understanding of personhood in relation to “nature</w:t>
      </w:r>
      <w:r w:rsidRPr="00087A72">
        <w:rPr>
          <w:sz w:val="8"/>
        </w:rPr>
        <w:t xml:space="preserve">.” Mills explains the parameters of Western society’s rational social actor in his discussions of the operative herrenvolk ethic. The herrenvolk, </w:t>
      </w:r>
      <w:r w:rsidRPr="00087A72">
        <w:rPr>
          <w:rStyle w:val="StyleUnderline"/>
        </w:rPr>
        <w:t>or master race ethic, is part of the epistemic package associated with white supremacy, which facilitates the “cognitive and moral economy psychically required for conquest, colonization, and enslavemen</w:t>
      </w:r>
      <w:r w:rsidRPr="00087A72">
        <w:rPr>
          <w:sz w:val="8"/>
        </w:rPr>
        <w:t>t” (Mills 1997, 18). To properly situate this ethic, the social epistemology that serves as its foundation must be briefly explained</w:t>
      </w:r>
      <w:r w:rsidRPr="00087A72">
        <w:rPr>
          <w:rStyle w:val="StyleUnderline"/>
        </w:rPr>
        <w:t>. The white social epistemology is part of a social contract dictating the norms and regulations at the foundation of dominant society</w:t>
      </w:r>
      <w:r w:rsidRPr="00087A72">
        <w:rPr>
          <w:sz w:val="8"/>
        </w:rPr>
        <w:t xml:space="preserve">. In the case of </w:t>
      </w:r>
      <w:r w:rsidRPr="00087A72">
        <w:rPr>
          <w:rStyle w:val="StyleUnderline"/>
        </w:rPr>
        <w:t>the United States, the social contract is infused with intersecting forms of domination and social control (patriarchy, white supremacy, heteronormativity, human supremacy, citizenship and civility</w:t>
      </w:r>
      <w:r w:rsidRPr="00087A72">
        <w:rPr>
          <w:sz w:val="8"/>
        </w:rPr>
        <w:t xml:space="preserve">; Mills 1997; Pateman 1988; Pateman and Mills 2007). The social contract in question contains within it the social technologies for the epistemic normalization of socially constructed hierarchies, as well as the impetus for dominant society to reinvest, reproduce, and valorize the status quo. Put simply, </w:t>
      </w:r>
      <w:r w:rsidRPr="00087A72">
        <w:rPr>
          <w:rStyle w:val="StyleUnderline"/>
        </w:rPr>
        <w:t>the social contract endeavors to teach people how to be oppressors and how to be the oppressed.</w:t>
      </w:r>
      <w:r w:rsidRPr="00087A72">
        <w:rPr>
          <w:sz w:val="8"/>
        </w:rPr>
        <w:t xml:space="preserve"> Western schooling is implicated in the propagation of this substantive ignorance, a violent knowledge system, as was noted by Du Bois (2003/1920) as well as contemporary scholars (Cajete 1994, 1999; Calderon, 2010, 2014; Outlaw 2007; ´ Sullivan 2007). Lucious Outlaw Jr. (2007) argues that </w:t>
      </w:r>
      <w:r w:rsidRPr="00087A72">
        <w:rPr>
          <w:rStyle w:val="StyleUnderline"/>
        </w:rPr>
        <w:t>ensuring the dominance of this knowledge system is part of the centuries-long determined efforts expended by settler-colonists-becomeimperialist-capitalist white racial supremacists to ensure that successive generations of white children would be nurtured systematically with both knowledge and ignorance to grow into confirmed, practicing racial supremacist white adults</w:t>
      </w:r>
      <w:r w:rsidRPr="00087A72">
        <w:rPr>
          <w:sz w:val="8"/>
        </w:rPr>
        <w:t xml:space="preserve">. And second, </w:t>
      </w:r>
      <w:r w:rsidRPr="00087A72">
        <w:rPr>
          <w:rStyle w:val="StyleUnderline"/>
        </w:rPr>
        <w:t>successive generations of children—Black, Brown, Yellow, Red, mixed—would be miseducated to be racially inferior adults subordinate to white adults and children</w:t>
      </w:r>
      <w:r w:rsidRPr="00087A72">
        <w:rPr>
          <w:sz w:val="8"/>
        </w:rPr>
        <w:t>. (197; emphasis in original) T</w:t>
      </w:r>
      <w:r w:rsidRPr="00087A72">
        <w:rPr>
          <w:rStyle w:val="StyleUnderline"/>
        </w:rPr>
        <w:t>he perpetuation of racial domination and a state of colonization requires a deliberate miseducation of children across subject positions in accordance with sanctioned legitimate knowledge</w:t>
      </w:r>
      <w:r w:rsidRPr="00087A72">
        <w:rPr>
          <w:sz w:val="8"/>
        </w:rPr>
        <w:t xml:space="preserve"> (Mills 1997; Outlaw, 2007; Sullivan 2007). This schooled miseducation is part of what Linda Mart´ın Alcoff (2007) calls myth maintenance. Alcoff argues that contemporary racialized society is in a constant state of myth maintenance due to a desire to perceive its actions (a continued history of violent colonization and imperialism) as moral, or at least excusable. 566 </w:t>
      </w:r>
      <w:r w:rsidRPr="00087A72">
        <w:rPr>
          <w:rStyle w:val="StyleUnderline"/>
        </w:rPr>
        <w:t>This myth maintenance facilitates the continued valorization of white bodies and white actions and the dehumanization of bodies marked as non-white</w:t>
      </w:r>
      <w:r w:rsidRPr="00087A72">
        <w:rPr>
          <w:sz w:val="8"/>
        </w:rPr>
        <w:t xml:space="preserve">. </w:t>
      </w:r>
      <w:r w:rsidRPr="00087A72">
        <w:rPr>
          <w:rStyle w:val="StyleUnderline"/>
        </w:rPr>
        <w:t>Integral to the maintenance of white supremacy is the permanence of these justificatory systems of knowledge production that not only create valorizing narratives for racial hierarchies, and human exploitation, but ecological exploitation as well.</w:t>
      </w:r>
      <w:r w:rsidRPr="00087A72">
        <w:rPr>
          <w:sz w:val="8"/>
        </w:rPr>
        <w:t xml:space="preserve"> This myth maintenance also continues the rampant exploitation of non-human animals. Martusewicz et al. (2011) explain in EcoJustice Education that “[r]acism rests on, and depends upon anthropocentrism” (158). The racial and gender hiearchization of society is predicated on assumptions of humanness. Slavery and the expropriation of Indigenous lands were validated through a perception of non-white peoples as animals. “Thus, in order to successfully inferiorize and subjugate a group of people based on their likeness to animals, we must first have a deeply entrenched belief that animals, and in fact all of nature, is inferior to humans” (Martusewicz et al., 2011, 158). Place, as an educational point of departure, could allow for a critical engagement with the complex and intertwining components of domination that are foundational to settler traditions of place.</w:t>
      </w:r>
    </w:p>
    <w:p w:rsidR="005562CD" w:rsidRPr="00087A72" w:rsidRDefault="009556BB" w:rsidP="005562CD">
      <w:pPr>
        <w:pStyle w:val="Heading4"/>
      </w:pPr>
      <w:r w:rsidRPr="00087A72">
        <w:t xml:space="preserve">White dominance derives from </w:t>
      </w:r>
      <w:r w:rsidR="005562CD" w:rsidRPr="00087A72">
        <w:t>the settler colonial message that “I am civilized and you are a savage, I am of the mind and you are of the body, I am a person</w:t>
      </w:r>
      <w:r w:rsidRPr="00087A72">
        <w:t xml:space="preserve"> and you are less than property.</w:t>
      </w:r>
      <w:r w:rsidR="005562CD" w:rsidRPr="00087A72">
        <w:t xml:space="preserve">” </w:t>
      </w:r>
    </w:p>
    <w:p w:rsidR="005562CD" w:rsidRPr="00087A72" w:rsidRDefault="005562CD" w:rsidP="005562CD">
      <w:r w:rsidRPr="00087A72">
        <w:rPr>
          <w:rStyle w:val="Style13ptBold"/>
        </w:rPr>
        <w:t xml:space="preserve">Seawright 2014 </w:t>
      </w:r>
      <w:r w:rsidRPr="00087A72">
        <w:t xml:space="preserve">(Gardner doctoral candidate in the Education, Culture, and Society department at the University of Utah, and will graduate in May 2018. His studies focus on the everyday presence of whiteness within educational spaces, as well as the possibilities of challenging this reality “Settler Traditions of Place: Making Explicit the Epistemological Legacy of White Supremacy and Settler Colonialism for Place-Based Education” </w:t>
      </w:r>
      <w:r w:rsidRPr="00087A72">
        <w:rPr>
          <w:i/>
        </w:rPr>
        <w:t>A Journal of the American Educational Studies Association</w:t>
      </w:r>
      <w:r w:rsidRPr="00087A72">
        <w:t>. 50:6, 554-572, pp.561-562)</w:t>
      </w:r>
    </w:p>
    <w:p w:rsidR="005562CD" w:rsidRPr="00087A72" w:rsidRDefault="005562CD" w:rsidP="005562CD">
      <w:pPr>
        <w:rPr>
          <w:sz w:val="8"/>
        </w:rPr>
      </w:pPr>
      <w:r w:rsidRPr="00087A72">
        <w:rPr>
          <w:sz w:val="8"/>
        </w:rPr>
        <w:t xml:space="preserve">THREE CAMPS OF PLACE-BASED EDUCATION The praxis and scholarship surrounding place-based education has dealt with these epistemic traditions, but in an inconsistent manner. In response, I see placebased scholarship as falling into several camps that utilize/understand place and epistemology in a variety of ways. To simplify things, practitioners and scholars tend to fall within one of three camps: (1) The liberal place-based education cohort, most notably represented by David Sobel, is primarily concerned with fostering an education that begins with the community and the environment. This relationship is facilitated through an ideal of enlightened localism that seeks to create greater balance 561between the human and more-than-human while developing an academically successful pedagogy rooted in one’s “homeground” while remaining aware of the relationships between places and the larger ecological and social world (Sobel 2004, ii; Smith and Sobel 2010). Liberal place-based education challenges the dominant culture’s relationship with the natural world, but does little to challenge the taken-for-granted knowledge at the foundation of their perception of reality, specifically how a community comes into being through settlement, or how a community might be economically and socially fractured by white supremacy and capitalism. (2) The critical place-consciousness camp finds its spokesperson in David Gruenewald (2003)/Greenwood (2009, 2013a, 2013b). The bridged socialecological education found in Sobel’s work is also at the foundation of Greenwood’s conception of a place-based education. But his conception of critical-place consciousness pushes the boundaries by emphasizing the socially constructed nature and inherent conflict of places that are wrapped up in issues of colonization, race, class, gender, as well as “the ideological and material legacy of our collective inhabitation and place-making” (Greenwood 2013a, 93). Critical place-conscious education differs from the liberal interpretation, because “while place-based education is often framed as a method to improve school outcomes, place-conscious education can be framed as a philosophy that challenges educators to rethink the assumptions of schooling in the context of the places we inhabit and leave behind” (Greenwood 2013a, 95). The critical position does offer an explicit epistemic critique within its framework (Greenwood 2013a), but in this process of unlearning and shifting one’s epistemic position, it must be understood that Western conceptions of place play a deeper role in maintaining social realities. As such, place-based education must not only focus on how previous understandings of place can limit one’s ecological knowledge, relationship, and future, but must also center the role of place in maintaining settler colonialism and other systems of domination (Calderon 2014). ´ (3) The most longstanding place-based educational tradition can be found embedded in the multitude of indigenous epistemologies and models of education. Indigenous place-based education has been represented by the work of Gregory Cajete (1994, 1999), Angayuqaq Oscar Kawagley and Ray Barnhardt (1999, 2005), and Vine Deloria, Jr. and Daniel Wildcat (2001). Often, </w:t>
      </w:r>
      <w:r w:rsidRPr="00087A72">
        <w:rPr>
          <w:sz w:val="8"/>
          <w:szCs w:val="28"/>
        </w:rPr>
        <w:t>Indigenous modes of education offer differing perspectives on place and education primarily due to the nature of their operative knowledge systems, which carry preexisting ethics of social and ecological sustainability (Barnhardt and Kawagley 2005; Cajete 1994, 1999; Kawagley and Barnhardt 1999).562 Critical place-based education’s goal to go against the epistemic grain works in tandem with many Indigenous scholars. Kawagley and Barnhardt (1999) illustrate one of the primary tensions that needs to be reconciled when attempting a place-based education in schools dominated by Western perceptions of reality—Indigenous cultures maintain that “humans have a responsibility for maintaining a harmonious relationship with the natural world”; Western cultures harbor an anthropocentric ethic that reinforces the perceived right to “exercise dominion over nature to use for personal and economic gain” (120). This ethic of dominion is intimately connected with racialized and gendered ideas of private/embodied property and what kind of person has the right to own places. Schools that are dominated by an Anglo-American perception of reality are not placeless, because particular conceptions of place are already engrained into schooled knowledge, and preexist contemporary pedagogies of place. A prefigured relation to place is enmeshed with social technologies used by white settler societies to make sense of the social world. Although place is geographically and culturally specific, common interpretations of place are transmitted through ideologies and knowledge systems that travel beyond geographic specificity. Guided by available knowledge, the places with which we identify carry ontological implications (Basso 1996); the social world that we exist in shapes who we are and how we know ourselves in relation to the world—we are all emplaced (Greenwood 2013a). Our emplaced lives are embedded with socio-political, -cultural, -economic, and socio-epistemic implications (Marker 2006; Medina 2013; Pena 1998). As ˜ David Greenwood (2013a) suggests, to “really know a place is to understand how environment, culture, and politics have worked to shape it, and to appreciate that any particular place may have diverse and competing meaning for different</w:t>
      </w:r>
      <w:r w:rsidRPr="00087A72">
        <w:rPr>
          <w:sz w:val="8"/>
        </w:rPr>
        <w:t xml:space="preserve"> groups or individuals” (94). With this in mind, it is crucial for future theorizations of place education to consider the epistemic norms associated with the politics of place. This consideration requires place-based educators to contextualize ecology and domination within the colonial mind (Greenwood 2009, 2013a). Place-based education must attend to the traditions informing contemporary politics of place that remain infected with the logics of domination.  WHITE SUPREMACY, SETTLER HOME MAKING, AND SELF In the early 1900s, W. E. B. Du Bois began an analysis of white supremacy that sought to unveil the linkages between racial caste, capitalism, and colonization. In a question emerging from what appears as sardonic frustration with the racial order, Du Bois (1920/2003) pondered, “But what on earth is whiteness that one should so desire it? Then always, somehow, some way, silently but clearly, I am given to 563 understand that </w:t>
      </w:r>
      <w:r w:rsidRPr="00087A72">
        <w:rPr>
          <w:rStyle w:val="StyleUnderline"/>
        </w:rPr>
        <w:t>whiteness is the ownership of the earth forever and ever</w:t>
      </w:r>
      <w:r w:rsidRPr="00087A72">
        <w:rPr>
          <w:sz w:val="8"/>
        </w:rPr>
        <w:t xml:space="preserve">, Amen!” (56). This </w:t>
      </w:r>
      <w:r w:rsidRPr="00087A72">
        <w:rPr>
          <w:rStyle w:val="StyleUnderline"/>
        </w:rPr>
        <w:t xml:space="preserve">racially coded drive toward “ownership” is central to clarifying the conception of place within the white settler epistemology; </w:t>
      </w:r>
      <w:r w:rsidRPr="00087A72">
        <w:rPr>
          <w:sz w:val="8"/>
        </w:rPr>
        <w:t xml:space="preserve">it simultaneously speaks to the politics of capitalistic places (the drive to accumulate wealth and property), </w:t>
      </w:r>
      <w:r w:rsidRPr="00087A72">
        <w:rPr>
          <w:rStyle w:val="StyleUnderline"/>
        </w:rPr>
        <w:t xml:space="preserve">the dominant extractive ethic of place (accumulating wealth and property by extracting it, via labor, from nature and inferior beings), in addition to personal whiteness as a signifier of ownership/power. </w:t>
      </w:r>
      <w:r w:rsidRPr="00087A72">
        <w:rPr>
          <w:sz w:val="8"/>
        </w:rPr>
        <w:t>The impetus to own and exploit all natural resources—labor power and the multitude of beings flattened into the environment—</w:t>
      </w:r>
      <w:r w:rsidRPr="00087A72">
        <w:rPr>
          <w:rStyle w:val="StyleUnderline"/>
        </w:rPr>
        <w:t>is the capitalistic impulse that advanced settler colonization and has overseen the growth of white supremacy</w:t>
      </w:r>
      <w:r w:rsidRPr="00087A72">
        <w:rPr>
          <w:sz w:val="8"/>
        </w:rPr>
        <w:t xml:space="preserve">. </w:t>
      </w:r>
      <w:r w:rsidRPr="00087A72">
        <w:rPr>
          <w:rStyle w:val="StyleUnderline"/>
        </w:rPr>
        <w:t>Settler colonialism entails a violent remaking of a place—a tearing down of previously established social norms and imposing a new socially constructed reality with its own rules and regulations</w:t>
      </w:r>
      <w:r w:rsidRPr="00087A72">
        <w:rPr>
          <w:sz w:val="8"/>
        </w:rPr>
        <w:t xml:space="preserve">. Albert Memmi (1965) provides a portrait of </w:t>
      </w:r>
      <w:r w:rsidRPr="00087A72">
        <w:rPr>
          <w:rStyle w:val="StyleUnderline"/>
        </w:rPr>
        <w:t>colonial social conditioning that becomes permanently imposed within settler nation-states:</w:t>
      </w:r>
      <w:r w:rsidRPr="00087A72">
        <w:rPr>
          <w:sz w:val="8"/>
        </w:rPr>
        <w:t xml:space="preserve"> A foreigner, having come to a land by the accidents of history, has succeeded not merely in creating a place for himself but also in taking away that of the inhabitant, granting himself astounding privileges to the detriment of those rightfully entitled to them. And this is not by virtue of local laws, which in a certain way legitimize this inequality by tradition, but by upsetting the established rules and substituting his own. He thus appears doubly unjust. He is a privileged being and an illegitimately privileged one; that is, a usurper. (9) Eve Tuck and Wayne Yang (2012) offer a similar sentiment. They write, “</w:t>
      </w:r>
      <w:r w:rsidRPr="00087A72">
        <w:rPr>
          <w:rStyle w:val="StyleUnderline"/>
        </w:rPr>
        <w:t>Settler colonialism is different from other forms of colonialism in that settlers come with the intention of making a new home on the land, a homemaking that insists on settler sovereignty over all things in their new domain”</w:t>
      </w:r>
      <w:r w:rsidRPr="00087A72">
        <w:rPr>
          <w:sz w:val="8"/>
        </w:rPr>
        <w:t xml:space="preserve"> (5). Tuck and Yang’s, as well as Memmi’s, understanding of the colonial project, emphasizes homemaking as the violent imposition of new social constructs defining the ecological world—defining place—at the expense of previously dominant Indigenous worldviews. </w:t>
      </w:r>
      <w:r w:rsidRPr="00087A72">
        <w:rPr>
          <w:rStyle w:val="StyleUnderline"/>
        </w:rPr>
        <w:t>The reconstitution of places through settler colonization in North America was justified by an anthropocentric white supremacist epistemology established on particular understandings of civilization and personhood. A conception of rationality, welded to deeply held beliefs in the binaries of civilized/savage, mind/body, culture/nature, facilitated the taking and remaking of Indigenous land by AngloEuropean settlers</w:t>
      </w:r>
      <w:r w:rsidRPr="00087A72">
        <w:rPr>
          <w:sz w:val="8"/>
        </w:rPr>
        <w:t xml:space="preserve">. </w:t>
      </w:r>
      <w:r w:rsidRPr="00087A72">
        <w:rPr>
          <w:rStyle w:val="StyleUnderline"/>
        </w:rPr>
        <w:t>This expropriation was not a simple land theft, but a reconstitution of land.</w:t>
      </w:r>
      <w:r w:rsidRPr="00087A72">
        <w:rPr>
          <w:sz w:val="8"/>
        </w:rPr>
        <w:t xml:space="preserve"> The way nature was perceived, understood, and interacted with was transformed at the most fundamental levels. The infinitely complex and diverse world that falls under the umbrella term nature (humans animals, more-thanhuman animals, plants, soil, watersheds, air, minerals, streams, etc.) was now understood according to the logic of capitalism. This logic (which is represented 564 by John Locke and his political theory that is epistemically normalized in the West) provides the perception that the uncultivated self and uncultivated land is worthless (Locke, 1690/1952; Pateman and Mills, 2007). </w:t>
      </w:r>
      <w:r w:rsidRPr="00087A72">
        <w:rPr>
          <w:rStyle w:val="StyleUnderline"/>
        </w:rPr>
        <w:t>Under these imposed epistemic conditions, the self and place are understood through an equation of economic potentiality, fostering a politics of place and politics of self predicated upon the exploitation and cultivation of humans and the ecological world. Settler colonization was, and continues to be, an act of white supremacy</w:t>
      </w:r>
      <w:r w:rsidRPr="00087A72">
        <w:rPr>
          <w:sz w:val="8"/>
        </w:rPr>
        <w:t xml:space="preserve">. Arlo Kempf (2010) delineates how </w:t>
      </w:r>
      <w:r w:rsidRPr="00087A72">
        <w:rPr>
          <w:rStyle w:val="StyleUnderline"/>
        </w:rPr>
        <w:t>continued colonization constitutes the dominant social system and the subsequent racialized and gendered social hierarchy</w:t>
      </w:r>
      <w:r w:rsidRPr="00087A72">
        <w:rPr>
          <w:sz w:val="8"/>
        </w:rPr>
        <w:t xml:space="preserve">. Kempf argues that </w:t>
      </w:r>
      <w:r w:rsidRPr="00087A72">
        <w:rPr>
          <w:rStyle w:val="StyleUnderline"/>
        </w:rPr>
        <w:t>white-heterosexual-male privilege is bound to a logic of domination and can be seen in colonial moments that occur “when behavior, based on social location, has concrete negative consequences for one actor or group, and concrete positive consequences for another</w:t>
      </w:r>
      <w:r w:rsidRPr="00087A72">
        <w:rPr>
          <w:sz w:val="8"/>
        </w:rPr>
        <w:t>” (16). The negative and positive consequences of colonial moments manifest in material (overt, structural, institutional, economic, cultural) and immaterial (spiritual, emotional, epistemological, psychological, ideological) ways. Colonial moments systematically and longitudinally enacted accent the reality of the settler colonial process as one of “profound epistemic, ontological, cosmological violence,” that transcends any single historical moment and exists contemporarily as a system that depends on the continued occupation of stolen lands (Tuck and Yang 2012, 5</w:t>
      </w:r>
      <w:r w:rsidRPr="00087A72">
        <w:rPr>
          <w:rStyle w:val="StyleUnderline"/>
        </w:rPr>
        <w:t>). Colonial moments should hold particular attention for those who have been socially marked as both white and settler</w:t>
      </w:r>
      <w:r w:rsidRPr="00087A72">
        <w:rPr>
          <w:sz w:val="8"/>
        </w:rPr>
        <w:t xml:space="preserve">. Many scholars of race, gender, and epistemology have pointed out that dominant and oppressive cognitive norms are internalized across subject positions, but, despite this reality, white settler epistemologies perform a particular service for those conscripted into a white settler positionality. This service (the distribution of unearned privileges) is seen in colonial moments that impact white settlers and their own epistemic positionality whether it is desired or not. In those colonial moments that privilege is distributed (sometimes unknowingly or unwanted), the white settler epistemology is reproduced by the direct imposition of epistemic realities onto all of those that fall within a white settler dominion. What this means is that </w:t>
      </w:r>
      <w:r w:rsidRPr="00087A72">
        <w:rPr>
          <w:rStyle w:val="StyleUnderline"/>
        </w:rPr>
        <w:t>when epistemic deconstruction is employed within a place-based education epistemic positionality must be entertained and understood alongside the politics of white-heteropatriarchal privilege.</w:t>
      </w:r>
    </w:p>
    <w:p w:rsidR="0021729E" w:rsidRPr="00087A72" w:rsidRDefault="0021729E" w:rsidP="0021729E">
      <w:pPr>
        <w:pStyle w:val="Heading3"/>
      </w:pPr>
      <w:r w:rsidRPr="00087A72">
        <w:t>Impact – White Beauty Standards</w:t>
      </w:r>
    </w:p>
    <w:p w:rsidR="0021729E" w:rsidRPr="00087A72" w:rsidRDefault="0021729E" w:rsidP="0021729E">
      <w:pPr>
        <w:pStyle w:val="Heading4"/>
      </w:pPr>
      <w:r w:rsidRPr="00087A72">
        <w:t>Because of settler colonialism, women of color are construed into white women and expected to be represented like white women</w:t>
      </w:r>
    </w:p>
    <w:p w:rsidR="0021729E" w:rsidRPr="00087A72" w:rsidRDefault="0021729E" w:rsidP="0021729E">
      <w:r w:rsidRPr="00087A72">
        <w:rPr>
          <w:rStyle w:val="Style13ptBold"/>
        </w:rPr>
        <w:t>Asaka 17</w:t>
      </w:r>
      <w:r w:rsidRPr="00087A72">
        <w:t>—(Ikuko, PhD from UWMadison for Gender and Women’s History, “Tropical Freedom : Climate, Settler Colonialism, and Black Exclusion in the Age of Emancipation”, pp 124-131)</w:t>
      </w:r>
    </w:p>
    <w:p w:rsidR="0021729E" w:rsidRPr="00087A72" w:rsidRDefault="0021729E" w:rsidP="0021729E">
      <w:pPr>
        <w:rPr>
          <w:u w:val="single"/>
        </w:rPr>
      </w:pPr>
      <w:r w:rsidRPr="00087A72">
        <w:rPr>
          <w:sz w:val="16"/>
        </w:rPr>
        <w:t xml:space="preserve">a letter published in Frederick Douglass’ Paper </w:t>
      </w:r>
      <w:r w:rsidRPr="00087A72">
        <w:rPr>
          <w:u w:val="single"/>
        </w:rPr>
        <w:t>recounted the story of a light- skinned female slave mother who fled to Canada after her children had been sold away from her</w:t>
      </w:r>
      <w:r w:rsidRPr="00087A72">
        <w:rPr>
          <w:sz w:val="16"/>
        </w:rPr>
        <w:t xml:space="preserve">. The letter evoked the theme of maternal loss as it described the mother who “set her face Canada ward” after “her last child was sold down the river to satisfy the claims of her masters’ creditors.” It also captured the racial wrongs of slavery with an allusion to the plot about Eliza in Uncle Tom’s Cabin: </w:t>
      </w:r>
      <w:r w:rsidRPr="00087A72">
        <w:rPr>
          <w:u w:val="single"/>
        </w:rPr>
        <w:t>“ Here is a woman almost white— with her soul crushed, and crushed, as one child after another has been torn from her, and sold to the slave- traders, Legree and others.”46 Another account of a slave mother and child who fled from Kentucky to Canada also was written in a way to elicit sympathy from white readers. The mother was depicted as “light, fair and beautiful” and “of noble intellect and [a] refined, ethereal spiritual nature,” and her child was “white, and everyway good looking enough for any body’s child.” The phrase “anybody’s child” meant any white person’s child</w:t>
      </w:r>
      <w:r w:rsidRPr="00087A72">
        <w:rPr>
          <w:sz w:val="16"/>
        </w:rPr>
        <w:t>, and the invocation of racial affinity was intended to foster a recognition of slavery as a wicked system of white enslavement.47 The “mulatto” mother figure was not an ideal discursive tool with which to signify black women’s place in settler colonial Canada. First and foremost, the figure signified not so much blackness as whiteness</w:t>
      </w:r>
      <w:r w:rsidRPr="00087A72">
        <w:rPr>
          <w:u w:val="single"/>
        </w:rPr>
        <w:t xml:space="preserve">. These abolitionist texts condemned the enslavement of humans classified as white. The slave mother and her child were cast as pale- skinned, and their enslavement was denounced not least because of their near whiteness. </w:t>
      </w:r>
      <w:r w:rsidRPr="00087A72">
        <w:rPr>
          <w:sz w:val="16"/>
        </w:rPr>
        <w:t xml:space="preserve">In countering colonial settlers who vilified blackness, the “whitened” female fugitive figure did not seem to be an appealing cultural resource. It is impor tant to note that, contrary to the repre sen ta tions of black female slaves as passive, helpless, and immobile in male- authored slave narratives, substantial numbers of enslaved women in fact escaped on their own—in all- female groups or alone. In personal letters and orga nizational rec ords, there is evidence that enslaved women acted on their desire for freedom and overcame adversaries without male assistance. Rec ords kept by William Still, a leading member of Philadelphia’s revived vigilance committee, reveal enslaved women’s aspirations and endurance.48 He documented runaways who arrived in Philadelphia between December 25, 1852, and February 22, 1857, taking notes of the details of their escapes such as their places of departure and whom they left behind. The 265 fugitives who came under Still’s care included 108 men, 96 women, and 32 children (the gender was unrecorded for 29 others). Taking into account only those whose gender was known, the ratio of men to women was 1:0.89, an almost equal proportion between male and female fugitives. Except for 42 individuals whose traveling conditions were unclear, the fugitives were recorded to have come in 155 diff er ent parties, </w:t>
      </w:r>
      <w:r w:rsidRPr="00087A72">
        <w:rPr>
          <w:u w:val="single"/>
        </w:rPr>
        <w:t>52 of which were either women traveling together or alone. These all- female bands accounted for roughly 34 percent of the recorded parties, which testifies to an obvious willingness and ability of enslaved women to break free of their bondage without men’s help.49 Women’s desperate yearning for freedom was manifest in the fact that some of them left their husbands and even their children in bondage</w:t>
      </w:r>
      <w:r w:rsidRPr="00087A72">
        <w:rPr>
          <w:sz w:val="16"/>
        </w:rPr>
        <w:t xml:space="preserve">. Harriet Shepherd fled without her husband and came with her five children by “help[ing] themselves to their master’s horses and carriages.” Maria Joiner escaped on her own, leaving her husband and sister still in bondage. Sarah Aires also sought freedom while her enslaved husband remained in Mary land. Emeline Chatman ran away without her husband, daughter, and son. </w:t>
      </w:r>
      <w:r w:rsidRPr="00087A72">
        <w:rPr>
          <w:u w:val="single"/>
        </w:rPr>
        <w:t>These women all displayed their resolve to be free by their own exertions</w:t>
      </w:r>
      <w:r w:rsidRPr="00087A72">
        <w:rPr>
          <w:sz w:val="16"/>
        </w:rPr>
        <w:t xml:space="preserve">. One lone traveler, </w:t>
      </w:r>
      <w:r w:rsidRPr="00087A72">
        <w:rPr>
          <w:u w:val="single"/>
        </w:rPr>
        <w:t>Elza McCoy, voiced what these women had felt but that had failed to enter the standard male- authored narratives</w:t>
      </w:r>
      <w:r w:rsidRPr="00087A72">
        <w:rPr>
          <w:sz w:val="16"/>
        </w:rPr>
        <w:t>— that she had “always wanted to be free.”50 Their determination was supported by legally free women who used their family networks to help female runaways cross the border. Elizabeth Williams, an aunt of Shadd, wrote to her niece about a woman in Delaware who “lives in continual dread” of “a Colored man” who knew her former owner. The female fugitive desired to leave for Canada in the near future and had Williams relay her questions to Shadd: “ Whether you think she can make a living by her needle there and whether you would be willing to let her come to your house for a short time and whether you would be willing to ade [sic] her in [indecipherable] work when she first come out there.” Williams affirmed the woman’s character by conveying her determination to work on her own as a seamstress and “not want to come to live on you.”</w:t>
      </w:r>
      <w:r w:rsidRPr="00087A72">
        <w:rPr>
          <w:u w:val="single"/>
        </w:rPr>
        <w:t>51 Nevertheless, fugitive women’s courage, enterprise, and love of freedom did not result in a fugitive figure that formerly enslaved women in Canada could deploy to assert their colonial belonging</w:t>
      </w:r>
      <w:r w:rsidRPr="00087A72">
        <w:rPr>
          <w:sz w:val="16"/>
        </w:rPr>
        <w:t xml:space="preserve">. There was thus an urgent need for a cultural device to articulate black female British identities, and that need was diligently addressed by Shadd. </w:t>
      </w:r>
      <w:r w:rsidRPr="00087A72">
        <w:rPr>
          <w:u w:val="single"/>
        </w:rPr>
        <w:t>Before she arrived in Canada, Shadd had been a strong advocate of the social, po liti cal, and economic improvement of the northern free black community</w:t>
      </w:r>
      <w:r w:rsidRPr="00087A72">
        <w:rPr>
          <w:sz w:val="16"/>
        </w:rPr>
        <w:t xml:space="preserve">. She had published a pamphlet titled Hints to the Colored People of the North in 1849 and spent ten years teaching black children in New Jersey, New York, and Pennsylvania, where she had attended a Quaker boarding school. In 1851 Shadd visited Toronto to attend the North American Convention, at which black residents of Canada and the United States met to discuss the viability of emigration and diff er ent destination options in the face of the deteriorating conditions in the United States. Shadd chose to stay in the British province and settled in Windsor, then a small town by the Detroit River. She soon rekindled her passion for teaching by founding a private school for black children with financial assistance from the American Missionary Association. </w:t>
      </w:r>
      <w:r w:rsidRPr="00087A72">
        <w:rPr>
          <w:u w:val="single"/>
        </w:rPr>
        <w:t>However, the aid ended after one year, and Shadd reluctantly gave up teaching. Her attention subsequently shifted to publishing and editing, and the Provincial Freeman became her main commitment.52 Shadd used the newspaper as a vehicle to press for black mi grants’ integration into Canada as settlers who enjoyed equal footing with white colonists</w:t>
      </w:r>
      <w:r w:rsidRPr="00087A72">
        <w:rPr>
          <w:sz w:val="16"/>
        </w:rPr>
        <w:t xml:space="preserve">. Following in the footsteps of Ward, Shadd committed the paper to contesting the white mono poly of land owner ship and civil rights. One of her sworn enemies was Larwill; articles castigating him appeared in the Provincial Freeman more than once.53 Another entity that incurred her disfavor was the Colonial Church and School Society, which set forth a model of black British subjecthood that contradicted Shadd’s settler- immigrant identity. The organ ization was a missionary society based in London, which had come into being on January 1, 1851, as a result of the merger of the Colonial Church Society and the Church f England School Society for Newfoundland and the Colonies. Tending to the religious welfare of British- born colonists was the society’s official primary duty, in preference to the task of evangelizing “the Heathen” who came under British imperial rule, although each local context necessitated a distinct program.54 </w:t>
      </w:r>
      <w:r w:rsidRPr="00087A72">
        <w:rPr>
          <w:u w:val="single"/>
        </w:rPr>
        <w:t>The society sent missionaries to colonies as diverse as British North Amer i ca, the British West Indies, East India, the Cape of Good Hope, Australia, Hong Kong, and Malta.55 Considered an impor tant aspect of British imperial expansion, the society’s effort to maintain colonists’ Anglican affiliation enjoyed the support of high- ranking figures:</w:t>
      </w:r>
      <w:r w:rsidRPr="00087A72">
        <w:rPr>
          <w:sz w:val="16"/>
        </w:rPr>
        <w:t xml:space="preserve"> Queen Victoria was its patron, and the archbishops of Canterbury and York were its vice patrons. Members of Parliament and Anglican bishops in diff er ent colonies served as its vice presidents.56 In British North Amer i ca, the society’s missionary efforts extended to former- slave refugees, French Canadians, and indigenous populations as well as colonists from the British Isles.57 The mission among self- emancipated people was formally put on its agenda at a committee meeting in April 1853 and became known as the Fugitive Slave Mission sometime before 1856.</w:t>
      </w:r>
      <w:r w:rsidRPr="00087A72">
        <w:rPr>
          <w:u w:val="single"/>
        </w:rPr>
        <w:t>58 The Fugitive Slave Mission was initiated by members of the West London Ladies’ Association, who had written an Address to the Women of the United States for the Abolition of Slavery, a transatlantic call to exert female influence for the cause of abolitionism. After writing the Address, the women realized that such effort lacked “a practical character” and therefore ventured into new territory</w:t>
      </w:r>
      <w:r w:rsidRPr="00087A72">
        <w:rPr>
          <w:sz w:val="16"/>
        </w:rPr>
        <w:t xml:space="preserve">.59 The Fugitive Slave Mission was part antislavery proj ect and part colonial mission. The proj ect was devised with hopes that “the spectacle of a large body of the negro race, elevated in social and religious condition” would help effect abolition in the United States.60 It was also considered an endeavor to uplift the moral condition of fellow British subjects. The founding members solicited support for “the fugitive colored population in our own colony of Canada,” who “as our fellow subjects, have a special claim on our regard.”61 On the latter point, the society implemented the Fugitive Slave Mission as part of its broader scheme of administrating the religious needs of black colonial subjects across the empire. In the annual report for 1856–57, the period during which its West Indian missions began operating, religious instruction for self- emancipated populations in Canada and “the emancipated negroes of the West Indies” was portrayed as part of a broader proj ect of civilizing “the African race” in the empire.62 The report set the two groups side by side, pleading for “the sympathies of British Christians of the beautiful and now impoverished West India islands . . . [and] of the fugitive slaves also, who are annually seeking the protection of the British empire on Canadian soil.”63 </w:t>
      </w:r>
      <w:r w:rsidRPr="00087A72">
        <w:rPr>
          <w:u w:val="single"/>
        </w:rPr>
        <w:t>The society’s choice of missionaries also exhibited metropolitan whites’ tendency to combine formerly enslaved people in Canada and the Ca rib bean into a group of British subjects distinguished by their past enslavement.</w:t>
      </w:r>
      <w:r w:rsidRPr="00087A72">
        <w:rPr>
          <w:sz w:val="16"/>
        </w:rPr>
        <w:t xml:space="preserve"> </w:t>
      </w:r>
      <w:r w:rsidRPr="00087A72">
        <w:rPr>
          <w:u w:val="single"/>
        </w:rPr>
        <w:t>The appointed missionaries, Rev. M. M. Dillon and a lay missionary named Ballantine, were selected because they were both considered to have had “long and extensive acquaintance with the characteristics of the African race” in a British colonial context.64 Both had worked in Dominica, with Dillon as rector and Ballantine as religious instructor among “the colored boys.”</w:t>
      </w:r>
      <w:r w:rsidRPr="00087A72">
        <w:rPr>
          <w:sz w:val="16"/>
        </w:rPr>
        <w:t xml:space="preserve">65 At Dillon’s request, the society also appointed two people from the Ca rib bean as infant school teachers. They were “two young colored females named Titre”— sisters who had accompanied Ballantine from Dominica and who were then studying at the Home and Colonial Institution (the society’s school for the training of missionaries prior to their fieldwork).66 James Bruce, Earl of Elgin, the governor general of Canada and former governor of Jamaica, also perceived the mission as part of an intercolonial rubric of British emancipated subjects. When greeting Dillon, who arrived in September 1854, Elgin “expressed his deep interest in the Mission, arising from his former connexion with Jamaica.”67 </w:t>
      </w:r>
      <w:r w:rsidRPr="00087A72">
        <w:rPr>
          <w:u w:val="single"/>
        </w:rPr>
        <w:t>Like colonial missions in the West Indies, the Fugitive Slave Mission was structurally and ideologically based on an unequal relationship between metropolitan whites and emancipated black colonial subjects. The under lying sense of white superiority was manifested in an address published in the society’s annual report, which Shadd reprinted in the Freeman. In appealing for donations for the mission, the address painted a derogatory picture of formerly enslaved fugitives in Canada, describing them as being “in the lowest state of ignorance of religion, and even of secular knowledge” and “utterly neglected by all around them.</w:t>
      </w:r>
      <w:r w:rsidRPr="00087A72">
        <w:rPr>
          <w:sz w:val="16"/>
        </w:rPr>
        <w:t xml:space="preserve">”68 Its denigrating tone met with Shadd’s criticism that it did </w:t>
      </w:r>
      <w:r w:rsidRPr="00087A72">
        <w:rPr>
          <w:u w:val="single"/>
        </w:rPr>
        <w:t>nothing but “injustice to the colored people, by considering them to [be in] a pit of degradation.”</w:t>
      </w:r>
      <w:r w:rsidRPr="00087A72">
        <w:rPr>
          <w:sz w:val="16"/>
        </w:rPr>
        <w:t xml:space="preserve">69 At the core of her censure was the conviction that black Canadians’ relationship to the empire should parallel that of white colonists— blacks should be seen not as British emancipated subjects but as equal constituents of the Canadian settler polity. </w:t>
      </w:r>
      <w:r w:rsidRPr="00087A72">
        <w:rPr>
          <w:u w:val="single"/>
        </w:rPr>
        <w:t>This position resonated with the view of a group of black residents in Toronto, who convened a meeting to refute the aforementioned address and denounce the mission’s treatment of black Canadians as “a distinct class” of “Her Majesty’s loyal subjects in this country where no distinction is made on account of color.”</w:t>
      </w:r>
      <w:r w:rsidRPr="00087A72">
        <w:rPr>
          <w:sz w:val="16"/>
        </w:rPr>
        <w:t>70 This statement was echoed by a reader of the Provincial Freeman who complained to Shadd that Canada’s black residents were already “receiv[ing] religious instruction in common with the rest of Her Majesty’s subjects,” in contrast to “the West Indies,” where greater missionary work was in urgent need, specifically among freed populations.71 The reader’s statement made a deliberate distinction between black people in Canada and in the Ca rib be an: the British Ca rib bean consisted of colonies with black majority populations in need of race- specific religious instruction from the metropole, while Canada was a society in which black settlers participated in its religious life alongside other Canadians. Such a favorable depiction of Canadian black life was more a po liti cal strategy than anything else. It was a way for Shadd and her sympathizers to assert their par tic u lar model of British identity</w:t>
      </w:r>
      <w:r w:rsidRPr="00087A72">
        <w:rPr>
          <w:u w:val="single"/>
        </w:rPr>
        <w:t>, in which they were equal participants in a settler polity and not the empire’s black emancipated people locked in the hierarchical racial relationship exemplified by the top- down West Indian colonial missionary system. In further assimilating black populations into Canadian settlerhood, Shadd consolidated formerly enslaved fugitives and free black mi grants into a single free black people, which symbolically helped erase the chief factor that had been invoked by white settlers to justify black exclusion</w:t>
      </w:r>
      <w:r w:rsidRPr="00087A72">
        <w:rPr>
          <w:sz w:val="16"/>
        </w:rPr>
        <w:t xml:space="preserve">: the association of slave escape with laziness, transience, and lack of loyalty.72 Such an approach put Shadd in conflict with the Bibbs, who upheld a separate former- slave identity. The conflict led to public wranglings over a land distribution policy at the Refugee Home Society.73 The society’s stance of providing land exclusively to former- slave individuals contradicted Shadd’s position that between “self- emancipated freed men and free men,” “no line of demarcation [should be] drawn among them; all are adopted British freemen.”74 In her view, formerly enslaved and legally free blacks now belonged in a single people whose members had transcended their past status in the United States. This sense of collective free black identity became a fundamental tenet of a campaign to oppose the Refugee Home Society. Shadd and like- minded African Canadians maintained that “refugees from American slavery” were “now loyal subjects of Her Majesty’s Government” and that between former- slave refugees and “several thousand [who] have never been slaves . . . there is greater una nim i ty on all questions affecting them, as freemen.”75 Based on this overarching identity as free Canadians, Shadd crafted a black female subject that personified a common future for legally free and former- slave mi grants. </w:t>
      </w:r>
      <w:r w:rsidRPr="00087A72">
        <w:rPr>
          <w:u w:val="single"/>
        </w:rPr>
        <w:t>The result was the black female settler- immigrant whose journey to Canada was for the purpose of improving her family’s material condition and whose womanhood denoted her gender- specific reproductive and maternal tasks</w:t>
      </w:r>
      <w:r w:rsidRPr="00087A72">
        <w:rPr>
          <w:sz w:val="16"/>
        </w:rPr>
        <w:t xml:space="preserve">. This figure, which evolved during the period 1852–56, first appeared in Shadd’s emigration guide, titled A Plea for Emigration, or, Notes of Canada West. The guide presented to African Americans “the prospect of becoming purchasers and settlers” in Canada and furnished detailed information about the colony’s climate, soil quality, prices of land, and crops and livestock that could be raised there, followed by an explanation of access to po liti cal rights, religious instruction, and schooling.76 Constructed in the pages of the guide was a black settler- immigrant subject intent on economic advancement. In creating her black female settler- immigrant figure, </w:t>
      </w:r>
      <w:r w:rsidRPr="00087A72">
        <w:rPr>
          <w:u w:val="single"/>
        </w:rPr>
        <w:t xml:space="preserve">Shadd appropriated and reworked a female prototype prevalent in Canadian settler immigrant liter a ture. </w:t>
      </w:r>
      <w:r w:rsidRPr="00087A72">
        <w:rPr>
          <w:sz w:val="16"/>
        </w:rPr>
        <w:t xml:space="preserve">This appropriation was clear in an advertisement for a house keeping manual published in the Provincial Freeman. The manual, titled The Female Emigrant’s Guide; or Hints on Canadian House keeping and written by a Mrs. C. P. Trail, was originally aimed at women from the British Isles, but Shadd broadened its target readership to include African American women from the United States.77 She recommended the book to any </w:t>
      </w:r>
      <w:r w:rsidRPr="00087A72">
        <w:rPr>
          <w:u w:val="single"/>
        </w:rPr>
        <w:t>woman “who has left her childhood’s home to find a new one in a strange land.” In Shadd’s mind, this immigrant woman did not have to be white</w:t>
      </w:r>
      <w:r w:rsidRPr="00087A72">
        <w:rPr>
          <w:sz w:val="16"/>
        </w:rPr>
        <w:t xml:space="preserve">. She predicted that the manual would be a huge hit “now that the advantages of Canada are being discussed so much more freely in the Old Country than formerly, and also among the colored people in the United States.”78 In a broader cultural context, immigration guides written by women writers constituted a lit er a ture genre called the settlement journal, exemplified by Trail’s The Female Emigrant’s Guide (1854) and Roughing It in the Bush, Or Life in the Canadas (1852) by Susanna Moodie, Trail’s sister.79 Settlement journals provided information about the conditions in the colony to prospective immigrants, offering advice on how to adjust to a new social and natu ral environment and re- create British life and institutions there.80 </w:t>
      </w:r>
      <w:r w:rsidRPr="00087A72">
        <w:rPr>
          <w:u w:val="single"/>
        </w:rPr>
        <w:t>Through the reframing of the female domestic immigrant constructed in the settlement journals— a racialized figure understood as white— Shadd in ven ted a figure evocative of African American women’s integration into Canadian settler womanhood.</w:t>
      </w:r>
    </w:p>
    <w:p w:rsidR="00D005A2" w:rsidRPr="00087A72" w:rsidRDefault="00D005A2" w:rsidP="00D005A2">
      <w:pPr>
        <w:pStyle w:val="Heading2"/>
      </w:pPr>
      <w:r w:rsidRPr="00087A72">
        <w:t>Alternatives</w:t>
      </w:r>
    </w:p>
    <w:p w:rsidR="00514D76" w:rsidRPr="00087A72" w:rsidRDefault="00514D76" w:rsidP="00D005A2">
      <w:pPr>
        <w:pStyle w:val="Heading3"/>
      </w:pPr>
      <w:r w:rsidRPr="00087A72">
        <w:t>Alt – Abolish Property</w:t>
      </w:r>
    </w:p>
    <w:p w:rsidR="00514D76" w:rsidRPr="00087A72" w:rsidRDefault="00514D76" w:rsidP="00514D76">
      <w:pPr>
        <w:pStyle w:val="Heading4"/>
      </w:pPr>
      <w:r w:rsidRPr="00087A72">
        <w:t xml:space="preserve">The alternative is to dismantle the idea of formalized territory, the root cause of oppression and genocide. </w:t>
      </w:r>
    </w:p>
    <w:p w:rsidR="00514D76" w:rsidRPr="00087A72" w:rsidRDefault="00514D76" w:rsidP="00514D76">
      <w:pPr>
        <w:rPr>
          <w:rStyle w:val="Style13ptBold"/>
          <w:b w:val="0"/>
          <w:bCs w:val="0"/>
          <w:sz w:val="22"/>
        </w:rPr>
      </w:pPr>
      <w:r w:rsidRPr="00087A72">
        <w:rPr>
          <w:rStyle w:val="Style13ptBold"/>
        </w:rPr>
        <w:t>McNeil 18</w:t>
      </w:r>
      <w:r w:rsidRPr="00087A72">
        <w:t xml:space="preserve"> (Elizabeth, an instructor of English at Arizona State University's downtown campus and Faculty Advisor for the Environmental Humanities Certificate. She is an Affiliate Faculty member in Women's and Gender Studies and African and African American Studies. She received her Ph.D. in English (American ethnic and women’s literatures) and M.F.A. in Creative Writing (poetry) from Arizona State University, “Mapping Queer Space(s) of Praxis and Pedagogy”, PP 305-307)</w:t>
      </w:r>
    </w:p>
    <w:p w:rsidR="00514D76" w:rsidRPr="00087A72" w:rsidRDefault="00514D76" w:rsidP="00514D76">
      <w:pPr>
        <w:spacing w:after="0" w:line="240" w:lineRule="auto"/>
        <w:rPr>
          <w:rFonts w:cs="Arial"/>
          <w:b/>
          <w:sz w:val="28"/>
          <w:szCs w:val="28"/>
          <w:u w:val="single"/>
        </w:rPr>
      </w:pPr>
      <w:r w:rsidRPr="00087A72">
        <w:rPr>
          <w:rFonts w:cs="Arial"/>
          <w:sz w:val="16"/>
          <w:szCs w:val="28"/>
        </w:rPr>
        <w:t xml:space="preserve">My queer landscape is haunted by beasts. They spectrally inhabit pastoral “scenes,” for agriculturalism represents a form of humanization as normalization which has literally resurfaced the earth, and in doing so has marginalized, extirpated, and confined those other beasts with whom we once co-habited. Thus “the human,” like all beasts, is inextricably bound to the history of agro-colonial claims upon territory once shared. </w:t>
      </w:r>
      <w:r w:rsidRPr="00087A72">
        <w:rPr>
          <w:rFonts w:cs="Arial"/>
          <w:b/>
          <w:sz w:val="28"/>
          <w:szCs w:val="28"/>
          <w:u w:val="single"/>
        </w:rPr>
        <w:t>The notion of the bestial was used by colonialists in construals of Native peoples as “brutes”</w:t>
      </w:r>
      <w:r w:rsidRPr="00087A72">
        <w:rPr>
          <w:rFonts w:cs="Arial"/>
          <w:sz w:val="16"/>
          <w:szCs w:val="28"/>
        </w:rPr>
        <w:t xml:space="preserve"> (Brickman 24</w:t>
      </w:r>
      <w:r w:rsidRPr="00087A72">
        <w:rPr>
          <w:rFonts w:cs="Arial"/>
          <w:b/>
          <w:sz w:val="28"/>
          <w:szCs w:val="28"/>
          <w:u w:val="single"/>
        </w:rPr>
        <w:t>)</w:t>
      </w:r>
      <w:r w:rsidRPr="00087A72">
        <w:rPr>
          <w:rFonts w:cs="Arial"/>
          <w:sz w:val="16"/>
          <w:szCs w:val="28"/>
        </w:rPr>
        <w:t xml:space="preserve">, </w:t>
      </w:r>
      <w:r w:rsidRPr="00087A72">
        <w:rPr>
          <w:rFonts w:cs="Arial"/>
          <w:b/>
          <w:sz w:val="28"/>
          <w:szCs w:val="28"/>
          <w:u w:val="single"/>
        </w:rPr>
        <w:t>“primitives”</w:t>
      </w:r>
      <w:r w:rsidRPr="00087A72">
        <w:rPr>
          <w:rFonts w:cs="Arial"/>
          <w:b/>
          <w:sz w:val="16"/>
          <w:szCs w:val="28"/>
        </w:rPr>
        <w:t xml:space="preserve"> </w:t>
      </w:r>
      <w:r w:rsidRPr="00087A72">
        <w:rPr>
          <w:rFonts w:cs="Arial"/>
          <w:sz w:val="16"/>
          <w:szCs w:val="28"/>
        </w:rPr>
        <w:t xml:space="preserve">(Roberts 56–57), </w:t>
      </w:r>
      <w:r w:rsidRPr="00087A72">
        <w:rPr>
          <w:rFonts w:cs="Arial"/>
          <w:b/>
          <w:sz w:val="28"/>
          <w:szCs w:val="28"/>
          <w:u w:val="single"/>
        </w:rPr>
        <w:t>and sexual deviants</w:t>
      </w:r>
      <w:r w:rsidRPr="00087A72">
        <w:rPr>
          <w:rFonts w:cs="Arial"/>
          <w:sz w:val="16"/>
          <w:szCs w:val="28"/>
        </w:rPr>
        <w:t xml:space="preserve"> (Gaard 126–127), and </w:t>
      </w:r>
      <w:r w:rsidRPr="00087A72">
        <w:rPr>
          <w:rFonts w:cs="Arial"/>
          <w:b/>
          <w:sz w:val="28"/>
          <w:szCs w:val="28"/>
          <w:u w:val="single"/>
        </w:rPr>
        <w:t>the bestialization of indigenous peoples has also been closely associated in</w:t>
      </w:r>
      <w:r w:rsidRPr="00087A72">
        <w:rPr>
          <w:rFonts w:cs="Arial"/>
          <w:sz w:val="16"/>
          <w:szCs w:val="28"/>
        </w:rPr>
        <w:t xml:space="preserve"> agro-colonizing discourse with </w:t>
      </w:r>
      <w:r w:rsidRPr="00087A72">
        <w:rPr>
          <w:rFonts w:cs="Arial"/>
          <w:b/>
          <w:sz w:val="28"/>
          <w:szCs w:val="28"/>
          <w:u w:val="single"/>
        </w:rPr>
        <w:t>the demonization of the lupine</w:t>
      </w:r>
      <w:r w:rsidRPr="00087A72">
        <w:rPr>
          <w:rFonts w:cs="Arial"/>
          <w:sz w:val="16"/>
          <w:szCs w:val="28"/>
        </w:rPr>
        <w:t xml:space="preserve"> (Marshall 16). </w:t>
      </w:r>
      <w:r w:rsidRPr="00087A72">
        <w:rPr>
          <w:rFonts w:cs="Arial"/>
          <w:b/>
          <w:sz w:val="28"/>
          <w:szCs w:val="28"/>
          <w:u w:val="single"/>
        </w:rPr>
        <w:t>The charge of rapaciousness leveled at the wolf was also used to characterize Native peoples and represented a form of moral condemnation that justified violences against them both. The bestial was construed as synonymous with in-humanity, the lack of qualities proper to the civilized human</w:t>
      </w:r>
      <w:r w:rsidRPr="00087A72">
        <w:rPr>
          <w:rFonts w:cs="Arial"/>
          <w:sz w:val="16"/>
          <w:szCs w:val="28"/>
        </w:rPr>
        <w:t xml:space="preserve">, and I will argue that it comprised those intractable deviants who could not be incorporated because they resisted agro-colonial normalizations. The wolf, the archetypal deviant beast, resists the territorial normalizations of the land, and as Jacques </w:t>
      </w:r>
      <w:r w:rsidRPr="00087A72">
        <w:rPr>
          <w:sz w:val="16"/>
          <w:szCs w:val="28"/>
        </w:rPr>
        <w:t>Derrida</w:t>
      </w:r>
      <w:r w:rsidRPr="00087A72">
        <w:rPr>
          <w:rFonts w:cs="Arial"/>
          <w:sz w:val="16"/>
          <w:szCs w:val="28"/>
        </w:rPr>
        <w:t xml:space="preserve"> notes, </w:t>
      </w:r>
      <w:r w:rsidRPr="00087A72">
        <w:rPr>
          <w:rFonts w:cs="Arial"/>
          <w:b/>
          <w:sz w:val="28"/>
          <w:szCs w:val="28"/>
          <w:u w:val="single"/>
        </w:rPr>
        <w:t>the exclusion of the wolf instates borders that delineate</w:t>
      </w:r>
      <w:r w:rsidRPr="00087A72">
        <w:rPr>
          <w:b/>
          <w:sz w:val="28"/>
          <w:szCs w:val="28"/>
          <w:u w:val="single"/>
        </w:rPr>
        <w:t xml:space="preserve"> </w:t>
      </w:r>
      <w:r w:rsidRPr="00087A72">
        <w:rPr>
          <w:rFonts w:cs="Arial"/>
          <w:b/>
          <w:sz w:val="28"/>
          <w:szCs w:val="28"/>
          <w:u w:val="single"/>
        </w:rPr>
        <w:t>human societies under the law</w:t>
      </w:r>
      <w:r w:rsidRPr="00087A72">
        <w:rPr>
          <w:rFonts w:cs="Arial"/>
          <w:sz w:val="16"/>
          <w:szCs w:val="28"/>
        </w:rPr>
        <w:t xml:space="preserve"> (Beast  1–31). </w:t>
      </w:r>
      <w:r w:rsidRPr="00087A72">
        <w:rPr>
          <w:rFonts w:cs="Arial"/>
          <w:b/>
          <w:sz w:val="28"/>
          <w:szCs w:val="28"/>
          <w:u w:val="single"/>
        </w:rPr>
        <w:t>The figure of the queer, who, like the wolf, has been subject to demonization and bestialization, also patrols the borders of normative humanity in resisting incorporation to heteronormalized human identities. The bestial was equated with madness and sexual nonconformity</w:t>
      </w:r>
      <w:r w:rsidRPr="00087A72">
        <w:rPr>
          <w:rFonts w:cs="Arial"/>
          <w:sz w:val="16"/>
          <w:szCs w:val="28"/>
        </w:rPr>
        <w:t xml:space="preserve"> during the “Great Confinement,” prior to these states becoming classified in psycho-medical discourse as deviant, abnormal, and yet specifically “human” conditions that could be subject to diagnostic and treatment regimens (Foucault, History of Madness 148–149). The cultural and ecological effects of wolf hunting have not yet been fully acknowledged, and the history of their extirpation cannot be separated from the persecution and marginalization of indigenous peoples. </w:t>
      </w:r>
      <w:r w:rsidRPr="00087A72">
        <w:rPr>
          <w:rFonts w:cs="Arial"/>
          <w:b/>
          <w:sz w:val="28"/>
          <w:szCs w:val="28"/>
          <w:u w:val="single"/>
        </w:rPr>
        <w:t>Wolves and Native peoples were simultaneously driven from territories they had shared for thousands of years</w:t>
      </w:r>
      <w:r w:rsidRPr="00087A72">
        <w:rPr>
          <w:rFonts w:cs="Arial"/>
          <w:sz w:val="16"/>
          <w:szCs w:val="28"/>
        </w:rPr>
        <w:t xml:space="preserve"> in Europe, Asia, and the Americas. </w:t>
      </w:r>
      <w:r w:rsidRPr="00087A72">
        <w:rPr>
          <w:rFonts w:cs="Arial"/>
          <w:b/>
          <w:sz w:val="28"/>
          <w:szCs w:val="28"/>
          <w:u w:val="single"/>
        </w:rPr>
        <w:t>Settler colonialists equated wolves with Native people by describing both as bestial and as deviant. A narrative that attributed a quality of “lupine savagery” to Native people was employed in justification of genocidal and ecocidal violence</w:t>
      </w:r>
      <w:r w:rsidRPr="00087A72">
        <w:rPr>
          <w:rFonts w:cs="Arial"/>
          <w:sz w:val="16"/>
          <w:szCs w:val="28"/>
        </w:rPr>
        <w:t xml:space="preserve">. </w:t>
      </w:r>
      <w:r w:rsidRPr="00087A72">
        <w:rPr>
          <w:rFonts w:cs="Arial"/>
          <w:b/>
          <w:sz w:val="28"/>
          <w:szCs w:val="28"/>
          <w:u w:val="single"/>
        </w:rPr>
        <w:t>The joint</w:t>
      </w:r>
      <w:r w:rsidRPr="00087A72">
        <w:rPr>
          <w:rFonts w:cs="Arial"/>
          <w:sz w:val="16"/>
          <w:szCs w:val="28"/>
        </w:rPr>
        <w:t xml:space="preserve"> </w:t>
      </w:r>
      <w:r w:rsidRPr="00087A72">
        <w:rPr>
          <w:rFonts w:cs="Arial"/>
          <w:b/>
          <w:sz w:val="28"/>
          <w:szCs w:val="28"/>
          <w:u w:val="single"/>
        </w:rPr>
        <w:t>demonization of wolves and Native people is tellingly illustrated by their becoming the subjects of joint bounties offering double payment for the killing of both an Indian and a wolf</w:t>
      </w:r>
      <w:r w:rsidRPr="00087A72">
        <w:rPr>
          <w:rFonts w:cs="Arial"/>
          <w:sz w:val="16"/>
          <w:szCs w:val="28"/>
        </w:rPr>
        <w:t xml:space="preserve"> (Marshall16). I will suggest that </w:t>
      </w:r>
      <w:r w:rsidRPr="00087A72">
        <w:rPr>
          <w:rFonts w:cs="Arial"/>
          <w:b/>
          <w:sz w:val="28"/>
          <w:szCs w:val="28"/>
          <w:u w:val="single"/>
        </w:rPr>
        <w:t>this joint bestialization continues to characterize settler-colonial attitudes toward wolves and Native peoples, particularly where Tribes have defended wolves against the resumption of wolf hunting as sport or for “population management.” Wolves, Native peoples, and queers represent resistance to the moral incorporations and physical confinements that have constructed agro-colonial subjectivities.</w:t>
      </w:r>
      <w:r w:rsidRPr="00087A72">
        <w:rPr>
          <w:rFonts w:cs="Arial"/>
          <w:sz w:val="16"/>
          <w:szCs w:val="28"/>
        </w:rPr>
        <w:t xml:space="preserve"> This piece seeks to recuperate the bestial in a queer reversal of the assimilation of treatable and tractable deviance to the category of the human, in other words, the re-bestialization of the human. In relation to agro-colonialism, </w:t>
      </w:r>
      <w:r w:rsidRPr="00087A72">
        <w:rPr>
          <w:rFonts w:cs="Arial"/>
          <w:b/>
          <w:sz w:val="28"/>
          <w:szCs w:val="28"/>
          <w:u w:val="single"/>
        </w:rPr>
        <w:t>queering the landscape represents nothing less than human decolonial withdrawal, an aim that is already being pursued by Native peoples and some queer and two-spirit activists</w:t>
      </w:r>
      <w:r w:rsidRPr="00087A72">
        <w:rPr>
          <w:rFonts w:cs="Arial"/>
          <w:sz w:val="16"/>
          <w:szCs w:val="28"/>
        </w:rPr>
        <w:t xml:space="preserve"> (Morgensen). The deviant has been deployed both as a signifier of the bestial nonhuman and as a figure of the “abnormal” within the specifically human. The deviant and the beast have been deployed to define what counts as inclusive to, and what, or who, is excluded from the properly human. The instability of the category of the human is revealed through a study of the shifting positions of deviance, which has been located on opposite sides of </w:t>
      </w:r>
      <w:r w:rsidRPr="00087A72">
        <w:rPr>
          <w:sz w:val="16"/>
          <w:szCs w:val="28"/>
        </w:rPr>
        <w:t> </w:t>
      </w:r>
      <w:r w:rsidRPr="00087A72">
        <w:rPr>
          <w:rFonts w:cs="Arial"/>
          <w:sz w:val="16"/>
          <w:szCs w:val="28"/>
        </w:rPr>
        <w:t>the human/animal divide, depending on the specific historical time periods and/or geo-political context in which the category of the deviant has been constructed. This essay will propose that the identity of “being human” is itself intrinsically normalizing, and that both psychological and agro-colonial discourses work together to instate and re-iterate normalized identities as specifically human. I will also argue that queer theoretical work on identity, including some “queer ecological” writing, due to its reliance on psychoanalytically derived accounts of the psychic constitution of the human subject, has yet to address psychology’s conflation of human exceptionalism with heteronormative subjectivity.  </w:t>
      </w:r>
      <w:r w:rsidRPr="00087A72">
        <w:rPr>
          <w:rFonts w:cs="Arial"/>
          <w:b/>
          <w:sz w:val="28"/>
          <w:szCs w:val="28"/>
          <w:u w:val="single"/>
        </w:rPr>
        <w:t>Rather than conceiving of themselves as only one animal being among a multiplicity of eco-systemically connected others, settler-colonial humans have assumed a subjectivity that is ecologically separative.</w:t>
      </w:r>
      <w:r w:rsidRPr="00087A72">
        <w:rPr>
          <w:rFonts w:cs="Arial"/>
          <w:sz w:val="16"/>
          <w:szCs w:val="28"/>
        </w:rPr>
        <w:t xml:space="preserve">  This has arisen, according to Tim Morton, </w:t>
      </w:r>
      <w:r w:rsidRPr="00087A72">
        <w:rPr>
          <w:rFonts w:cs="Arial"/>
          <w:b/>
          <w:sz w:val="28"/>
          <w:szCs w:val="28"/>
          <w:u w:val="single"/>
        </w:rPr>
        <w:t>as a consequence of humans becoming agricultural and assuming that Others of all kinds are always available for exploitation, not only as a source of production, but also for reproduction</w:t>
      </w:r>
      <w:r w:rsidRPr="00087A72">
        <w:rPr>
          <w:rFonts w:cs="Arial"/>
          <w:sz w:val="16"/>
          <w:szCs w:val="28"/>
        </w:rPr>
        <w:t xml:space="preserve"> (“Oedipal Logic”). For Morton, the presumption that nonhuman beings constitute an endless supply of “natural resources” is a disavowal of eco-systemic reality (“Oedipal Logic” 10–12). </w:t>
      </w:r>
      <w:r w:rsidRPr="00087A72">
        <w:rPr>
          <w:rFonts w:cs="Arial"/>
          <w:b/>
          <w:sz w:val="28"/>
          <w:szCs w:val="28"/>
          <w:u w:val="single"/>
        </w:rPr>
        <w:t>Agriculturalism produces “the human” as a category of being that is “exceptional,”</w:t>
      </w:r>
      <w:r w:rsidRPr="00087A72">
        <w:rPr>
          <w:rFonts w:cs="Arial"/>
          <w:sz w:val="16"/>
          <w:szCs w:val="28"/>
        </w:rPr>
        <w:t xml:space="preserve"> separatively singled out from nonhuman beings, </w:t>
      </w:r>
      <w:r w:rsidRPr="00087A72">
        <w:rPr>
          <w:rFonts w:cs="Arial"/>
          <w:b/>
          <w:sz w:val="28"/>
          <w:szCs w:val="28"/>
          <w:u w:val="single"/>
        </w:rPr>
        <w:t>while animals and plants are collectively Othered as “nature” or as “the environment”</w:t>
      </w:r>
      <w:r w:rsidRPr="00087A72">
        <w:rPr>
          <w:rFonts w:cs="Arial"/>
          <w:sz w:val="16"/>
          <w:szCs w:val="28"/>
        </w:rPr>
        <w:t xml:space="preserve"> (Morton, Ecology Without Nature ). Yaqui animal rights activist Rod Coronado makes a similar point when he describes </w:t>
      </w:r>
      <w:r w:rsidRPr="00087A72">
        <w:rPr>
          <w:rFonts w:cs="Arial"/>
          <w:b/>
          <w:sz w:val="28"/>
          <w:szCs w:val="28"/>
          <w:u w:val="single"/>
        </w:rPr>
        <w:t>the settler-colonial position as one that views animals, people, and land as resources “to be exploited and dominated</w:t>
      </w:r>
      <w:r w:rsidRPr="00087A72">
        <w:rPr>
          <w:rFonts w:cs="Arial"/>
          <w:sz w:val="16"/>
          <w:szCs w:val="28"/>
        </w:rPr>
        <w:t xml:space="preserve">…. [, </w:t>
      </w:r>
      <w:r w:rsidRPr="00087A72">
        <w:rPr>
          <w:rFonts w:cs="Arial"/>
          <w:b/>
          <w:sz w:val="28"/>
          <w:szCs w:val="28"/>
          <w:u w:val="single"/>
        </w:rPr>
        <w:t>which is the foundation for the invasion of planet earth</w:t>
      </w:r>
      <w:r w:rsidRPr="00087A72">
        <w:rPr>
          <w:rFonts w:cs="Arial"/>
          <w:sz w:val="16"/>
          <w:szCs w:val="28"/>
        </w:rPr>
        <w:t xml:space="preserve">” (NAALPO). </w:t>
      </w:r>
      <w:r w:rsidRPr="00087A72">
        <w:rPr>
          <w:rFonts w:cs="Arial"/>
          <w:b/>
          <w:sz w:val="28"/>
          <w:szCs w:val="28"/>
          <w:u w:val="single"/>
        </w:rPr>
        <w:t>He connects animal liberation and decolonial activism by pointing out that, “long before there was an animal rights movement, there were indigenous peoples defending the earth and her animals with their lives. And they still are!”</w:t>
      </w:r>
      <w:r w:rsidRPr="00087A72">
        <w:rPr>
          <w:rFonts w:cs="Arial"/>
          <w:sz w:val="16"/>
          <w:szCs w:val="28"/>
        </w:rPr>
        <w:t xml:space="preserve"> (NAALPO</w:t>
      </w:r>
      <w:r w:rsidRPr="00087A72">
        <w:rPr>
          <w:rFonts w:cs="Arial"/>
          <w:b/>
          <w:sz w:val="28"/>
          <w:szCs w:val="28"/>
          <w:u w:val="single"/>
        </w:rPr>
        <w:t>). The hunting of wolves en masse was part of human agro-colonial appropriation of land that established the borders of agriculturalized human settlements</w:t>
      </w:r>
      <w:r w:rsidRPr="00087A72">
        <w:rPr>
          <w:rFonts w:cs="Arial"/>
          <w:sz w:val="16"/>
          <w:szCs w:val="28"/>
        </w:rPr>
        <w:t xml:space="preserve">, </w:t>
      </w:r>
      <w:r w:rsidRPr="00087A72">
        <w:rPr>
          <w:rFonts w:cs="Arial"/>
          <w:b/>
          <w:sz w:val="28"/>
          <w:szCs w:val="28"/>
          <w:u w:val="single"/>
        </w:rPr>
        <w:t>whose social organization also brought forth agriculturalized human subjects.</w:t>
      </w:r>
      <w:r w:rsidRPr="00087A72">
        <w:rPr>
          <w:rFonts w:cs="Arial"/>
          <w:sz w:val="16"/>
          <w:szCs w:val="28"/>
        </w:rPr>
        <w:t xml:space="preserve">  Those who would not, or could not, become domesticates; </w:t>
      </w:r>
      <w:r w:rsidRPr="00087A72">
        <w:rPr>
          <w:rFonts w:cs="Arial"/>
          <w:b/>
          <w:sz w:val="28"/>
          <w:szCs w:val="28"/>
          <w:u w:val="single"/>
        </w:rPr>
        <w:t>those deemed to be unassimilable to agricultural, and later, to agro-industrial resource exploitation, came to represent the deviant beast who was both opposed to, and excluded from, the world of human domestic organization where agriculturalism is the norm. When settler-colonial humans projected their own rapaciousness onto bestialized others, Native people and wolves were particular targets, partly because as hunters, they were rivals for agricultural territory</w:t>
      </w:r>
      <w:r w:rsidRPr="00087A72">
        <w:rPr>
          <w:rFonts w:cs="Arial"/>
          <w:sz w:val="16"/>
          <w:szCs w:val="28"/>
        </w:rPr>
        <w:t xml:space="preserve">. But this projection also staked out the psychic territory of settler-colonial subjecthood in opposition to the intolerable bestial other who threatened the norm of exploitative colonial agriculture. </w:t>
      </w:r>
      <w:r w:rsidRPr="00087A72">
        <w:rPr>
          <w:rFonts w:cs="Arial"/>
          <w:b/>
          <w:sz w:val="28"/>
          <w:szCs w:val="28"/>
          <w:u w:val="single"/>
        </w:rPr>
        <w:t>Queering the land means dismantling normalized territories, both physical and psychic, that act to Other the “world.” This includes commonplace notions of “the wild” and “the environment.”</w:t>
      </w:r>
      <w:r w:rsidRPr="00087A72">
        <w:rPr>
          <w:rFonts w:cs="Arial"/>
          <w:sz w:val="16"/>
          <w:szCs w:val="28"/>
        </w:rPr>
        <w:t xml:space="preserve"> Denuded of the bestial, </w:t>
      </w:r>
      <w:r w:rsidRPr="00087A72">
        <w:rPr>
          <w:rFonts w:cs="Arial"/>
          <w:b/>
          <w:sz w:val="28"/>
          <w:szCs w:val="28"/>
          <w:u w:val="single"/>
        </w:rPr>
        <w:t>“the wild” has become a set of geo-political bordered zones, including areas such as national parks or territory at an ever-decreasing margin of land yet to be unexploited. The entire surface of the earth is now designated as land subject to human control.</w:t>
      </w:r>
    </w:p>
    <w:p w:rsidR="00032E5A" w:rsidRPr="00087A72" w:rsidRDefault="00032E5A" w:rsidP="00D005A2">
      <w:pPr>
        <w:pStyle w:val="Heading3"/>
      </w:pPr>
      <w:r w:rsidRPr="00087A72">
        <w:t>Alt – Browning Education</w:t>
      </w:r>
    </w:p>
    <w:p w:rsidR="00032E5A" w:rsidRPr="00087A72" w:rsidRDefault="00032E5A" w:rsidP="00032E5A">
      <w:pPr>
        <w:pStyle w:val="Heading4"/>
        <w:rPr>
          <w:rStyle w:val="Style13ptBold"/>
          <w:b/>
        </w:rPr>
      </w:pPr>
      <w:r w:rsidRPr="00087A72">
        <w:rPr>
          <w:rStyle w:val="Style13ptBold"/>
          <w:b/>
        </w:rPr>
        <w:t xml:space="preserve">The alternative is to embrace a browning of curriculum – to make it messy, to show how it’s already messy and stained and to refuse the overly romanticized stories of white settler colonialism – instead of participating in the status quo dismissal of brown epistemology, we must embrace it </w:t>
      </w:r>
    </w:p>
    <w:p w:rsidR="00032E5A" w:rsidRPr="00087A72" w:rsidRDefault="00032E5A" w:rsidP="00032E5A">
      <w:pPr>
        <w:rPr>
          <w:rStyle w:val="Style13ptBold"/>
        </w:rPr>
      </w:pPr>
      <w:r w:rsidRPr="00087A72">
        <w:rPr>
          <w:rStyle w:val="Style13ptBold"/>
        </w:rPr>
        <w:t xml:space="preserve">TUCK &amp; GAZTAMBIDE-FERNÁNDEZ, 2013 </w:t>
      </w:r>
      <w:r w:rsidRPr="00087A72">
        <w:rPr>
          <w:rStyle w:val="Style13ptBold"/>
          <w:sz w:val="20"/>
          <w:szCs w:val="20"/>
        </w:rPr>
        <w:t xml:space="preserve">(Associate Professor of Critical Race and Indigenous Studies at the Ontario Institute for Studies in Education (OISE), University of Toronto, “Curriculum, Replacement, and Settler Futurity”, </w:t>
      </w:r>
      <w:r w:rsidRPr="00087A72">
        <w:rPr>
          <w:rStyle w:val="Style13ptBold"/>
          <w:i/>
          <w:sz w:val="20"/>
          <w:szCs w:val="20"/>
        </w:rPr>
        <w:t>Journal of Curriculum Theorizing</w:t>
      </w:r>
      <w:r w:rsidRPr="00087A72">
        <w:rPr>
          <w:rStyle w:val="Style13ptBold"/>
          <w:sz w:val="20"/>
          <w:szCs w:val="20"/>
        </w:rPr>
        <w:t>, Vol. 29, No. 1, pp. 83-84) [SP]</w:t>
      </w:r>
    </w:p>
    <w:p w:rsidR="00032E5A" w:rsidRPr="00087A72" w:rsidRDefault="00032E5A" w:rsidP="00032E5A">
      <w:pPr>
        <w:rPr>
          <w:sz w:val="16"/>
        </w:rPr>
      </w:pPr>
      <w:r w:rsidRPr="00087A72">
        <w:rPr>
          <w:u w:val="single"/>
        </w:rPr>
        <w:t>The “browning” of curriculum studies is a move that deliberately seeks to uncover and highlight the myriad of complicated ways in which white supremacy and colonization constantly manifest themselves</w:t>
      </w:r>
      <w:r w:rsidRPr="00087A72">
        <w:rPr>
          <w:sz w:val="16"/>
        </w:rPr>
        <w:t xml:space="preserve"> in curriculum scholarship (Gaztambide-Fernández, 2006, GaztambideFernández &amp; Murad, 2011). </w:t>
      </w:r>
      <w:r w:rsidRPr="00087A72">
        <w:rPr>
          <w:u w:val="single"/>
        </w:rPr>
        <w:t>Like seeking for pentimento on an old painting, browning seeks the traces of stubbornness, or failed attempts at redress, even wayward repentance left beneath the new paint. These lines are sometimes subtle, like the refusal/inability to pronounce a name correctly, or wearing clothing marked by colonial images, and other times more obvious, like praising the “fathers” of curriculum history without acknowledging their racist views</w:t>
      </w:r>
      <w:r w:rsidRPr="00087A72">
        <w:rPr>
          <w:sz w:val="16"/>
        </w:rPr>
        <w:t xml:space="preserve"> and how these informed their work and contemporary influence. Citation practices also carry the marks of a racist past/present, by invoking ideas and attributing them to white scholars. Consider, for instance, how the debates between social efficiency and progressive views of education rarely account for the differences between Booker T. Washington and W.E.B. DuBois, or how DuBois is typically overlooked or sidelined as a social and educational thinker, or that so many curriculum scholars engaging with psychoanalysis know so little about Frantz Fanon (1963, 1967) and his analysis of subjecthood. </w:t>
      </w:r>
      <w:r w:rsidRPr="00087A72">
        <w:rPr>
          <w:b/>
          <w:u w:val="single"/>
        </w:rPr>
        <w:t>Browning proceeds by bringing attention to these practices, interrupting the dominant narrative by rudely inserting itself, reclaiming academic space, and calling the names of those who have been replaced and forgotten. To brown the curriculum, is to make it messy, to show how it is already dirty and stained, to refuse romanticized creation stories and fort pedagogies</w:t>
      </w:r>
      <w:r w:rsidRPr="00087A72">
        <w:rPr>
          <w:sz w:val="16"/>
        </w:rPr>
        <w:t xml:space="preserve"> (Donald, 2012a, 2012b). Like pan-searing, browning brings out the flavor through charring. It can be experienced as an irreverent burn that dislodges the handle from the hand, it deliberately seeks to anger, to force the hidden hand of the racism that lurks at every turn of the curriculum studies discourse. </w:t>
      </w:r>
      <w:r w:rsidRPr="00087A72">
        <w:rPr>
          <w:u w:val="single"/>
        </w:rPr>
        <w:t>Browning highlights the present absences and invokes the ghosts of curriculum’s past and futures, unsettling settler futurity. Though it seeks to be disruptive, some have responded to attempts to brown the curriculum by being positively unflappable.</w:t>
      </w:r>
      <w:r w:rsidRPr="00087A72">
        <w:rPr>
          <w:sz w:val="16"/>
        </w:rPr>
        <w:t xml:space="preserve"> The ironic response to this attempt to bring into the discourse that which has been systematically covered and silenced is that “we’ve been there, done that,” and then to proceed to list the multiple examples of white scholars doing the work of multiculturalism and critical race theory. </w:t>
      </w:r>
      <w:r w:rsidRPr="00087A72">
        <w:rPr>
          <w:u w:val="single"/>
        </w:rPr>
        <w:t>Been there, done that is the ultimate dis(missal) in the academy. It communicates that the work of uncovering racism, settler colonialism, and exploitation in curriculum studies is discrete, bounded, and thus accomplish-able; indeed, it has already been accomplished</w:t>
      </w:r>
      <w:r w:rsidRPr="00087A72">
        <w:rPr>
          <w:sz w:val="16"/>
        </w:rPr>
        <w:t xml:space="preserve">. </w:t>
      </w:r>
      <w:r w:rsidRPr="00087A72">
        <w:rPr>
          <w:u w:val="single"/>
        </w:rPr>
        <w:t>Moreover, such work is seen as a sideline–perhaps even a distraction, not central to the concerns of the field. It suggests that there is only one discussion of racism, settler colonialism, and exploitation that can be had in curriculum studies, and to dwell on it or to raise other interrogations is to hold the field back</w:t>
      </w:r>
      <w:r w:rsidRPr="00087A72">
        <w:rPr>
          <w:sz w:val="16"/>
        </w:rPr>
        <w:t xml:space="preserve">. That is, to say been there done that to browning is to miss the point entirely, because its aim is to disrupt so that there is no that to return to. </w:t>
      </w:r>
      <w:r w:rsidRPr="00087A72">
        <w:rPr>
          <w:u w:val="single"/>
        </w:rPr>
        <w:t>Because browning is so anti-paradigmatic to curriculum studies, the tumult of browning must either fail or be domesticated. In 2011, the Journal of Curriculum and Pedagogy invited a special Perspectives section on the topic of “browning,</w:t>
      </w:r>
      <w:r w:rsidRPr="00087A72">
        <w:rPr>
          <w:sz w:val="16"/>
        </w:rPr>
        <w:t xml:space="preserve"> ” in which ten scholars wrote short essays challenging the current directions of curriculum studies from Indigenous, queer, critical race, and post-, anti-, and de-colonial perspectives. </w:t>
      </w:r>
      <w:r w:rsidRPr="00087A72">
        <w:rPr>
          <w:u w:val="single"/>
        </w:rPr>
        <w:t>After the publication, during the 2011 conference, a Town Hall session was planned for an open discussion of the articles and the implications for browning for the future of the Curriculum &amp; Pedagogy Conference. But few had taken the time to consider the work, or even to read the content; rather than a discussion that took the ideas raised seriously, the session became a confessional, and white participants dominated the conversation with expressions of guilt, helplessness, innocence, and dismay</w:t>
      </w:r>
      <w:r w:rsidRPr="00087A72">
        <w:rPr>
          <w:sz w:val="16"/>
        </w:rPr>
        <w:t xml:space="preserve">. Thus, when the opportunity came to hold an intentional discussion about the possible contributions of browning approaches to curriculum studies, the opportunity was squandered, and white affect (without any consideration of the actual scholarly work) was made the primary rendering of the ideas. Predictably, the public cathexis of white guilt at the conference resulted in a turn away from the relentlessness of browning toward the more flattering framing of diversity, and the organization created a new committee on “democracy and equity.” </w:t>
      </w:r>
      <w:r w:rsidRPr="00087A72">
        <w:rPr>
          <w:u w:val="single"/>
        </w:rPr>
        <w:t>From this disappointment, brown bodies become the inevitable casualty, as the exhaustion of constantly having to explain, to recover in and against the whitestream desire for civility, takes hold. Only white bodies remain, lessons learned, knowledge consumed, (brown) bodies replaced, (white) vision restored</w:t>
      </w:r>
      <w:r w:rsidRPr="00087A72">
        <w:rPr>
          <w:sz w:val="16"/>
        </w:rPr>
        <w:t>.</w:t>
      </w:r>
    </w:p>
    <w:p w:rsidR="00450204" w:rsidRPr="00087A72" w:rsidRDefault="00450204" w:rsidP="00D005A2">
      <w:pPr>
        <w:pStyle w:val="Heading3"/>
      </w:pPr>
      <w:r w:rsidRPr="00087A72">
        <w:t>Alt – Catastrophe</w:t>
      </w:r>
    </w:p>
    <w:p w:rsidR="00ED0FAD" w:rsidRPr="00087A72" w:rsidRDefault="00F15BBE" w:rsidP="00ED0FAD">
      <w:pPr>
        <w:pStyle w:val="Heading4"/>
        <w:rPr>
          <w:rFonts w:cstheme="majorHAnsi"/>
        </w:rPr>
      </w:pPr>
      <w:r>
        <w:rPr>
          <w:rFonts w:cstheme="majorHAnsi"/>
        </w:rPr>
        <w:t>R</w:t>
      </w:r>
      <w:r w:rsidR="00ED0FAD" w:rsidRPr="00087A72">
        <w:rPr>
          <w:rFonts w:cstheme="majorHAnsi"/>
        </w:rPr>
        <w:t>efuse the affirmative as an ethical confrontation with catastrophe that functions as an affirmation of the affective vulnerability of the present. Only through confronting genocide not as a historical event or one impact amongst others, but as ongoing catastrophe imminent to settler subjectivity can disrupt the arborescent form of the Settler scaled from the world down to the individual.</w:t>
      </w:r>
    </w:p>
    <w:p w:rsidR="00450204" w:rsidRPr="00087A72" w:rsidRDefault="00450204" w:rsidP="00450204">
      <w:pPr>
        <w:rPr>
          <w:rFonts w:cstheme="majorHAnsi"/>
        </w:rPr>
      </w:pPr>
      <w:r w:rsidRPr="00087A72">
        <w:rPr>
          <w:rStyle w:val="Style13ptBold"/>
          <w:rFonts w:cstheme="majorHAnsi"/>
        </w:rPr>
        <w:t>Kouri and Skott-Myhre 15</w:t>
      </w:r>
      <w:r w:rsidRPr="00087A72">
        <w:rPr>
          <w:rFonts w:cstheme="majorHAnsi"/>
        </w:rPr>
        <w:t xml:space="preserve"> (Scott and Hans, “Catastrophe: a transversal mapping of colonialism and settler subjectivity,” Settler Colonial Studies, Issue Number, No. 3, pp. 12-13)//vikas</w:t>
      </w:r>
    </w:p>
    <w:p w:rsidR="00450204" w:rsidRPr="00087A72" w:rsidRDefault="00450204" w:rsidP="00450204">
      <w:pPr>
        <w:rPr>
          <w:rFonts w:cstheme="majorHAnsi"/>
          <w:sz w:val="16"/>
        </w:rPr>
      </w:pPr>
      <w:r w:rsidRPr="00087A72">
        <w:rPr>
          <w:rFonts w:cstheme="majorHAnsi"/>
          <w:sz w:val="16"/>
        </w:rPr>
        <w:t xml:space="preserve">Deleuze and Guattari’s conceptualization of catastrophe juxtaposes two senses of the word, the representational and the actual. </w:t>
      </w:r>
      <w:r w:rsidRPr="00087A72">
        <w:rPr>
          <w:rFonts w:cstheme="majorHAnsi"/>
          <w:b/>
          <w:u w:val="single"/>
        </w:rPr>
        <w:t>Representing catastrophe as an abstract or historic occurrence distances us from its effects, while recreating ourselves as expressions of catastrophe allows it to function as an actual present.</w:t>
      </w:r>
      <w:r w:rsidRPr="00087A72">
        <w:rPr>
          <w:rFonts w:cstheme="majorHAnsi"/>
          <w:sz w:val="16"/>
        </w:rPr>
        <w:t xml:space="preserve"> It is </w:t>
      </w:r>
      <w:r w:rsidRPr="00087A72">
        <w:rPr>
          <w:rFonts w:cstheme="majorHAnsi"/>
          <w:b/>
          <w:u w:val="single"/>
        </w:rPr>
        <w:t>through a sobering acknowledgment of the present as a state of catastrophe</w:t>
      </w:r>
      <w:r w:rsidRPr="00087A72">
        <w:rPr>
          <w:rFonts w:cstheme="majorHAnsi"/>
          <w:sz w:val="16"/>
        </w:rPr>
        <w:t xml:space="preserve"> – an admission that takes up history in our current spatial, corporeal, and conceptual makeup – </w:t>
      </w:r>
      <w:r w:rsidRPr="00087A72">
        <w:rPr>
          <w:rFonts w:cstheme="majorHAnsi"/>
          <w:b/>
          <w:u w:val="single"/>
        </w:rPr>
        <w:t>and an endurance of the shame and anger that accompanies such</w:t>
      </w:r>
      <w:r w:rsidRPr="00087A72">
        <w:rPr>
          <w:rFonts w:cstheme="majorHAnsi"/>
          <w:sz w:val="16"/>
        </w:rPr>
        <w:t xml:space="preserve"> a revulsive </w:t>
      </w:r>
      <w:r w:rsidRPr="00087A72">
        <w:rPr>
          <w:rFonts w:cstheme="majorHAnsi"/>
          <w:b/>
          <w:u w:val="single"/>
        </w:rPr>
        <w:t>analysis that new ethical subjectivities can be forged.</w:t>
      </w:r>
      <w:r w:rsidRPr="00087A72">
        <w:rPr>
          <w:rFonts w:cstheme="majorHAnsi"/>
          <w:sz w:val="16"/>
        </w:rPr>
        <w:t xml:space="preserve"> A </w:t>
      </w:r>
      <w:r w:rsidRPr="00087A72">
        <w:rPr>
          <w:rFonts w:cstheme="majorHAnsi"/>
          <w:b/>
          <w:u w:val="single"/>
        </w:rPr>
        <w:t>yes-saying to the present</w:t>
      </w:r>
      <w:r w:rsidRPr="00087A72">
        <w:rPr>
          <w:rFonts w:cstheme="majorHAnsi"/>
          <w:sz w:val="16"/>
        </w:rPr>
        <w:t xml:space="preserve">, to </w:t>
      </w:r>
      <w:r w:rsidRPr="00087A72">
        <w:rPr>
          <w:rFonts w:cstheme="majorHAnsi"/>
          <w:b/>
          <w:u w:val="single"/>
        </w:rPr>
        <w:t>all of the present</w:t>
      </w:r>
      <w:r w:rsidRPr="00087A72">
        <w:rPr>
          <w:rFonts w:cstheme="majorHAnsi"/>
          <w:sz w:val="16"/>
        </w:rPr>
        <w:t xml:space="preserve">, </w:t>
      </w:r>
      <w:r w:rsidRPr="00087A72">
        <w:rPr>
          <w:rFonts w:cstheme="majorHAnsi"/>
          <w:b/>
          <w:u w:val="single"/>
        </w:rPr>
        <w:t>moves beyond</w:t>
      </w:r>
      <w:r w:rsidRPr="00087A72">
        <w:rPr>
          <w:rFonts w:cstheme="majorHAnsi"/>
          <w:sz w:val="16"/>
        </w:rPr>
        <w:t xml:space="preserve"> an </w:t>
      </w:r>
      <w:r w:rsidRPr="00087A72">
        <w:rPr>
          <w:rFonts w:cstheme="majorHAnsi"/>
          <w:b/>
          <w:u w:val="single"/>
        </w:rPr>
        <w:t>acceptance of things as they are and affirms all that could be</w:t>
      </w:r>
      <w:r w:rsidRPr="00087A72">
        <w:rPr>
          <w:rFonts w:cstheme="majorHAnsi"/>
          <w:sz w:val="16"/>
        </w:rPr>
        <w:t xml:space="preserve">, since </w:t>
      </w:r>
      <w:r w:rsidRPr="00087A72">
        <w:rPr>
          <w:rFonts w:cstheme="majorHAnsi"/>
          <w:b/>
          <w:u w:val="single"/>
        </w:rPr>
        <w:t>the actual is not what we are but</w:t>
      </w:r>
      <w:r w:rsidRPr="00087A72">
        <w:rPr>
          <w:rFonts w:cstheme="majorHAnsi"/>
          <w:sz w:val="16"/>
        </w:rPr>
        <w:t xml:space="preserve">, rather, </w:t>
      </w:r>
      <w:r w:rsidRPr="00087A72">
        <w:rPr>
          <w:rFonts w:cstheme="majorHAnsi"/>
          <w:b/>
          <w:u w:val="single"/>
        </w:rPr>
        <w:t>what we become</w:t>
      </w:r>
      <w:r w:rsidRPr="00087A72">
        <w:rPr>
          <w:rFonts w:cstheme="majorHAnsi"/>
          <w:sz w:val="16"/>
        </w:rPr>
        <w:t xml:space="preserve">, </w:t>
      </w:r>
      <w:r w:rsidRPr="00087A72">
        <w:rPr>
          <w:rFonts w:cstheme="majorHAnsi"/>
          <w:b/>
          <w:u w:val="single"/>
        </w:rPr>
        <w:t>what we are in the process of becoming</w:t>
      </w:r>
      <w:r w:rsidRPr="00087A72">
        <w:rPr>
          <w:rFonts w:cstheme="majorHAnsi"/>
          <w:sz w:val="16"/>
        </w:rPr>
        <w:t xml:space="preserve"> – that is to say, the Other, our becoming-other. </w:t>
      </w:r>
      <w:r w:rsidRPr="00087A72">
        <w:rPr>
          <w:rFonts w:cstheme="majorHAnsi"/>
          <w:b/>
          <w:u w:val="single"/>
        </w:rPr>
        <w:t>The present</w:t>
      </w:r>
      <w:r w:rsidRPr="00087A72">
        <w:rPr>
          <w:rFonts w:cstheme="majorHAnsi"/>
          <w:sz w:val="16"/>
        </w:rPr>
        <w:t xml:space="preserve">, on the contrary, </w:t>
      </w:r>
      <w:r w:rsidRPr="00087A72">
        <w:rPr>
          <w:rFonts w:cstheme="majorHAnsi"/>
          <w:b/>
          <w:u w:val="single"/>
        </w:rPr>
        <w:t>is what we are and, thereby, what already we are ceasing to be.</w:t>
      </w:r>
      <w:r w:rsidRPr="00087A72">
        <w:rPr>
          <w:rFonts w:cstheme="majorHAnsi"/>
          <w:sz w:val="16"/>
        </w:rPr>
        <w:t xml:space="preserve">58 To be clear, </w:t>
      </w:r>
      <w:r w:rsidRPr="00087A72">
        <w:rPr>
          <w:rStyle w:val="Emphasis"/>
          <w:rFonts w:cstheme="majorHAnsi"/>
        </w:rPr>
        <w:t>affirmation is not an acceptance of the way things are nor a hopeful projection of a future predicated on growth-oriented investments</w:t>
      </w:r>
      <w:r w:rsidRPr="00087A72">
        <w:rPr>
          <w:rFonts w:cstheme="majorHAnsi"/>
          <w:sz w:val="16"/>
        </w:rPr>
        <w:t xml:space="preserve"> in security, accumulation, and comfort, </w:t>
      </w:r>
      <w:r w:rsidRPr="00087A72">
        <w:rPr>
          <w:rStyle w:val="Emphasis"/>
          <w:rFonts w:cstheme="majorHAnsi"/>
        </w:rPr>
        <w:t>but a view of temporality as dynamic dependency and affective and corporeal vulnerability.</w:t>
      </w:r>
      <w:r w:rsidRPr="00087A72">
        <w:rPr>
          <w:rFonts w:cstheme="majorHAnsi"/>
          <w:sz w:val="16"/>
        </w:rPr>
        <w:t xml:space="preserve"> Our </w:t>
      </w:r>
      <w:r w:rsidRPr="00087A72">
        <w:rPr>
          <w:rFonts w:cstheme="majorHAnsi"/>
          <w:b/>
          <w:u w:val="single"/>
        </w:rPr>
        <w:t>present</w:t>
      </w:r>
      <w:r w:rsidRPr="00087A72">
        <w:rPr>
          <w:rFonts w:cstheme="majorHAnsi"/>
          <w:sz w:val="16"/>
        </w:rPr>
        <w:t xml:space="preserve"> is here </w:t>
      </w:r>
      <w:r w:rsidRPr="00087A72">
        <w:rPr>
          <w:rFonts w:cstheme="majorHAnsi"/>
          <w:b/>
          <w:u w:val="single"/>
        </w:rPr>
        <w:t>recast as our very undoing</w:t>
      </w:r>
      <w:r w:rsidRPr="00087A72">
        <w:rPr>
          <w:rFonts w:cstheme="majorHAnsi"/>
          <w:sz w:val="16"/>
        </w:rPr>
        <w:t xml:space="preserve">; it is </w:t>
      </w:r>
      <w:r w:rsidRPr="00087A72">
        <w:rPr>
          <w:rFonts w:cstheme="majorHAnsi"/>
          <w:b/>
          <w:u w:val="single"/>
        </w:rPr>
        <w:t>a present of living relations that is in a perpetual state of change.</w:t>
      </w:r>
      <w:r w:rsidRPr="00087A72">
        <w:rPr>
          <w:rFonts w:cstheme="majorHAnsi"/>
          <w:sz w:val="16"/>
        </w:rPr>
        <w:t xml:space="preserve"> The present is a ceaseless flow of becoming that </w:t>
      </w:r>
      <w:r w:rsidRPr="00087A72">
        <w:rPr>
          <w:rFonts w:cstheme="majorHAnsi"/>
          <w:b/>
          <w:u w:val="single"/>
        </w:rPr>
        <w:t>undermines a settled identity.</w:t>
      </w:r>
      <w:r w:rsidRPr="00087A72">
        <w:rPr>
          <w:rFonts w:cstheme="majorHAnsi"/>
          <w:sz w:val="16"/>
        </w:rPr>
        <w:t xml:space="preserve"> Concerns with settler subjectivity as an abstract entity continue to withdraw us from the living present in which we are composed through our relationships. What this means for us is that </w:t>
      </w:r>
      <w:r w:rsidRPr="00087A72">
        <w:rPr>
          <w:rFonts w:cstheme="majorHAnsi"/>
          <w:b/>
          <w:u w:val="single"/>
        </w:rPr>
        <w:t>rather than ask who or what we are, we must ask about our capacities and relationships. What has been foreclosed through</w:t>
      </w:r>
      <w:r w:rsidRPr="00087A72">
        <w:rPr>
          <w:rFonts w:cstheme="majorHAnsi"/>
          <w:sz w:val="16"/>
        </w:rPr>
        <w:t xml:space="preserve"> the </w:t>
      </w:r>
      <w:r w:rsidRPr="00087A72">
        <w:rPr>
          <w:rFonts w:cstheme="majorHAnsi"/>
          <w:b/>
          <w:u w:val="single"/>
        </w:rPr>
        <w:t>separations, closures, and biopolitics</w:t>
      </w:r>
      <w:r w:rsidRPr="00087A72">
        <w:rPr>
          <w:rFonts w:cstheme="majorHAnsi"/>
          <w:sz w:val="16"/>
        </w:rPr>
        <w:t xml:space="preserve"> of settler colonialism? What might still be extractable through vulnerability, endurance, sobriety, and confrontation with catastrophe? Who do we become when representations, repressions, and negative affects are transformed into positive affects and action? </w:t>
      </w:r>
      <w:r w:rsidRPr="00087A72">
        <w:rPr>
          <w:rFonts w:cstheme="majorHAnsi"/>
          <w:b/>
          <w:u w:val="single"/>
        </w:rPr>
        <w:t>The violence of settler colonialism</w:t>
      </w:r>
      <w:r w:rsidRPr="00087A72">
        <w:rPr>
          <w:rFonts w:cstheme="majorHAnsi"/>
          <w:sz w:val="16"/>
        </w:rPr>
        <w:t>, as Tuck and Yang insist, ‘</w:t>
      </w:r>
      <w:r w:rsidRPr="00087A72">
        <w:rPr>
          <w:rFonts w:cstheme="majorHAnsi"/>
          <w:b/>
          <w:u w:val="single"/>
        </w:rPr>
        <w:t>is not temporally contained in the arrival of the settler but</w:t>
      </w:r>
      <w:r w:rsidRPr="00087A72">
        <w:rPr>
          <w:rFonts w:cstheme="majorHAnsi"/>
          <w:sz w:val="16"/>
        </w:rPr>
        <w:t xml:space="preserve"> is </w:t>
      </w:r>
      <w:r w:rsidRPr="00087A72">
        <w:rPr>
          <w:rFonts w:cstheme="majorHAnsi"/>
          <w:b/>
          <w:u w:val="single"/>
        </w:rPr>
        <w:t>reasserted each day of occupation</w:t>
      </w:r>
      <w:r w:rsidRPr="00087A72">
        <w:rPr>
          <w:rFonts w:cstheme="majorHAnsi"/>
          <w:sz w:val="16"/>
        </w:rPr>
        <w:t xml:space="preserve">’, 59 </w:t>
      </w:r>
      <w:r w:rsidRPr="00087A72">
        <w:rPr>
          <w:rStyle w:val="Emphasis"/>
          <w:rFonts w:cstheme="majorHAnsi"/>
        </w:rPr>
        <w:t>yet we argue that we have to resist the belief that the current state of affairs and its</w:t>
      </w:r>
      <w:r w:rsidRPr="00087A72">
        <w:rPr>
          <w:rFonts w:cstheme="majorHAnsi"/>
          <w:sz w:val="16"/>
        </w:rPr>
        <w:t xml:space="preserve"> sets of </w:t>
      </w:r>
      <w:r w:rsidRPr="00087A72">
        <w:rPr>
          <w:rStyle w:val="Emphasis"/>
          <w:rFonts w:cstheme="majorHAnsi"/>
        </w:rPr>
        <w:t>relations are the only possible ones.</w:t>
      </w:r>
      <w:r w:rsidRPr="00087A72">
        <w:rPr>
          <w:rFonts w:cstheme="majorHAnsi"/>
          <w:sz w:val="16"/>
        </w:rPr>
        <w:t xml:space="preserve"> While acknowledging that decolonization is specifically about the restitution of Indigenous lands,60 </w:t>
      </w:r>
      <w:r w:rsidRPr="00087A72">
        <w:rPr>
          <w:rFonts w:cstheme="majorHAnsi"/>
          <w:b/>
          <w:u w:val="single"/>
        </w:rPr>
        <w:t>we persist in considering that undoing the colonial mind and its apparatus is important in reconfiguring</w:t>
      </w:r>
      <w:r w:rsidRPr="00087A72">
        <w:rPr>
          <w:rFonts w:cstheme="majorHAnsi"/>
          <w:sz w:val="16"/>
        </w:rPr>
        <w:t xml:space="preserve"> contemporary </w:t>
      </w:r>
      <w:r w:rsidRPr="00087A72">
        <w:rPr>
          <w:rFonts w:cstheme="majorHAnsi"/>
          <w:b/>
          <w:u w:val="single"/>
        </w:rPr>
        <w:t>relations and developing a new society. We are</w:t>
      </w:r>
      <w:r w:rsidRPr="00087A72">
        <w:rPr>
          <w:rFonts w:cstheme="majorHAnsi"/>
          <w:sz w:val="16"/>
        </w:rPr>
        <w:t xml:space="preserve"> not asking our fellow settlers to leave their homes to join the anticolonial revolution, but </w:t>
      </w:r>
      <w:r w:rsidRPr="00087A72">
        <w:rPr>
          <w:rFonts w:cstheme="majorHAnsi"/>
          <w:b/>
          <w:u w:val="single"/>
        </w:rPr>
        <w:t>suggesting</w:t>
      </w:r>
      <w:r w:rsidRPr="00087A72">
        <w:rPr>
          <w:rFonts w:cstheme="majorHAnsi"/>
          <w:sz w:val="16"/>
        </w:rPr>
        <w:t xml:space="preserve"> precisely </w:t>
      </w:r>
      <w:r w:rsidRPr="00087A72">
        <w:rPr>
          <w:rFonts w:cstheme="majorHAnsi"/>
          <w:b/>
          <w:u w:val="single"/>
        </w:rPr>
        <w:t xml:space="preserve">the opposite: </w:t>
      </w:r>
      <w:r w:rsidRPr="00087A72">
        <w:rPr>
          <w:rStyle w:val="Emphasis"/>
          <w:rFonts w:cstheme="majorHAnsi"/>
        </w:rPr>
        <w:t>to make your home and life the revolution itself.</w:t>
      </w:r>
      <w:r w:rsidRPr="00087A72">
        <w:rPr>
          <w:rFonts w:cstheme="majorHAnsi"/>
          <w:sz w:val="16"/>
        </w:rPr>
        <w:t xml:space="preserve"> We are seeking </w:t>
      </w:r>
      <w:r w:rsidRPr="00087A72">
        <w:rPr>
          <w:rFonts w:cstheme="majorHAnsi"/>
          <w:b/>
          <w:u w:val="single"/>
        </w:rPr>
        <w:t>ways of being radically present on Indigenous territory, a radicality that undermines the state, Western identity formations, and settler futures.</w:t>
      </w:r>
      <w:r w:rsidRPr="00087A72">
        <w:rPr>
          <w:rFonts w:cstheme="majorHAnsi"/>
          <w:sz w:val="16"/>
        </w:rPr>
        <w:t xml:space="preserve"> And because colonialism and capitalism have always been at least partially successful of recuperating revolutionary modes of production this process must be ongoing and specific to circumstance. We are interested in the production of </w:t>
      </w:r>
      <w:r w:rsidRPr="00087A72">
        <w:rPr>
          <w:rFonts w:cstheme="majorHAnsi"/>
          <w:b/>
          <w:u w:val="single"/>
        </w:rPr>
        <w:t>subjectivities that are not founded on binaries between who we are and who we are not</w:t>
      </w:r>
      <w:r w:rsidRPr="00087A72">
        <w:rPr>
          <w:rFonts w:cstheme="majorHAnsi"/>
          <w:sz w:val="16"/>
        </w:rPr>
        <w:t xml:space="preserve"> – </w:t>
      </w:r>
      <w:r w:rsidRPr="00087A72">
        <w:rPr>
          <w:rStyle w:val="Emphasis"/>
          <w:rFonts w:cstheme="majorHAnsi"/>
        </w:rPr>
        <w:t>without</w:t>
      </w:r>
      <w:r w:rsidRPr="00087A72">
        <w:rPr>
          <w:rFonts w:cstheme="majorHAnsi"/>
          <w:sz w:val="16"/>
        </w:rPr>
        <w:t xml:space="preserve">, of course, </w:t>
      </w:r>
      <w:r w:rsidRPr="00087A72">
        <w:rPr>
          <w:rStyle w:val="Emphasis"/>
          <w:rFonts w:cstheme="majorHAnsi"/>
        </w:rPr>
        <w:t>interfering with Indigenous politics of identity or ignoring differential distributions of injustice</w:t>
      </w:r>
      <w:r w:rsidRPr="00087A72">
        <w:rPr>
          <w:rFonts w:cstheme="majorHAnsi"/>
          <w:sz w:val="16"/>
        </w:rPr>
        <w:t xml:space="preserve"> and violence </w:t>
      </w:r>
      <w:r w:rsidRPr="00087A72">
        <w:rPr>
          <w:rStyle w:val="Emphasis"/>
          <w:rFonts w:cstheme="majorHAnsi"/>
        </w:rPr>
        <w:t>based on identity.</w:t>
      </w:r>
      <w:r w:rsidRPr="00087A72">
        <w:rPr>
          <w:rFonts w:cstheme="majorHAnsi"/>
          <w:sz w:val="16"/>
        </w:rPr>
        <w:t xml:space="preserve"> We want to move </w:t>
      </w:r>
      <w:r w:rsidRPr="00087A72">
        <w:rPr>
          <w:rFonts w:cstheme="majorHAnsi"/>
          <w:b/>
          <w:u w:val="single"/>
        </w:rPr>
        <w:t xml:space="preserve">from rigid settler identities toward processes of </w:t>
      </w:r>
      <w:r w:rsidRPr="00087A72">
        <w:rPr>
          <w:rStyle w:val="Emphasis"/>
          <w:rFonts w:cstheme="majorHAnsi"/>
        </w:rPr>
        <w:t>subjectification based on who and what we are related to, including humans, plants, minerals, waters, and stars</w:t>
      </w:r>
      <w:r w:rsidRPr="00087A72">
        <w:rPr>
          <w:rFonts w:cstheme="majorHAnsi"/>
          <w:b/>
          <w:u w:val="single"/>
        </w:rPr>
        <w:t>. We seek to undo dialectical thinking and recognize the singularity of every existent outside state taxonomy and organizational</w:t>
      </w:r>
      <w:r w:rsidRPr="00087A72">
        <w:rPr>
          <w:rFonts w:cstheme="majorHAnsi"/>
          <w:sz w:val="16"/>
        </w:rPr>
        <w:t xml:space="preserve"> system. As Deleuze writes, the Spinozan principle asserts that </w:t>
      </w:r>
      <w:r w:rsidRPr="00087A72">
        <w:rPr>
          <w:rFonts w:cstheme="majorHAnsi"/>
          <w:b/>
          <w:u w:val="single"/>
        </w:rPr>
        <w:t xml:space="preserve">negation is nothing, because </w:t>
      </w:r>
      <w:r w:rsidRPr="00087A72">
        <w:rPr>
          <w:rFonts w:cstheme="majorHAnsi"/>
          <w:sz w:val="16"/>
        </w:rPr>
        <w:t xml:space="preserve">absolutely </w:t>
      </w:r>
      <w:r w:rsidRPr="00087A72">
        <w:rPr>
          <w:rFonts w:cstheme="majorHAnsi"/>
          <w:b/>
          <w:u w:val="single"/>
        </w:rPr>
        <w:t>nothing</w:t>
      </w:r>
      <w:r w:rsidRPr="00087A72">
        <w:rPr>
          <w:rFonts w:cstheme="majorHAnsi"/>
          <w:sz w:val="16"/>
        </w:rPr>
        <w:t xml:space="preserve"> ever </w:t>
      </w:r>
      <w:r w:rsidRPr="00087A72">
        <w:rPr>
          <w:rFonts w:cstheme="majorHAnsi"/>
          <w:b/>
          <w:u w:val="single"/>
        </w:rPr>
        <w:t>lacks anything. Negation is a being of reason</w:t>
      </w:r>
      <w:r w:rsidRPr="00087A72">
        <w:rPr>
          <w:rFonts w:cstheme="majorHAnsi"/>
          <w:sz w:val="16"/>
        </w:rPr>
        <w:t xml:space="preserve">, or rather of comparison, </w:t>
      </w:r>
      <w:r w:rsidRPr="00087A72">
        <w:rPr>
          <w:rFonts w:cstheme="majorHAnsi"/>
          <w:b/>
          <w:u w:val="single"/>
        </w:rPr>
        <w:t>which results from our grouping together</w:t>
      </w:r>
      <w:r w:rsidRPr="00087A72">
        <w:rPr>
          <w:rFonts w:cstheme="majorHAnsi"/>
          <w:sz w:val="16"/>
        </w:rPr>
        <w:t xml:space="preserve"> all sorts </w:t>
      </w:r>
      <w:r w:rsidRPr="00087A72">
        <w:rPr>
          <w:rFonts w:cstheme="majorHAnsi"/>
          <w:b/>
          <w:u w:val="single"/>
        </w:rPr>
        <w:t>of distinct beings so as to refer them to one and the same fictitious ideal</w:t>
      </w:r>
      <w:r w:rsidRPr="00087A72">
        <w:rPr>
          <w:rFonts w:cstheme="majorHAnsi"/>
          <w:sz w:val="16"/>
        </w:rPr>
        <w:t xml:space="preserve">, in the name of which we say that one or another of them falls short of the ideal.61 The concepts of identity and lack in the colonial project are used to organize difference and diversity into dichotomies or taxonomies. </w:t>
      </w:r>
      <w:r w:rsidRPr="00087A72">
        <w:rPr>
          <w:rFonts w:cstheme="majorHAnsi"/>
          <w:b/>
          <w:u w:val="single"/>
        </w:rPr>
        <w:t>Categories and subcategories of difference are</w:t>
      </w:r>
      <w:r w:rsidRPr="00087A72">
        <w:rPr>
          <w:rFonts w:cstheme="majorHAnsi"/>
          <w:sz w:val="16"/>
        </w:rPr>
        <w:t xml:space="preserve">, without exception, </w:t>
      </w:r>
      <w:r w:rsidRPr="00087A72">
        <w:rPr>
          <w:rFonts w:cstheme="majorHAnsi"/>
          <w:b/>
          <w:u w:val="single"/>
        </w:rPr>
        <w:t>hierarchical and saturated in power relations</w:t>
      </w:r>
      <w:r w:rsidRPr="00087A72">
        <w:rPr>
          <w:rFonts w:cstheme="majorHAnsi"/>
          <w:sz w:val="16"/>
        </w:rPr>
        <w:t xml:space="preserve">, where to be </w:t>
      </w:r>
      <w:r w:rsidRPr="00087A72">
        <w:rPr>
          <w:rFonts w:cstheme="majorHAnsi"/>
          <w:b/>
          <w:u w:val="single"/>
        </w:rPr>
        <w:t>identified with</w:t>
      </w:r>
      <w:r w:rsidRPr="00087A72">
        <w:rPr>
          <w:rFonts w:cstheme="majorHAnsi"/>
          <w:sz w:val="16"/>
        </w:rPr>
        <w:t xml:space="preserve"> or different from is inextricably tied to </w:t>
      </w:r>
      <w:r w:rsidRPr="00087A72">
        <w:rPr>
          <w:rFonts w:cstheme="majorHAnsi"/>
          <w:b/>
          <w:u w:val="single"/>
        </w:rPr>
        <w:t>access, affordances, and annulments.</w:t>
      </w:r>
      <w:r w:rsidRPr="00087A72">
        <w:rPr>
          <w:rFonts w:cstheme="majorHAnsi"/>
          <w:sz w:val="16"/>
        </w:rPr>
        <w:t xml:space="preserve"> In Spinoza and Deleuze, </w:t>
      </w:r>
      <w:r w:rsidRPr="00087A72">
        <w:rPr>
          <w:rStyle w:val="Emphasis"/>
          <w:rFonts w:cstheme="majorHAnsi"/>
        </w:rPr>
        <w:t>alternatively, difference is immanent to life and</w:t>
      </w:r>
      <w:r w:rsidRPr="00087A72">
        <w:rPr>
          <w:rFonts w:cstheme="majorHAnsi"/>
          <w:sz w:val="16"/>
        </w:rPr>
        <w:t xml:space="preserve"> the </w:t>
      </w:r>
      <w:r w:rsidRPr="00087A72">
        <w:rPr>
          <w:rStyle w:val="Emphasis"/>
          <w:rFonts w:cstheme="majorHAnsi"/>
        </w:rPr>
        <w:t>affirmation of distinctiveness and singularity have the capacity to break up transcendent systems of organization.</w:t>
      </w:r>
      <w:r w:rsidRPr="00087A72">
        <w:rPr>
          <w:rFonts w:cstheme="majorHAnsi"/>
          <w:sz w:val="16"/>
        </w:rPr>
        <w:t xml:space="preserve"> Deleuze proposes that </w:t>
      </w:r>
      <w:r w:rsidRPr="00087A72">
        <w:rPr>
          <w:rFonts w:cstheme="majorHAnsi"/>
          <w:b/>
          <w:u w:val="single"/>
        </w:rPr>
        <w:t>catastrophe offers a new right to thought that can open up transcendence in such a way that one can actually apprehend</w:t>
      </w:r>
      <w:r w:rsidRPr="00087A72">
        <w:rPr>
          <w:rFonts w:cstheme="majorHAnsi"/>
          <w:sz w:val="16"/>
        </w:rPr>
        <w:t xml:space="preserve">, in at least an instance, </w:t>
      </w:r>
      <w:r w:rsidRPr="00087A72">
        <w:rPr>
          <w:rFonts w:cstheme="majorHAnsi"/>
          <w:b/>
          <w:u w:val="single"/>
        </w:rPr>
        <w:t>the whole of life as a system of interconnected forces and flows</w:t>
      </w:r>
      <w:r w:rsidRPr="00087A72">
        <w:rPr>
          <w:rFonts w:cstheme="majorHAnsi"/>
          <w:sz w:val="16"/>
        </w:rPr>
        <w:t xml:space="preserve">. This thought of </w:t>
      </w:r>
      <w:r w:rsidRPr="00087A72">
        <w:rPr>
          <w:rFonts w:cstheme="majorHAnsi"/>
          <w:b/>
          <w:u w:val="single"/>
        </w:rPr>
        <w:t xml:space="preserve">immanence is particularly useful to apprehend how colonialism naturalizes hierarchy and attempts to repress </w:t>
      </w:r>
      <w:r w:rsidRPr="00087A72">
        <w:rPr>
          <w:rFonts w:cstheme="majorHAnsi"/>
          <w:sz w:val="16"/>
        </w:rPr>
        <w:t xml:space="preserve">the infinitely </w:t>
      </w:r>
      <w:r w:rsidRPr="00087A72">
        <w:rPr>
          <w:rFonts w:cstheme="majorHAnsi"/>
          <w:b/>
          <w:u w:val="single"/>
        </w:rPr>
        <w:t>diverse</w:t>
      </w:r>
      <w:r w:rsidRPr="00087A72">
        <w:rPr>
          <w:rFonts w:cstheme="majorHAnsi"/>
          <w:sz w:val="16"/>
        </w:rPr>
        <w:t xml:space="preserve"> ways that the flows and </w:t>
      </w:r>
      <w:r w:rsidRPr="00087A72">
        <w:rPr>
          <w:rFonts w:cstheme="majorHAnsi"/>
          <w:b/>
          <w:u w:val="single"/>
        </w:rPr>
        <w:t>forces of life</w:t>
      </w:r>
      <w:r w:rsidRPr="00087A72">
        <w:rPr>
          <w:rFonts w:cstheme="majorHAnsi"/>
          <w:sz w:val="16"/>
        </w:rPr>
        <w:t xml:space="preserve"> continually reassemble. </w:t>
      </w:r>
      <w:r w:rsidRPr="00087A72">
        <w:rPr>
          <w:rStyle w:val="Emphasis"/>
          <w:rFonts w:cstheme="majorHAnsi"/>
        </w:rPr>
        <w:t>The quest is not to see any difference, but to see difference in itself – the complete singularity of an existent without reference to what it is not</w:t>
      </w:r>
      <w:r w:rsidRPr="00087A72">
        <w:rPr>
          <w:rFonts w:cstheme="majorHAnsi"/>
          <w:sz w:val="16"/>
        </w:rPr>
        <w:t xml:space="preserve">, what it lacks, </w:t>
      </w:r>
      <w:r w:rsidRPr="00087A72">
        <w:rPr>
          <w:rStyle w:val="Emphasis"/>
          <w:rFonts w:cstheme="majorHAnsi"/>
        </w:rPr>
        <w:t>or to any other set of abstract codes.</w:t>
      </w:r>
      <w:r w:rsidRPr="00087A72">
        <w:rPr>
          <w:rFonts w:cstheme="majorHAnsi"/>
          <w:b/>
          <w:sz w:val="16"/>
        </w:rPr>
        <w:t xml:space="preserve"> </w:t>
      </w:r>
      <w:r w:rsidRPr="00087A72">
        <w:rPr>
          <w:rFonts w:cstheme="majorHAnsi"/>
          <w:b/>
          <w:u w:val="single"/>
        </w:rPr>
        <w:t>Such a thought better sensitizes us to apprehending how current social structures and rationality work</w:t>
      </w:r>
      <w:r w:rsidRPr="00087A72">
        <w:rPr>
          <w:rFonts w:cstheme="majorHAnsi"/>
          <w:sz w:val="16"/>
        </w:rPr>
        <w:t xml:space="preserve"> to organize, prevent, extract, and control the living flows. Furthermore, </w:t>
      </w:r>
      <w:r w:rsidRPr="00087A72">
        <w:rPr>
          <w:rFonts w:cstheme="majorHAnsi"/>
          <w:b/>
          <w:u w:val="single"/>
        </w:rPr>
        <w:t>it allows us to glimpse the processes at work in the formation of our own subjectivities. We are not proposing</w:t>
      </w:r>
      <w:r w:rsidRPr="00087A72">
        <w:rPr>
          <w:rFonts w:cstheme="majorHAnsi"/>
          <w:sz w:val="16"/>
        </w:rPr>
        <w:t xml:space="preserve"> here that </w:t>
      </w:r>
      <w:r w:rsidRPr="00087A72">
        <w:rPr>
          <w:rFonts w:cstheme="majorHAnsi"/>
          <w:b/>
          <w:u w:val="single"/>
        </w:rPr>
        <w:t>living in immanence is an option.</w:t>
      </w:r>
      <w:r w:rsidRPr="00087A72">
        <w:rPr>
          <w:rFonts w:cstheme="majorHAnsi"/>
          <w:sz w:val="16"/>
        </w:rPr>
        <w:t xml:space="preserve"> </w:t>
      </w:r>
      <w:r w:rsidRPr="00087A72">
        <w:rPr>
          <w:rStyle w:val="Emphasis"/>
          <w:rFonts w:cstheme="majorHAnsi"/>
        </w:rPr>
        <w:t>We are proposing that life is immanence and that recognizing that fact can help us to map how the state, Western rationality, and settler subjects disfigure life</w:t>
      </w:r>
      <w:r w:rsidRPr="00087A72">
        <w:rPr>
          <w:rFonts w:cstheme="majorHAnsi"/>
          <w:sz w:val="16"/>
        </w:rPr>
        <w:t xml:space="preserve"> in order </w:t>
      </w:r>
      <w:r w:rsidRPr="00087A72">
        <w:rPr>
          <w:rStyle w:val="Emphasis"/>
          <w:rFonts w:cstheme="majorHAnsi"/>
        </w:rPr>
        <w:t>to extract from it what they need to extend themselves.</w:t>
      </w:r>
      <w:r w:rsidRPr="00087A72">
        <w:rPr>
          <w:rFonts w:cstheme="majorHAnsi"/>
          <w:sz w:val="16"/>
        </w:rPr>
        <w:t xml:space="preserve"> All transcendental, categorical, or universal settler principles are anathema to the immanent subjectivity that we are mapping here as their alternative. We therefore entirely reject the set of universal standards instituted, yet betrayed, in settler colonies by the state, church, and educational systems. We understand that the moralisms of the church, </w:t>
      </w:r>
      <w:r w:rsidRPr="00087A72">
        <w:rPr>
          <w:rFonts w:cstheme="majorHAnsi"/>
          <w:b/>
          <w:u w:val="single"/>
        </w:rPr>
        <w:t>the democratic promise of equality issued by the state</w:t>
      </w:r>
      <w:r w:rsidRPr="00087A72">
        <w:rPr>
          <w:rFonts w:cstheme="majorHAnsi"/>
          <w:sz w:val="16"/>
        </w:rPr>
        <w:t xml:space="preserve">, and the pseudo-science of the fields of anthropology, history, and psychiatry </w:t>
      </w:r>
      <w:r w:rsidRPr="00087A72">
        <w:rPr>
          <w:rFonts w:cstheme="majorHAnsi"/>
          <w:b/>
          <w:u w:val="single"/>
        </w:rPr>
        <w:t>are all founded on a transcendental image that has undermined Indigenous lives</w:t>
      </w:r>
      <w:r w:rsidRPr="00087A72">
        <w:rPr>
          <w:rFonts w:cstheme="majorHAnsi"/>
          <w:sz w:val="16"/>
        </w:rPr>
        <w:t xml:space="preserve"> and worldviews and marginalized immanent and revolutionary subjectivities. </w:t>
      </w:r>
      <w:r w:rsidRPr="00087A72">
        <w:rPr>
          <w:rStyle w:val="Emphasis"/>
          <w:rFonts w:cstheme="majorHAnsi"/>
        </w:rPr>
        <w:t>A new immanent settler subjectivity that rejects the dictates of a transcendental god, state, or knowledge moves toward an ethics of accountability</w:t>
      </w:r>
      <w:r w:rsidRPr="00087A72">
        <w:rPr>
          <w:rFonts w:cstheme="majorHAnsi"/>
          <w:sz w:val="16"/>
        </w:rPr>
        <w:t xml:space="preserve"> to the immanent relations that constitute it. </w:t>
      </w:r>
      <w:r w:rsidRPr="00087A72">
        <w:rPr>
          <w:rFonts w:cstheme="majorHAnsi"/>
          <w:b/>
          <w:u w:val="single"/>
        </w:rPr>
        <w:t xml:space="preserve">We seek to dislodge ourselves from the dominant power and change the effects of that power toward a collective community building and immanent auto-productivity. </w:t>
      </w:r>
      <w:r w:rsidRPr="00087A72">
        <w:rPr>
          <w:rStyle w:val="Emphasis"/>
          <w:rFonts w:cstheme="majorHAnsi"/>
        </w:rPr>
        <w:t>Such relationships</w:t>
      </w:r>
      <w:r w:rsidRPr="00087A72">
        <w:rPr>
          <w:rFonts w:cstheme="majorHAnsi"/>
          <w:sz w:val="16"/>
        </w:rPr>
        <w:t xml:space="preserve"> move alongside recognition politics by the state through laws and rights, but more critically </w:t>
      </w:r>
      <w:r w:rsidRPr="00087A72">
        <w:rPr>
          <w:rStyle w:val="Emphasis"/>
          <w:rFonts w:cstheme="majorHAnsi"/>
        </w:rPr>
        <w:t>act to undo the state’s power to subject others to rights and laws.</w:t>
      </w:r>
      <w:r w:rsidRPr="00087A72">
        <w:rPr>
          <w:rFonts w:cstheme="majorHAnsi"/>
          <w:sz w:val="16"/>
        </w:rPr>
        <w:t xml:space="preserve"> It is a call </w:t>
      </w:r>
      <w:r w:rsidRPr="00087A72">
        <w:rPr>
          <w:rStyle w:val="Emphasis"/>
          <w:rFonts w:cstheme="majorHAnsi"/>
        </w:rPr>
        <w:t>to rethink power, agency, and freedom through a situated accountability based on responsibility, allegiance, and affiliation.</w:t>
      </w:r>
      <w:r w:rsidRPr="00087A72">
        <w:rPr>
          <w:rFonts w:cstheme="majorHAnsi"/>
          <w:sz w:val="16"/>
        </w:rPr>
        <w:t xml:space="preserve"> Ethics here is about active forces and increasing relationality, affect, and capacity to act. It therefore calls for singularized mappings of power and responsible negotiations en route to a different world.</w:t>
      </w:r>
    </w:p>
    <w:p w:rsidR="00BF1592" w:rsidRPr="00087A72" w:rsidRDefault="00BF1592" w:rsidP="00D005A2">
      <w:pPr>
        <w:pStyle w:val="Heading3"/>
      </w:pPr>
      <w:r w:rsidRPr="00087A72">
        <w:t>Alt – Ceremony</w:t>
      </w:r>
    </w:p>
    <w:p w:rsidR="00BF1592" w:rsidRPr="00087A72" w:rsidRDefault="00BF1592" w:rsidP="00BF1592">
      <w:pPr>
        <w:pStyle w:val="Heading4"/>
        <w:rPr>
          <w:rFonts w:ascii="Times New Roman" w:hAnsi="Times New Roman" w:cs="Times New Roman"/>
        </w:rPr>
      </w:pPr>
      <w:r w:rsidRPr="00087A72">
        <w:rPr>
          <w:rFonts w:ascii="Times New Roman" w:hAnsi="Times New Roman" w:cs="Times New Roman"/>
        </w:rPr>
        <w:t>Thus we endorse the ceremony- an unsettling of the body and spatial/temporal western epistemologies fore-fronting healing in an unintelligible way. The Sacred produces new forms of relationality to the world, landscapes, and unsettle the body from normative modes of knowing</w:t>
      </w:r>
    </w:p>
    <w:p w:rsidR="00BF1592" w:rsidRPr="00087A72" w:rsidRDefault="00BF1592" w:rsidP="00BF1592">
      <w:pPr>
        <w:rPr>
          <w:rFonts w:ascii="Times New Roman" w:hAnsi="Times New Roman" w:cs="Times New Roman"/>
        </w:rPr>
      </w:pPr>
      <w:r w:rsidRPr="00087A72">
        <w:rPr>
          <w:rStyle w:val="Style13ptBold"/>
          <w:rFonts w:ascii="Times New Roman" w:hAnsi="Times New Roman" w:cs="Times New Roman"/>
        </w:rPr>
        <w:t>King 2013</w:t>
      </w:r>
      <w:r w:rsidRPr="00087A72">
        <w:rPr>
          <w:rFonts w:ascii="Times New Roman" w:hAnsi="Times New Roman" w:cs="Times New Roman"/>
        </w:rPr>
        <w:t xml:space="preserve"> (Tiffany, "In the Clearing: Black Female Bodies, Space and Settler Colonial Landscapes," pg. 189-192, Sen). </w:t>
      </w:r>
    </w:p>
    <w:p w:rsidR="00BF1592" w:rsidRPr="00087A72" w:rsidRDefault="00BF1592" w:rsidP="00BF1592">
      <w:pPr>
        <w:rPr>
          <w:rFonts w:ascii="Times New Roman" w:hAnsi="Times New Roman" w:cs="Times New Roman"/>
          <w:sz w:val="16"/>
        </w:rPr>
      </w:pPr>
      <w:r w:rsidRPr="00087A72">
        <w:rPr>
          <w:rStyle w:val="Emphasis"/>
          <w:rFonts w:ascii="Times New Roman" w:hAnsi="Times New Roman" w:cs="Times New Roman"/>
        </w:rPr>
        <w:t>Ceremony work, or working a ceremony is necessarily linked to the body. The praxis of the Black and Indigenous female body work is also spatial work.</w:t>
      </w:r>
      <w:r w:rsidRPr="00087A72">
        <w:rPr>
          <w:rFonts w:ascii="Times New Roman" w:hAnsi="Times New Roman" w:cs="Times New Roman"/>
          <w:sz w:val="16"/>
        </w:rPr>
        <w:t xml:space="preserve"> I will return to its links to space later. Ceremony and the knowledge or what Jacqui Alexander names as a “shift in consciousness” requires the body.4 Invoking a shift in consciousness is described by Alexander as the “self in intimate concert with the Sacred.”5 While </w:t>
      </w:r>
      <w:r w:rsidRPr="00087A72">
        <w:rPr>
          <w:rStyle w:val="StyleUnderline"/>
          <w:rFonts w:ascii="Times New Roman" w:hAnsi="Times New Roman" w:cs="Times New Roman"/>
        </w:rPr>
        <w:t>my</w:t>
      </w:r>
      <w:r w:rsidRPr="00087A72">
        <w:rPr>
          <w:rFonts w:ascii="Times New Roman" w:hAnsi="Times New Roman" w:cs="Times New Roman"/>
          <w:sz w:val="16"/>
        </w:rPr>
        <w:t xml:space="preserve"> own </w:t>
      </w:r>
      <w:r w:rsidRPr="00087A72">
        <w:rPr>
          <w:rStyle w:val="StyleUnderline"/>
          <w:rFonts w:ascii="Times New Roman" w:hAnsi="Times New Roman" w:cs="Times New Roman"/>
        </w:rPr>
        <w:t>understanding and definition of the Sacred</w:t>
      </w:r>
      <w:r w:rsidRPr="00087A72">
        <w:rPr>
          <w:rFonts w:ascii="Times New Roman" w:hAnsi="Times New Roman" w:cs="Times New Roman"/>
          <w:sz w:val="16"/>
        </w:rPr>
        <w:t xml:space="preserve"> in this chapter is particular, </w:t>
      </w:r>
      <w:r w:rsidRPr="00087A72">
        <w:rPr>
          <w:rStyle w:val="StyleUnderline"/>
          <w:rFonts w:ascii="Times New Roman" w:hAnsi="Times New Roman" w:cs="Times New Roman"/>
        </w:rPr>
        <w:t>it is not inaccessible</w:t>
      </w:r>
      <w:r w:rsidRPr="00087A72">
        <w:rPr>
          <w:rFonts w:ascii="Times New Roman" w:hAnsi="Times New Roman" w:cs="Times New Roman"/>
          <w:sz w:val="16"/>
        </w:rPr>
        <w:t xml:space="preserve">. Within the context of INCITE work, </w:t>
      </w:r>
      <w:r w:rsidRPr="00087A72">
        <w:rPr>
          <w:rStyle w:val="Emphasis"/>
          <w:rFonts w:ascii="Times New Roman" w:hAnsi="Times New Roman" w:cs="Times New Roman"/>
        </w:rPr>
        <w:t>I imagine and theorize the Sacred as knowledge gained or a way of knowing—epistemology—that recognizes an intimate connection to the other people with whom you are conducting the ceremony.</w:t>
      </w:r>
      <w:r w:rsidRPr="00087A72">
        <w:rPr>
          <w:rFonts w:ascii="Times New Roman" w:hAnsi="Times New Roman" w:cs="Times New Roman"/>
          <w:sz w:val="16"/>
        </w:rPr>
        <w:t xml:space="preserve"> The sacred in the context of this chapter functions as the knowledge or knowing that your survival as a Black woman is inseparable from her survival as a Native woman. </w:t>
      </w:r>
      <w:r w:rsidRPr="00087A72">
        <w:rPr>
          <w:rStyle w:val="Emphasis"/>
          <w:rFonts w:ascii="Times New Roman" w:hAnsi="Times New Roman" w:cs="Times New Roman"/>
        </w:rPr>
        <w:t>This knowledge of interconnection is also not accessed alone. Knowledge cannot always be gained through systematic reasoning. Western thought patterns and problem solving strategies are at times insufficient. This kind of knowledge cannot be accessed from a book. This knowledge is co-produced and requires other bodies to access it.</w:t>
      </w:r>
      <w:r w:rsidRPr="00087A72">
        <w:rPr>
          <w:rFonts w:ascii="Times New Roman" w:hAnsi="Times New Roman" w:cs="Times New Roman"/>
          <w:sz w:val="16"/>
        </w:rPr>
        <w:t xml:space="preserve"> Further, I want people to think about the appearance of or my invocation of </w:t>
      </w:r>
      <w:r w:rsidRPr="00087A72">
        <w:rPr>
          <w:rStyle w:val="StyleUnderline"/>
          <w:rFonts w:ascii="Times New Roman" w:hAnsi="Times New Roman" w:cs="Times New Roman"/>
        </w:rPr>
        <w:t>the Sacred as way of describing a movement through impasse</w:t>
      </w:r>
      <w:r w:rsidRPr="00087A72">
        <w:rPr>
          <w:rStyle w:val="Emphasis"/>
          <w:rFonts w:ascii="Times New Roman" w:hAnsi="Times New Roman" w:cs="Times New Roman"/>
        </w:rPr>
        <w:t>. A way of translating this “Sacred” experience to people would be to have the reader think about it as the ability to understand or connect with people when you did not think it was possible.</w:t>
      </w:r>
      <w:r w:rsidRPr="00087A72">
        <w:rPr>
          <w:rFonts w:ascii="Times New Roman" w:hAnsi="Times New Roman" w:cs="Times New Roman"/>
          <w:sz w:val="16"/>
        </w:rPr>
        <w:t xml:space="preserve"> Another way of describing </w:t>
      </w:r>
      <w:r w:rsidRPr="00087A72">
        <w:rPr>
          <w:rStyle w:val="Emphasis"/>
          <w:rFonts w:ascii="Times New Roman" w:hAnsi="Times New Roman" w:cs="Times New Roman"/>
        </w:rPr>
        <w:t>the Sacred is a moment when you meet the limits of reason or your capacity to be empathetic yet somehow—perhaps inexplicable—you are able to still connect with the other.</w:t>
      </w:r>
      <w:r w:rsidRPr="00087A72">
        <w:rPr>
          <w:rFonts w:ascii="Times New Roman" w:hAnsi="Times New Roman" w:cs="Times New Roman"/>
          <w:sz w:val="16"/>
        </w:rPr>
        <w:t xml:space="preserve"> What we made possible was an imaginary of Black and Native decolonization. </w:t>
      </w:r>
      <w:r w:rsidRPr="00087A72">
        <w:rPr>
          <w:rStyle w:val="StyleUnderline"/>
          <w:rFonts w:ascii="Times New Roman" w:hAnsi="Times New Roman" w:cs="Times New Roman"/>
        </w:rPr>
        <w:t>Black freedom was articulated as a condition of statelessness, yet possibility and fulfillment. We created the space to envision the radical possibility of Native sovereignty outside of western notions of the “nation,” “state,” and “nation-state</w:t>
      </w:r>
      <w:r w:rsidRPr="00087A72">
        <w:rPr>
          <w:rStyle w:val="Emphasis"/>
          <w:rFonts w:ascii="Times New Roman" w:hAnsi="Times New Roman" w:cs="Times New Roman"/>
        </w:rPr>
        <w:t>.” In the unlikely spaces of two basement apartments, a fifth floor walk up, a north facing corner apartment on West Bloor, we remapped the hemisphere on Black and Native women’s terms. New names were adopted, old notions of innocence and guilt were reframed, and bold notions of relationality and entanglement were forged in ways that challenge coalitional politics. We forged a new analytic, where our experiences touched. We looked at each other through the smoke and proclaimed: In order to free the land, we must abolish the prison. Abolition of genocide and Black social death are intimately and inevitably tied.</w:t>
      </w:r>
      <w:r w:rsidRPr="00087A72">
        <w:rPr>
          <w:rFonts w:ascii="Times New Roman" w:hAnsi="Times New Roman" w:cs="Times New Roman"/>
          <w:sz w:val="16"/>
        </w:rPr>
        <w:t xml:space="preserve"> Practice/Method In this chapter, I recollect, remember and re-inhabit my work with INCITE Toronto from 2006-2008 in order to theorize and honor it. </w:t>
      </w:r>
      <w:r w:rsidRPr="00087A72">
        <w:rPr>
          <w:rStyle w:val="StyleUnderline"/>
          <w:rFonts w:ascii="Times New Roman" w:hAnsi="Times New Roman" w:cs="Times New Roman"/>
        </w:rPr>
        <w:t xml:space="preserve">I use my journal entries, free writings, and email exchanges between group members along with the ephemera from the group’s creative work to stir these memories and bring them to the surface. </w:t>
      </w:r>
      <w:r w:rsidRPr="00087A72">
        <w:rPr>
          <w:rFonts w:ascii="Times New Roman" w:hAnsi="Times New Roman" w:cs="Times New Roman"/>
          <w:sz w:val="16"/>
        </w:rPr>
        <w:t xml:space="preserve">As I revisit this work, I pay attention to the ways that Black women’s bodies, my own included, claim a space of flux, refusal and un-belonging in order to re-imagine their relationship to one another, the land, settler colonial nation-states and decolonial politics. </w:t>
      </w:r>
      <w:r w:rsidRPr="00087A72">
        <w:rPr>
          <w:rStyle w:val="Emphasis"/>
          <w:rFonts w:ascii="Times New Roman" w:hAnsi="Times New Roman" w:cs="Times New Roman"/>
        </w:rPr>
        <w:t>In order to track this Black female state of flux, I look for it in ritual and ceremonial work. Ceremony unsettles the body, Western epistemologies, and notions of time and space. The labor of ceremony requires a simultaneous reclamation and surrender of the body to a collective agreement to enter into chaos. Chaos allows us to enter into a Lordean space of erotic possibilities where bodies transfer experiences and come into contact with the sacred together.</w:t>
      </w:r>
      <w:r w:rsidRPr="00087A72">
        <w:rPr>
          <w:rFonts w:ascii="Times New Roman" w:hAnsi="Times New Roman" w:cs="Times New Roman"/>
          <w:sz w:val="16"/>
        </w:rPr>
        <w:t xml:space="preserve"> </w:t>
      </w:r>
      <w:r w:rsidRPr="00087A72">
        <w:rPr>
          <w:rStyle w:val="StyleUnderline"/>
          <w:rFonts w:ascii="Times New Roman" w:hAnsi="Times New Roman" w:cs="Times New Roman"/>
        </w:rPr>
        <w:t xml:space="preserve">The form of autobiographical writing that I engage in order to recall this chaos of decolonial work is </w:t>
      </w:r>
      <w:r w:rsidRPr="00087A72">
        <w:rPr>
          <w:rFonts w:ascii="Times New Roman" w:hAnsi="Times New Roman" w:cs="Times New Roman"/>
          <w:sz w:val="16"/>
        </w:rPr>
        <w:t>often referred to as</w:t>
      </w:r>
      <w:r w:rsidRPr="00087A72">
        <w:rPr>
          <w:rStyle w:val="StyleUnderline"/>
          <w:rFonts w:ascii="Times New Roman" w:hAnsi="Times New Roman" w:cs="Times New Roman"/>
        </w:rPr>
        <w:t xml:space="preserve"> auto ethnography </w:t>
      </w:r>
      <w:r w:rsidRPr="00087A72">
        <w:rPr>
          <w:rFonts w:ascii="Times New Roman" w:hAnsi="Times New Roman" w:cs="Times New Roman"/>
          <w:sz w:val="16"/>
        </w:rPr>
        <w:t>within academic fields. Despite debates and ongoing suspicion about its rigor and legitimacy as a research method, the practice has gained currency in many fields in the humanities and social sciences.</w:t>
      </w:r>
      <w:r w:rsidRPr="00087A72">
        <w:rPr>
          <w:rStyle w:val="StyleUnderline"/>
          <w:rFonts w:ascii="Times New Roman" w:hAnsi="Times New Roman" w:cs="Times New Roman"/>
        </w:rPr>
        <w:t xml:space="preserve"> </w:t>
      </w:r>
      <w:r w:rsidRPr="00087A72">
        <w:rPr>
          <w:rFonts w:ascii="Times New Roman" w:hAnsi="Times New Roman" w:cs="Times New Roman"/>
          <w:sz w:val="16"/>
        </w:rPr>
        <w:t xml:space="preserve">It is particularly popular in fields like Women’s and Gender Studies, American Studies, Performance Studies and other fields that seek to challenge dominant power relations. </w:t>
      </w:r>
      <w:r w:rsidRPr="00087A72">
        <w:rPr>
          <w:rStyle w:val="StyleUnderline"/>
          <w:rFonts w:ascii="Times New Roman" w:hAnsi="Times New Roman" w:cs="Times New Roman"/>
        </w:rPr>
        <w:t>Scholars in these fields have adapted various ethnographic methods including auto ethnography and carved out a space they call critical ethnography.</w:t>
      </w:r>
      <w:r w:rsidRPr="00087A72">
        <w:rPr>
          <w:rFonts w:ascii="Times New Roman" w:hAnsi="Times New Roman" w:cs="Times New Roman"/>
          <w:sz w:val="16"/>
        </w:rPr>
        <w:t xml:space="preserve">7 Scholars who claim to be committed to a post colonial critique or to an anti-colonial praxis like anthropologists Kathryn Besio and David Butz endorse autoethnography as a practice with ambivalent optimism. Besio and Butz quip, “autoethnography—it’s great, but it can’t do everything.”8 In its more critical iterations, ethnography and </w:t>
      </w:r>
      <w:r w:rsidRPr="00087A72">
        <w:rPr>
          <w:rStyle w:val="Emphasis"/>
          <w:rFonts w:ascii="Times New Roman" w:hAnsi="Times New Roman" w:cs="Times New Roman"/>
        </w:rPr>
        <w:t>autoethnography</w:t>
      </w:r>
      <w:r w:rsidRPr="00087A72">
        <w:rPr>
          <w:rFonts w:ascii="Times New Roman" w:hAnsi="Times New Roman" w:cs="Times New Roman"/>
          <w:sz w:val="16"/>
        </w:rPr>
        <w:t xml:space="preserve"> have been used meaningfully in post colonial studies, feminist geography and other critical fields.9 Some of this scholarship </w:t>
      </w:r>
      <w:r w:rsidRPr="00087A72">
        <w:rPr>
          <w:rStyle w:val="Emphasis"/>
          <w:rFonts w:ascii="Times New Roman" w:hAnsi="Times New Roman" w:cs="Times New Roman"/>
        </w:rPr>
        <w:t>has directly challenged epistemic claims to universal vantage points and forms of knowledge that emerge from Enlightenment thought.</w:t>
      </w:r>
      <w:r w:rsidRPr="00087A72">
        <w:rPr>
          <w:rFonts w:ascii="Times New Roman" w:hAnsi="Times New Roman" w:cs="Times New Roman"/>
          <w:sz w:val="16"/>
        </w:rPr>
        <w:t xml:space="preserve">10 Based on Besio and Butz’s endorsement, </w:t>
      </w:r>
      <w:r w:rsidRPr="00087A72">
        <w:rPr>
          <w:rStyle w:val="StyleUnderline"/>
          <w:rFonts w:ascii="Times New Roman" w:hAnsi="Times New Roman" w:cs="Times New Roman"/>
        </w:rPr>
        <w:t xml:space="preserve">autoethnography </w:t>
      </w:r>
      <w:r w:rsidRPr="00087A72">
        <w:rPr>
          <w:rFonts w:ascii="Times New Roman" w:hAnsi="Times New Roman" w:cs="Times New Roman"/>
          <w:sz w:val="16"/>
        </w:rPr>
        <w:t>should be an agile method that</w:t>
      </w:r>
      <w:r w:rsidRPr="00087A72">
        <w:rPr>
          <w:rStyle w:val="StyleUnderline"/>
          <w:rFonts w:ascii="Times New Roman" w:hAnsi="Times New Roman" w:cs="Times New Roman"/>
        </w:rPr>
        <w:t xml:space="preserve"> can subvert </w:t>
      </w:r>
      <w:r w:rsidRPr="00087A72">
        <w:rPr>
          <w:rFonts w:ascii="Times New Roman" w:hAnsi="Times New Roman" w:cs="Times New Roman"/>
          <w:sz w:val="16"/>
        </w:rPr>
        <w:t>the</w:t>
      </w:r>
      <w:r w:rsidRPr="00087A72">
        <w:rPr>
          <w:rStyle w:val="StyleUnderline"/>
          <w:rFonts w:ascii="Times New Roman" w:hAnsi="Times New Roman" w:cs="Times New Roman"/>
        </w:rPr>
        <w:t xml:space="preserve"> power relations that brought the practice into formation and continue to plague it. Autoethnography should</w:t>
      </w:r>
      <w:r w:rsidRPr="00087A72">
        <w:rPr>
          <w:rFonts w:ascii="Times New Roman" w:hAnsi="Times New Roman" w:cs="Times New Roman"/>
          <w:sz w:val="16"/>
        </w:rPr>
        <w:t xml:space="preserve"> also prove to </w:t>
      </w:r>
      <w:r w:rsidRPr="00087A72">
        <w:rPr>
          <w:rStyle w:val="StyleUnderline"/>
          <w:rFonts w:ascii="Times New Roman" w:hAnsi="Times New Roman" w:cs="Times New Roman"/>
        </w:rPr>
        <w:t>be</w:t>
      </w:r>
      <w:r w:rsidRPr="00087A72">
        <w:rPr>
          <w:rFonts w:ascii="Times New Roman" w:hAnsi="Times New Roman" w:cs="Times New Roman"/>
          <w:sz w:val="16"/>
        </w:rPr>
        <w:t xml:space="preserve"> a </w:t>
      </w:r>
      <w:r w:rsidRPr="00087A72">
        <w:rPr>
          <w:rStyle w:val="StyleUnderline"/>
          <w:rFonts w:ascii="Times New Roman" w:hAnsi="Times New Roman" w:cs="Times New Roman"/>
        </w:rPr>
        <w:t xml:space="preserve">helpful </w:t>
      </w:r>
      <w:r w:rsidRPr="00087A72">
        <w:rPr>
          <w:rFonts w:ascii="Times New Roman" w:hAnsi="Times New Roman" w:cs="Times New Roman"/>
          <w:sz w:val="16"/>
        </w:rPr>
        <w:t xml:space="preserve">companion in my </w:t>
      </w:r>
      <w:r w:rsidRPr="00087A72">
        <w:rPr>
          <w:rStyle w:val="StyleUnderline"/>
          <w:rFonts w:ascii="Times New Roman" w:hAnsi="Times New Roman" w:cs="Times New Roman"/>
        </w:rPr>
        <w:t>attempts to unmap and re-write geographies based on Cartesian dualisms and imperial subject positions that seek to discipline land, bodies, time and space.</w:t>
      </w:r>
      <w:r w:rsidRPr="00087A72">
        <w:rPr>
          <w:rFonts w:ascii="Times New Roman" w:hAnsi="Times New Roman" w:cs="Times New Roman"/>
          <w:sz w:val="16"/>
        </w:rPr>
        <w:t xml:space="preserve"> While my method of remembering and re inhabiting the work of INCITE resonates with some of the disciplinary, analytic and political concerns of a so-called post colonial auto ethnographic practice my writing and theory building does not share ethnography’s or auto ethnography’s origins, form, or intentions. At times what I am doing appears remarkably similar, and sometimes almost identical to some practices of autoethnography. </w:t>
      </w:r>
      <w:r w:rsidRPr="00087A72">
        <w:rPr>
          <w:rStyle w:val="StyleUnderline"/>
          <w:rFonts w:ascii="Times New Roman" w:hAnsi="Times New Roman" w:cs="Times New Roman"/>
        </w:rPr>
        <w:t>My practice is certainly in conversation with autoethnography’s desire to disrupt hegemonic power relations and makes similar epistemic challenges.</w:t>
      </w:r>
      <w:r w:rsidRPr="00087A72">
        <w:rPr>
          <w:rFonts w:ascii="Times New Roman" w:hAnsi="Times New Roman" w:cs="Times New Roman"/>
          <w:sz w:val="16"/>
        </w:rPr>
        <w:t xml:space="preserve"> However, in this practice of writing about and theorizing an experience diverges from the path of ethnography. I briefly reflect on the emergent field of critical ethnography in order to explore the points of divergence. Is this Ethnography? Throughout this project, I have been stretching my mind and tongue around new language and terms to think about the co-imbrication of settler colonialism and slavery on the Black female body. </w:t>
      </w:r>
      <w:r w:rsidRPr="00087A72">
        <w:rPr>
          <w:rStyle w:val="Emphasis"/>
          <w:rFonts w:ascii="Times New Roman" w:hAnsi="Times New Roman" w:cs="Times New Roman"/>
        </w:rPr>
        <w:t xml:space="preserve">As a way of grappling with language and the conceptual frames that it instantiates and forecloses, I want to interrogate what an imposition of the discourse of ethnography as well as its baggage does to knowledge production that seeks to work outside of its grasp. </w:t>
      </w:r>
      <w:r w:rsidRPr="00087A72">
        <w:rPr>
          <w:rFonts w:ascii="Times New Roman" w:hAnsi="Times New Roman" w:cs="Times New Roman"/>
          <w:sz w:val="16"/>
        </w:rPr>
        <w:t>I am not calling for the destruction of ethnography some academic and political projects continue to find it useful.11 However is everything that looks like or has resonances with ethnography necessarily ethnographic? Is how I am choosing to reflect on and theorize the work of INCITE always already auto ethnography? Rather what I will do is investigate the space of alterity and difference that critical ethnographers like Conguergood, Spry and others claim. I am interested in how these claims of alterity may still be working through forms of disciplinarity, closed epistemological systems, and coloniality. I will distinguish how my own work departs from these epistemic vantage points and alliances with colonial knowledge production. Ultimately, I ask the question, why must critical work in performance studies, ethnography, art, and action based research name itself ethnography</w:t>
      </w:r>
      <w:r w:rsidRPr="00087A72">
        <w:rPr>
          <w:rStyle w:val="StyleUnderline"/>
          <w:rFonts w:ascii="Times New Roman" w:hAnsi="Times New Roman" w:cs="Times New Roman"/>
        </w:rPr>
        <w:t>? The major interventions in the field of critical ethnography are articulated as commitments to embodied practices, a politics of solidarity (outside turned into inside), and an incoherent self/I that does not claim a universal epistemic vantage point or grand theory/truth.</w:t>
      </w:r>
      <w:r w:rsidRPr="00087A72">
        <w:rPr>
          <w:rFonts w:ascii="Times New Roman" w:hAnsi="Times New Roman" w:cs="Times New Roman"/>
          <w:sz w:val="16"/>
        </w:rPr>
        <w:t xml:space="preserve"> I agree that these things are often achieved by the scholars committed to the practice of critical ethnography however, these disruptions and breaks with colonial knowledge production also have genealogies that do not begin, end, or intersect with ethnography. Let us begin with the way that the critical in ethnography takes up embodiment. Embodiment: Tami Spry, a committed practitioner of critical ethnography, specifically the incorporation of performance studies into the practice of ethnography, emphasizes the way that the body is privileged as a site of knowledge production. As the locus of knowledge production, the body becomes a way to orient oneself to culture, research, the un/knowing self, and other people. In her 2006 article, “Text and Performance Performances: A ‘Performative–I’ Co-presence: Embodying the Ethnographic Turn in Performance and the Performative Turn in Ethnography,” Spry thanks her discipline for allowing her to bring her body and experience as well as others’ bodies and experiences into her research. Proudly, Spry ingratiates herself to the ways that performance studies has created an opening in the practice of ethnography for the body to enter and be taken seriously. As she thanks the field of performance studies and its liason with ethnography, she also honors D. Soyini Madison for her contributions. “I am thankful for the disciplinary wisdom to view lived experience through theories of embodiment, because it was only in trusting the embodied knowledge that [in the words of D. Soyini Madison] ‘I am a un/learning body in the process of feeling’ that I began to heal.”13 </w:t>
      </w:r>
      <w:r w:rsidRPr="00087A72">
        <w:rPr>
          <w:rStyle w:val="StyleUnderline"/>
          <w:rFonts w:ascii="Times New Roman" w:hAnsi="Times New Roman" w:cs="Times New Roman"/>
        </w:rPr>
        <w:t>Accessing the embodied knowledge of the self and others is critical to the healing process.</w:t>
      </w:r>
      <w:r w:rsidRPr="00087A72">
        <w:rPr>
          <w:rFonts w:ascii="Times New Roman" w:hAnsi="Times New Roman" w:cs="Times New Roman"/>
          <w:sz w:val="16"/>
        </w:rPr>
        <w:t xml:space="preserve"> Both her sentiment and nod to scholar, performance artist, and activist D. Soyini Madison are appropriate. However, I am interested in scrutinizing the way that Spry and other performance studies theorists like Dwight Conguergood tend to back into the body and its theoretical capacity through their discipline. Again, the epistemological entry point of figuring out or getting back in touch with the body, while meaningful, through making amending academic disciplines is an interesting entry point. In my own work to recollect the embodied experiences that I and members of INCITE had between 2006 and 2008, I take a different route. The body, for the Black and Native women of INCITE is indispensible to the work of ceremony</w:t>
      </w:r>
      <w:r w:rsidRPr="00087A72">
        <w:rPr>
          <w:rStyle w:val="Emphasis"/>
          <w:rFonts w:ascii="Times New Roman" w:hAnsi="Times New Roman" w:cs="Times New Roman"/>
        </w:rPr>
        <w:t xml:space="preserve">. In order to enact ceremony the body must be used, in fact the body initiates the ceremony. The body initiates the ceremony and initiates knowledge. Knowledge—as a disciplinary space—does not invite the body to take part. </w:t>
      </w:r>
      <w:r w:rsidRPr="00087A72">
        <w:rPr>
          <w:rFonts w:ascii="Times New Roman" w:hAnsi="Times New Roman" w:cs="Times New Roman"/>
          <w:sz w:val="16"/>
        </w:rPr>
        <w:t>A further and more in depth analysis of this will be taken up later when I anatomize one of INCITE’s ceremonies.</w:t>
      </w:r>
    </w:p>
    <w:p w:rsidR="00BF1592" w:rsidRPr="00087A72" w:rsidRDefault="00BF1592" w:rsidP="00BF1592">
      <w:pPr>
        <w:pStyle w:val="Heading4"/>
        <w:rPr>
          <w:rStyle w:val="Style13ptBold"/>
          <w:rFonts w:ascii="Times New Roman" w:hAnsi="Times New Roman" w:cs="Times New Roman"/>
          <w:b/>
        </w:rPr>
      </w:pPr>
      <w:r w:rsidRPr="00087A72">
        <w:rPr>
          <w:rStyle w:val="Style13ptBold"/>
          <w:rFonts w:ascii="Times New Roman" w:hAnsi="Times New Roman" w:cs="Times New Roman"/>
          <w:b/>
        </w:rPr>
        <w:t xml:space="preserve">The Ceremony is a pre req to counter-hegemonic epistemologies; ruptures linear notions of time that deny the notion that an individual is one with their surrounding- the impact is violent disembodiment and separation of space and time </w:t>
      </w:r>
    </w:p>
    <w:p w:rsidR="00BF1592" w:rsidRPr="00087A72" w:rsidRDefault="00BF1592" w:rsidP="00BF1592">
      <w:pPr>
        <w:rPr>
          <w:rFonts w:ascii="Times New Roman" w:hAnsi="Times New Roman" w:cs="Times New Roman"/>
        </w:rPr>
      </w:pPr>
      <w:r w:rsidRPr="00087A72">
        <w:rPr>
          <w:rStyle w:val="Style13ptBold"/>
          <w:rFonts w:ascii="Times New Roman" w:hAnsi="Times New Roman" w:cs="Times New Roman"/>
        </w:rPr>
        <w:t>King 2013</w:t>
      </w:r>
      <w:r w:rsidRPr="00087A72">
        <w:rPr>
          <w:rFonts w:ascii="Times New Roman" w:hAnsi="Times New Roman" w:cs="Times New Roman"/>
        </w:rPr>
        <w:t xml:space="preserve"> (Tiffany, "In the Clearing: Black Female Bodies, Space and Settler Colonial Landscapes," pg. 221-228, Sen). </w:t>
      </w:r>
    </w:p>
    <w:p w:rsidR="00BF1592" w:rsidRPr="00087A72" w:rsidRDefault="00BF1592" w:rsidP="00BF1592">
      <w:pPr>
        <w:rPr>
          <w:rStyle w:val="Emphasis"/>
          <w:rFonts w:ascii="Times New Roman" w:hAnsi="Times New Roman" w:cs="Times New Roman"/>
        </w:rPr>
      </w:pPr>
      <w:r w:rsidRPr="00087A72">
        <w:rPr>
          <w:rFonts w:ascii="Times New Roman" w:hAnsi="Times New Roman" w:cs="Times New Roman"/>
          <w:sz w:val="16"/>
        </w:rPr>
        <w:t>I also argue that they also cluster at the space of impasse, disagreement, mistrust and the possibility of coalition</w:t>
      </w:r>
      <w:r w:rsidRPr="00087A72">
        <w:rPr>
          <w:rStyle w:val="Emphasis"/>
          <w:rFonts w:ascii="Times New Roman" w:hAnsi="Times New Roman" w:cs="Times New Roman"/>
        </w:rPr>
        <w:t>. I think of smoke as representing the unseen spirit that one can’t see but can feel its effects.</w:t>
      </w:r>
      <w:r w:rsidRPr="00087A72">
        <w:rPr>
          <w:rFonts w:ascii="Times New Roman" w:hAnsi="Times New Roman" w:cs="Times New Roman"/>
          <w:sz w:val="16"/>
        </w:rPr>
        <w:t xml:space="preserve"> In the second epigraph that opens this chapter, Jacqui </w:t>
      </w:r>
      <w:r w:rsidRPr="00087A72">
        <w:rPr>
          <w:rStyle w:val="Emphasis"/>
          <w:rFonts w:ascii="Times New Roman" w:hAnsi="Times New Roman" w:cs="Times New Roman"/>
        </w:rPr>
        <w:t>Alexander compares the Sacred</w:t>
      </w:r>
      <w:r w:rsidRPr="00087A72">
        <w:rPr>
          <w:rFonts w:ascii="Times New Roman" w:hAnsi="Times New Roman" w:cs="Times New Roman"/>
          <w:sz w:val="16"/>
        </w:rPr>
        <w:t>, what I call spirit</w:t>
      </w:r>
      <w:r w:rsidRPr="00087A72">
        <w:rPr>
          <w:rStyle w:val="Emphasis"/>
          <w:rFonts w:ascii="Times New Roman" w:hAnsi="Times New Roman" w:cs="Times New Roman"/>
        </w:rPr>
        <w:t xml:space="preserve">, to the wind. The only trace that it has been present is sometimes the evidence of an uprooted tree. As I track the smoke of our ceremony space, I also follow an epistemic shift. A shift from a reliance on the sole power of reasoning with one another to a requisite invoking of the sacred in order to shift our own and one another’s consciousness. I want to take spirit, specifically the presence of ancestors and guides during ceremony seriously. I want to consider the presence of the ancestors in order to deal with ceremonial time. I also attempt to deal with the ancestors and ceremonial time in ways that do not fetishize “spirit talk” as a mysterious and impenetrable subjugated knowledge of the subaltern. I want to deal with it as a viable epistemology and way of knowing, making sense of and orienting oneself in the world. </w:t>
      </w:r>
      <w:r w:rsidRPr="00087A72">
        <w:rPr>
          <w:rFonts w:ascii="Times New Roman" w:hAnsi="Times New Roman" w:cs="Times New Roman"/>
          <w:sz w:val="16"/>
        </w:rPr>
        <w:t xml:space="preserve">The fact that the spirits of a former female slave, a Native woman who watched the slaughter of her child and the spirit of a Seminole descended from Black and Native who bridged the divide could all be in the room challenges our notions of time and space or time-space. On one level to accept this as true would require that we reconceptualize time. Paula Gunn Allen who has been critiqued for a brand of Native essentialism has argued as other non-western thinkers have that Native time is non-linear. In fact, </w:t>
      </w:r>
      <w:r w:rsidRPr="00087A72">
        <w:rPr>
          <w:rStyle w:val="Emphasis"/>
          <w:rFonts w:ascii="Times New Roman" w:hAnsi="Times New Roman" w:cs="Times New Roman"/>
        </w:rPr>
        <w:t>Native time is timeless. Timelessness is the place where one is whole. It is a place of achronicity in which “the individual and the universe are tight.” In this state of timelessness, in ceremonial and in Indian time, the ancestors can move along with us during a ceremony. In the ceremony, space is not linear and time is not sequential.</w:t>
      </w:r>
      <w:r w:rsidRPr="00087A72">
        <w:rPr>
          <w:rFonts w:ascii="Times New Roman" w:hAnsi="Times New Roman" w:cs="Times New Roman"/>
          <w:sz w:val="16"/>
        </w:rPr>
        <w:t xml:space="preserve"> Gunn Allen, uses a hoop dancer as an analogy to explain the spherical movement of time and the cyclical nature of time.56 “</w:t>
      </w:r>
      <w:r w:rsidRPr="00087A72">
        <w:rPr>
          <w:rStyle w:val="StyleUnderline"/>
          <w:rFonts w:ascii="Times New Roman" w:hAnsi="Times New Roman" w:cs="Times New Roman"/>
        </w:rPr>
        <w:t>Dancing in the midst of turning, whirling hoops is a means of transcending the limits of chronological time and its traumatizing disease causing effects</w:t>
      </w:r>
      <w:r w:rsidRPr="00087A72">
        <w:rPr>
          <w:rStyle w:val="Emphasis"/>
          <w:rFonts w:ascii="Times New Roman" w:hAnsi="Times New Roman" w:cs="Times New Roman"/>
        </w:rPr>
        <w:t>. Chronological time denies that an individual is one with the surroundings. The hoop dancer dances within what encircles him, demonstrating how the people live in motion within the circling spirals of time and space.”</w:t>
      </w:r>
      <w:r w:rsidRPr="00087A72">
        <w:rPr>
          <w:rFonts w:ascii="Times New Roman" w:hAnsi="Times New Roman" w:cs="Times New Roman"/>
          <w:sz w:val="16"/>
        </w:rPr>
        <w:t>57 In the beginning of this chapter, I described my surprise at the sense of ease and facility at which I experienced a dramatic shift in the course of our group’s consciousness. The anxiety and the weightiness of the question “what will happen to Black people under Native sovereignty” that anticipated the response, “I don’t know, perhaps die” is met with vulnerability and reciprocity</w:t>
      </w:r>
      <w:r w:rsidRPr="00087A72">
        <w:rPr>
          <w:rStyle w:val="Emphasis"/>
          <w:rFonts w:ascii="Times New Roman" w:hAnsi="Times New Roman" w:cs="Times New Roman"/>
        </w:rPr>
        <w:t>. The response is that Native sovereignty as we have imagined it until this moment will have to transform itself. In fact, we can re-imagine it now. The transformative power of the ceremony and ritual, particularly the states of flux that people move through and survive, is in part due to the way ceremonial time works.</w:t>
      </w:r>
      <w:r w:rsidRPr="00087A72">
        <w:rPr>
          <w:rFonts w:ascii="Times New Roman" w:hAnsi="Times New Roman" w:cs="Times New Roman"/>
          <w:sz w:val="16"/>
        </w:rPr>
        <w:t xml:space="preserve"> Gunn Allen helps explain what I felt as a sense of facility and ease—or </w:t>
      </w:r>
      <w:r w:rsidRPr="00087A72">
        <w:rPr>
          <w:rStyle w:val="Emphasis"/>
          <w:rFonts w:ascii="Times New Roman" w:hAnsi="Times New Roman" w:cs="Times New Roman"/>
        </w:rPr>
        <w:t>the fact that someone did not have to die, go crazy, become overwhelmed by the presence of ancestors, or fall apart to get there—that “ceremonial time is constituted by psychic integration.” Ceremonial time can often be “balanced, integrated and empowering.” The fears, anxieties, and attempts at alliance and healing that our ancestors had attempted before us were with us in the fifth floor apartment where we sat that summer day.</w:t>
      </w:r>
      <w:r w:rsidRPr="00087A72">
        <w:rPr>
          <w:rFonts w:ascii="Times New Roman" w:hAnsi="Times New Roman" w:cs="Times New Roman"/>
          <w:sz w:val="16"/>
        </w:rPr>
        <w:t xml:space="preserve"> Describing her own experience of integrated ceremonial time, Jacqui Alexander talks about the time shifting power that the embodied work of inhabiting the sacred invites. I am learning </w:t>
      </w:r>
      <w:r w:rsidRPr="00087A72">
        <w:rPr>
          <w:rStyle w:val="Emphasis"/>
          <w:rFonts w:ascii="Times New Roman" w:hAnsi="Times New Roman" w:cs="Times New Roman"/>
        </w:rPr>
        <w:t>that the embodiment of the Sacred dislocates clock time, meaning linearity, which is different than living in the past or being bound by tradition</w:t>
      </w:r>
      <w:r w:rsidRPr="00087A72">
        <w:rPr>
          <w:rStyle w:val="StyleUnderline"/>
          <w:rFonts w:ascii="Times New Roman" w:hAnsi="Times New Roman" w:cs="Times New Roman"/>
        </w:rPr>
        <w:t>. The feeling conveyed</w:t>
      </w:r>
      <w:r w:rsidRPr="00087A72">
        <w:rPr>
          <w:rFonts w:ascii="Times New Roman" w:hAnsi="Times New Roman" w:cs="Times New Roman"/>
          <w:sz w:val="16"/>
        </w:rPr>
        <w:t xml:space="preserve"> that afternoon of La Negra’s announcement</w:t>
      </w:r>
      <w:r w:rsidRPr="00087A72">
        <w:rPr>
          <w:rStyle w:val="StyleUnderline"/>
          <w:rFonts w:ascii="Times New Roman" w:hAnsi="Times New Roman" w:cs="Times New Roman"/>
        </w:rPr>
        <w:t xml:space="preserve"> was one of being somewhat lost in time, of time standing still, the encounter with time...time becomes a moment, an instant, experienced in the now, but also a space crammed with moments of wisdom about a series of events already having inhabited different moments, or with the intention of inhabiting them, while all occurring simultaneously in this instant, in this space, as well as in other instants and spaces of which we are not immediately aware</w:t>
      </w:r>
      <w:r w:rsidRPr="00087A72">
        <w:rPr>
          <w:rStyle w:val="Emphasis"/>
          <w:rFonts w:ascii="Times New Roman" w:hAnsi="Times New Roman" w:cs="Times New Roman"/>
        </w:rPr>
        <w:t>. Spirit energy both travels in Time and travels differently through linear time, so that there is no distance between space and time that it is unable to navigate. Thus, linear time does not exist because energy simply does not obey the human</w:t>
      </w:r>
      <w:r w:rsidRPr="00087A72">
        <w:rPr>
          <w:rFonts w:ascii="Times New Roman" w:hAnsi="Times New Roman" w:cs="Times New Roman"/>
          <w:sz w:val="16"/>
        </w:rPr>
        <w:t xml:space="preserve"> idiom.60 Alexander and Gunn Allen’s meditations on time are important for me to analyze for a number of reasons</w:t>
      </w:r>
      <w:r w:rsidRPr="00087A72">
        <w:rPr>
          <w:rStyle w:val="Emphasis"/>
          <w:rFonts w:ascii="Times New Roman" w:hAnsi="Times New Roman" w:cs="Times New Roman"/>
        </w:rPr>
        <w:t>. They are both able to articulate the presence of spirit and its significance in catalyzing transformative change.</w:t>
      </w:r>
      <w:r w:rsidRPr="00087A72">
        <w:rPr>
          <w:rStyle w:val="StyleUnderline"/>
          <w:rFonts w:ascii="Times New Roman" w:hAnsi="Times New Roman" w:cs="Times New Roman"/>
        </w:rPr>
        <w:t xml:space="preserve"> The ways that they articulate their understanding of ceremony and the sacred are elucidated in ways that make us take them eriously as frames for making sense of the world. For me they give ceremony and the sacred the analytical weight of western notions of time and space.</w:t>
      </w:r>
      <w:r w:rsidRPr="00087A72">
        <w:rPr>
          <w:rFonts w:ascii="Times New Roman" w:hAnsi="Times New Roman" w:cs="Times New Roman"/>
          <w:sz w:val="16"/>
        </w:rPr>
        <w:t xml:space="preserve"> The seriousness in which they treat them and in which I analyze them position them as counter epistemologies to time specifically. </w:t>
      </w:r>
      <w:r w:rsidRPr="00087A72">
        <w:rPr>
          <w:rStyle w:val="Emphasis"/>
          <w:rFonts w:ascii="Times New Roman" w:hAnsi="Times New Roman" w:cs="Times New Roman"/>
        </w:rPr>
        <w:t>Counter epistemologies particularly as they relate to and push back against western notions of linear time are essential to the development of decolonial theory.</w:t>
      </w:r>
    </w:p>
    <w:p w:rsidR="00BF1592" w:rsidRPr="00087A72" w:rsidRDefault="00BF1592" w:rsidP="00BF1592">
      <w:pPr>
        <w:pStyle w:val="Heading4"/>
        <w:rPr>
          <w:rFonts w:ascii="Times New Roman" w:hAnsi="Times New Roman" w:cs="Times New Roman"/>
        </w:rPr>
      </w:pPr>
      <w:r w:rsidRPr="00087A72">
        <w:rPr>
          <w:rFonts w:ascii="Times New Roman" w:hAnsi="Times New Roman" w:cs="Times New Roman"/>
        </w:rPr>
        <w:t xml:space="preserve">Time cannot be separated from space- Decolonizing time with a spiritual praxis that embraces spaces of erotic chaos conceptualizes sovereignty outside of a politics of recognition or agency. In these new chaotic and decolonized spaces, borders recede and a new Native and Black feminist politics reveals itself in which new geographies are possible </w:t>
      </w:r>
    </w:p>
    <w:p w:rsidR="00BF1592" w:rsidRPr="00087A72" w:rsidRDefault="00BF1592" w:rsidP="00BF1592">
      <w:pPr>
        <w:rPr>
          <w:rFonts w:ascii="Times New Roman" w:hAnsi="Times New Roman" w:cs="Times New Roman"/>
        </w:rPr>
      </w:pPr>
      <w:r w:rsidRPr="00087A72">
        <w:rPr>
          <w:rStyle w:val="Style13ptBold"/>
          <w:rFonts w:ascii="Times New Roman" w:hAnsi="Times New Roman" w:cs="Times New Roman"/>
        </w:rPr>
        <w:t>King 2013</w:t>
      </w:r>
      <w:r w:rsidRPr="00087A72">
        <w:rPr>
          <w:rFonts w:ascii="Times New Roman" w:hAnsi="Times New Roman" w:cs="Times New Roman"/>
        </w:rPr>
        <w:t xml:space="preserve"> (Tiffany, "In the Clearing: Black Female Bodies, Space and Settler Colonial Landscapes," pg. 216, Sen). </w:t>
      </w:r>
    </w:p>
    <w:p w:rsidR="00BF1592" w:rsidRPr="00087A72" w:rsidRDefault="00BF1592" w:rsidP="00BF1592">
      <w:pPr>
        <w:rPr>
          <w:rFonts w:ascii="Times New Roman" w:hAnsi="Times New Roman" w:cs="Times New Roman"/>
          <w:b/>
          <w:iCs/>
          <w:u w:val="single"/>
        </w:rPr>
      </w:pPr>
      <w:r w:rsidRPr="00087A72">
        <w:rPr>
          <w:rStyle w:val="StyleUnderline"/>
          <w:rFonts w:ascii="Times New Roman" w:hAnsi="Times New Roman" w:cs="Times New Roman"/>
        </w:rPr>
        <w:t>Decolonizing time helps me un-sync myself not only from the march of western chronology but also from western post structural critiques</w:t>
      </w:r>
      <w:r w:rsidRPr="00087A72">
        <w:rPr>
          <w:rFonts w:ascii="Times New Roman" w:hAnsi="Times New Roman" w:cs="Times New Roman"/>
          <w:sz w:val="10"/>
        </w:rPr>
        <w:t xml:space="preserve"> of enlightenment thought. </w:t>
      </w:r>
      <w:r w:rsidRPr="00087A72">
        <w:rPr>
          <w:rStyle w:val="StyleUnderline"/>
          <w:rFonts w:ascii="Times New Roman" w:hAnsi="Times New Roman" w:cs="Times New Roman"/>
        </w:rPr>
        <w:t>Often our critiques of hegemonic western thought end up reifying western theory.</w:t>
      </w:r>
      <w:r w:rsidRPr="00087A72">
        <w:rPr>
          <w:rFonts w:ascii="Times New Roman" w:hAnsi="Times New Roman" w:cs="Times New Roman"/>
          <w:sz w:val="10"/>
        </w:rPr>
        <w:t xml:space="preserve"> Post colonial studies which often attempts to speak back to coloniality often speaks back through the voice of Foucault (see Stoler).61 Michel Foucault’s work animates a good deal of work in settler colonial studies, particularly as it pertains to how settler relations persist through time and space. During my initial attempts to locate Black subjectivity in settler colonial relations, I relied too heavily on the Foucauldian analytics of attending to genealogies of power.62 The way that I previously explained how settler colonialism, specifically invasion, could show up in spaces that we understood as over determined by Blackness was through the Foucauldian inflected theories of Patrick Wolfe. Patrick Wolfe’s work is valuable for a number of reasons. I continue to use his work when necessary. However, I was seduced by the flexibility of Wolfe’s invasion as structure thesis in a way that prevented me from seeing this flexibility, particularly its temporal/spatial elasticity, elsewhere. Presentation after presentation I would quote without a caveat the following passage from Wolfe’s essay “Settler colonialism and the elimination of the native.” When invasion is recognized as a structure rather than an event, its history does not stop—or, more to the point, become trivial---when it moves from the era of frontier homicide. Rather, narrating that history involves charting the continuities, discontinuities, adjustments, and departures whereby a logic that initially informed frontier killing transmutes into different modalities, discourses and institutional formations as it undergirds the historical development and complexification of settler society.63 This passage is brilliantly crafted and illumines settler colonialism’s dynamism, particularly its “continuities, discontinuities, adjustments and departures.” </w:t>
      </w:r>
      <w:r w:rsidRPr="00087A72">
        <w:rPr>
          <w:rStyle w:val="StyleUnderline"/>
          <w:rFonts w:ascii="Times New Roman" w:hAnsi="Times New Roman" w:cs="Times New Roman"/>
        </w:rPr>
        <w:t>These “continuities, discontinuities, adjustments and departures” provided me with the precise language to use and the precise places to begin to look for Black female bodies on settler colonial landscapes.</w:t>
      </w:r>
      <w:r w:rsidRPr="00087A72">
        <w:rPr>
          <w:rFonts w:ascii="Times New Roman" w:hAnsi="Times New Roman" w:cs="Times New Roman"/>
          <w:sz w:val="10"/>
        </w:rPr>
        <w:t xml:space="preserve"> I would often argue using Wolfe’s logic that settler colonial power which “initially informed frontier killing transmutes into different modalities, discourses and institutional formations” in order to explain the way that the power of settler colonialism moved through linear time. I argued like Wolfe that we must acknowledge settler colonialism’s capacity to deploy other disciplinary regimes, forms of violence and other bodies for its multiple projects. Like Wolfe and like Foucault, I was tracking power (genocide, land theft, social death of the slave) though diffuse and elusive through linear time and space, Wolfe also relies on the logic of the structure—another legacy of linear time and teleological progression—to describe the way invasion occurs. In accord with Wolfe, I was asking, how did settler colonialism show up when it moved from “the era of frontier homicide?” How did settler colonialism show up there, then here and over there became my question and my analytic of time and space when I relied on Wolfe. However, Gunn Allen and Alexander’s notion of </w:t>
      </w:r>
      <w:r w:rsidRPr="00087A72">
        <w:rPr>
          <w:rStyle w:val="Emphasis"/>
          <w:rFonts w:ascii="Times New Roman" w:hAnsi="Times New Roman" w:cs="Times New Roman"/>
        </w:rPr>
        <w:t>time is not linear and power does not move through a structure that can become external to or function outside of demarcated eras (frontier homicide). Time, space, power and people move together. The slave was always moving within the time and space of settler colonial relations with the settler and the Native. The slave, the Native and the settler all have different relationships to time and space. They also deploy time and space differently. Further, settler colonial power did not have to take on the modality of slavery to propel itself through time and space and become relevant to the Black. The Black subject moved within and was constituted by settler colonial relations and its multiple forms of death and time space. Likewise slavery constitutes settler colonial power. Frontier homicide and settler colonialism did not make an adjustment or departure in order to shape and constitute Black life.</w:t>
      </w:r>
      <w:r w:rsidRPr="00087A72">
        <w:rPr>
          <w:rFonts w:ascii="Times New Roman" w:hAnsi="Times New Roman" w:cs="Times New Roman"/>
          <w:sz w:val="10"/>
        </w:rPr>
        <w:t xml:space="preserve"> Time, space, people and power move together. They are connected and moving in space. </w:t>
      </w:r>
      <w:r w:rsidRPr="00087A72">
        <w:rPr>
          <w:rStyle w:val="Emphasis"/>
          <w:rFonts w:ascii="Times New Roman" w:hAnsi="Times New Roman" w:cs="Times New Roman"/>
        </w:rPr>
        <w:t xml:space="preserve">Unfortunately, Native and Black women’s epistemologies and worldviews are viewed as particular and embodied experiences that could not possibly have a broad enough application to be considered social thought and certainly not theory. The era of frontier homicide is still with all of us. </w:t>
      </w:r>
      <w:r w:rsidRPr="00087A72">
        <w:rPr>
          <w:rFonts w:ascii="Times New Roman" w:hAnsi="Times New Roman" w:cs="Times New Roman"/>
          <w:sz w:val="10"/>
        </w:rPr>
        <w:t>It is in the room during an INCITE ceremony and all the people, spirits, smoke and energy in that room must contend with it. I really appreciate the work that Alexander has done to develop a methodology for reconceptualizing time, specifically forms of colonial time. Alexander argues that we need to develop analytic and pedagogical tools that are palimpsestic in nature</w:t>
      </w:r>
      <w:r w:rsidRPr="00087A72">
        <w:rPr>
          <w:rStyle w:val="StyleUnderline"/>
          <w:rFonts w:ascii="Times New Roman" w:hAnsi="Times New Roman" w:cs="Times New Roman"/>
        </w:rPr>
        <w:t>. Time is scrambled and palimpsestic, in all the Worlds, with the pre-modern, the modern, the postmodern and the paramodern coexisting globally. But it is not only the global coexistence of different technologies of time telling that is of concern to us here.</w:t>
      </w:r>
      <w:r w:rsidRPr="00087A72">
        <w:rPr>
          <w:rFonts w:ascii="Times New Roman" w:hAnsi="Times New Roman" w:cs="Times New Roman"/>
          <w:sz w:val="10"/>
        </w:rPr>
        <w:t xml:space="preserve"> The central idea is that of the palimpsest—a parchment that has been inscribed two or three times, the previous text having been imperfectly erased and remaining and therefore still partially visible...The idea of the “new” structured through the “old” scrambled, palimpsestic character of time, both jettisons the truncated distance of linear time and dislodges the impulse for incommensurability, which the ideology of distance creates. It thus rescrambles the “here and now” and the “then and there” to a “here and there” and “then and now” and makes visible what Payal Banerjee calls the ideological traffic between and among formations that are otherwise positioned as dissimilar. Using the social formations we have designated as colonial, neocolonial and neo-imperial is not to suggest a logical teleology in which one form of state morphs into the other. Instead, we want to hold onto the historical specificity through which those various social relations are constituted at that same time that we examine the continuity and disjunctures of practices within and among various state formations. These practices are neither frozen nor neatly circumscribed within temporalities that never collide or even meet.64 I quote Alexander at length, because using the palimpsest as an analytic of time, we can rethink linear time and the linearity of Wolfe’s structure of invasion. Wolfe describes invasion as a type of power that transmutes or morphs over time and through institutions and discourses. When time is scrambled and palimpsestic, power exists in the “then and now” and can be found both “here and there.” I certainly do not want to position Wolfe’s method of tracking the way power moves through time as in opposition to Black and Native women’s notions of time and power. Wolfe’s linear time and his structure allow him to render settler colonial power, specifically invasion, visible in the present similar to the ways that Black and Native women’s notions of time and space allow. However, Wolfe does not allow us to reconceptualize time and he does not direct us to an epistemological frame outside of the West</w:t>
      </w:r>
      <w:r w:rsidRPr="00087A72">
        <w:rPr>
          <w:rStyle w:val="Emphasis"/>
          <w:rFonts w:ascii="Times New Roman" w:hAnsi="Times New Roman" w:cs="Times New Roman"/>
        </w:rPr>
        <w:t>. I want to shift our epistemological vantage point to non-Western or decolonial methods to rethink power, time and space. The palimpsest and ceremonial time also require that we attend to historical specificity and the ways that power looks different depending on the context (time-space); however there are important emphases that point to a different epistemological frame.</w:t>
      </w:r>
      <w:r w:rsidRPr="00087A72">
        <w:rPr>
          <w:rFonts w:ascii="Times New Roman" w:hAnsi="Times New Roman" w:cs="Times New Roman"/>
          <w:sz w:val="10"/>
        </w:rPr>
        <w:t xml:space="preserve"> The structure and linearity of power still persist in Wolfe’s theorem. There are discreet and bounded eras that the structure must overcome or bridge. For Alexander and Gunn eras do not end. Alexander in particular pays attention to social formations or colonialisms that emerge under certain contexts (time- spaces); however, they always remain as a trace, modality, discourse, and form that emerging social formations draw from. Our ancestors’ whispers in my fifth floor apartment were always informing the Native-Black feminist formations we were giving birth to in the summer of 2007. </w:t>
      </w:r>
      <w:r w:rsidRPr="00087A72">
        <w:rPr>
          <w:rStyle w:val="Emphasis"/>
          <w:rFonts w:ascii="Times New Roman" w:hAnsi="Times New Roman" w:cs="Times New Roman"/>
        </w:rPr>
        <w:t xml:space="preserve">While I emphasize the importance of spirit, it is important that it is not fetishized. Within a decolonial praxis spirit works alongside of reason. We respect each mode and its way of negotiating the world while we watch for each of their respective limits. </w:t>
      </w:r>
      <w:r w:rsidRPr="00087A72">
        <w:rPr>
          <w:rFonts w:ascii="Times New Roman" w:hAnsi="Times New Roman" w:cs="Times New Roman"/>
          <w:sz w:val="10"/>
        </w:rPr>
        <w:t>Spirit was certainly needed in order for the Black and Native women of INCITE to take the leaps of faith that they did to re-imagine a decolonized world. Leaping into Chaos Some would call it faith. What would make Black women consider giving up on post independence Trinidad/Tobago, Ethiopia, South Africa, U.S. based Black nationalist yearnings for reparations and land in North America when there is nowhere else to go? In the southern portion of Turtle Island, that bears of the colonial name the United States, the story of the Seminole “nation” recounts a similar Native-Black alliance. Survival often requires the refashioning of identities and the formation of new communities. This story begs the question, to whom do we run for cover from the nation-state? The work of Native-Black formations, specifically Native-Black feminist formations like Toronto INCITE may provide some of the answers to this question. Within INCITE’s Black-Native feminist formation, Blackness and Nativeness become positions of motion. Our analytics and politics do not reproduce what Sandy Grande would call the “theory of property holders” found in “whitestream feminisms.”</w:t>
      </w:r>
      <w:r w:rsidRPr="00087A72">
        <w:rPr>
          <w:rStyle w:val="Emphasis"/>
          <w:rFonts w:ascii="Times New Roman" w:hAnsi="Times New Roman" w:cs="Times New Roman"/>
        </w:rPr>
        <w:t xml:space="preserve"> Within our Black-Native formation, Black feminist hemispheric politics claim a statelessness and Native women conceptualize sovereignty outside of western notions of the nation-state and a “politics of recognition.” Practicing a radical relationality and taking up an ethics of mutual care the possibility of uprooting oneself, adjusting and refashioning our desires in order to make sure that we all survive is possible. In fact, it is preferred. Coming into this knowledge and this politic is a struggle and it emerges from a frightening place, the Lordean space of chaos</w:t>
      </w:r>
      <w:r w:rsidRPr="00087A72">
        <w:rPr>
          <w:rFonts w:ascii="Times New Roman" w:hAnsi="Times New Roman" w:cs="Times New Roman"/>
          <w:sz w:val="10"/>
        </w:rPr>
        <w:t>. Lorde often references the transformative space of chaos. I Chaos is a productive space it inspires new action and new space. Black issues and Native issues lose their boundaries, at times merge and appear anew. “In order to free the land, you must abolish the prison</w:t>
      </w:r>
      <w:r w:rsidRPr="00087A72">
        <w:rPr>
          <w:rStyle w:val="Emphasis"/>
          <w:rFonts w:ascii="Times New Roman" w:hAnsi="Times New Roman" w:cs="Times New Roman"/>
        </w:rPr>
        <w:t>.” In these new chaotic and decolonized spaces, borders recede and a new permeable and porous Black feminist politics reveals itself.</w:t>
      </w:r>
      <w:r w:rsidRPr="00087A72">
        <w:rPr>
          <w:rFonts w:ascii="Times New Roman" w:hAnsi="Times New Roman" w:cs="Times New Roman"/>
          <w:sz w:val="10"/>
        </w:rPr>
        <w:t xml:space="preserve"> Black women are called to lose their spatial coordinates once more. Giving up on “post colonial” Ethiopia, South Africa, Trinidad and post-race/post civil rights U.S. is a disorienting project. Blackness resides in a hemisphere connected by the erosion of national borders</w:t>
      </w:r>
      <w:r w:rsidRPr="00087A72">
        <w:rPr>
          <w:rStyle w:val="Emphasis"/>
          <w:rFonts w:ascii="Times New Roman" w:hAnsi="Times New Roman" w:cs="Times New Roman"/>
        </w:rPr>
        <w:t>. A Black feminist politics that is always considering its own freedom alongside Native self determination and decolonization is also possible. Native feminism and the various forms of sovereignty that are committed to abolishing anti-Black racism as an indispensible part of decolonization also a possibility. This Black-Native feminist formation constitutes a new space where new geographies are possible. The body constitutes a ceremonial space which reached beyond the bounds of reason into a space “before understanding” produced a new analytic and ethic.</w:t>
      </w:r>
      <w:r w:rsidRPr="00087A72">
        <w:rPr>
          <w:rFonts w:ascii="Times New Roman" w:hAnsi="Times New Roman" w:cs="Times New Roman"/>
          <w:sz w:val="10"/>
        </w:rPr>
        <w:t xml:space="preserve">72 The US and Canada disappear into a landmass and place called Turtle Island, and the Caribbean becomes a neighborhood off of the Island.73 INCITE becomes the site of a new Black-Native woman political formation that questions the settler colonialisms, imperial/colonial feminisms and their genealogies. </w:t>
      </w:r>
      <w:r w:rsidRPr="00087A72">
        <w:rPr>
          <w:rStyle w:val="Emphasis"/>
          <w:rFonts w:ascii="Times New Roman" w:hAnsi="Times New Roman" w:cs="Times New Roman"/>
        </w:rPr>
        <w:t>Black women, Native women and other women of color must struggle for analytic and political clarity about the ways that settler colonial power structures their relationships to one another.</w:t>
      </w:r>
      <w:r w:rsidRPr="00087A72">
        <w:rPr>
          <w:rFonts w:ascii="Times New Roman" w:hAnsi="Times New Roman" w:cs="Times New Roman"/>
          <w:sz w:val="10"/>
        </w:rPr>
        <w:t xml:space="preserve"> Women of Color may be a category to claim in some circumstances and one to refuse in others. INCITE also becomes a part of a longer history of the struggles of Black and Indigenous people who sought out new forms of sociality that opposed the violence of genocide and slavery. The Rotinosoni and the Seminole give birth to Black-Native formations like INCITE. As a new formation committed to decolonization, I think that INCITE challenges both notions of feminist politics and what we imagine coalition to be. In the concluding chapter, I</w:t>
      </w:r>
      <w:r w:rsidRPr="00087A72">
        <w:rPr>
          <w:rStyle w:val="Emphasis"/>
          <w:rFonts w:ascii="Times New Roman" w:hAnsi="Times New Roman" w:cs="Times New Roman"/>
        </w:rPr>
        <w:t xml:space="preserve"> discuss a politics of refusal and a commitment to flux as modes of critique and decolonial praxes that challenge us to rethink radical politics and coalition. </w:t>
      </w:r>
      <w:r w:rsidRPr="00087A72">
        <w:rPr>
          <w:rFonts w:ascii="Times New Roman" w:hAnsi="Times New Roman" w:cs="Times New Roman"/>
          <w:sz w:val="10"/>
        </w:rPr>
        <w:t>This dissertation concludes with a discussion of politics and orienting frames that take up a Lordean notion of chaos, Fanon’s end of the world, a politics of refusal, queer failure and Black and Native women’s ethics of flux. In the conclusion,</w:t>
      </w:r>
      <w:r w:rsidRPr="00087A72">
        <w:rPr>
          <w:rStyle w:val="Emphasis"/>
          <w:rFonts w:ascii="Times New Roman" w:hAnsi="Times New Roman" w:cs="Times New Roman"/>
        </w:rPr>
        <w:t xml:space="preserve"> I expound on the notion of flux as an ontological state of fungible Black femaleness on settler colonial landscapes and as a viable political praxis. Being in flux helps us disrupt relationships to one another that are always already violently entangled by the virtue of residing in the Western hemisphere. Flux also helps us create new and life-affirming relationships that our current spatial desires within settler colonial forms of sociality prevent us from fully imagining.</w:t>
      </w:r>
      <w:r w:rsidRPr="00087A72">
        <w:rPr>
          <w:rFonts w:ascii="Times New Roman" w:hAnsi="Times New Roman" w:cs="Times New Roman"/>
        </w:rPr>
        <w:t xml:space="preserve"> </w:t>
      </w:r>
    </w:p>
    <w:p w:rsidR="00D005A2" w:rsidRPr="00087A72" w:rsidRDefault="00D005A2" w:rsidP="00D005A2">
      <w:pPr>
        <w:pStyle w:val="Heading3"/>
      </w:pPr>
      <w:r w:rsidRPr="00087A72">
        <w:t>Alt – Colonial Intimacies</w:t>
      </w:r>
    </w:p>
    <w:p w:rsidR="00D005A2" w:rsidRPr="00087A72" w:rsidRDefault="00D005A2" w:rsidP="00D005A2">
      <w:pPr>
        <w:pStyle w:val="Heading4"/>
      </w:pPr>
      <w:r w:rsidRPr="00087A72">
        <w:t>The alternative is “stranger intimacies” – an analysis of relationships between migrants, indigenous folks, and blacks that illuminate the underpinnings of colonial encounters</w:t>
      </w:r>
    </w:p>
    <w:p w:rsidR="00D005A2" w:rsidRPr="00087A72" w:rsidRDefault="00D005A2" w:rsidP="00D005A2">
      <w:r w:rsidRPr="00087A72">
        <w:rPr>
          <w:b/>
          <w:bCs/>
        </w:rPr>
        <w:t xml:space="preserve">Upadhyay 16 </w:t>
      </w:r>
      <w:r w:rsidRPr="00087A72">
        <w:t>(Nishant, Assistant Professor in Women's and Gender Studies at University of Massachusetts Dartmouth, Ph.D. in Graduate Program in Social and Political Thought at York University, South Asian</w:t>
      </w:r>
      <w:r w:rsidRPr="00087A72">
        <w:rPr>
          <w:i/>
        </w:rPr>
        <w:t xml:space="preserve"> “We’ll Sail Like Columbus”: Race, Indigeneity, Settler Colonialism, and the Making of South Asian Diasporas in Canada.</w:t>
      </w:r>
      <w:r w:rsidRPr="00087A72">
        <w:t xml:space="preserve"> pp. 200-203) OD-V</w:t>
      </w:r>
    </w:p>
    <w:p w:rsidR="00D005A2" w:rsidRPr="00087A72" w:rsidRDefault="00D005A2" w:rsidP="00D005A2">
      <w:pPr>
        <w:rPr>
          <w:sz w:val="12"/>
        </w:rPr>
      </w:pPr>
      <w:r w:rsidRPr="00087A72">
        <w:rPr>
          <w:sz w:val="12"/>
        </w:rPr>
        <w:t xml:space="preserve">By bringing questions of interracial marriages and same-sex relations together in the formation of the North American West, Nayan Shah elaborates further by looking at the complexities of race, gender, and sexuality. Challenging historical theorizations of migrant intimacies, </w:t>
      </w:r>
      <w:r w:rsidRPr="00087A72">
        <w:rPr>
          <w:u w:val="single"/>
        </w:rPr>
        <w:t>Shah calls for attention to, firstly, transient affinities between migrants</w:t>
      </w:r>
      <w:r w:rsidRPr="00087A72">
        <w:rPr>
          <w:sz w:val="12"/>
        </w:rPr>
        <w:t xml:space="preserve">; secondly, multiple forms of </w:t>
      </w:r>
      <w:r w:rsidRPr="00087A72">
        <w:rPr>
          <w:u w:val="single"/>
        </w:rPr>
        <w:t>queered domesticities; and</w:t>
      </w:r>
      <w:r w:rsidRPr="00087A72">
        <w:rPr>
          <w:sz w:val="12"/>
        </w:rPr>
        <w:t xml:space="preserve"> lastly, </w:t>
      </w:r>
      <w:r w:rsidRPr="00087A72">
        <w:rPr>
          <w:u w:val="single"/>
        </w:rPr>
        <w:t>varying forms of erotics and</w:t>
      </w:r>
      <w:r w:rsidRPr="00087A72">
        <w:rPr>
          <w:sz w:val="12"/>
        </w:rPr>
        <w:t xml:space="preserve"> “the </w:t>
      </w:r>
      <w:r w:rsidRPr="00087A72">
        <w:rPr>
          <w:u w:val="single"/>
        </w:rPr>
        <w:t>dynamics of power involved in stabilizing and constraining human variation</w:t>
      </w:r>
      <w:r w:rsidRPr="00087A72">
        <w:rPr>
          <w:sz w:val="12"/>
        </w:rPr>
        <w:t xml:space="preserve">” (6-8). </w:t>
      </w:r>
      <w:r w:rsidRPr="00087A72">
        <w:rPr>
          <w:b/>
          <w:iCs/>
          <w:u w:val="single"/>
        </w:rPr>
        <w:t>This allows for an analytical engagement with sexuality that accentuates the dynamicity of erotics and violences.</w:t>
      </w:r>
      <w:r w:rsidRPr="00087A72">
        <w:rPr>
          <w:sz w:val="12"/>
        </w:rPr>
        <w:t xml:space="preserve"> Shah defines </w:t>
      </w:r>
      <w:r w:rsidRPr="00087A72">
        <w:rPr>
          <w:u w:val="single"/>
        </w:rPr>
        <w:t>“stranger intimacy” between transient migrants that are not limited to dominant understandings of sexual and romantic relations.</w:t>
      </w:r>
      <w:r w:rsidRPr="00087A72">
        <w:rPr>
          <w:sz w:val="12"/>
        </w:rPr>
        <w:t xml:space="preserve"> He adds: Certainly migratory work and transportation crossroads produced environments of compulsory sociality, but it was the appetite for passionate engagement, the determination to smash alienation, and the desire for visceral solidarity that created both fleeting and enduring relationships. (55) </w:t>
      </w:r>
      <w:r w:rsidRPr="00087A72">
        <w:rPr>
          <w:b/>
          <w:iCs/>
          <w:u w:val="single"/>
        </w:rPr>
        <w:t>“Stranger intimacy” is a useful concept for analyzing</w:t>
      </w:r>
      <w:r w:rsidRPr="00087A72">
        <w:rPr>
          <w:sz w:val="12"/>
        </w:rPr>
        <w:t xml:space="preserve"> such </w:t>
      </w:r>
      <w:r w:rsidRPr="00087A72">
        <w:rPr>
          <w:b/>
          <w:iCs/>
          <w:u w:val="single"/>
        </w:rPr>
        <w:t>relationships between migrants, as it conceptualizes everyday proximities and encounters that either reproduced social hierarchies or subverted them through affinities</w:t>
      </w:r>
      <w:r w:rsidRPr="00087A72">
        <w:rPr>
          <w:sz w:val="12"/>
        </w:rPr>
        <w:t xml:space="preserve"> (273). Similarly, Mawani argues that </w:t>
      </w:r>
      <w:r w:rsidRPr="00087A72">
        <w:rPr>
          <w:u w:val="single"/>
        </w:rPr>
        <w:t>colonialism produced colonial proximities and crossracial intimacies between Indigenous people and Chinese migrants</w:t>
      </w:r>
      <w:r w:rsidRPr="00087A72">
        <w:rPr>
          <w:sz w:val="12"/>
        </w:rPr>
        <w:t xml:space="preserve"> in B.C.—</w:t>
      </w:r>
      <w:r w:rsidRPr="00087A72">
        <w:rPr>
          <w:u w:val="single"/>
        </w:rPr>
        <w:t>which “unfolded in overlapping temporalities that produced uneven and contradictory colonial geographies of racial power”</w:t>
      </w:r>
      <w:r w:rsidRPr="00087A72">
        <w:rPr>
          <w:sz w:val="12"/>
        </w:rPr>
        <w:t xml:space="preserve"> (Colonial Proximities 4). Understanding such </w:t>
      </w:r>
      <w:r w:rsidRPr="00087A72">
        <w:rPr>
          <w:b/>
          <w:iCs/>
          <w:u w:val="single"/>
        </w:rPr>
        <w:t xml:space="preserve">proximities “might illuminate the variegated forms, patterns, and rhythms that underpinned colonial encounters and the racial epistemologies and modes of regulation that contoured imperial terrains” </w:t>
      </w:r>
      <w:r w:rsidRPr="00087A72">
        <w:rPr>
          <w:sz w:val="12"/>
        </w:rPr>
        <w:t xml:space="preserve">(7). Shah and Mawani </w:t>
      </w:r>
      <w:r w:rsidRPr="00087A72">
        <w:rPr>
          <w:u w:val="single"/>
        </w:rPr>
        <w:t>use “stranger intimacy” and “colonial proximities,” respectively, as concepts to theorize colonial, racial, and gendered processes that engender intimacies and proximities.</w:t>
      </w:r>
      <w:r w:rsidRPr="00087A72">
        <w:rPr>
          <w:sz w:val="12"/>
        </w:rPr>
        <w:t xml:space="preserve"> To ground critical analyses of the processes of settler colonial state formations, </w:t>
      </w:r>
      <w:r w:rsidRPr="00087A72">
        <w:rPr>
          <w:b/>
          <w:iCs/>
          <w:u w:val="single"/>
        </w:rPr>
        <w:t>I call interracial and crossracial (normative and non-normative) intimacies as “colonial intimacies.”</w:t>
      </w:r>
      <w:r w:rsidRPr="00087A72">
        <w:rPr>
          <w:sz w:val="12"/>
        </w:rPr>
        <w:t xml:space="preserve"> I understand </w:t>
      </w:r>
      <w:r w:rsidRPr="00087A72">
        <w:rPr>
          <w:u w:val="single"/>
        </w:rPr>
        <w:t>colonial intimacies as a conceptualization of colonial processes that enables intimacies, proximities, and encounters</w:t>
      </w:r>
      <w:r w:rsidRPr="00087A72">
        <w:rPr>
          <w:sz w:val="12"/>
        </w:rPr>
        <w:t xml:space="preserve">; and as lived experiences of racialized, Blacks and Indigenous peoples and their desires, erotics, and intimacies with each other within settler colonial states.9 </w:t>
      </w:r>
      <w:r w:rsidRPr="00087A72">
        <w:rPr>
          <w:b/>
          <w:iCs/>
          <w:u w:val="single"/>
        </w:rPr>
        <w:t>I choose not to call these intimacies “interracial” as this term historically</w:t>
      </w:r>
      <w:r w:rsidRPr="00087A72">
        <w:rPr>
          <w:sz w:val="12"/>
        </w:rPr>
        <w:t xml:space="preserve"> and contemporarily </w:t>
      </w:r>
      <w:r w:rsidRPr="00087A72">
        <w:rPr>
          <w:b/>
          <w:iCs/>
          <w:u w:val="single"/>
        </w:rPr>
        <w:t>is often limited by white and non-white desires.</w:t>
      </w:r>
      <w:r w:rsidRPr="00087A72">
        <w:rPr>
          <w:sz w:val="12"/>
        </w:rPr>
        <w:t xml:space="preserve">10 In popular imaginations, Kumiko Nemoto notes how </w:t>
      </w:r>
      <w:r w:rsidRPr="00087A72">
        <w:rPr>
          <w:u w:val="single"/>
        </w:rPr>
        <w:t>interraciality reduces racial violences and “re-order(s) signs of race and gender according to traditional ideologies, and perpetuate the display of white manhood and womanhood as dominant”</w:t>
      </w:r>
      <w:r w:rsidRPr="00087A72">
        <w:rPr>
          <w:sz w:val="12"/>
        </w:rPr>
        <w:t xml:space="preserve"> (“Interracial Romance” 222). Along with racial and gender normativities, </w:t>
      </w:r>
      <w:r w:rsidRPr="00087A72">
        <w:rPr>
          <w:b/>
          <w:iCs/>
          <w:u w:val="single"/>
        </w:rPr>
        <w:t>interraciality is also heteronormatively limited, erasing queer, genderqueer and trans desires</w:t>
      </w:r>
      <w:r w:rsidRPr="00087A72">
        <w:rPr>
          <w:sz w:val="12"/>
        </w:rPr>
        <w:t xml:space="preserve"> as well.11 For colonized and racialized peoples, their “interracial” desires and erotics are shaped through and maintained by colonial and white supremacist processes. Further, </w:t>
      </w:r>
      <w:r w:rsidRPr="00087A72">
        <w:rPr>
          <w:b/>
          <w:iCs/>
          <w:u w:val="single"/>
        </w:rPr>
        <w:t>I draw from critiques of multiraciality</w:t>
      </w:r>
      <w:r w:rsidRPr="00087A72">
        <w:rPr>
          <w:sz w:val="12"/>
        </w:rPr>
        <w:t xml:space="preserve"> (the term is used for theorizing multiple racial genealogies through interracial miscegenation) </w:t>
      </w:r>
      <w:r w:rsidRPr="00087A72">
        <w:rPr>
          <w:b/>
          <w:iCs/>
          <w:u w:val="single"/>
        </w:rPr>
        <w:t>to think through colonial intimacies.</w:t>
      </w:r>
      <w:r w:rsidRPr="00087A72">
        <w:rPr>
          <w:sz w:val="12"/>
        </w:rPr>
        <w:t xml:space="preserve"> Jinthana Haritaworn argues that </w:t>
      </w:r>
      <w:r w:rsidRPr="00087A72">
        <w:rPr>
          <w:b/>
          <w:iCs/>
          <w:u w:val="single"/>
        </w:rPr>
        <w:t>multiraciality has become key in producing geopolitical formations of the west as “sexually exceptional,” and free of violences on the basis of race, gender, and sexuality</w:t>
      </w:r>
      <w:r w:rsidRPr="00087A72">
        <w:rPr>
          <w:sz w:val="12"/>
        </w:rPr>
        <w:t xml:space="preserve"> (3). Sexton further adds by arguing that multiraciality “neither [a] fundamental challenge to the living legacies of white supremacy nor a defiance of sexual racism in particular but rather the reinforcement of longstanding tenets of antiblackness and the promotion of normative sexuality” (1). Thus, discourses of multiraciality are maintained within the logics of white supremacy and anti-blackness.12 I argue that </w:t>
      </w:r>
      <w:r w:rsidRPr="00087A72">
        <w:rPr>
          <w:b/>
          <w:iCs/>
          <w:u w:val="single"/>
        </w:rPr>
        <w:t>discourses and political affects of interraciality</w:t>
      </w:r>
      <w:r w:rsidRPr="00087A72">
        <w:rPr>
          <w:sz w:val="12"/>
        </w:rPr>
        <w:t xml:space="preserve"> serve similar purposes and </w:t>
      </w:r>
      <w:r w:rsidRPr="00087A72">
        <w:rPr>
          <w:b/>
          <w:iCs/>
          <w:u w:val="single"/>
        </w:rPr>
        <w:t>seek to invisibilize interrelated processes of settler colonialism and anti-blackness.</w:t>
      </w:r>
      <w:r w:rsidRPr="00087A72">
        <w:rPr>
          <w:sz w:val="12"/>
        </w:rPr>
        <w:t xml:space="preserve"> </w:t>
      </w:r>
      <w:r w:rsidRPr="00087A72">
        <w:rPr>
          <w:u w:val="single"/>
        </w:rPr>
        <w:t>Thus, to understand erotics between Indigenous peoples and South Asians, interraciality offers a limited lens.</w:t>
      </w:r>
      <w:r w:rsidRPr="00087A72">
        <w:rPr>
          <w:sz w:val="12"/>
        </w:rPr>
        <w:t xml:space="preserve"> With the concept of “colonial intimacies,” </w:t>
      </w:r>
      <w:r w:rsidRPr="00087A72">
        <w:rPr>
          <w:b/>
          <w:iCs/>
          <w:u w:val="single"/>
        </w:rPr>
        <w:t>I seek to go beyond interraciality, by formulating a framework that centers coloniality in understanding these encounters.</w:t>
      </w:r>
      <w:r w:rsidRPr="00087A72">
        <w:rPr>
          <w:sz w:val="12"/>
        </w:rPr>
        <w:t xml:space="preserve"> Analyzing through </w:t>
      </w:r>
      <w:r w:rsidRPr="00087A72">
        <w:rPr>
          <w:u w:val="single"/>
        </w:rPr>
        <w:t>colonial intimacies also allows for a fuller engagement with gender, sexual, and racial formations in settler-colonial states.</w:t>
      </w:r>
      <w:r w:rsidRPr="00087A72">
        <w:rPr>
          <w:sz w:val="12"/>
        </w:rPr>
        <w:t xml:space="preserve"> Furthermore, these </w:t>
      </w:r>
      <w:r w:rsidRPr="00087A72">
        <w:rPr>
          <w:b/>
          <w:iCs/>
          <w:u w:val="single"/>
        </w:rPr>
        <w:t>intimacies take multiple forms, across all genders and sexualities, which may manifest as acts of subversion or complicity, spaces of love or intimate violence, of permanence or transience, of reproduction or recreation, of capitalist production or anti-colonial solidarity.</w:t>
      </w:r>
      <w:r w:rsidRPr="00087A72">
        <w:rPr>
          <w:sz w:val="12"/>
        </w:rPr>
        <w:t xml:space="preserve"> With the framework of colonial intimacies, we can account for how these intimacies may go beyond all such binaries, but may also be contained within racial, gender and sexual violences. In the above discussion, </w:t>
      </w:r>
      <w:r w:rsidRPr="00087A72">
        <w:rPr>
          <w:u w:val="single"/>
        </w:rPr>
        <w:t>using a multitude of examples of colonial intimacies, I have demonstrated these simultaneous conditions of possibility and impossibility</w:t>
      </w:r>
      <w:r w:rsidRPr="00087A72">
        <w:rPr>
          <w:sz w:val="12"/>
        </w:rPr>
        <w:t xml:space="preserve"> of colonial intimacies. Instead of resolving these tensions, </w:t>
      </w:r>
      <w:r w:rsidRPr="00087A72">
        <w:rPr>
          <w:b/>
          <w:iCs/>
          <w:u w:val="single"/>
        </w:rPr>
        <w:t>I argue for theorizing colonial intimacies as a continuum of possibilities and impossibilities.</w:t>
      </w:r>
      <w:r w:rsidRPr="00087A72">
        <w:rPr>
          <w:sz w:val="12"/>
        </w:rPr>
        <w:t xml:space="preserve"> There is nothing inherently transgressive or decolonizing in colonial intimacies, nor are such intimacies reducible to violent logics of power. Rather, </w:t>
      </w:r>
      <w:r w:rsidRPr="00087A72">
        <w:rPr>
          <w:b/>
          <w:iCs/>
          <w:u w:val="single"/>
        </w:rPr>
        <w:t>we have to acknowledge the complexities and complicities such relations manifest.</w:t>
      </w:r>
      <w:r w:rsidRPr="00087A72">
        <w:rPr>
          <w:sz w:val="12"/>
        </w:rPr>
        <w:t xml:space="preserve"> I return to this continuum later in the chapter when I discuss “haunting intimacies” and “decolonial love.” In the next section, I briefly explore instances of Asian-Indigenous intimacies in Asian Canadian literatures. This discussion will allow me to critically engage with short stories by Binning and Highway in the following sections.</w:t>
      </w:r>
    </w:p>
    <w:p w:rsidR="00540BEA" w:rsidRPr="00087A72" w:rsidRDefault="00540BEA" w:rsidP="00D005A2">
      <w:pPr>
        <w:pStyle w:val="Heading3"/>
      </w:pPr>
      <w:r w:rsidRPr="00087A72">
        <w:t>Alt – Decolonial Animal Ethic</w:t>
      </w:r>
    </w:p>
    <w:p w:rsidR="00540BEA" w:rsidRPr="00087A72" w:rsidRDefault="00540BEA" w:rsidP="00540BEA">
      <w:pPr>
        <w:pStyle w:val="Heading4"/>
      </w:pPr>
      <w:r w:rsidRPr="00087A72">
        <w:t>Thus, the alternative is a decolonial animal ethic that rejects the Settler cosmologies of the affirmative in favor of Indigenous cosmologies that reshape the onto-existential field of human-animal relations.</w:t>
      </w:r>
    </w:p>
    <w:p w:rsidR="00540BEA" w:rsidRPr="00087A72" w:rsidRDefault="00540BEA" w:rsidP="00540BEA">
      <w:r w:rsidRPr="00087A72">
        <w:rPr>
          <w:rStyle w:val="Style13ptBold"/>
        </w:rPr>
        <w:t>Belcourt 15</w:t>
      </w:r>
      <w:r w:rsidRPr="00087A72">
        <w:t xml:space="preserve"> (Billy Ray, 2016 Rhodes Scholar, Winner of the Griffin Prize for Poetry, and Doctoral Student at the University of Alberta “Animal Bodies, Colonial Subjects: (Re)Locating Animality in Decolonial Thought” </w:t>
      </w:r>
      <w:r w:rsidRPr="00087A72">
        <w:rPr>
          <w:i/>
        </w:rPr>
        <w:t xml:space="preserve">Societies </w:t>
      </w:r>
      <w:r w:rsidRPr="00087A72">
        <w:t>5, pp. 7-10) NIJ</w:t>
      </w:r>
    </w:p>
    <w:p w:rsidR="00540BEA" w:rsidRPr="00087A72" w:rsidRDefault="00540BEA" w:rsidP="00540BEA">
      <w:pPr>
        <w:rPr>
          <w:u w:val="single"/>
        </w:rPr>
      </w:pPr>
      <w:r w:rsidRPr="00087A72">
        <w:rPr>
          <w:sz w:val="12"/>
        </w:rPr>
        <w:t xml:space="preserve">4. Indigenous Cosmologies, Domesticated Animal Bodies, and Decolonizing Gestures </w:t>
      </w:r>
      <w:r w:rsidRPr="00087A72">
        <w:rPr>
          <w:rStyle w:val="StyleUnderline"/>
        </w:rPr>
        <w:t>Although Tuck and Yang argue that “decolonization is [only] accountable to Indigenous sovereignty and futurity”, they cast decolonization within a discourse of anthropocentric struggle</w:t>
      </w:r>
      <w:r w:rsidRPr="00087A72">
        <w:rPr>
          <w:sz w:val="12"/>
        </w:rPr>
        <w:t xml:space="preserve"> [5] (p. 35). </w:t>
      </w:r>
      <w:r w:rsidRPr="00087A72">
        <w:rPr>
          <w:rStyle w:val="StyleUnderline"/>
        </w:rPr>
        <w:t xml:space="preserve">While decolonial thought has operated through a social ecologist framework that de-centers environmental violence and reclaims pre-contact constructions of non-human nature, I suggest that the recognition of animals as colonial subjects has been absent from Indigenous Studies. </w:t>
      </w:r>
      <w:r w:rsidRPr="00087A72">
        <w:rPr>
          <w:sz w:val="12"/>
        </w:rPr>
        <w:t xml:space="preserve">That is, </w:t>
      </w:r>
      <w:r w:rsidRPr="00087A72">
        <w:rPr>
          <w:rStyle w:val="StyleUnderline"/>
        </w:rPr>
        <w:t>contemporary decolonial thought has yet to engage with a politics of animality that not only recalls “traditional” and/or “ceremonial” human-animal relations, but is also accountable to animal subjectivities and futurities outside settler colonialism and within a project of decolonization.</w:t>
      </w:r>
      <w:r w:rsidRPr="00087A72">
        <w:rPr>
          <w:sz w:val="12"/>
        </w:rPr>
        <w:t xml:space="preserve"> That is, </w:t>
      </w:r>
      <w:r w:rsidRPr="00087A72">
        <w:rPr>
          <w:rStyle w:val="StyleUnderline"/>
        </w:rPr>
        <w:t>decolonial thought cannot</w:t>
      </w:r>
      <w:r w:rsidRPr="00087A72">
        <w:rPr>
          <w:sz w:val="12"/>
        </w:rPr>
        <w:t xml:space="preserve">, for example, </w:t>
      </w:r>
      <w:r w:rsidRPr="00087A72">
        <w:rPr>
          <w:rStyle w:val="StyleUnderline"/>
        </w:rPr>
        <w:t xml:space="preserve">demand the repatriation of land as an ecofeminist praxis while simultaneously advocating for hunting as a recreational activity precisely because hunting has been weaponized as speciesism to normalize the killability of animals for human ends. </w:t>
      </w:r>
      <w:r w:rsidRPr="00087A72">
        <w:rPr>
          <w:sz w:val="12"/>
        </w:rPr>
        <w:t xml:space="preserve">Here, </w:t>
      </w:r>
      <w:r w:rsidRPr="00087A72">
        <w:rPr>
          <w:rStyle w:val="StyleUnderline"/>
        </w:rPr>
        <w:t>I propose a re-centering of animality through Indigenous cosmologies and epistemologies</w:t>
      </w:r>
      <w:r w:rsidRPr="00087A72">
        <w:rPr>
          <w:sz w:val="12"/>
        </w:rPr>
        <w:t xml:space="preserve"> (specifically Mi’kmaq and Cree) </w:t>
      </w:r>
      <w:r w:rsidRPr="00087A72">
        <w:rPr>
          <w:rStyle w:val="StyleUnderline"/>
        </w:rPr>
        <w:t xml:space="preserve">to propose a decolonial animal ethic. </w:t>
      </w:r>
      <w:r w:rsidRPr="00087A72">
        <w:rPr>
          <w:sz w:val="12"/>
        </w:rPr>
        <w:t xml:space="preserve">In Animal Liberation, Peter Singer argues that the Old Testament narrativized anthropocentrism and speciesism through Christian cosmologies, thereby re-making “human life, and only human life” into a discursive and corporeal site of sacredness [10] (p. 191). I argue that </w:t>
      </w:r>
      <w:r w:rsidRPr="00087A72">
        <w:rPr>
          <w:rStyle w:val="StyleUnderline"/>
        </w:rPr>
        <w:t>a decolonial animal ethic must operate through a similar narrative logic by using Indigenous cosmologies as frameworks for a non-speciesist and anti-colonial animality.</w:t>
      </w:r>
      <w:r w:rsidRPr="00087A72">
        <w:rPr>
          <w:sz w:val="12"/>
        </w:rPr>
        <w:t xml:space="preserve"> In “Veganism and Mi’kmaq Legends”, Margaret Robinson suggests Mi’kmaq cosmologies are shaped through “a model of creation in which animals are portrayed as our siblings” and thus share a symbiotic form of personhood with human figures [20] (p. 191) In the story of “Muin, The Bear’s Child”, for example, a young boy is raised by bears after being abandoned by his stepfather in a forest [20] (pp. 192–193). </w:t>
      </w:r>
      <w:r w:rsidRPr="00087A72">
        <w:rPr>
          <w:rStyle w:val="StyleUnderline"/>
        </w:rPr>
        <w:t>Animals are thus not only imagined as active agents in Indigenous mythologies but are also capable of creating kinship relations with other (human) animals. Further, many creation stories</w:t>
      </w:r>
      <w:r w:rsidRPr="00087A72">
        <w:rPr>
          <w:sz w:val="12"/>
        </w:rPr>
        <w:t xml:space="preserve"> from my own Cree community </w:t>
      </w:r>
      <w:r w:rsidRPr="00087A72">
        <w:rPr>
          <w:rStyle w:val="StyleUnderline"/>
        </w:rPr>
        <w:t>cast animals (such as ravens) in the role of “Creator” or as the figure through which the Creator acts. Here, animals occupy sacred ceremonial roles from which the Earth and its occupants are created and are thus not subject to human domination.</w:t>
      </w:r>
      <w:r w:rsidRPr="00087A72">
        <w:rPr>
          <w:sz w:val="12"/>
        </w:rPr>
        <w:t xml:space="preserve"> Although Robinson examines these legends to propose an Indigenous veganism that finds legitimacy in traditional Indigenous oral cultures, </w:t>
      </w:r>
      <w:r w:rsidRPr="00087A72">
        <w:rPr>
          <w:rStyle w:val="StyleUnderline"/>
        </w:rPr>
        <w:t>I want to center these non-speciesist human-animal intra-subjectivities in decolonial thought. This would also mobilize against settler colonialism as a project of necropolitics that “is accomplished… through purposeful and ignorant misrepresentations [and rejections] of Indigenous cosmologies” to legitimize Indigenous erasure</w:t>
      </w:r>
      <w:r w:rsidRPr="00087A72">
        <w:rPr>
          <w:sz w:val="12"/>
        </w:rPr>
        <w:t xml:space="preserve"> [21] (p. 22). Several of the recommendations proposed by the animal liberation movement are thus applicable to decolonization. For example, </w:t>
      </w:r>
      <w:r w:rsidRPr="00087A72">
        <w:rPr>
          <w:rStyle w:val="StyleUnderline"/>
        </w:rPr>
        <w:t>rejecting animal experimentation, disrupting the commodification of animal bodies, and abolishing animal agriculture are gestures that can be deployed as anti-colonial gestures that reify decolonial futurities insofar as these forms of knowledge production, capitalism, and food culture sustain the settler state</w:t>
      </w:r>
      <w:r w:rsidRPr="00087A72">
        <w:rPr>
          <w:sz w:val="12"/>
        </w:rPr>
        <w:t xml:space="preserve"> [11]. I however want to present an alternative to the abolitionist/citizenship debate circumscribing theorizations of animal domesticity to recognize the subjectivities of domesticated animals as colonized subjectivities [14] (p. 79). That is, </w:t>
      </w:r>
      <w:r w:rsidRPr="00087A72">
        <w:rPr>
          <w:rStyle w:val="StyleUnderline"/>
        </w:rPr>
        <w:t>Animal Rights Theory has traditionally operated through two polarized re-constructions of the domesticated animal. First</w:t>
      </w:r>
      <w:r w:rsidRPr="00087A72">
        <w:rPr>
          <w:sz w:val="12"/>
        </w:rPr>
        <w:t xml:space="preserve">, scholars such as Gary Francione argue </w:t>
      </w:r>
      <w:r w:rsidRPr="00087A72">
        <w:rPr>
          <w:rStyle w:val="StyleUnderline"/>
        </w:rPr>
        <w:t>that domesticated animals inhabit hybrid and/or “unnatural” subjectivities that orient animal bodies as means to human ends. As a result of this unethical relationship, Francione proposes an eradication of the domesticated animal because the “intent of domestication” is and was intrinsically immoral</w:t>
      </w:r>
      <w:r w:rsidRPr="00087A72">
        <w:rPr>
          <w:sz w:val="12"/>
        </w:rPr>
        <w:t xml:space="preserve"> [14] (pp. 78–79). </w:t>
      </w:r>
      <w:r w:rsidRPr="00087A72">
        <w:rPr>
          <w:rStyle w:val="StyleUnderline"/>
        </w:rPr>
        <w:t>Conversely, Donaldson and Kymlicka contend that this argument is itself speciesist and alternatively believe that a citizenship model can create human and domesticated animal interactions that are reciprocal and non-exploitative</w:t>
      </w:r>
      <w:r w:rsidRPr="00087A72">
        <w:rPr>
          <w:sz w:val="12"/>
        </w:rPr>
        <w:t xml:space="preserve"> [14] (p. 79). Because I have already argued against Donaldson and Kymlicka’s citizenship model, I suggest that </w:t>
      </w:r>
      <w:r w:rsidRPr="00087A72">
        <w:rPr>
          <w:rStyle w:val="StyleUnderline"/>
        </w:rPr>
        <w:t>the erasure of domesticated animals would itself be a form of settler-colonial genocide in which colonized subjects are disappeared. However, it is important to note that settler colonialism constructs death differently for Indigenous and animal bodies. That is, settler colonialism requires the erasure of indigeneity through genocide or neoliberal processes of assimilation wherein the colonized subject symbolically abandons indigeneity for settler ways of living. Here, the corporeal and/or discursive refusal of indigeneity by the settler state legitimates settler claims to territory and political authority. On the other hand, settler colonialism wants to produce animal bodies as commodities embedded in a global economy of reiterated deathliness. Said different, animal bodies that are inserted into capitalist spaces of commodity production are always already scheduled for death to be consumed as meat, clothing, scientific data, and so forth</w:t>
      </w:r>
      <w:r w:rsidRPr="00087A72">
        <w:rPr>
          <w:sz w:val="12"/>
        </w:rPr>
        <w:t xml:space="preserve"> [22] (p. 148). </w:t>
      </w:r>
      <w:r w:rsidRPr="00087A72">
        <w:rPr>
          <w:rStyle w:val="StyleUnderline"/>
        </w:rPr>
        <w:t>Although animal domesticity “has been characterized by the coercive confinement, manipulation, and exploitation of animals for the benefit of” settlers [14] (p. 73), I contend that contemporary domesticated animals must first be excised from their colonized subjectivities to be subsequently re-oriented within ecologies of decolonial subjecthood and re-signified through Indigenous cosmologies. Similar to the ways in which Indigenous peoples can undergo a violent process through which we rid our colonial mentalities, I argue that animals can be liberated from their colonized subjecthood through an aided “process of desubjectification” [7] (p. 456). That is, thinking through animality as an infrastructure of decolonization re-positions animal bodies as agents of anti-colonial resurgence. They can consequently engender “forms of energy that are capable of engaging the forces that keep [Indigenous people and animals] tied to [a] colonial mentality and reality” [23] (p. 179). Settler colonialism has therefore required the normalization of speciesism within Indigenous communities to obfuscate the radicality of Indigenous-animal relations. In that sense, recalling the representation of animals in Indigenous cosmologies/oral traditions and unsettling speciesism as a “colonial mentality” must be prioritized in decolonial thought.</w:t>
      </w:r>
      <w:r w:rsidRPr="00087A72">
        <w:rPr>
          <w:sz w:val="12"/>
        </w:rPr>
        <w:t xml:space="preserve"> Here, </w:t>
      </w:r>
      <w:r w:rsidRPr="00087A72">
        <w:rPr>
          <w:rStyle w:val="StyleUnderline"/>
        </w:rPr>
        <w:t xml:space="preserve">it is important to note that the animal and the Indigenous subject are not commensurable colonial subjects insofar as their experiences of colonization are different—a decolonial animal ethic must therefore account for these differences. </w:t>
      </w:r>
      <w:r w:rsidRPr="00087A72">
        <w:rPr>
          <w:sz w:val="12"/>
        </w:rPr>
        <w:t>5. Conclusion: Settler Colonial Particularities Indigenous Studies and Settler Colonial Studies continue to acknowledge and deconstruct the “specializations” of settler colonialism, including the ways in which “settler sovereignty imposes sexuality, legality, raciality, language, religion, and property” onto Indigenous communities as an assimilationist tactic [5] (p. 21). However, what imaginaries and subjectivities are foreclosed when our politics of decolonization is always already anthropocentric</w:t>
      </w:r>
      <w:r w:rsidRPr="00087A72">
        <w:rPr>
          <w:rStyle w:val="StyleUnderline"/>
        </w:rPr>
        <w:t>? I propose a re-locating of animal ontologies within decolonial thought that engages critically with the ways in which settler colonialism objectivizes animal bodies as one of many intersecting settler colonial particularities.</w:t>
      </w:r>
      <w:r w:rsidRPr="00087A72">
        <w:rPr>
          <w:sz w:val="12"/>
        </w:rPr>
        <w:t xml:space="preserve"> That is, </w:t>
      </w:r>
      <w:r w:rsidRPr="00087A72">
        <w:rPr>
          <w:rStyle w:val="StyleUnderline"/>
        </w:rPr>
        <w:t>I have attempted to demonstrate that settler colonialism is invested in animality and therefore re-makes animal bodies into colonial subjects to normalize settler modes of political life (i.e., territorial acquisition, anthropocentrism, capitalism, white supremacy, and neoliberal pluralism) that further displace and disappear Indigenous bodies and epistemologies.</w:t>
      </w:r>
      <w:r w:rsidRPr="00087A72">
        <w:rPr>
          <w:sz w:val="12"/>
        </w:rPr>
        <w:t xml:space="preserve"> In that sense, </w:t>
      </w:r>
      <w:r w:rsidRPr="00087A72">
        <w:rPr>
          <w:rStyle w:val="StyleUnderline"/>
        </w:rPr>
        <w:t>decolonization is not possible without centering an animal ethic.</w:t>
      </w:r>
      <w:r w:rsidRPr="00087A72">
        <w:rPr>
          <w:sz w:val="12"/>
        </w:rPr>
        <w:t xml:space="preserve"> Although I am sympathetic to the ways in which CAS and mainstream animal activisms have attempted to re-figure animality outside speciesist logics, </w:t>
      </w:r>
      <w:r w:rsidRPr="00087A72">
        <w:rPr>
          <w:rStyle w:val="StyleUnderline"/>
        </w:rPr>
        <w:t>I have argued that these re-figurings operate within spaces of settler coloniality that are always and only colonizing gestures that disrupt decolonial futurities precisely because a critique of the settler subject position in relation to animals has yet to be forwarded. Here, decolonization is not only beneficial to animals because it demands the dismantling of all settler-colonial infrastructures (including those that produce and progress speciesism), but would also require a re-signification of animal subjects and human-animal relations through the non-speciesist and interdependent models of animality envisioned in Indigenous cosmologies. This, of course, is contingent upon the willingness of Indigenous peoples (and our allies) to commit to decolonized animal futurities.</w:t>
      </w:r>
    </w:p>
    <w:p w:rsidR="00A074E1" w:rsidRPr="00087A72" w:rsidRDefault="00A074E1" w:rsidP="00A074E1">
      <w:pPr>
        <w:pStyle w:val="Heading3"/>
      </w:pPr>
      <w:r w:rsidRPr="00087A72">
        <w:t>Alt – Decolonize Desire</w:t>
      </w:r>
    </w:p>
    <w:p w:rsidR="00A074E1" w:rsidRPr="00087A72" w:rsidRDefault="00A074E1" w:rsidP="00A074E1">
      <w:pPr>
        <w:pStyle w:val="Heading4"/>
      </w:pPr>
      <w:r w:rsidRPr="00087A72">
        <w:t xml:space="preserve">In order to begin a decolonizing project, we must move towards a decolonization of desire to interrupt the binary of resistance and reproduction. </w:t>
      </w:r>
    </w:p>
    <w:p w:rsidR="00A074E1" w:rsidRPr="00087A72" w:rsidRDefault="00A074E1" w:rsidP="00A074E1">
      <w:r w:rsidRPr="00087A72">
        <w:rPr>
          <w:b/>
          <w:bCs/>
        </w:rPr>
        <w:t xml:space="preserve">Upadhyay 16 </w:t>
      </w:r>
      <w:r w:rsidRPr="00087A72">
        <w:t>(Nishant, Assistant Professor in Women's and Gender Studies at University of Massachusetts Dartmouth, Ph.D. in Graduate Program in Social and Political Thought at York University, South Asian</w:t>
      </w:r>
      <w:r w:rsidRPr="00087A72">
        <w:rPr>
          <w:i/>
        </w:rPr>
        <w:t xml:space="preserve"> “We’ll Sail Like Columbus”: Race, Indigeneity, Settler Colonialism, and the Making of South Asian Diasporas in Canada.</w:t>
      </w:r>
      <w:r w:rsidRPr="00087A72">
        <w:t xml:space="preserve"> pp. 260-263) IA</w:t>
      </w:r>
    </w:p>
    <w:p w:rsidR="00A074E1" w:rsidRPr="00087A72" w:rsidRDefault="00A074E1" w:rsidP="00A074E1">
      <w:pPr>
        <w:rPr>
          <w:sz w:val="12"/>
        </w:rPr>
      </w:pPr>
      <w:r w:rsidRPr="00087A72">
        <w:rPr>
          <w:sz w:val="12"/>
        </w:rPr>
        <w:t xml:space="preserve">This chapter began with the discussion of migrant dreams and aspirations. More than often racialized migrants come to settler lands with hopes, yearnings, and desires. These lands offer them promises of better lives and futures. Often they have to struggle hard to make ends meet. These day-to-day struggles to survive are further complicated by the axes of gender, caste, sexuality, class, ability, ethnicity, religion, status. Processes of settler colonialism make their lives further complex and complicit. With all this in mind, how do we start acknowledging, accounting for, translating, feeling, sharing and writing these complexities and complicities? To complicate the question further, I do not attempt at defining who is a settler or not, or what defines a good citizen to the settler state or a bad ally to Indigenous nations or a bad citizen and good ally conversely. Yet the way I conducted my interviews was to already assume and name my informants, their bodies, their stories, their experiences, their journeys, their materialities, and affectivities as complicit. </w:t>
      </w:r>
      <w:r w:rsidRPr="00087A72">
        <w:rPr>
          <w:u w:val="single"/>
        </w:rPr>
        <w:t>These bodies invariably and inevitably are good settlers for the state and bad allies of Indigenous nations</w:t>
      </w:r>
      <w:r w:rsidRPr="00087A72">
        <w:rPr>
          <w:sz w:val="12"/>
        </w:rPr>
        <w:t xml:space="preserve">. And yet that is not what I sought out to do. Further, I question if I can theorize complicities in isolation: are they not always enabled by, and enabling other structures of complicity? </w:t>
      </w:r>
      <w:r w:rsidRPr="00087A72">
        <w:rPr>
          <w:u w:val="single"/>
        </w:rPr>
        <w:t>Complicity in one structure does not erase complicities in others.</w:t>
      </w:r>
      <w:r w:rsidRPr="00087A72">
        <w:rPr>
          <w:sz w:val="12"/>
        </w:rPr>
        <w:t xml:space="preserve"> For instance, as I mentioned in the previous section, most of the respondents I spoke to in B.C., came to Canada with visitor status or no status. They mostly came from rural Punjab. Some were educated and others not. Some owned lands back home and many did not. They came with dreams to settle in the developed world, the so-called land of opportunities. But instead they found themselves working in logging mills, canneries and meat processing industries, working on farms, driving trucks and cabs, working on railroads and in hotels and motels. Sixteen, seventeen, eighteen hour long days. Seven-days a week. For years without breaks or vacations. Arguably, those were hard lives. With little time for family, friends, or themselves. Albeit some also had fun at work. They may own fancy houses in the Lower Mainland now. Or not. Their children may be settled in upwardly mobile careers. Or not. But can those hardships be erased with money and comfort? They may claim to be part of Canada and be thankful to Canada for letting them stay. But can that ease the pain of decades of racism and exploitation? And what about experiences of gender, caste, and religion? South Asians were the “steady worker” that the capitalist settler state needed to work to displace and dispossess Indigenous nations, and continue to be. Their stories are complex. People I spoke to in the tar sands had different class-experiences. They are the “model” immigrants who have made it. They have money. They have comfort. They have luxury. Then does it matter than that many of them ended up in Fort McMurray because they were laid off in the middle of the economic crisis? Does it matter that for years they worked in jobs in bigger cities where their “skills” were never fully realized? Does it matter they may never really break the visible invisible glass ceiling of whiteness and patriarchy? Yet </w:t>
      </w:r>
      <w:r w:rsidRPr="00087A72">
        <w:rPr>
          <w:u w:val="single"/>
        </w:rPr>
        <w:t>they are still part of one of the world’s most destructive extraction project. They are at the crux of an industry that is for so many Indigenous peoples a “slow industrial genocide” (Mercredi)</w:t>
      </w:r>
      <w:r w:rsidRPr="00087A72">
        <w:rPr>
          <w:sz w:val="12"/>
        </w:rPr>
        <w:t xml:space="preserve">. Their stories are complex. While the stories are complex and different for communities in Vancouver and Fort McMurray, I demonstrate in this chapter, how </w:t>
      </w:r>
      <w:r w:rsidRPr="00087A72">
        <w:rPr>
          <w:u w:val="single"/>
        </w:rPr>
        <w:t>both communities claim “model minority” status by constructing Indigenous peoples as the “unmodel-other,”</w:t>
      </w:r>
      <w:r w:rsidRPr="00087A72">
        <w:rPr>
          <w:sz w:val="12"/>
        </w:rPr>
        <w:t xml:space="preserve"> </w:t>
      </w:r>
      <w:r w:rsidRPr="00087A72">
        <w:rPr>
          <w:u w:val="single"/>
        </w:rPr>
        <w:t>This status is produced through the logics of “cultural family values,” and the constructs of model/strong/good/steady workers. This aspiration to “model minority” is an “ascendency to whiteness” (Arvin, Tuck, and Morrill) and settlerhood that South Asians aspire to and claim in Canada.</w:t>
      </w:r>
      <w:r w:rsidRPr="00087A72">
        <w:rPr>
          <w:sz w:val="12"/>
        </w:rPr>
        <w:t xml:space="preserve"> As I argue, </w:t>
      </w:r>
      <w:r w:rsidRPr="00087A72">
        <w:rPr>
          <w:u w:val="single"/>
        </w:rPr>
        <w:t xml:space="preserve">these processes make South Asians complicit in ongoing processes of settler colonialism of Indigenous nations, lands and peoples. These complicities connect South Asians in B.C. to Alberta to Ontario to Prince Edward Island, arguably in other white settler colonial states like the U.S., Australia and New Zealand. </w:t>
      </w:r>
      <w:r w:rsidRPr="00087A72">
        <w:rPr>
          <w:sz w:val="12"/>
        </w:rPr>
        <w:t xml:space="preserve">However, there are also stark differences between these two South Asian communities in Vancouver and Fort McMurray. I have demonstrated in the dissertation, there were unambiguous differences in the positionalities and experiences between these two communities. Here I reiterate three main differences. First, as I show in Chapters 2 and 3, only the respondents from Vancouver acknowledged caste violences in India. None of the respondents in Fort McMurray mentioned any forms of caste hierarchies they may have been complicit in. It must be noted that both communities are upper caste. Second, I demonstrated in this Chapter that Vancouver respondents were more aware of violences against Indigenous peoples in Canada than respondents in Fort McMurray. I argue that unlike the Fort McMurray respondents, the Vancouver respondents are not necessarily as privileged and upwardly mobile and have stark differences in their experiences in Canada. For the Vancouver respondents, </w:t>
      </w:r>
      <w:r w:rsidRPr="00087A72">
        <w:rPr>
          <w:u w:val="single"/>
        </w:rPr>
        <w:t>proximity to the Native-other produced a different sense of belonging in Canada, as they knew more intimately that they were on Native land. This produced a sense of solidarity between Punjabis and Indigenous peoples, albeit this solidarity was frictional, incomplete, and not decolonial.</w:t>
      </w:r>
      <w:r w:rsidRPr="00087A72">
        <w:rPr>
          <w:sz w:val="12"/>
        </w:rPr>
        <w:t xml:space="preserve"> Whereas, respondents in Fort McMurray was more unaware of Indigenous presence in the city and region, and lacked a sense of solidarity with Indigenous peoples. Similarly, their rural backgrounds from Punjab, and class experiences in Canada, perhaps gives Punjabis in B.C. a different understanding of their complicities in caste hierarchies in India, albeit that does not necessarily make them any less casteist. In addition, they are more aware of racist violences against them. In other words, they are able to understand violences at a more intimate level than the more upwardly mobile “model minority” Indians in Fort McMurray. To rearticulate, Sikhs have different racial, religious, and caste histories. Thus, their lived (class) experiences shape their understandings of intertwined logics of caste, race and indigeneity, however these understandings do not necessarily translate into progressive praxis. Lastly, for South Asian women employed in B.C. canneries “fun-at-work” challenges heteronormative logics of racialized and gendered labour formations, albeit still working within those logics. I argue that for these women to seek “fun” disrupts economic scripts of desires, intimacies, and aspirations, both “material” and “domestic,” Due to varying modalities of class formations, I argue, Punjabi women in B.C. were more effectively able to challenge logics of heteropatriarchy and heteronormativity, as compared to South Asian women in Fort McMurray who invariably reproduce these logics their classed participation in the tar sands economy. Further, Punjabi women’s intimacies with Indigenous women also ruptures settler normativities. Unlike men in B.C. and South Asians in Fort McMurray, and arguably elsewhere in Canada, Punjabi women in B.C. were able to navigate the racial frictions and foster intimacies with Indigenous women, which necessarily were not decolonial, yet they did not follow the settler scripts either. Thus, I argue that through the critical intersections of race, class, and gender, Punjabi women challenged the settler-state’s exclusion through nurturing intimacies which decentered the settler state. These three key differences rely on an intricate nexus of race, caste, gender, and class. Obviously questions of class and labour produce these key differences and thus are central to engendering anti-colonial alliances. However, in this chapter I explored limitations of labour and complicities of racialized labour in colonial processes. To reiterate, I address four caveats in relation to theorizing racialized labour in settler societies, as discussed in the preceding chapters and in this chapter. First, when I talk about labour, I am not necessarily talking about class; rather I am interested in labour formations or subjectivities as they are constructed through intersecting material, discursive, and affective epistemologies. Second, any analysis of South Asian labour is incomplete without engaging with intersections of caste, gender, ability, ethnicity, and citizenship status in Canada. Third, it is important to reflect on the ongoing legacies of slavery and the violences of anti-Black racism in the present in order to understand the methods of racialized labour commodification within settler colonialism and its anti-Black contexts. And last, I employ labour not as an indicator for belonging, recognition, and inclusion in the settler state. </w:t>
      </w:r>
      <w:r w:rsidRPr="00087A72">
        <w:rPr>
          <w:u w:val="single"/>
        </w:rPr>
        <w:t>While honoring and recognizing struggles against past and continued racial exclusion of South Asian communities over the last century, it is important to note that their exclusion, labour, and struggles for inclusion have only been made possible through dispossessing and colonizing Indigenous nations.</w:t>
      </w:r>
      <w:r w:rsidRPr="00087A72">
        <w:rPr>
          <w:sz w:val="12"/>
        </w:rPr>
        <w:t xml:space="preserve"> I draw from critical Indigenous and Black theorizations of labour to illustrate how racialized labour reproduces violences on Indigenous and Black peoples within white settler colonial contexts. Eve Tuck and K. Wayne Yang argue </w:t>
      </w:r>
      <w:r w:rsidRPr="00087A72">
        <w:rPr>
          <w:b/>
          <w:iCs/>
          <w:u w:val="single"/>
        </w:rPr>
        <w:t>labour praxis is incommensurable with a decolonizing project</w:t>
      </w:r>
      <w:r w:rsidRPr="00087A72">
        <w:rPr>
          <w:u w:val="single"/>
        </w:rPr>
        <w:t xml:space="preserve"> (</w:t>
      </w:r>
      <w:r w:rsidRPr="00087A72">
        <w:rPr>
          <w:sz w:val="12"/>
        </w:rPr>
        <w:t xml:space="preserve">18). Similarly, Shona Jackson </w:t>
      </w:r>
      <w:r w:rsidRPr="00087A72">
        <w:rPr>
          <w:u w:val="single"/>
        </w:rPr>
        <w:t>calls for a rejection of labour as a humanist praxis</w:t>
      </w:r>
      <w:r w:rsidRPr="00087A72">
        <w:rPr>
          <w:sz w:val="12"/>
        </w:rPr>
        <w:t xml:space="preserve"> (n.pag.). Dean Saranillio elaborates further: While I politically agree with an anti-capitalist vision, particularly in a global capitalist system that increasingly has relied on war to sustain itself, </w:t>
      </w:r>
      <w:r w:rsidRPr="00087A72">
        <w:rPr>
          <w:u w:val="single"/>
        </w:rPr>
        <w:t>these movements should be accountable to Native people by considering a preceding moment in time, a different arrangement of land, resources and a way of life that predates the settler state</w:t>
      </w:r>
      <w:r w:rsidRPr="00087A72">
        <w:rPr>
          <w:sz w:val="12"/>
        </w:rPr>
        <w:t xml:space="preserve">. (“Why Asian Settler Colonialism” 290) Rejection of the labour category is not an anti-Marxist theorization, but rather </w:t>
      </w:r>
      <w:r w:rsidRPr="00087A72">
        <w:rPr>
          <w:u w:val="single"/>
        </w:rPr>
        <w:t xml:space="preserve">a call for a deeper engagement with Indigenous and Black struggles and lives. It is a call to realign and rethink racialized labour desires and investments to the white settler state. It is a call for </w:t>
      </w:r>
      <w:r w:rsidRPr="00087A72">
        <w:rPr>
          <w:b/>
          <w:iCs/>
          <w:u w:val="single"/>
        </w:rPr>
        <w:t>decolonizing desires</w:t>
      </w:r>
      <w:r w:rsidRPr="00087A72">
        <w:rPr>
          <w:u w:val="single"/>
        </w:rPr>
        <w:t>.</w:t>
      </w:r>
      <w:r w:rsidRPr="00087A72">
        <w:rPr>
          <w:sz w:val="12"/>
        </w:rPr>
        <w:t xml:space="preserve"> Eve Tuck calls upon researchers on Native communities, city communities and other disenfranchised communities to suspend damage-centered research—“research that operates, even benevolently, from a theory of change that establishes harm or injury in order to achieve reparation” (“Suspending Damage” 413). She offers </w:t>
      </w:r>
      <w:r w:rsidRPr="00087A72">
        <w:rPr>
          <w:u w:val="single"/>
        </w:rPr>
        <w:t>“</w:t>
      </w:r>
      <w:r w:rsidRPr="00087A72">
        <w:rPr>
          <w:b/>
          <w:iCs/>
          <w:u w:val="single"/>
        </w:rPr>
        <w:t>desire-based framework” as an epistemological shift, as: ... desire interrupts the binary of reproduction versus resistance ... Desire is a thirding of the dichotomized categories of reproduction and resistance.</w:t>
      </w:r>
      <w:r w:rsidRPr="00087A72">
        <w:rPr>
          <w:u w:val="single"/>
        </w:rPr>
        <w:t xml:space="preserve"> It is neither/both/and reproduction and resistance. This is important because </w:t>
      </w:r>
      <w:r w:rsidRPr="00087A72">
        <w:rPr>
          <w:b/>
          <w:iCs/>
          <w:u w:val="single"/>
        </w:rPr>
        <w:t>it more closely matches the experiences of people who, at different points in a single day, reproduce, resist, are complicit in, rage against, celebrate, throw up hands/fists/towels, and withdraw and participate in uneven social structures—that is, everybody.</w:t>
      </w:r>
      <w:r w:rsidRPr="00087A72">
        <w:rPr>
          <w:u w:val="single"/>
        </w:rPr>
        <w:t xml:space="preserve"> Desire, because it is an assemblage of experiences, ideas, and ideologies, both subversive and dominant, necessarily complicated our understanding of human agency, complicity, and resistance.</w:t>
      </w:r>
      <w:r w:rsidRPr="00087A72">
        <w:rPr>
          <w:sz w:val="12"/>
        </w:rPr>
        <w:t xml:space="preserve"> (419-20) In a later article, Tuck calls for a “politics of desire that observes desire as enjoying some/a lot of self-determination” (“Breaking up with Deleuze” 645). I quote at length for myself and the reader to grasp the immensity and fierceness of Tuck’s conceptualization. She is careful in talking about desire for communities that are read as “damaged” for them to “hold the power to begin shifting the discourse away from damage” (“Suspending Damage" 410). I do not intend to replace/displace Indigenous communities with South Asian communities in the analysis and to create spaces and epistemologies of desire for the latter at the cost of/by dispossessing Indigenous nations. While all racialized and colonized peoples can be read as “damaged” through violences of cis-heteropatriarchal, capitalist, white supremacist, and colonial processes, I am not conflating their “damagedness” into that of Indigenous peoples. To be clear, not all communities of colour are homogenous, and we have to look for intersecting and overlapping structures of power to understand oppressions, traumas and pains. Nevertheless, I centre Indigenous desires for self-determination and sovereignty. For decolonization. For souls. For lands. For futures. For presents. And for pasts. Neither do I want to dismiss racialized desires and dreams. For futures. For presents. And for pasts. I seek to understand Native and racialized desires as a “cacophony,” drawing from Byrd, which is contradictory, complicated, complicit, agential, and in solidarity. For Tuck, desires, are “longing about a present that is enriched by both the past and the future,” and “integral to our humanness” (417). While it is imperative to think about decolonization within the South Asian diasporic context, it is important to reiterate that: “decolonization is not a metaphor” (Tuck and Yang). When Indigenous lands and nations continue to be occupied in Canada, racialized peoples need to work towards unsettling themselves within the settler state, and seek decolonial desires for futures between Indigenous nations and racialized diasporas on stolen lands. </w:t>
      </w:r>
    </w:p>
    <w:p w:rsidR="00A074E1" w:rsidRPr="00087A72" w:rsidRDefault="00A074E1" w:rsidP="00A074E1"/>
    <w:p w:rsidR="00A074E1" w:rsidRPr="00087A72" w:rsidRDefault="00A074E1" w:rsidP="00D005A2">
      <w:pPr>
        <w:pStyle w:val="Heading3"/>
      </w:pPr>
      <w:r w:rsidRPr="00087A72">
        <w:t>Alt – Decolonize Sight</w:t>
      </w:r>
    </w:p>
    <w:p w:rsidR="00A074E1" w:rsidRPr="00087A72" w:rsidRDefault="00A074E1" w:rsidP="00A074E1">
      <w:pPr>
        <w:pStyle w:val="Heading4"/>
        <w:rPr>
          <w:rFonts w:ascii="Times New Roman" w:hAnsi="Times New Roman" w:cs="Times New Roman"/>
        </w:rPr>
      </w:pPr>
      <w:r w:rsidRPr="00087A72">
        <w:rPr>
          <w:rFonts w:ascii="Times New Roman" w:hAnsi="Times New Roman" w:cs="Times New Roman"/>
        </w:rPr>
        <w:t xml:space="preserve">Thus we endorse the decolonization of sight with simultaneous vision- embracing a plurality of interpretations. Static understandings of vision rely on hyper masculine ideologies of domination and preclude questions of healing the body </w:t>
      </w:r>
    </w:p>
    <w:p w:rsidR="00A074E1" w:rsidRPr="00087A72" w:rsidRDefault="00A074E1" w:rsidP="00A074E1">
      <w:pPr>
        <w:rPr>
          <w:rFonts w:ascii="Times New Roman" w:hAnsi="Times New Roman" w:cs="Times New Roman"/>
        </w:rPr>
      </w:pPr>
      <w:r w:rsidRPr="00087A72">
        <w:rPr>
          <w:rStyle w:val="Style13ptBold"/>
          <w:rFonts w:ascii="Times New Roman" w:hAnsi="Times New Roman" w:cs="Times New Roman"/>
        </w:rPr>
        <w:t>King 2013</w:t>
      </w:r>
      <w:r w:rsidRPr="00087A72">
        <w:rPr>
          <w:rFonts w:ascii="Times New Roman" w:hAnsi="Times New Roman" w:cs="Times New Roman"/>
        </w:rPr>
        <w:t xml:space="preserve"> (Tiffany, "In the Clearing: Black Female Bodies, Space and Settler Colonial Landscapes," pg. 79-80, Sen). </w:t>
      </w:r>
    </w:p>
    <w:p w:rsidR="00A074E1" w:rsidRPr="00087A72" w:rsidRDefault="00A074E1" w:rsidP="00A074E1">
      <w:pPr>
        <w:rPr>
          <w:rFonts w:ascii="Times New Roman" w:hAnsi="Times New Roman" w:cs="Times New Roman"/>
          <w:sz w:val="16"/>
        </w:rPr>
      </w:pPr>
      <w:r w:rsidRPr="00087A72">
        <w:rPr>
          <w:rStyle w:val="Emphasis"/>
          <w:rFonts w:ascii="Times New Roman" w:hAnsi="Times New Roman" w:cs="Times New Roman"/>
        </w:rPr>
        <w:t xml:space="preserve">In order to decolonize our sight, we need to think about how sight works. We must allow for the possibility of a passive eye. The western, imperial eye is primarily an active eye that reads, scans and surveys from an all knowing vantage point of authority. </w:t>
      </w:r>
      <w:r w:rsidRPr="00087A72">
        <w:rPr>
          <w:rFonts w:ascii="Times New Roman" w:hAnsi="Times New Roman" w:cs="Times New Roman"/>
          <w:sz w:val="16"/>
        </w:rPr>
        <w:t xml:space="preserve">The active eye mimics the all-seeing and all-knowing eye of God. Cultural landscapes scholar, D.W. Meinig presents ten human viewpoints or vantage points that describe the way that humans interpret the landscape with their eyes. Of the ten, two of the vantage points rely on penetrating eyes that pierce the surface of the earth. </w:t>
      </w:r>
      <w:r w:rsidRPr="00087A72">
        <w:rPr>
          <w:rStyle w:val="Emphasis"/>
          <w:rFonts w:ascii="Times New Roman" w:hAnsi="Times New Roman" w:cs="Times New Roman"/>
        </w:rPr>
        <w:t>As penetrative masculine eyes, they read the land as a complex system and as a wealth generating commodity.</w:t>
      </w:r>
      <w:r w:rsidRPr="00087A72">
        <w:rPr>
          <w:rFonts w:ascii="Times New Roman" w:hAnsi="Times New Roman" w:cs="Times New Roman"/>
          <w:sz w:val="16"/>
        </w:rPr>
        <w:t xml:space="preserve">67 This notion of the eye as a penetrating force that reads and deconstructs the landscape is a gendered construction. It is a masculine eye; not the eye that Catherine McKinley wants to develop on her sojourn. The eye that McKinley had to develop was an eye that could at times be passive. The beauty of the taglemust moving in the tide, knotting and unfurling, was mesmerizing. Indigo was a part of that Atlantic. If there was spirit at work, or an act of devotion to be made, mine would be bound to that history—my own and that of the people I was seeking. I hadn’t made this journey simply to be a collector, but I needed indigo in my eye.68 Mesmerized by the indigo garmet in the water, McKinley connects indigo to the Atlantic, spirit, history and possession. For a moment, McKinley inverts the process we typically imagine as viewing. Rather than looking out with the eye to see indigo, McKinley pleads to have indigo in her eye. For McKinley, the eye, specifically a non-imperial eye, can be penetrated. </w:t>
      </w:r>
      <w:r w:rsidRPr="00087A72">
        <w:rPr>
          <w:rStyle w:val="Emphasis"/>
          <w:rFonts w:ascii="Times New Roman" w:hAnsi="Times New Roman" w:cs="Times New Roman"/>
        </w:rPr>
        <w:t>The natural elements can invade and change the eye. This is the opposite of the imperial eye that projects its desires and mindscape out. The imperial eye is an inviolable eye of an inviolable human subject. The natural world does not alter it or possess it, the eye possesses the natural landscape.</w:t>
      </w:r>
      <w:r w:rsidRPr="00087A72">
        <w:rPr>
          <w:rFonts w:ascii="Times New Roman" w:hAnsi="Times New Roman" w:cs="Times New Roman"/>
          <w:sz w:val="16"/>
        </w:rPr>
        <w:t xml:space="preserve"> However, McKinley’s cornea needs to be possessed by indigo. McKinley’s eye is penetrable. She needs to catch indigo as if she were catching the spirit. McKinley realizes at the end of her journey that she cannot possess indigo, she must be transformed by it. McKinley does not return from her trip with a beholding eye, but with an eye possessed by indigo. Her Aunt Eurama tells Catherine that she has a spirit that begs for blue. Auntie Eurama warns, “Blue-blue! Is all you think of.”69 Developing the capacity for your eye to be passive, and be possessed or catch indigo in it, is not the only step to decolonizing one’s sight. Understanding that the capacity to see does not stem from the power of the eye alone, or even the brain and the eye together, is another realization that one must accept. Sight happens due to a combination of senses. Oyeronke Oyewumi argues that in Yoruba cosmology the senses work together.70 Sight is not privileged as the site of knowledge; rather it is a complex array of the senses that need to be marshaled in order to make sense of the social world. In the epigraph, I referenced Dash’s understanding of this multisensory way of navigating the world. Dash’s character Ben is well aware that movement and the kinetics of the body (feeling) is required to activate sight in the context of komp se. He states, “Once you feel de rhythm, you mind tell you how to see!71 Feeling directs the mind which directs the eyes. </w:t>
      </w:r>
      <w:r w:rsidRPr="00087A72">
        <w:rPr>
          <w:rStyle w:val="Emphasis"/>
          <w:rFonts w:ascii="Times New Roman" w:hAnsi="Times New Roman" w:cs="Times New Roman"/>
        </w:rPr>
        <w:t xml:space="preserve">Seeing is a process of synthesizing multiple senses. Seeing is a recognition of the whole self and all of its capacity and ways of knowing. This is a radical disjuncture in the way that we think about sight and cognition. Decolonization requires a sight that can see, discern and be open to the multiple things that are occurring within oneself and others. Decolonized sight, along with its other senses, seeks out healing. </w:t>
      </w:r>
      <w:r w:rsidRPr="00087A72">
        <w:rPr>
          <w:rFonts w:ascii="Times New Roman" w:hAnsi="Times New Roman" w:cs="Times New Roman"/>
          <w:sz w:val="16"/>
        </w:rPr>
        <w:t xml:space="preserve">What we also need to pay attention to when we look at Nana Peazant’s indigo stained hands was the healing work that was occurring. While I noted this briefly and moved onto the settler colonial violence, what McKinley calls the symmetry of indigo, and what I call the paradox of indigo was lost on me. The indigo referenced the life and recuperative work of the ex-slave as much as it indexed the violence and dehumanization. The montage of blue handed people in the beginning of the Daughters of the Dust, brings attention to women attending to the needs of the flesh. The fleshly and erotic self care, the braiding of hair, cleaning wax from a baby’s ear, pressing clothing, and preparing food all reference an attention to and love for the Black body. Within the context of an anti-Black world, caring for the body is a radical act for an ex-slave. However, it never works in a singular way. The body is a multitudinous site. Even the act of caring for the body through recuperating it implicitly references the violence it is healing from. In Scenes of Subjection, Hartman elucidates on what the recuperated slave body can reveal and make possible. Thus history is illuminated not only by the recitation of the litany of horrors that characterized the “commercial deportation of Africans,” but also by performance practices that serve as a means of redressing the pained body and restaging the event of rupture or breach that engendered “the other side”. The (counter) investment in the body as a site of need, desire, and pleasure and the constancy of unmet needs, repressed desires, and the shortcomings of pleasure are articulated in the very endeavor to heal the flesh and redress the pained body.72 </w:t>
      </w:r>
      <w:r w:rsidRPr="00087A72">
        <w:rPr>
          <w:rStyle w:val="Emphasis"/>
          <w:rFonts w:ascii="Times New Roman" w:hAnsi="Times New Roman" w:cs="Times New Roman"/>
        </w:rPr>
        <w:t>For Hartman, even moments when the pained body is being cared for (Dash’s montages of the erotic activity of the hands) serve as moments that draw us back to the underside of modernity. However, when we are able to view violence at the same moment that we are able to see the agency of the slave and the recuperation of the body, we are not destroyed or paralyzed. This is the power of simultaneous vision. We are allowed to see and understand both parts of the paradox without being subsumed by the sentimentalism of romanticism or the horror of gratuitous violence. We can see multiple truths at one time in the recuperated body.</w:t>
      </w:r>
      <w:r w:rsidRPr="00087A72">
        <w:rPr>
          <w:rFonts w:ascii="Times New Roman" w:hAnsi="Times New Roman" w:cs="Times New Roman"/>
          <w:sz w:val="16"/>
        </w:rPr>
        <w:t xml:space="preserve"> The recuperated bodies of the ex-slave women in Dash’s montage enable simultaneous vision for the viewer allowing one to see, perceive and intuit on multiple levels. Dash’s choice to stain her actors’ hands blue was made in order to reference a variety of seen and unseen realms and meanings. Indigo has other meanings, but these other meanings must be accessed through other cosmologies and their respective epistemologies. In Dash’s book, Daughters of the Dust: The Making of An African American Woman’s Film, which chronicles the making of the film, Dash tells of multiple moments in the film when Yoruba cosmology was being evoked. Dash worked with composer John Barnes to score the film. Barnes evoked the sounds of West Africa at times and specifically wrote a closing theme for the movie entitled “Elegba Theme”. The lyrics to the closing theme were “Ago Elegba, show the way Elegba.”73 Dash was explicitly referencing the cosmology through the actors she casts and the roles they served in the narrative. The pages of the original screenplay are made available in Dash’s “The Making of an African American Woman’s Film.” Dash’s margin notes are found throughout the pages of the script. In several places in block capital letters, Dash scribbled the coded meanings of her characters. The key characters of the movie represented Yoruba orishas. Each character, like the orishas who ruled over certain natural elements, are signified by certain colors and had specific roles in the community. On page one of the screenplay, Dash wrote NANA PEAZANT=OBATALA. In these same handwritten notes on pages 2, 12, 25, 33 and 42 we find out that Yellow Mary is Yemaya, Trula is Oshun, Eli is Ogun, the Unborn Child is Elegba, and Eula is Oya Yansa.74 As these references are only explicitly revealed in the screenplay’s margin notes, the references remain implicit in the film. The film is coded. As a densely layered experience, people need to read and decipher the film on multiple levels. Not all have access to the film’s various meanings and frames of reference. I learned at a symposium celebrating the 20 year anniversary of the film from Julie Dash and indigo artist Arianne King Comer that indigo had a range of meanings within Yoruba culture.75 My facile reading of indigo as simply referencing forms of settler colonial and slave making violence was a part of the story but far from the true essence. Indigo within Yoruba communities references gendered work, status, spiritual competencies and capacities. On McKinley’s trip to the Yoruba art village, Osun-Oshogbo Sacred Grove, the writer explains how indigo work and the gender system are related in Yoruba culture. McKinley writes, </w:t>
      </w:r>
      <w:r w:rsidRPr="00087A72">
        <w:rPr>
          <w:rStyle w:val="StyleUnderline"/>
          <w:rFonts w:ascii="Times New Roman" w:hAnsi="Times New Roman" w:cs="Times New Roman"/>
        </w:rPr>
        <w:t>In Yoruba, everything has a spiritual significance. Even the most rudimentary work is guided by the realm of the spirits, and so as one works, one pays tribute. The goddess of Iya Mapo is the patroness of all exclusive women’s work, trades like dyeing, pottery and soap making. She is the deity of sex. She guides all things erotic. She guides conception and birth. She guides the tricky realm of the indigo dye pot, and the hands of women and girls who design cloths, perform the intense preparation for dyeing, and undertake the many steps to finish a cloth</w:t>
      </w:r>
      <w:r w:rsidRPr="00087A72">
        <w:rPr>
          <w:rFonts w:ascii="Times New Roman" w:hAnsi="Times New Roman" w:cs="Times New Roman"/>
          <w:sz w:val="16"/>
        </w:rPr>
        <w:t xml:space="preserve">.76 </w:t>
      </w:r>
    </w:p>
    <w:p w:rsidR="00A074E1" w:rsidRPr="00087A72" w:rsidRDefault="00A074E1" w:rsidP="00A074E1">
      <w:pPr>
        <w:rPr>
          <w:rFonts w:ascii="Times New Roman" w:hAnsi="Times New Roman" w:cs="Times New Roman"/>
        </w:rPr>
      </w:pPr>
    </w:p>
    <w:p w:rsidR="00A074E1" w:rsidRPr="00087A72" w:rsidRDefault="00A074E1" w:rsidP="00A074E1">
      <w:pPr>
        <w:pStyle w:val="Heading4"/>
        <w:rPr>
          <w:rFonts w:ascii="Times New Roman" w:hAnsi="Times New Roman" w:cs="Times New Roman"/>
        </w:rPr>
      </w:pPr>
      <w:r w:rsidRPr="00087A72">
        <w:rPr>
          <w:rFonts w:ascii="Times New Roman" w:hAnsi="Times New Roman" w:cs="Times New Roman"/>
        </w:rPr>
        <w:t xml:space="preserve">We advocate a pattern of decolonizing our interpretations and analytics of the world that are visually determined- the aff renders black female body as a site of spatial possibilities and foreclosures </w:t>
      </w:r>
    </w:p>
    <w:p w:rsidR="00A074E1" w:rsidRPr="00087A72" w:rsidRDefault="00A074E1" w:rsidP="00A074E1">
      <w:pPr>
        <w:rPr>
          <w:rFonts w:ascii="Times New Roman" w:hAnsi="Times New Roman" w:cs="Times New Roman"/>
        </w:rPr>
      </w:pPr>
      <w:r w:rsidRPr="00087A72">
        <w:rPr>
          <w:rStyle w:val="Style13ptBold"/>
          <w:rFonts w:ascii="Times New Roman" w:hAnsi="Times New Roman" w:cs="Times New Roman"/>
        </w:rPr>
        <w:t>King 2013</w:t>
      </w:r>
      <w:r w:rsidRPr="00087A72">
        <w:rPr>
          <w:rFonts w:ascii="Times New Roman" w:hAnsi="Times New Roman" w:cs="Times New Roman"/>
        </w:rPr>
        <w:t xml:space="preserve"> (Tiffany, "In the Clearing: Black Female Bodies, Space and Settler Colonial Landscapes," pg. 31- 34, Sen). </w:t>
      </w:r>
    </w:p>
    <w:p w:rsidR="00A074E1" w:rsidRPr="00087A72" w:rsidRDefault="00A074E1" w:rsidP="00A074E1">
      <w:pPr>
        <w:rPr>
          <w:rStyle w:val="Emphasis"/>
          <w:rFonts w:ascii="Times New Roman" w:hAnsi="Times New Roman" w:cs="Times New Roman"/>
        </w:rPr>
      </w:pPr>
      <w:r w:rsidRPr="00087A72">
        <w:rPr>
          <w:rStyle w:val="StyleUnderline"/>
          <w:rFonts w:ascii="Times New Roman" w:hAnsi="Times New Roman" w:cs="Times New Roman"/>
        </w:rPr>
        <w:t>Additionally, seeing is not privileged as the sense that instantiates knowing or cognitive activity. Sight is only possible after one has felt. The body’s feeling of the rhythm tells the mind what the eyes are able to see. In this chapter, I explore the possibility of decolonizing sight</w:t>
      </w:r>
      <w:r w:rsidRPr="00087A72">
        <w:rPr>
          <w:rStyle w:val="Emphasis"/>
          <w:rFonts w:ascii="Times New Roman" w:hAnsi="Times New Roman" w:cs="Times New Roman"/>
        </w:rPr>
        <w:t>. Decolonizing sight requires that we understand what directs our sight. It also means that we interrogate a social world ordered by conquest. What kinds of inner eyes direct the way that we view bodies and space in settler societies?</w:t>
      </w:r>
      <w:r w:rsidRPr="00087A72">
        <w:rPr>
          <w:rFonts w:ascii="Times New Roman" w:hAnsi="Times New Roman" w:cs="Times New Roman"/>
          <w:sz w:val="16"/>
        </w:rPr>
        <w:t>6 How have the ways that we have been taught to survive, self actualize and know ourselves in settler societies shaped the ways that we look, see and know? In this chapter, I focus on the visual orders and optic regimes of settler colonialism as sites of knowledge creation and power that skew our vision. In this chapter, we will be developing new ways of looking at old landscapes. I draw upon the creative work of Julie Dash and Catherine McKinley, and the scholarly writing of Sylvia Wynter, Jennifer Morgan, Saidiya Hartman, Hortense Spillers, Frank Wilderson and Oyeronke Oyewumi in order to challenge the visual and cognitive regimes of the settler colonial order. These cultural producers and theorists help us apprehend, conceptualize, and develop inner eyes that help us visualize the ways that Blackness and slavery shape the settler colonial landscape. They help us bring the plantation and the body of the slave back into settler colonialism’s analytic frames</w:t>
      </w:r>
      <w:r w:rsidRPr="00087A72">
        <w:rPr>
          <w:rStyle w:val="Emphasis"/>
          <w:rFonts w:ascii="Times New Roman" w:hAnsi="Times New Roman" w:cs="Times New Roman"/>
        </w:rPr>
        <w:t>. These new units of analysis and conceptual tools can help change our inner eyes so that we can see how settler colonialism and slavery structure one another. They make simultaneous vision possible. Simultaneous vision is difficult to obtain. It requires that we retrain our thought, inner eyes and eyes to adjust their focus in order to attend to the ephemeral and moving traces of power that at times recede or disappear into the background or a realm of the seemingly invisible depending on the landscape.</w:t>
      </w:r>
      <w:r w:rsidRPr="00087A72">
        <w:rPr>
          <w:rStyle w:val="StyleUnderline"/>
          <w:rFonts w:ascii="Times New Roman" w:hAnsi="Times New Roman" w:cs="Times New Roman"/>
        </w:rPr>
        <w:t xml:space="preserve"> The power of settler colonialism’s and slavery’s spatial and ontological formations does not appear on the landscape with equal intensity, in the same hue, or equally positioned on the landscape. </w:t>
      </w:r>
      <w:r w:rsidRPr="00087A72">
        <w:rPr>
          <w:rFonts w:ascii="Times New Roman" w:hAnsi="Times New Roman" w:cs="Times New Roman"/>
          <w:sz w:val="16"/>
        </w:rPr>
        <w:t xml:space="preserve">At times the productive and repressive power that makes the slave will be the foreground color and the power of settler colonialism will provide a bit of texture. The texture in the background is just as crucial as the foreground color. My reorganization of these units of analysis is what is new. Scholars of slavery and settler colonialism have inherited analytic units like the plantation, the homestead/settlement, the Master, the Settler, the Slave which often work to sequester Native Studies, Black Studies, settler colonial studies and scholarship on slavery. I want to reframe some of the key analytics from each of these fields of study by looking at them simultaneously. However, what happens when we think about the plantation as a result of settler colonial spatial patterns? What is possible when we ask, how is Native subjectivity and space obliterated by the plantation? What is possible when ask, </w:t>
      </w:r>
      <w:r w:rsidRPr="00087A72">
        <w:rPr>
          <w:rStyle w:val="StyleUnderline"/>
          <w:rFonts w:ascii="Times New Roman" w:hAnsi="Times New Roman" w:cs="Times New Roman"/>
        </w:rPr>
        <w:t>how is the slave master also a settler? Reframing allows us to view key units of analysis in new ways and think about them as co-constituting one another. The amalgamations and hybrids that I introduce include: the conceptualization of conquest-slavery as an assemblage of productive and repressive power, the settlement/plantation as a hybrid spatial unit, and the settled-slave as a bodily formation at the intersections of conquest-slavery.</w:t>
      </w:r>
      <w:r w:rsidRPr="00087A72">
        <w:rPr>
          <w:rFonts w:ascii="Times New Roman" w:hAnsi="Times New Roman" w:cs="Times New Roman"/>
          <w:sz w:val="16"/>
        </w:rPr>
        <w:t xml:space="preserve"> I also borrow the ontological category of the Settler-Master from scholar Frank Wilderson in order argue that the master and the settler were not only intimate friends but in fact are the same person.8 These hybrids and amalgamations are all mediated by space and the where of racial-sexual difference.9 Each of the four amalgams is formed due to contestations over and the need for expansion, specifically the expansion and accumulation of property. As modern conflicts over the control of land and bodies, these new analytics are best understood if analyzed through the production of settler and master spaces and spatial practices. These spaces and spatial practices happen at various scales. Functioning at the scale of the hemisphere, the settlement/plantation-plot, the slave body, the Native body and the Settler-Master (or human subject) position; all of these locations reference a spatial struggle. Additionally, as contested sites they also index sites of contradiction, instability and agentive possibility. Paying attention to the ways that turning Black female bodies into slaves functions as a mode of space-making in the Western hemisphere, specifically in settler colonial states, is important for African Diaspora Studies.10 According to McKittrick, due specifically to transatlantic slavery Black female bodies are already a part of the geography of the New World.11 It has been well established that transatlantic slavery embedded Black female bodies into its geographic processes as it crossed oceans, planted settlements and plantations and built prisons and other spaces of Black internment in the afterlife of slavery. Slavery’s geographies are easily mapped onto Black bodies. However, settler colonialism’s geographies are often theorized as if they never meet up with the Black figure, specifically its embodiment as Black and female.12 In the way that McKittrick argues that the geographic processes of slavery were interconnected with the category “black woman,” I argue that </w:t>
      </w:r>
      <w:r w:rsidRPr="00087A72">
        <w:rPr>
          <w:rStyle w:val="StyleUnderline"/>
          <w:rFonts w:ascii="Times New Roman" w:hAnsi="Times New Roman" w:cs="Times New Roman"/>
        </w:rPr>
        <w:t>settler colonialism’s space making and geographic processes are also intertwined with the formation of the Black female body in the Western hemisphere. The Black woman is a construction—or effect-- of the power of the settler and the geography of the homestead as much as she is a discursive and material necessity for the slave master and the space of the plantation plot. We need more analytic frames to conceptualize the multiple ways Black women spatialize various forms of power in the Western hemisphere.</w:t>
      </w:r>
      <w:r w:rsidRPr="00087A72">
        <w:rPr>
          <w:rFonts w:ascii="Times New Roman" w:hAnsi="Times New Roman" w:cs="Times New Roman"/>
          <w:sz w:val="16"/>
        </w:rPr>
        <w:t xml:space="preserve"> The category “Black woman” is not only of analytic import to slavery, but is also an analytical necessity for the settler colonial order as well. Multiple units and scales of space index the simultaneity of settler colonial power and slave making power in this chapter. </w:t>
      </w:r>
      <w:r w:rsidRPr="00087A72">
        <w:rPr>
          <w:rStyle w:val="StyleUnderline"/>
          <w:rFonts w:ascii="Times New Roman" w:hAnsi="Times New Roman" w:cs="Times New Roman"/>
        </w:rPr>
        <w:t>The scalar moves that I make throughout this chapter travel from the spaces of the hemisphere to the nation to the settler’s and slave master’s spatial, economic and ontological formation the settlement/plantation, to the space of the body of the Black female slave.</w:t>
      </w:r>
      <w:r w:rsidRPr="00087A72">
        <w:rPr>
          <w:rFonts w:ascii="Times New Roman" w:hAnsi="Times New Roman" w:cs="Times New Roman"/>
          <w:sz w:val="16"/>
        </w:rPr>
        <w:t xml:space="preserve"> Throughout this chapter, I give sustained attention to the processes of producing space, humans and non-humans at two scales: the settlement/plantation and Black female slave body. The settlement/plantation is the staging ground or location where the Black female slave body is produced and it is simultaneously a product of the Black female slave body. </w:t>
      </w:r>
      <w:r w:rsidRPr="00087A72">
        <w:rPr>
          <w:rStyle w:val="Emphasis"/>
          <w:rFonts w:ascii="Times New Roman" w:hAnsi="Times New Roman" w:cs="Times New Roman"/>
        </w:rPr>
        <w:t>My simultaneous vision will rest on the Black female slave body as a site of spatial possibilities and foreclosures. Both the violence of modernity as well as its undoing will be explored through the Black female slave body as a site of spatial possibility and impossibility on the settlement/plantation. The Black female body functions as a site where the spatial order of the master and settler is realized as well as where it unravels.</w:t>
      </w:r>
      <w:r w:rsidRPr="00087A72">
        <w:rPr>
          <w:rFonts w:ascii="Times New Roman" w:hAnsi="Times New Roman" w:cs="Times New Roman"/>
          <w:sz w:val="16"/>
        </w:rPr>
        <w:t xml:space="preserve"> The best representation of the Black female body functioning in this way is Julie Dash’s character Nana Peazant. The Black female body, stained indigo, in Julie Dash’s movie is also the site where body-centric notions Western notions of gender are also deconstructed and undone. </w:t>
      </w:r>
      <w:r w:rsidRPr="00087A72">
        <w:rPr>
          <w:rStyle w:val="Emphasis"/>
          <w:rFonts w:ascii="Times New Roman" w:hAnsi="Times New Roman" w:cs="Times New Roman"/>
        </w:rPr>
        <w:t>The Black female slave body can be an ambiguous and opaque space that requires the decolonized vantage of simultaneous sight to begin to apprehend its analytic and spatial power.</w:t>
      </w:r>
    </w:p>
    <w:p w:rsidR="00A074E1" w:rsidRPr="00087A72" w:rsidRDefault="00A074E1" w:rsidP="00A074E1">
      <w:pPr>
        <w:pStyle w:val="Heading4"/>
        <w:rPr>
          <w:rFonts w:ascii="Times New Roman" w:hAnsi="Times New Roman" w:cs="Times New Roman"/>
        </w:rPr>
      </w:pPr>
      <w:r w:rsidRPr="00087A72">
        <w:rPr>
          <w:rFonts w:ascii="Times New Roman" w:hAnsi="Times New Roman" w:cs="Times New Roman"/>
        </w:rPr>
        <w:t xml:space="preserve">Decolonial sight exceeds the field of vision- transports the subject to understandings of simultaneity that exceed spatial and temporal boundaries. </w:t>
      </w:r>
    </w:p>
    <w:p w:rsidR="00A074E1" w:rsidRPr="00087A72" w:rsidRDefault="00A074E1" w:rsidP="00A074E1">
      <w:pPr>
        <w:rPr>
          <w:rFonts w:ascii="Times New Roman" w:hAnsi="Times New Roman" w:cs="Times New Roman"/>
        </w:rPr>
      </w:pPr>
      <w:r w:rsidRPr="00087A72">
        <w:rPr>
          <w:rStyle w:val="Style13ptBold"/>
          <w:rFonts w:ascii="Times New Roman" w:hAnsi="Times New Roman" w:cs="Times New Roman"/>
        </w:rPr>
        <w:t>King 2013</w:t>
      </w:r>
      <w:r w:rsidRPr="00087A72">
        <w:rPr>
          <w:rFonts w:ascii="Times New Roman" w:hAnsi="Times New Roman" w:cs="Times New Roman"/>
        </w:rPr>
        <w:t xml:space="preserve"> (Tiffany, "In the Clearing: Black Female Bodies, Space and Settler Colonial Landscapes," pg. 240, Sen). </w:t>
      </w:r>
    </w:p>
    <w:p w:rsidR="00A074E1" w:rsidRPr="00087A72" w:rsidRDefault="00A074E1" w:rsidP="00A074E1">
      <w:pPr>
        <w:rPr>
          <w:rFonts w:ascii="Times New Roman" w:hAnsi="Times New Roman" w:cs="Times New Roman"/>
          <w:b/>
          <w:iCs/>
          <w:u w:val="single"/>
        </w:rPr>
      </w:pPr>
      <w:r w:rsidRPr="00087A72">
        <w:rPr>
          <w:rFonts w:ascii="Times New Roman" w:hAnsi="Times New Roman" w:cs="Times New Roman"/>
          <w:sz w:val="16"/>
        </w:rPr>
        <w:t xml:space="preserve">Dash’s </w:t>
      </w:r>
      <w:r w:rsidRPr="00087A72">
        <w:rPr>
          <w:rStyle w:val="Emphasis"/>
          <w:rFonts w:ascii="Times New Roman" w:hAnsi="Times New Roman" w:cs="Times New Roman"/>
        </w:rPr>
        <w:t>decolonized cinematic vision enables the viewer to apprehend and understand the complex relationships that often occur beyond the field of vision. Momentarily removing us from the crudely ordered Cartesian field, we are transported to a place where spaces, times and multiple forms of power are permitted to collide. Slavery and settler colonialism touch, merge, shape and structure the kinds of repressive and productive power that create ontological and spatial difference.</w:t>
      </w:r>
      <w:r w:rsidRPr="00087A72">
        <w:rPr>
          <w:rFonts w:ascii="Times New Roman" w:hAnsi="Times New Roman" w:cs="Times New Roman"/>
          <w:sz w:val="16"/>
        </w:rPr>
        <w:t xml:space="preserve"> Toni Cade Bambara credits Dash with attempting to “heal our imperialized eyes.”97 </w:t>
      </w:r>
      <w:r w:rsidRPr="00087A72">
        <w:rPr>
          <w:rStyle w:val="Emphasis"/>
          <w:rFonts w:ascii="Times New Roman" w:hAnsi="Times New Roman" w:cs="Times New Roman"/>
        </w:rPr>
        <w:t xml:space="preserve">Using decolonized vision and looking with a fuller range of sensorial apprehension allows us to see that the Black slave is as much a product of settler colonial power as it is a product of slavery. The settled-slave that is a product of settler colonialism is only perceptible within conceptions of space that emerge from other epistemological frameworks. </w:t>
      </w:r>
      <w:r w:rsidRPr="00087A72">
        <w:rPr>
          <w:rFonts w:ascii="Times New Roman" w:hAnsi="Times New Roman" w:cs="Times New Roman"/>
          <w:sz w:val="16"/>
        </w:rPr>
        <w:t xml:space="preserve">In analyzing the oppositional and decolonial cinematic work of Dash, Cade Bambara draws our attention to the way that Dash explodes the Western “Hollywood protocol.”98 Dash uses “dual narration and multiple point-of-view camerawork, rather than a hero-dominated perspective.”99 Additionally, Dash’s eschewing of a master narrative in favor of a non-linear, multilayered unfolding—one more in keeping with the storytelling traditions that inform African cinema—also allows for an oppositional notion of space to emerge.100 Bambara notes the following about the way that Dash’s spatial sensibilities counter hegemonic notions of space and geography, Dash’s demystified and democratic treatment of space positions Daughters in progressive world film culture movements that bolster socially responsible cinema—Cuban, Caribbean, African, Philipino/Philopina, Cine Nuova, USA multicultural Independent. In Daughters, the emphasis is on shared space (wide- angled and deep focus shots in which no one becomes backdrop to anyone else’s drama) rather than dominated space (foregrounded hero in sharp focus, other Othered in background blur); on social space rather than idealized space (as in Westerns); on delineated space that encourages a contiguous-reality reading rather than on masked space in which, through close-ups and framing, the spectator is encouraged to believe that conflicts are solely psychological not, say systemic, hence can be resolved by a shrink, a lawyer, or a gun, but not to say, through societal transformation.101 </w:t>
      </w:r>
      <w:r w:rsidRPr="00087A72">
        <w:rPr>
          <w:rStyle w:val="StyleUnderline"/>
          <w:rFonts w:ascii="Times New Roman" w:hAnsi="Times New Roman" w:cs="Times New Roman"/>
        </w:rPr>
        <w:t>A new vision, with new eyes, has to be attained before we can imagine societal transformation. New eyes see new connections. New eyes can perceive the ways that the structure of genocide constitutes and is constituted by slavery and its afterlife.</w:t>
      </w:r>
      <w:r w:rsidRPr="00087A72">
        <w:rPr>
          <w:rFonts w:ascii="Times New Roman" w:hAnsi="Times New Roman" w:cs="Times New Roman"/>
          <w:sz w:val="16"/>
        </w:rPr>
        <w:t xml:space="preserve"> Dash helps us acquire this sight by creating and privileging “shared space.” </w:t>
      </w:r>
      <w:r w:rsidRPr="00087A72">
        <w:rPr>
          <w:rStyle w:val="Emphasis"/>
          <w:rFonts w:ascii="Times New Roman" w:hAnsi="Times New Roman" w:cs="Times New Roman"/>
        </w:rPr>
        <w:t xml:space="preserve">The bodies and landscapes that slavery and settler colonialism produce are initially hard to perceive and virtually invisible within traditional analytical, theoretical and methodological frames. </w:t>
      </w:r>
      <w:r w:rsidRPr="00087A72">
        <w:rPr>
          <w:rFonts w:ascii="Times New Roman" w:hAnsi="Times New Roman" w:cs="Times New Roman"/>
          <w:sz w:val="16"/>
        </w:rPr>
        <w:t xml:space="preserve">Dash’s shared space creates a spatial analytic frame and landscape that changes our inner eyes. In this chapter, I have introduced the hybrid body of the settled-slave and the hybrid space of settlement/plantation as new units of analysis. I have also proposed the decolonization of sight through the use of alternative epistemologies that emerge from a Black woman’s decolonial cinematic vision. I intend for these units of analysis and new ways of apprehending to guide us as we re-imagine ourselves and the landscapes that we exist within. In the next chapter, we travel to the home of Settler-Master Eliza Lucas Pinckney in order take a closer look at the hybrid spatial formation of the settlement/plantation. On this landscape we examine the ways the built environment, and the embodied and material practices of producing indigo create the structural position of the Settler-Master. </w:t>
      </w:r>
      <w:r w:rsidRPr="00087A72">
        <w:rPr>
          <w:rStyle w:val="Emphasis"/>
          <w:rFonts w:ascii="Times New Roman" w:hAnsi="Times New Roman" w:cs="Times New Roman"/>
        </w:rPr>
        <w:t>The settler and master are intimate friends and often the same person. We also closely scrutinize settlement as a spatial and subject producing process. We ask how the control and settlement of space enables the emergence of a perpetually self-actualizing subject. This transcendent Settler-Master subject is only possible through the actual death of the Native, the social death of the Black and the use of land and bodies as a launching pad into a state of transcendence.</w:t>
      </w:r>
    </w:p>
    <w:p w:rsidR="00450204" w:rsidRPr="00087A72" w:rsidRDefault="00450204" w:rsidP="00D005A2">
      <w:pPr>
        <w:pStyle w:val="Heading3"/>
      </w:pPr>
      <w:r w:rsidRPr="00087A72">
        <w:t>Alt – Disrupt Settler Myths</w:t>
      </w:r>
    </w:p>
    <w:p w:rsidR="00450204" w:rsidRPr="00087A72" w:rsidRDefault="00450204" w:rsidP="00450204">
      <w:pPr>
        <w:pStyle w:val="Heading4"/>
        <w:rPr>
          <w:rStyle w:val="Style13ptBold"/>
          <w:b/>
        </w:rPr>
      </w:pPr>
      <w:r w:rsidRPr="00087A72">
        <w:rPr>
          <w:rStyle w:val="Style13ptBold"/>
          <w:b/>
        </w:rPr>
        <w:t>Interrogating the construction of settler myths has the potential to destabilitze the ideological reiteration of settler colonialism</w:t>
      </w:r>
    </w:p>
    <w:p w:rsidR="00450204" w:rsidRPr="00087A72" w:rsidRDefault="00450204" w:rsidP="00450204">
      <w:r w:rsidRPr="00087A72">
        <w:rPr>
          <w:rStyle w:val="Style13ptBold"/>
        </w:rPr>
        <w:t>Bruyneel 15</w:t>
      </w:r>
      <w:r w:rsidRPr="00087A72">
        <w:t xml:space="preserve"> (Kevin, Professor of Politics at Babson College. He wrote The Third Space of Sovereignty: The Postcolonial Politics of U.S.-Indigenous Relations, “Codename Geronimo: settler memory and the production of American statism,” </w:t>
      </w:r>
      <w:r w:rsidRPr="00087A72">
        <w:rPr>
          <w:i/>
        </w:rPr>
        <w:t>Settler Colonial Studies</w:t>
      </w:r>
      <w:r w:rsidRPr="00087A72">
        <w:t>, Issue Number, No.4, pp. 4-6)//vikas</w:t>
      </w:r>
    </w:p>
    <w:p w:rsidR="00450204" w:rsidRPr="00087A72" w:rsidRDefault="00450204" w:rsidP="00450204">
      <w:pPr>
        <w:rPr>
          <w:sz w:val="16"/>
        </w:rPr>
      </w:pPr>
      <w:r w:rsidRPr="00087A72">
        <w:rPr>
          <w:sz w:val="16"/>
        </w:rPr>
        <w:t xml:space="preserve">Why turn to memory at all? </w:t>
      </w:r>
      <w:r w:rsidRPr="00087A72">
        <w:rPr>
          <w:b/>
          <w:u w:val="single"/>
        </w:rPr>
        <w:t>I focus on memory</w:t>
      </w:r>
      <w:r w:rsidRPr="00087A72">
        <w:rPr>
          <w:sz w:val="16"/>
        </w:rPr>
        <w:t xml:space="preserve">, specifically collective memory, </w:t>
      </w:r>
      <w:r w:rsidRPr="00087A72">
        <w:rPr>
          <w:b/>
          <w:u w:val="single"/>
        </w:rPr>
        <w:t>to unearth the political commitments and implications of a people’s relationship to the past</w:t>
      </w:r>
      <w:r w:rsidRPr="00087A72">
        <w:rPr>
          <w:sz w:val="16"/>
        </w:rPr>
        <w:t xml:space="preserve">: for as David Thelan nicely states: ‘In a study of </w:t>
      </w:r>
      <w:r w:rsidRPr="00087A72">
        <w:rPr>
          <w:b/>
          <w:u w:val="single"/>
        </w:rPr>
        <w:t xml:space="preserve">memory the important question is not how accurately a recollection fitted some piece of a past reality, but </w:t>
      </w:r>
      <w:r w:rsidRPr="00087A72">
        <w:rPr>
          <w:rStyle w:val="Emphasis"/>
        </w:rPr>
        <w:t>why historical actors constructed</w:t>
      </w:r>
      <w:r w:rsidRPr="00087A72">
        <w:rPr>
          <w:sz w:val="16"/>
        </w:rPr>
        <w:t xml:space="preserve"> their </w:t>
      </w:r>
      <w:r w:rsidRPr="00087A72">
        <w:rPr>
          <w:rStyle w:val="Emphasis"/>
        </w:rPr>
        <w:t>memories in a particular way</w:t>
      </w:r>
      <w:r w:rsidRPr="00087A72">
        <w:t xml:space="preserve"> </w:t>
      </w:r>
      <w:r w:rsidRPr="00087A72">
        <w:rPr>
          <w:sz w:val="16"/>
        </w:rPr>
        <w:t>at a particular time’. And as such ‘</w:t>
      </w:r>
      <w:r w:rsidRPr="00087A72">
        <w:rPr>
          <w:b/>
          <w:u w:val="single"/>
        </w:rPr>
        <w:t>a focus on memory would lead us to treat myths</w:t>
      </w:r>
      <w:r w:rsidRPr="00087A72">
        <w:rPr>
          <w:sz w:val="16"/>
        </w:rPr>
        <w:t xml:space="preserve">, not as disembodied values, but </w:t>
      </w:r>
      <w:r w:rsidRPr="00087A72">
        <w:rPr>
          <w:b/>
          <w:u w:val="single"/>
        </w:rPr>
        <w:t xml:space="preserve">as creations of people with needs </w:t>
      </w:r>
      <w:r w:rsidRPr="00087A72">
        <w:rPr>
          <w:sz w:val="16"/>
        </w:rPr>
        <w:t xml:space="preserve">… the myth of </w:t>
      </w:r>
      <w:r w:rsidRPr="00087A72">
        <w:rPr>
          <w:b/>
          <w:u w:val="single"/>
        </w:rPr>
        <w:t>the virgin land, the agrarian past</w:t>
      </w:r>
      <w:r w:rsidRPr="00087A72">
        <w:rPr>
          <w:sz w:val="16"/>
        </w:rPr>
        <w:t xml:space="preserve"> … </w:t>
      </w:r>
      <w:r w:rsidRPr="00087A72">
        <w:rPr>
          <w:b/>
          <w:u w:val="single"/>
        </w:rPr>
        <w:t>the self-made man</w:t>
      </w:r>
      <w:r w:rsidRPr="00087A72">
        <w:rPr>
          <w:sz w:val="16"/>
        </w:rPr>
        <w:t xml:space="preserve"> … </w:t>
      </w:r>
      <w:r w:rsidRPr="00087A72">
        <w:rPr>
          <w:b/>
          <w:u w:val="single"/>
        </w:rPr>
        <w:t>the myth of progress’</w:t>
      </w:r>
      <w:r w:rsidRPr="00087A72">
        <w:rPr>
          <w:sz w:val="16"/>
        </w:rPr>
        <w:t xml:space="preserve">. 8 Just as memories make a house a home, memory makes a space into a place, and in the settler colonial context placeness means belonging, appropriation, and authority for some people and displacement, dispossession, and alienation for other people. As W. James Booth notes, collective memory is ‘more than a catalogue of dates and conscious recollection’. 9 In particular, I draw upon Henri Bergson’s notion that: ‘the past survives under two distinct forms: first, in motor mechanisms; secondly, in independent recollections’. 10 The notion of the past surviving as a ‘motor mechanism’ refers to the idea of collective memory as a habitual reinvocation of the past rather than strictly a self-conscious one. In the US case, I argue that </w:t>
      </w:r>
      <w:r w:rsidRPr="00087A72">
        <w:rPr>
          <w:b/>
          <w:u w:val="single"/>
        </w:rPr>
        <w:t xml:space="preserve">habitual settler memory is </w:t>
      </w:r>
      <w:r w:rsidRPr="00087A72">
        <w:rPr>
          <w:rStyle w:val="Emphasis"/>
        </w:rPr>
        <w:t>a key ‘motor mechanism’ legitimating the</w:t>
      </w:r>
      <w:r w:rsidRPr="00087A72">
        <w:rPr>
          <w:sz w:val="16"/>
        </w:rPr>
        <w:t xml:space="preserve"> status and </w:t>
      </w:r>
      <w:r w:rsidRPr="00087A72">
        <w:rPr>
          <w:rStyle w:val="Emphasis"/>
        </w:rPr>
        <w:t>persistence of American liberal colonialism</w:t>
      </w:r>
      <w:r w:rsidRPr="00087A72">
        <w:rPr>
          <w:b/>
          <w:u w:val="single"/>
        </w:rPr>
        <w:t xml:space="preserve"> and US state practices. I define settler colonialism as more than a singular</w:t>
      </w:r>
      <w:r w:rsidRPr="00087A72">
        <w:rPr>
          <w:sz w:val="16"/>
        </w:rPr>
        <w:t xml:space="preserve">, simple reified </w:t>
      </w:r>
      <w:r w:rsidRPr="00087A72">
        <w:rPr>
          <w:b/>
          <w:u w:val="single"/>
        </w:rPr>
        <w:t xml:space="preserve">structure. </w:t>
      </w:r>
      <w:r w:rsidRPr="00087A72">
        <w:rPr>
          <w:rStyle w:val="Emphasis"/>
        </w:rPr>
        <w:t>Settler colonialism is an assemblage that is fluid, iterative, and adaptive</w:t>
      </w:r>
      <w:r w:rsidRPr="00087A72">
        <w:rPr>
          <w:sz w:val="16"/>
        </w:rPr>
        <w:t xml:space="preserve">, and more lethal for this reason. It is produced and </w:t>
      </w:r>
      <w:r w:rsidRPr="00087A72">
        <w:rPr>
          <w:b/>
          <w:u w:val="single"/>
        </w:rPr>
        <w:t>reproduced through macro and micro processes that include ideational logics, institutions, discourses, violences, dispossessions, routines, habits, and subject positions.</w:t>
      </w:r>
      <w:r w:rsidRPr="00087A72">
        <w:rPr>
          <w:sz w:val="16"/>
        </w:rPr>
        <w:t xml:space="preserve"> In order to account for a manageable portion of this unwieldy assemblage, I focus on settlement, memory and their fusion in the concept of settler memory because they are central practices of settler colonialism. As a colonialist practice, settlement is about the movement, displacement, replacement, and production of belonging and authority of people in space over time. Settlement does not have an end point in a settler colonial assemblage. </w:t>
      </w:r>
      <w:r w:rsidRPr="00087A72">
        <w:rPr>
          <w:rStyle w:val="Emphasis"/>
        </w:rPr>
        <w:t>Settlement is on-going</w:t>
      </w:r>
      <w:r w:rsidRPr="00087A72">
        <w:rPr>
          <w:b/>
          <w:u w:val="single"/>
        </w:rPr>
        <w:t>,</w:t>
      </w:r>
      <w:r w:rsidRPr="00087A72">
        <w:rPr>
          <w:sz w:val="16"/>
        </w:rPr>
        <w:t xml:space="preserve"> because politically </w:t>
      </w:r>
      <w:r w:rsidRPr="00087A72">
        <w:rPr>
          <w:b/>
          <w:u w:val="single"/>
        </w:rPr>
        <w:t>the matter of claims to space are not settled. They are contested. Settlement is thus a practice</w:t>
      </w:r>
      <w:r w:rsidRPr="00087A72">
        <w:rPr>
          <w:sz w:val="16"/>
        </w:rPr>
        <w:t xml:space="preserve">, a status, </w:t>
      </w:r>
      <w:r w:rsidRPr="00087A72">
        <w:rPr>
          <w:b/>
          <w:u w:val="single"/>
        </w:rPr>
        <w:t>and a site of conflict.</w:t>
      </w:r>
      <w:r w:rsidRPr="00087A72">
        <w:rPr>
          <w:sz w:val="16"/>
        </w:rPr>
        <w:t xml:space="preserve"> Relatedly, memory situates a people in and through time, and often in relationship to space, in very material forms. As memory theorist Pierre Nora put it, one can discern memories ‘in the concrete, in spaces, gestures, images, and objects’. 11 Everywhere we look, hear, smell, and touch, we can discover memory at work. This is of particular pertinence to collective memory that shapes and re-articulates a people’s relationship to a sense of identity and belonging in and of the land, in culture, language, and in relationships over many generations. </w:t>
      </w:r>
      <w:r w:rsidRPr="00087A72">
        <w:rPr>
          <w:b/>
          <w:u w:val="single"/>
        </w:rPr>
        <w:t>Collective memory is central to settler colonialism because among other things the production of the memory</w:t>
      </w:r>
      <w:r w:rsidRPr="00087A72">
        <w:rPr>
          <w:sz w:val="16"/>
        </w:rPr>
        <w:t xml:space="preserve"> of a people in place </w:t>
      </w:r>
      <w:r w:rsidRPr="00087A72">
        <w:rPr>
          <w:b/>
          <w:u w:val="single"/>
        </w:rPr>
        <w:t>and time habituates</w:t>
      </w:r>
      <w:r w:rsidRPr="00087A72">
        <w:rPr>
          <w:sz w:val="16"/>
        </w:rPr>
        <w:t xml:space="preserve"> settlement, and like </w:t>
      </w:r>
      <w:r w:rsidRPr="00087A72">
        <w:rPr>
          <w:b/>
          <w:u w:val="single"/>
        </w:rPr>
        <w:t>settlement</w:t>
      </w:r>
      <w:r w:rsidRPr="00087A72">
        <w:rPr>
          <w:sz w:val="16"/>
        </w:rPr>
        <w:t xml:space="preserve">, the work of memory in this regard is on-going. As political theorist Joshua Foa Deinstag puts it, in many ways ‘a memory is an interpretation that possesses staying power’. 12 Memory is profoundly important to politics, for authoritative claims to the meaning of the past are a product of and also shape power relations, inequalities, and oppressions in the present, while also serving as sites with the potential for liberation. The politics of memory can thus be a site of resistance and opening up to new possibilities as well as a site of domination and closure. In referring to settlement and memory as on-going I argue that this is most powerful as it concerns their inter-relationship. The </w:t>
      </w:r>
      <w:r w:rsidRPr="00087A72">
        <w:rPr>
          <w:rStyle w:val="Emphasis"/>
        </w:rPr>
        <w:t>politics of settler colonialism and collective memory collide and conspire, but can</w:t>
      </w:r>
      <w:r w:rsidRPr="00087A72">
        <w:rPr>
          <w:sz w:val="16"/>
        </w:rPr>
        <w:t xml:space="preserve"> also </w:t>
      </w:r>
      <w:r w:rsidRPr="00087A72">
        <w:rPr>
          <w:rStyle w:val="Emphasis"/>
        </w:rPr>
        <w:t>serve as</w:t>
      </w:r>
      <w:r w:rsidRPr="00087A72">
        <w:rPr>
          <w:sz w:val="16"/>
        </w:rPr>
        <w:t xml:space="preserve"> potential </w:t>
      </w:r>
      <w:r w:rsidRPr="00087A72">
        <w:rPr>
          <w:rStyle w:val="Emphasis"/>
        </w:rPr>
        <w:t>sites of</w:t>
      </w:r>
      <w:r w:rsidRPr="00087A72">
        <w:rPr>
          <w:b/>
          <w:u w:val="single"/>
        </w:rPr>
        <w:t xml:space="preserve"> </w:t>
      </w:r>
      <w:r w:rsidRPr="00087A72">
        <w:rPr>
          <w:sz w:val="16"/>
        </w:rPr>
        <w:t xml:space="preserve">decolonizing </w:t>
      </w:r>
      <w:r w:rsidRPr="00087A72">
        <w:rPr>
          <w:rStyle w:val="Emphasis"/>
        </w:rPr>
        <w:t>theory and resistance.</w:t>
      </w:r>
      <w:r w:rsidRPr="00087A72">
        <w:rPr>
          <w:sz w:val="16"/>
        </w:rPr>
        <w:t xml:space="preserve"> I argue that </w:t>
      </w:r>
      <w:r w:rsidRPr="00087A72">
        <w:rPr>
          <w:b/>
          <w:u w:val="single"/>
        </w:rPr>
        <w:t>we need to discover and critique the manner in which</w:t>
      </w:r>
      <w:r w:rsidRPr="00087A72">
        <w:rPr>
          <w:sz w:val="16"/>
        </w:rPr>
        <w:t xml:space="preserve"> events of the past, or those constructed as part of the past, including </w:t>
      </w:r>
      <w:r w:rsidRPr="00087A72">
        <w:rPr>
          <w:b/>
          <w:u w:val="single"/>
        </w:rPr>
        <w:t>powerful myths</w:t>
      </w:r>
      <w:r w:rsidRPr="00087A72">
        <w:rPr>
          <w:sz w:val="16"/>
        </w:rPr>
        <w:t xml:space="preserve">, are </w:t>
      </w:r>
      <w:r w:rsidRPr="00087A72">
        <w:rPr>
          <w:b/>
          <w:u w:val="single"/>
        </w:rPr>
        <w:t xml:space="preserve">reproduced in the present through </w:t>
      </w:r>
      <w:r w:rsidRPr="00087A72">
        <w:rPr>
          <w:sz w:val="16"/>
        </w:rPr>
        <w:t xml:space="preserve">the entangled relationship of settlement and </w:t>
      </w:r>
      <w:r w:rsidRPr="00087A72">
        <w:rPr>
          <w:b/>
          <w:u w:val="single"/>
        </w:rPr>
        <w:t>memory in liberal colonial contexts such as the USA.</w:t>
      </w:r>
      <w:r w:rsidRPr="00087A72">
        <w:rPr>
          <w:sz w:val="16"/>
        </w:rPr>
        <w:t xml:space="preserve"> The persistence and reproduction of the events of settler colonial rule are what reconstitute it as an adaptive structure over time.13 </w:t>
      </w:r>
      <w:r w:rsidRPr="00087A72">
        <w:rPr>
          <w:rStyle w:val="Emphasis"/>
        </w:rPr>
        <w:t>A major element of this adaptive ability involves temporal narratives that habitually authorize</w:t>
      </w:r>
      <w:r w:rsidRPr="00087A72">
        <w:rPr>
          <w:b/>
          <w:u w:val="single"/>
        </w:rPr>
        <w:t xml:space="preserve">, to the point of </w:t>
      </w:r>
      <w:r w:rsidRPr="00087A72">
        <w:rPr>
          <w:rStyle w:val="Emphasis"/>
        </w:rPr>
        <w:t>naturalizing, settlement</w:t>
      </w:r>
      <w:r w:rsidRPr="00087A72">
        <w:rPr>
          <w:sz w:val="16"/>
        </w:rPr>
        <w:t xml:space="preserve">; </w:t>
      </w:r>
      <w:r w:rsidRPr="00087A72">
        <w:rPr>
          <w:rStyle w:val="Emphasis"/>
        </w:rPr>
        <w:t>that reify it</w:t>
      </w:r>
      <w:r w:rsidRPr="00087A72">
        <w:rPr>
          <w:sz w:val="16"/>
        </w:rPr>
        <w:t xml:space="preserve"> as a settled matter, rather than an on-going practice. One of the most ubiquitous forms of reification in this regards, and one which needs to be challenged directly in a decolonizing politics, concerns that entity that is referred to as ‘the state’. While many of us often speak or write about an entity called the state, what we are really referring to, </w:t>
      </w:r>
      <w:r w:rsidRPr="00087A72">
        <w:rPr>
          <w:b/>
          <w:u w:val="single"/>
        </w:rPr>
        <w:t>I suggest</w:t>
      </w:r>
      <w:r w:rsidRPr="00087A72">
        <w:rPr>
          <w:sz w:val="16"/>
        </w:rPr>
        <w:t>, is a recombinatory, fluid, and porous palimpsest of practices t</w:t>
      </w:r>
      <w:r w:rsidRPr="00087A72">
        <w:rPr>
          <w:b/>
          <w:u w:val="single"/>
        </w:rPr>
        <w:t>hat iterate a relationship to that which is deemed by most of the population as legitimate, if contestable, governing authority that is more than ad hoc.</w:t>
      </w:r>
      <w:r w:rsidRPr="00087A72">
        <w:rPr>
          <w:sz w:val="16"/>
        </w:rPr>
        <w:t xml:space="preserve"> To generate an anti-statist politics, I suggest that there needs to be an alternative to the reified and ubiquitous notion of a singular, unitary and/or spatially and temporally bounded entity called the state. </w:t>
      </w:r>
      <w:r w:rsidRPr="00087A72">
        <w:rPr>
          <w:b/>
          <w:u w:val="single"/>
        </w:rPr>
        <w:t xml:space="preserve">I offer </w:t>
      </w:r>
      <w:r w:rsidRPr="00087A72">
        <w:rPr>
          <w:rStyle w:val="Emphasis"/>
        </w:rPr>
        <w:t>statism</w:t>
      </w:r>
      <w:r w:rsidRPr="00087A72">
        <w:rPr>
          <w:b/>
          <w:u w:val="single"/>
        </w:rPr>
        <w:t xml:space="preserve"> to </w:t>
      </w:r>
      <w:r w:rsidRPr="00087A72">
        <w:rPr>
          <w:rStyle w:val="Emphasis"/>
        </w:rPr>
        <w:t>refer to</w:t>
      </w:r>
      <w:r w:rsidRPr="00087A72">
        <w:rPr>
          <w:b/>
          <w:u w:val="single"/>
        </w:rPr>
        <w:t xml:space="preserve"> a</w:t>
      </w:r>
      <w:r w:rsidRPr="00087A72">
        <w:rPr>
          <w:sz w:val="16"/>
        </w:rPr>
        <w:t xml:space="preserve"> set of practices and also a </w:t>
      </w:r>
      <w:r w:rsidRPr="00087A72">
        <w:rPr>
          <w:rStyle w:val="Emphasis"/>
        </w:rPr>
        <w:t>belief system that avows ‘the state’ as</w:t>
      </w:r>
      <w:r w:rsidRPr="00087A72">
        <w:rPr>
          <w:sz w:val="16"/>
        </w:rPr>
        <w:t xml:space="preserve"> the </w:t>
      </w:r>
      <w:r w:rsidRPr="00087A72">
        <w:rPr>
          <w:rStyle w:val="Emphasis"/>
        </w:rPr>
        <w:t>supreme</w:t>
      </w:r>
      <w:r w:rsidRPr="00087A72">
        <w:rPr>
          <w:b/>
          <w:u w:val="single"/>
        </w:rPr>
        <w:t>, solely legitimate form</w:t>
      </w:r>
      <w:r w:rsidRPr="00087A72">
        <w:rPr>
          <w:sz w:val="16"/>
        </w:rPr>
        <w:t xml:space="preserve"> of sovereign governance. This distinction between statism and the state matters because references to and deployments of the state as a pertinent variable in political analyses tends to drain complex and fluid governing practices, institutions and discourses of their power as well as their vulnerability. For this reason, </w:t>
      </w:r>
      <w:r w:rsidRPr="00087A72">
        <w:rPr>
          <w:b/>
          <w:u w:val="single"/>
        </w:rPr>
        <w:t>better alternatives to construct and communicate</w:t>
      </w:r>
      <w:r w:rsidRPr="00087A72">
        <w:rPr>
          <w:sz w:val="16"/>
        </w:rPr>
        <w:t xml:space="preserve"> such </w:t>
      </w:r>
      <w:r w:rsidRPr="00087A72">
        <w:rPr>
          <w:b/>
          <w:u w:val="single"/>
        </w:rPr>
        <w:t>analyses are to refer to the state as an adjective</w:t>
      </w:r>
      <w:r w:rsidRPr="00087A72">
        <w:rPr>
          <w:sz w:val="16"/>
        </w:rPr>
        <w:t xml:space="preserve"> (i.e. state practices, state institutions, state discourses) </w:t>
      </w:r>
      <w:r w:rsidRPr="00087A72">
        <w:rPr>
          <w:b/>
          <w:u w:val="single"/>
        </w:rPr>
        <w:t>and/ or to refer to statism</w:t>
      </w:r>
      <w:r w:rsidRPr="00087A72">
        <w:rPr>
          <w:sz w:val="16"/>
        </w:rPr>
        <w:t xml:space="preserve">, so as to signify the iterative practices that perpetuate the hegemonic status of state governance in people’s lives, discourse, and politics. There are two distinct benefits to taking this analytical approach. First, </w:t>
      </w:r>
      <w:r w:rsidRPr="00087A72">
        <w:rPr>
          <w:b/>
          <w:u w:val="single"/>
        </w:rPr>
        <w:t>given that antistatism is a key element of</w:t>
      </w:r>
      <w:r w:rsidRPr="00087A72">
        <w:t xml:space="preserve"> </w:t>
      </w:r>
      <w:r w:rsidRPr="00087A72">
        <w:rPr>
          <w:sz w:val="16"/>
          <w:szCs w:val="16"/>
        </w:rPr>
        <w:t>a decolonizing,</w:t>
      </w:r>
      <w:r w:rsidRPr="00087A72">
        <w:rPr>
          <w:b/>
          <w:u w:val="single"/>
        </w:rPr>
        <w:t xml:space="preserve"> unsettling politics, the task then is to locate sites of intervention for decolonizing practices that refuse</w:t>
      </w:r>
      <w:r w:rsidRPr="00087A72">
        <w:rPr>
          <w:sz w:val="16"/>
        </w:rPr>
        <w:t xml:space="preserve"> the </w:t>
      </w:r>
      <w:r w:rsidRPr="00087A72">
        <w:rPr>
          <w:b/>
          <w:u w:val="single"/>
        </w:rPr>
        <w:t>self-evidence and reified status</w:t>
      </w:r>
      <w:r w:rsidRPr="00087A72">
        <w:rPr>
          <w:sz w:val="16"/>
        </w:rPr>
        <w:t xml:space="preserve"> of an entity called the state as the seemingly only legitimate form of governance for a people. By understanding the concept of the state as neither a reified singular, monolithic structure nor a necessary one, but rather as a field of fluid and transformable practices, one can pinpoint and locate avenues of precise political encounter where the work of statism can be directly challenged as an active location of political decision-making, agency, and, for the case before us, the contemporary reproduction of colonialist practices. Second, in arguing that settler memory is a key iterative practice of liberal colonial statism, I point to a vibrant site of political intervention for affirming, enacting, and supporting decolonizing and unsettling practices that do not reaffirm statist authority, but instead challenges it. For the rest of the essay I turn to reveal the work of settler memory and the politics of memory as it regards the case of ‘Codename Geronimo’. A central political function of this type of analysis is to show why it matters to make political interventions into these forms of appropriative settler practices and how they can serve to center settler colonialism in American political discourse.</w:t>
      </w:r>
    </w:p>
    <w:p w:rsidR="00540BEA" w:rsidRPr="00087A72" w:rsidRDefault="00540BEA" w:rsidP="00D005A2">
      <w:pPr>
        <w:pStyle w:val="Heading3"/>
      </w:pPr>
      <w:r w:rsidRPr="00087A72">
        <w:t>Alt – Embrace Bad Affect</w:t>
      </w:r>
    </w:p>
    <w:p w:rsidR="00540BEA" w:rsidRPr="00087A72" w:rsidRDefault="00540BEA" w:rsidP="00540BEA">
      <w:pPr>
        <w:pStyle w:val="Heading4"/>
      </w:pPr>
      <w:r w:rsidRPr="00087A72">
        <w:t>Thus the alternative is to embrace bad affect, to refuse the affirmative as a project that invests too much in happiness, too much in hope, too much in a future that can never hold all of us. The over focus on recovery, security, and peace ignores settler colonialism as a metaphysical project and denies us the possibility to celebrate that which cannot be celebrated—which is to say Indianness itself.</w:t>
      </w:r>
    </w:p>
    <w:p w:rsidR="00540BEA" w:rsidRPr="00087A72" w:rsidRDefault="00540BEA" w:rsidP="00540BEA">
      <w:r w:rsidRPr="00087A72">
        <w:rPr>
          <w:rStyle w:val="Style13ptBold"/>
        </w:rPr>
        <w:t>Belcourt et al. 17</w:t>
      </w:r>
      <w:r w:rsidRPr="00087A72">
        <w:t xml:space="preserve"> (Billy Ray, 2016 Rhodes Scholar, Winner of the Griffin Prize for Poetry, and Doctoral Student at the University of Alberta “Everything is Something Else: In Conversation with Billy-Ray Belcourt” </w:t>
      </w:r>
      <w:hyperlink r:id="rId24" w:history="1">
        <w:r w:rsidRPr="00087A72">
          <w:rPr>
            <w:rStyle w:val="Hyperlink"/>
          </w:rPr>
          <w:t>http://prismmagazine.ca/2017/12/04/everything-is-something-else-in-conversation-with-billy-ray-belcourt/</w:t>
        </w:r>
      </w:hyperlink>
      <w:r w:rsidRPr="00087A72">
        <w:t xml:space="preserve"> DA: 2018-07-06) NIJ</w:t>
      </w:r>
    </w:p>
    <w:p w:rsidR="00540BEA" w:rsidRPr="00087A72" w:rsidRDefault="00540BEA" w:rsidP="00540BEA">
      <w:pPr>
        <w:rPr>
          <w:u w:val="single"/>
        </w:rPr>
      </w:pPr>
      <w:r w:rsidRPr="00087A72">
        <w:rPr>
          <w:sz w:val="12"/>
        </w:rPr>
        <w:t xml:space="preserve">Belcourt: I would say I have an analytic arsenal. So, </w:t>
      </w:r>
      <w:r w:rsidRPr="00087A72">
        <w:rPr>
          <w:rStyle w:val="StyleUnderline"/>
        </w:rPr>
        <w:t>I have a set of keywords that I’m almost obsessed with that I keep trying to enflesh and widen their semantic boundaries.</w:t>
      </w:r>
      <w:r w:rsidRPr="00087A72">
        <w:rPr>
          <w:sz w:val="12"/>
        </w:rPr>
        <w:t xml:space="preserve"> Un-body is one of them, Indian Time is another. </w:t>
      </w:r>
      <w:r w:rsidRPr="00087A72">
        <w:rPr>
          <w:rStyle w:val="StyleUnderline"/>
        </w:rPr>
        <w:t xml:space="preserve">It’s a part of this larger project of mine to not shy away from negativity and bad affects: feelings like sadness, upset, guilt, etc. I think that as a student of Indigenous studies, </w:t>
      </w:r>
      <w:r w:rsidRPr="00087A72">
        <w:rPr>
          <w:rStyle w:val="Emphasis"/>
        </w:rPr>
        <w:t xml:space="preserve">I see this blinding emphasis on sovereignty, self-determination, governance, and these other words and terms, which require us to disavow the bad, to try to story one another via positive affects. And I think that creates a whole visual terrain that can’t be seen via those optics, so that’s what I’m against. </w:t>
      </w:r>
      <w:r w:rsidRPr="00087A72">
        <w:rPr>
          <w:rStyle w:val="StyleUnderline"/>
        </w:rPr>
        <w:t>I think it’s especially important to ask who the tenants of the terrain of bad affect are. I would say that those are primarily Indigenous women, queer, trans, Indigenous two-spirit peoples, and we are the ones who are theorizing these things.</w:t>
      </w:r>
      <w:r w:rsidRPr="00087A72">
        <w:rPr>
          <w:sz w:val="12"/>
        </w:rPr>
        <w:t xml:space="preserve"> I see this sort of intellectual project too in Gwen Benaway’s poetry, Joshua Whitehead’s, Samantha Nock’s, Leanne Simpson’s. Leanne is one of the key progenitors of that project and we inherit that from her in her wake. </w:t>
      </w:r>
      <w:r w:rsidRPr="00087A72">
        <w:rPr>
          <w:rStyle w:val="StyleUnderline"/>
        </w:rPr>
        <w:t>Sovereignty</w:t>
      </w:r>
      <w:r w:rsidRPr="00087A72">
        <w:rPr>
          <w:sz w:val="12"/>
        </w:rPr>
        <w:t xml:space="preserve">, for example, </w:t>
      </w:r>
      <w:r w:rsidRPr="00087A72">
        <w:rPr>
          <w:rStyle w:val="StyleUnderline"/>
        </w:rPr>
        <w:t>requires us to think of the body as a closed system, as if we’re post something like… leakage.</w:t>
      </w:r>
      <w:r w:rsidRPr="00087A72">
        <w:rPr>
          <w:sz w:val="12"/>
        </w:rPr>
        <w:t xml:space="preserve"> I don’t know what else to call it. </w:t>
      </w:r>
      <w:r w:rsidRPr="00087A72">
        <w:rPr>
          <w:rStyle w:val="StyleUnderline"/>
        </w:rPr>
        <w:t xml:space="preserve">But I’m saying no, there are these instances where it feels like our bodies are falling apart, being undone, redone, and that’s what happens in the domain of everyday life. That is what we have to pay attention to, because that is where worlds can be both made and shattered. It’s a site of profound feeling and that’s why I’m bent on examining it. </w:t>
      </w:r>
      <w:r w:rsidRPr="00087A72">
        <w:rPr>
          <w:sz w:val="12"/>
        </w:rPr>
        <w:t xml:space="preserve">Johns: So </w:t>
      </w:r>
      <w:r w:rsidRPr="00087A72">
        <w:rPr>
          <w:rStyle w:val="StyleUnderline"/>
        </w:rPr>
        <w:t>does that</w:t>
      </w:r>
      <w:r w:rsidRPr="00087A72">
        <w:rPr>
          <w:sz w:val="12"/>
        </w:rPr>
        <w:t xml:space="preserve">, then, </w:t>
      </w:r>
      <w:r w:rsidRPr="00087A72">
        <w:rPr>
          <w:rStyle w:val="StyleUnderline"/>
        </w:rPr>
        <w:t>necessitate that a body has to be broken and has to be shattered before it can be remade?</w:t>
      </w:r>
      <w:r w:rsidRPr="00087A72">
        <w:rPr>
          <w:sz w:val="12"/>
        </w:rPr>
        <w:t xml:space="preserve"> Before this sort of resurgence can happen? Belcourt: I guess I’m trying to say that </w:t>
      </w:r>
      <w:r w:rsidRPr="00087A72">
        <w:rPr>
          <w:rStyle w:val="StyleUnderline"/>
        </w:rPr>
        <w:t>we don’t have to temporalize the body in that way. That these things happen coterminously, that they happen at once, and they happen in an arrangement that isn’t circular or linear</w:t>
      </w:r>
      <w:r w:rsidRPr="00087A72">
        <w:rPr>
          <w:sz w:val="12"/>
        </w:rPr>
        <w:t>– Johns: –Indian Time! Belcourt: Yeah</w:t>
      </w:r>
      <w:r w:rsidRPr="00087A72">
        <w:rPr>
          <w:rStyle w:val="StyleUnderline"/>
        </w:rPr>
        <w:t xml:space="preserve">! It is all over the place and belated. It feels as if it is happening in some other sort of dimension. </w:t>
      </w:r>
      <w:r w:rsidRPr="00087A72">
        <w:rPr>
          <w:sz w:val="12"/>
        </w:rPr>
        <w:t xml:space="preserve">Johns: </w:t>
      </w:r>
      <w:r w:rsidRPr="00087A72">
        <w:rPr>
          <w:rStyle w:val="StyleUnderline"/>
        </w:rPr>
        <w:t>So it’s unbroken and being remade, and all happening at the same time. One doesn’t necessitate the other.</w:t>
      </w:r>
      <w:r w:rsidRPr="00087A72">
        <w:rPr>
          <w:sz w:val="12"/>
        </w:rPr>
        <w:t xml:space="preserve"> Boan: I’ve been thinking about that a lot too in my own work, and just moving through the world. I was walking down the street the other day and I had this realization that </w:t>
      </w:r>
      <w:r w:rsidRPr="00087A72">
        <w:rPr>
          <w:rStyle w:val="StyleUnderline"/>
        </w:rPr>
        <w:t>you can be shattered and really sad, and also have these profound moments of joy at the same time.</w:t>
      </w:r>
      <w:r w:rsidRPr="00087A72">
        <w:rPr>
          <w:sz w:val="12"/>
        </w:rPr>
        <w:t xml:space="preserve"> It’s interesting, because you refer to spillage and spilling so much and there’s an unbinding that is present in the book and also in the world. Johns: I think that goes back, again, to the bodies. </w:t>
      </w:r>
      <w:r w:rsidRPr="00087A72">
        <w:rPr>
          <w:rStyle w:val="StyleUnderline"/>
        </w:rPr>
        <w:t>There’s disappearing bodies–</w:t>
      </w:r>
      <w:r w:rsidRPr="00087A72">
        <w:rPr>
          <w:sz w:val="12"/>
        </w:rPr>
        <w:t xml:space="preserve"> Boan: </w:t>
      </w:r>
      <w:r w:rsidRPr="00087A72">
        <w:rPr>
          <w:rStyle w:val="StyleUnderline"/>
        </w:rPr>
        <w:t>–Bodies disappearing into other bodies!</w:t>
      </w:r>
      <w:r w:rsidRPr="00087A72">
        <w:rPr>
          <w:sz w:val="12"/>
        </w:rPr>
        <w:t xml:space="preserve"> Johns: </w:t>
      </w:r>
      <w:r w:rsidRPr="00087A72">
        <w:rPr>
          <w:rStyle w:val="StyleUnderline"/>
        </w:rPr>
        <w:t xml:space="preserve">–and then bodies coming out of that. Other bodily forms, like bodies of water and bodies of land. But there’s also a trickiness to it. Even the “here” is a trick of the light. So these notions of bodies and place, are they real? </w:t>
      </w:r>
      <w:r w:rsidRPr="00087A72">
        <w:rPr>
          <w:sz w:val="12"/>
        </w:rPr>
        <w:t xml:space="preserve">Belcourt: I think they’re always up for interpretation. Armpits occur a lot, both in This Wound is a World and the book I’m writing now. I can’t stop thinking about them. I’m not entirely sure why. The way I interpret them is sort of like a wormhole, like heaven’s wormhole. In some newer work I talk about an ex-partner of mine’s armpit in a way that is worshipful. I think this points to the semantic flexibility or promiscuity of the body, and how it’s not useful to containerize meaning. We have to keep chasing after new meaning. Johns: Well, calling the armpit heaven’s wormhole, that is 100% new meaning. I haven’t heard that before. This might be going back to the notion of tradition. Tradition doesn’t just speak to old things in the past that we still do, traditions are always being remade, re-done, and recreated. Belcourt: </w:t>
      </w:r>
      <w:r w:rsidRPr="00087A72">
        <w:rPr>
          <w:rStyle w:val="StyleUnderline"/>
        </w:rPr>
        <w:t>There’s an ongoing project that tries to make tradition into some sort of ahistorical, amorphous, timeless concept. As if it were an object that we always already knew, and that we have to desire. I have called this a form of cruel nostalgia.</w:t>
      </w:r>
      <w:r w:rsidRPr="00087A72">
        <w:rPr>
          <w:sz w:val="12"/>
        </w:rPr>
        <w:t xml:space="preserve"> Following Lauren Berlant’s “cruel optimism,” I say that </w:t>
      </w:r>
      <w:r w:rsidRPr="00087A72">
        <w:rPr>
          <w:rStyle w:val="StyleUnderline"/>
        </w:rPr>
        <w:t xml:space="preserve">these forms of nostalgia are actually detrimental to us, that this relation to time and temporality atrophies Indigenous social worlds inso far as it forecloses queer, trans possibility. We can’t romanticize and invest so much in the past when the horizon of possibility ahead is always widening. </w:t>
      </w:r>
      <w:r w:rsidRPr="00087A72">
        <w:rPr>
          <w:sz w:val="12"/>
        </w:rPr>
        <w:t xml:space="preserve">Johns: You talk about gender a lot [in This Wound is a World]. In “The Cree Word for a Body like Mine is Weesageechak,” there’s the shape-shifting bodies, gender being a magic trick, and that “haunting is a gender, gender is another word for horror story.” It’s a collection where everything can be something else, and everything is something else constantly. Belcourt: I love that interpretation. Johns: I appreciate that you brought up Gwen Benaway before. I was just reading “Holy Wild,” the text adapted from her keynote address at Queer Canada, and she talks about queerness as a site of struggle and how Indigenous subjects remain displaced by queerness. She says that queerness, if it claims her, claims her as a symbol or a theoretical construct. Indigeneity, on the other hand, claims her as a whole being. Do you think that Indigeneity accepts queerness in a way that queerness doesn’t accept Indigeneity? Or what is problematized in that intersection? Belcourt: Yeah, it is a thorny question. In my essay, “A Poltergeist Manifesto,” I say that </w:t>
      </w:r>
      <w:r w:rsidRPr="00087A72">
        <w:rPr>
          <w:rStyle w:val="StyleUnderline"/>
        </w:rPr>
        <w:t xml:space="preserve">Indigeneity is ante-ontelogical, which means that it is, to me, prior to ontology. [Ontology] is the way in which we conceptualize being, this metaphysical substance. So I say it’s prior to that. </w:t>
      </w:r>
      <w:r w:rsidRPr="00087A72">
        <w:rPr>
          <w:rStyle w:val="Emphasis"/>
        </w:rPr>
        <w:t xml:space="preserve">Colonialism was, in part, a metaphysical project that tried to offer up these configurations of Indigeneity that would semantically landlock us, but I would say that Indigeneity eschews all of that. </w:t>
      </w:r>
      <w:r w:rsidRPr="00087A72">
        <w:rPr>
          <w:sz w:val="12"/>
        </w:rPr>
        <w:t xml:space="preserve">Johns: Can you unpack that a bit for me? Belcourt: </w:t>
      </w:r>
      <w:r w:rsidRPr="00087A72">
        <w:rPr>
          <w:rStyle w:val="StyleUnderline"/>
        </w:rPr>
        <w:t>If we think about the question as “what is it to be Indigenous,” then that’s actually a metaphysical question, because “to be” is linked “to being” in the Heideggerian sense. In the realm of being, there’s all these claims to be made about the substance of Indigeneity. So at the time of contact, when settlers came and mobilized a set of optics by which they would interpret who we were, what they saw was, of course, not stuck in the domain of the physical or corporeal. There were ontological claims, and there were philosophical ways to see, and then to interpret what they saw, and then to configure that within an already existing system of meaning and logic, within an already existing metaphysics. So we see all these claims about, for example, the backwardness of Indigenous peoples, as peoples without law and without government structures. These, of course, are not just symbolic, these are not merely products of a form of power that is symbolic, but also one that is metaphysical too. I say that Indigeneity is anti-ontelogical and that queerness is anti-subjectivity.</w:t>
      </w:r>
      <w:r w:rsidRPr="00087A72">
        <w:rPr>
          <w:sz w:val="12"/>
        </w:rPr>
        <w:t xml:space="preserve"> The latter is an inheritance from queer theorists within the strain of queer theory that is about anti-sociality–theorists like Leo Bersani and Lee Edelman. </w:t>
      </w:r>
      <w:r w:rsidRPr="00087A72">
        <w:rPr>
          <w:rStyle w:val="StyleUnderline"/>
        </w:rPr>
        <w:t xml:space="preserve">Queerness is something that troubles subjectivity precisely because it is so flexible and it can be shapeshifting and it can morph. It’s always sliding, slipping through our fingertips, we can’t always know it once and for all, and that’s a problem for Western paradigms of the subject. So when these two things come together, it almost makes no sense, it’s not common-sensical. It requires us to abandon a whole host of ways of thinking and ways of knowing because for so long Indigeneity could only be configured as one locus of experience: that the Indian was X, Y, Z. And that almost always was a heteronormative and cisnormative rendering, so now when we see people making claim to queerness, to transness, to two-spiritness who are also Indigenous it troubles epistemology as such. It troubles thought. </w:t>
      </w:r>
      <w:r w:rsidRPr="00087A72">
        <w:rPr>
          <w:sz w:val="12"/>
        </w:rPr>
        <w:t xml:space="preserve">That’s why in this paper [“A Poltergeist Manifesto”] I’m trying to make the claim that that’s why we experience so much violence both in Indigenous social worlds and outside of them, but that it also points to why there’s so much disagreement about the so-called “LGBTQ2+ Indigenous experience” or whatever you want to call it. It’s because it’s so foreign to philosophy, to thought, that we don’t know where to start. It makes sense to me why Gwen is making the argument that </w:t>
      </w:r>
      <w:r w:rsidRPr="00087A72">
        <w:rPr>
          <w:rStyle w:val="StyleUnderline"/>
        </w:rPr>
        <w:t xml:space="preserve">queerness is a site of, again, ontological violence. That it doesn’t interpellate her, and if it does it’s as an object of sorrow or injury. But I also think it’s maybe premature to say that Indigeneity is entirely the opposite of that, because we know that Indigenous communities, because of colonization and its project of Christianization, a lot of our communities are homophobic and transphobic and that there’s a whole bunch of work to do there. Nonetheless, queer Indigeneity is my analytic when I think academically about these things precisely because of its openness, how it’s always widening, how it just flowers possibility. For so long that wasn’t the case for us. </w:t>
      </w:r>
      <w:r w:rsidRPr="00087A72">
        <w:rPr>
          <w:sz w:val="12"/>
        </w:rPr>
        <w:t xml:space="preserve">Johns: I think Gwen’s keynote and your work show that it’s a very complex space. You have a line in “OkCupid” that says “to be native and queer is to sometimes forget how to love yourself because no one wants to.” So if it’s a site of possibility, it’s also a site of breakage. Belcourt: Yeah. </w:t>
      </w:r>
      <w:r w:rsidRPr="00087A72">
        <w:rPr>
          <w:rStyle w:val="Emphasis"/>
        </w:rPr>
        <w:t>What Gwen is getting at too is, of course, the whiteness of queerness, how queer social worlds have been built both metaphorically and literally on the corpses of Indigenous peoples</w:t>
      </w:r>
      <w:r w:rsidRPr="00087A72">
        <w:rPr>
          <w:sz w:val="12"/>
        </w:rPr>
        <w:t xml:space="preserve">, on stolen land. </w:t>
      </w:r>
      <w:r w:rsidRPr="00087A72">
        <w:rPr>
          <w:rStyle w:val="StyleUnderline"/>
        </w:rPr>
        <w:t>And there’s a whole set of norms, patterns of thinking, and ways of being in the world that queerness makes possible that have been anti-Indigenous or racist. And that can really, to speak colloquially, fuck you up when you’re an Indigenous person and you’re trying to come into being as someone who belongs to a non-normative gender or sexuality–to just feel this utter invisibility in both the realms of existence of which you are a part.</w:t>
      </w:r>
      <w:r w:rsidRPr="00087A72">
        <w:rPr>
          <w:sz w:val="12"/>
        </w:rPr>
        <w:t xml:space="preserve"> That brings me to one of the first poems I ever wrote, “OkCupid,” when I was nineteen. That was when I was figuring out who I was, very cliche stuff. I had come out earlier that year, and I was on Grindr and it was racist. I was dating white dudes who would say messed up shit all the time, and I came to this conclusion that for the most part queer publics don’t know how to conceptualize Indigeneity. Johns: I think you point to the difficulty of trying to exist in a queer space that has historically been white, and also an Indigenous space where the colonial definition of queerness has forced stipulations on what you can and cannot be. Belcourt: I think what I’m also trying to get at is that it’s very easy to talk about Indigenous publics as inheriting the homophobic, cisnormative logics of the colonial world, but there’s also all this love there. Even though my kokum, for example, might not know how to talk about sexuality, or maybe can’t fully wrap her head around it, she still has so much love for me. We still laugh with one another, we feast, we visit one another, sometimes under compromised conditions, but there’s still joy there. I don’t think that’s always the case with queer publics, though. The racism is more persistent, enduring. There aren’t affective openings to be with one another. Boan: Referencing the Malahat Review interview that you did, you said that “there’s something about Indigeneity and queerness, about queer Indigeneity, that makes words fall flat and that allows us to put meaning to rebellious use.” I love this idea. In your first poem of the book, the speaker has skinny jeans and is wearing make-up, and there’s this kind of fun rebelliousness about making space. Belcourt: I think it’s a campy take too on Indigenous cosmology. Sort of trying to queer our origin stories. Johns: In a world where everyone is at least a little bit gay? Belcourt: That’s our world, not another world! Johns: Actually I wanted to talk a little bit about the toxic masculinity that’s pointed to in your work. For example, in “Wihtikowak Means (Men Who Can’t Survive Love).” Belcourt: Wihtikowak is the plural form of wihtikow, which is a figure in the oral history of many Indigenous peoples, including the Cree. The wihtikow is a mongrelized figure, mixed between the human and the animal. There’s archival evidence of the fascination with the wihtikow. I think there are police documents from around Lesser Slave Lake of First Nations people being afraid of the wihtikow. It’s a common story that’s circulating through these communities. I wanted to reclaim the wihtikow as a queer figure, which has to do first and foremost with its hybridity, it’s refusal of singularity. But I also think it was a metaphor to try to get at how Indigenous communities sometimes talk about queer people as these sort of otherworldly, unknowable figures. I think it invites violence, but it is a site of constitution too. Johns: What also resonated with me in This Wound is a World is the amount of Alberta in there. I think the line “in a small town made up of oil dreams and soured masculinity” was the clincher. That’s every town. That’s the town I grew up in. Also in “Everyone is Lonely,” the line “he’s a little bit country, I’m a little bit barbed wire fence,” and obviously “Ode to Northern Alberta.” I have hearts all around it. It’s interesting because Edmonton has the second largest Indigenous population and it’s one of the most dangerous places to live as an Indigenous person, and this toxic masculinity is an encompassing and pervasive thing, but there’s still beauty, and it’s still our home. So can you talk a little bit about writing through that? Belcourt: I think that project is to render the counter-publics that pop-up where they aren’t supposed to. </w:t>
      </w:r>
      <w:r w:rsidRPr="00087A72">
        <w:rPr>
          <w:rStyle w:val="Emphasis"/>
        </w:rPr>
        <w:t>Because the conditions are so hostile, we don’t expect there to be love or joy but there is, and I think that that is a cause for celebration. This follows Fred Moten who says that “we ought to celebrate that which cannot be celebrated,”</w:t>
      </w:r>
      <w:r w:rsidRPr="00087A72">
        <w:rPr>
          <w:rStyle w:val="StyleUnderline"/>
        </w:rPr>
        <w:t xml:space="preserve"> and I think that’s what I tried to do a bit of in this book, but what I’m doing more purposefully in books to come.</w:t>
      </w:r>
      <w:r w:rsidRPr="00087A72">
        <w:rPr>
          <w:sz w:val="12"/>
        </w:rPr>
        <w:t xml:space="preserve"> I think that it’s too easy, especially for settler publics, to trap Indigenous life in one story, which is often the story of suffering and sadness and breakage. Like we are just always only falling apart in a bad way. But we know that that’s not the case. That we laugh at that which cannot be laughed at (laughs)– Johns: –and sometimes shouldn’t be laughed at. Belcourt: Yeah. So we know statistically, empirically, and anecdotally about the violence of the prairies. We know that it was one of the last sort of frontiers of settlement, that there was enduring Indigenous resistance there to settlement. We see the afterlives of that today: in the geographic distribution of life in cities like Edmonton, Saskatoon, Winnipeg, there are Indigenous quarters. We see that too in the prison system, and the over-incarceration of Native people in the prairies. But of course that’s not where the story ends. That’s just one line of inquiry, and maybe this book invites us to investigate these other lines of inquiry. Johns: Because they seem to be almost heartwarming narratives. </w:t>
      </w:r>
      <w:r w:rsidRPr="00087A72">
        <w:rPr>
          <w:rStyle w:val="StyleUnderline"/>
        </w:rPr>
        <w:t xml:space="preserve">Especially because living there, you know the negative narratives so intimately. But your narratives were, I don’t want to say fully positive, because it’s more complex than that, but there were little twinkles of beauty– </w:t>
      </w:r>
      <w:r w:rsidRPr="00087A72">
        <w:rPr>
          <w:sz w:val="12"/>
        </w:rPr>
        <w:t>Boan:</w:t>
      </w:r>
      <w:r w:rsidRPr="00087A72">
        <w:rPr>
          <w:rStyle w:val="StyleUnderline"/>
        </w:rPr>
        <w:t xml:space="preserve"> –and tenderness. I was really intrigued by thinking through the idea of vulnerability in the book.</w:t>
      </w:r>
      <w:r w:rsidRPr="00087A72">
        <w:rPr>
          <w:sz w:val="12"/>
        </w:rPr>
        <w:t xml:space="preserve"> Also I was creeping you (laughs), and you wrote an essay on masturbatory ethics that I found interesting. Belcourt: (laughs) Yeah, it was a weird essay. Boan: I liked it though, it was fun to read! In it, you referenced Leanne Simpson’s Islands of Decolonial Love and you pulled a quote: “</w:t>
      </w:r>
      <w:r w:rsidRPr="00087A72">
        <w:rPr>
          <w:rStyle w:val="StyleUnderline"/>
        </w:rPr>
        <w:t>you know we’re just hinting anyway with vague ideas about dreams and hope and intention, at the same time dragging around blockades full of reminders that vulnerable has never ended well for any of us, not even one single time.</w:t>
      </w:r>
      <w:r w:rsidRPr="00087A72">
        <w:rPr>
          <w:sz w:val="12"/>
        </w:rPr>
        <w:t xml:space="preserve">” What I was so struck with reading your work was the consideration of vulnerability in this really tender, careful way, and looking at the messiness of love. That </w:t>
      </w:r>
      <w:r w:rsidRPr="00087A72">
        <w:rPr>
          <w:rStyle w:val="StyleUnderline"/>
        </w:rPr>
        <w:t>for different people, vulnerability looks different.</w:t>
      </w:r>
      <w:r w:rsidRPr="00087A72">
        <w:rPr>
          <w:sz w:val="12"/>
        </w:rPr>
        <w:t xml:space="preserve"> Can you talk about these ideas of vulnerability, and if you were thinking about it as you were working? Belcourt: It’s not novel to say that we are all beholden to others, and Judith Butler has said that we are all enigmatic traces of others. So the condition of being in the world is that we are in it with others, and this is the site of both constitution and breakage. So I think that what Leanne Simpson is getting at in Islands of Decolonial Love is the ways in which </w:t>
      </w:r>
      <w:r w:rsidRPr="00087A72">
        <w:rPr>
          <w:rStyle w:val="StyleUnderline"/>
        </w:rPr>
        <w:t>Indigenous peoples have been made to embody an exaggerated form of vulnerability, as if we were always at the whim of the behaviours of settlers.</w:t>
      </w:r>
      <w:r w:rsidRPr="00087A72">
        <w:rPr>
          <w:sz w:val="12"/>
        </w:rPr>
        <w:t xml:space="preserve"> And that has been the case for so long. But, to quote José Esteban Muñoz, there is also a forward-dawning futurity to </w:t>
      </w:r>
      <w:r w:rsidRPr="00087A72">
        <w:rPr>
          <w:rStyle w:val="StyleUnderline"/>
        </w:rPr>
        <w:t>vulnerability</w:t>
      </w:r>
      <w:r w:rsidRPr="00087A72">
        <w:rPr>
          <w:sz w:val="12"/>
        </w:rPr>
        <w:t xml:space="preserve">; it </w:t>
      </w:r>
      <w:r w:rsidRPr="00087A72">
        <w:rPr>
          <w:rStyle w:val="StyleUnderline"/>
        </w:rPr>
        <w:t>is also an affective of commons and we are in it with one another, which enables us to dream up a future in which vulnerability is not about being subject to the actions of racist others, but is about falling apart in a good way.</w:t>
      </w:r>
    </w:p>
    <w:p w:rsidR="00540BEA" w:rsidRPr="00087A72" w:rsidRDefault="00540BEA" w:rsidP="00D005A2">
      <w:pPr>
        <w:pStyle w:val="Heading3"/>
      </w:pPr>
      <w:r w:rsidRPr="00087A72">
        <w:t>Alt – Erotic Decolonial Love</w:t>
      </w:r>
    </w:p>
    <w:p w:rsidR="00540BEA" w:rsidRPr="00087A72" w:rsidRDefault="00540BEA" w:rsidP="00540BEA">
      <w:pPr>
        <w:pStyle w:val="Heading4"/>
      </w:pPr>
      <w:r w:rsidRPr="00087A72">
        <w:t>Thus, the alternative is an erotic decolonial love ethic which rejects the affirmative’s call to modes of being and relating which sever us from each other and foreclose the possibility of a thingly future in which the dream of decolonization might come into being.</w:t>
      </w:r>
    </w:p>
    <w:p w:rsidR="00540BEA" w:rsidRPr="00087A72" w:rsidRDefault="00540BEA" w:rsidP="00540BEA">
      <w:r w:rsidRPr="00087A72">
        <w:rPr>
          <w:rStyle w:val="Style13ptBold"/>
        </w:rPr>
        <w:t>Belcourt 16</w:t>
      </w:r>
      <w:r w:rsidRPr="00087A72">
        <w:t xml:space="preserve"> (Billy Ray, 2016 Rhodes Scholar, Winner of the Griffin Prize for Poetry, and Doctoral Student at the University of Alberta “Masturbatory Ethics, Anarchic Objects: Notes on Decolonial Love,” pp. 5-9) NIJ</w:t>
      </w:r>
    </w:p>
    <w:p w:rsidR="00540BEA" w:rsidRPr="00087A72" w:rsidRDefault="00540BEA" w:rsidP="00540BEA">
      <w:pPr>
        <w:rPr>
          <w:sz w:val="12"/>
        </w:rPr>
      </w:pPr>
      <w:r w:rsidRPr="00087A72">
        <w:rPr>
          <w:sz w:val="12"/>
        </w:rPr>
        <w:t xml:space="preserve">For Karyn Recollet (Cree), </w:t>
      </w:r>
      <w:r w:rsidRPr="00087A72">
        <w:rPr>
          <w:rStyle w:val="StyleUnderline"/>
        </w:rPr>
        <w:t>“radical decolonial love</w:t>
      </w:r>
      <w:r w:rsidRPr="00087A72">
        <w:rPr>
          <w:sz w:val="12"/>
        </w:rPr>
        <w:t xml:space="preserve"> [thus] </w:t>
      </w:r>
      <w:r w:rsidRPr="00087A72">
        <w:rPr>
          <w:rStyle w:val="StyleUnderline"/>
        </w:rPr>
        <w:t>requires a shift in conceiving of love from a holding space of permanence”</w:t>
      </w:r>
      <w:r w:rsidRPr="00087A72">
        <w:rPr>
          <w:sz w:val="12"/>
        </w:rPr>
        <w:t xml:space="preserve"> – Simpson’s blockade, like the prison house Lesperance unearths, cannot sustain us and our attachments to life. </w:t>
      </w:r>
      <w:r w:rsidRPr="00087A72">
        <w:rPr>
          <w:rStyle w:val="StyleUnderline"/>
        </w:rPr>
        <w:t>Recollet wants decolonial love, in its capacity to shore up articulations of differentiation that do not collapse into violence, to be something of a future-making project: “Radical decolonial love can be perceived as an ethical way of life, whereby we acknowledge each other’s differences and gifts and let those manifest into creating new world(s) of possibilities.”</w:t>
      </w:r>
      <w:r w:rsidRPr="00087A72">
        <w:rPr>
          <w:sz w:val="12"/>
        </w:rPr>
        <w:t xml:space="preserve">5 </w:t>
      </w:r>
      <w:r w:rsidRPr="00087A72">
        <w:rPr>
          <w:rStyle w:val="StyleUnderline"/>
        </w:rPr>
        <w:t>Ours is a world that cannot reckon with those emergent forms of life whose modes of being escape the affective pull of the present.</w:t>
      </w:r>
      <w:r w:rsidRPr="00087A72">
        <w:rPr>
          <w:sz w:val="12"/>
        </w:rPr>
        <w:t xml:space="preserve"> I would say that </w:t>
      </w:r>
      <w:r w:rsidRPr="00087A72">
        <w:rPr>
          <w:rStyle w:val="StyleUnderline"/>
        </w:rPr>
        <w:t>Recollet positions decolonial love at the nexus of 1) existence – of being in a body in ways that do not wear you down; 2) intimacy – radically erotic ways of connecting with other bodies, to use Simpson’s language, without losing parts of yourself in the face of it all; and 3) ethics – ways of being with through which the world not only holds out for difference, but also shifts its topographies in order to throw into sharp relief the gifts, to use Recollet’s language, that we breathe into the now. Decolonial love therefore promises not only to chip away at the corporeal and emotional toll of settler colonialism as such, but also to gestate a wider set of worlds and ontologies, ones that we cannot know in advance, but ones that might make life into something more than a taxing state of survival. Decolonial love is thus an ideality that “propels us onward,”</w:t>
      </w:r>
      <w:r w:rsidRPr="00087A72">
        <w:rPr>
          <w:sz w:val="12"/>
        </w:rPr>
        <w:t xml:space="preserve">6 </w:t>
      </w:r>
      <w:r w:rsidRPr="00087A72">
        <w:rPr>
          <w:rStyle w:val="StyleUnderline"/>
        </w:rPr>
        <w:t>a mode of wanting or longing that ratchets up a particular kind of relation to futurity, one that promises to keep us in this world, even if that is just until tomorrow.</w:t>
      </w:r>
      <w:r w:rsidRPr="00087A72">
        <w:rPr>
          <w:sz w:val="12"/>
        </w:rPr>
        <w:t xml:space="preserve"> Like queerness in Muñoz’s formulation, </w:t>
      </w:r>
      <w:r w:rsidRPr="00087A72">
        <w:rPr>
          <w:rStyle w:val="StyleUnderline"/>
        </w:rPr>
        <w:t>decolonial love reminds us that something is missing, that the lives we have lived are not necessarily of our own making and that there are liberatory feelings we have yet to carry in our bones. Decolonial love is not merely a state of feeling,7 but also a kind of performativity insofar as one does for oneself and/or for another and, at the same time, toward the future.</w:t>
      </w:r>
      <w:r w:rsidRPr="00087A72">
        <w:rPr>
          <w:sz w:val="12"/>
        </w:rPr>
        <w:t xml:space="preserve">8 In this </w:t>
      </w:r>
      <w:r w:rsidRPr="00087A72">
        <w:rPr>
          <w:rStyle w:val="StyleUnderline"/>
        </w:rPr>
        <w:t>paper I hunt for forms of erotic life that might do the world-building work of decolonial love, taking up Lesperance’s call to return to the body by way of the ethical potentiality of masturbation. This is an attempt not only to flesh out decolonial love’s provocation – that is, to pin point “moments of action”</w:t>
      </w:r>
      <w:r w:rsidRPr="00087A72">
        <w:rPr>
          <w:sz w:val="12"/>
        </w:rPr>
        <w:t xml:space="preserve">9 </w:t>
      </w:r>
      <w:r w:rsidRPr="00087A72">
        <w:rPr>
          <w:rStyle w:val="StyleUnderline"/>
        </w:rPr>
        <w:t>that might illuminate the horizons of Indigenous feminist worlding – but also to theorize the entanglement of indigeneity, the autoerotic, and thing, a triangulation that I suspect holds out for new forms of humanness and sexual life in the near-queer future. Like Recollet, who expands the uses of “love-making” to the domain of relationality without abandoning its sexual connotations,</w:t>
      </w:r>
      <w:r w:rsidRPr="00087A72">
        <w:rPr>
          <w:sz w:val="12"/>
        </w:rPr>
        <w:t xml:space="preserve"> 10 </w:t>
      </w:r>
      <w:r w:rsidRPr="00087A72">
        <w:rPr>
          <w:rStyle w:val="StyleUnderline"/>
        </w:rPr>
        <w:t>I want to theorize the ways in which the sexual, invested with a kind of revolutionary power and displaced from its normative valences as an allo-sexual form, can animate decolonial worlds.</w:t>
      </w:r>
      <w:r w:rsidRPr="00087A72">
        <w:rPr>
          <w:sz w:val="12"/>
        </w:rPr>
        <w:t xml:space="preserve"> 11 I thus take argumentative cues from Sara Ahmed and Kathleen Stewart about those </w:t>
      </w:r>
      <w:r w:rsidRPr="00087A72">
        <w:rPr>
          <w:rStyle w:val="StyleUnderline"/>
        </w:rPr>
        <w:t>willful actions or ordinary happenings</w:t>
      </w:r>
      <w:r w:rsidRPr="00087A72">
        <w:rPr>
          <w:sz w:val="12"/>
        </w:rPr>
        <w:t xml:space="preserve"> that, </w:t>
      </w:r>
      <w:r w:rsidRPr="00087A72">
        <w:rPr>
          <w:rStyle w:val="StyleUnderline"/>
        </w:rPr>
        <w:t>because of their capacity to anchor us in the non-normative or the astray, allow us to maintain our alterities and our desires for a futurism that does not resort to violence in order to substantiate the so-called good life</w:t>
      </w:r>
      <w:r w:rsidRPr="00087A72">
        <w:rPr>
          <w:sz w:val="12"/>
        </w:rPr>
        <w:t xml:space="preserve">, to point to Lauren Berlant’s oeuvre. 12 Said differently, </w:t>
      </w:r>
      <w:r w:rsidRPr="00087A72">
        <w:rPr>
          <w:rStyle w:val="StyleUnderline"/>
        </w:rPr>
        <w:t xml:space="preserve">I seek to interrogate the epistemic and identitarian limits of the sex we have inherited and to instead turn to a genealogy of feminist thinkers whose commitments to their bodies and to bodies like theirs in the face of structural attrition has much to offer us in an age of global crisis and in the wake of neoliberal forms of settler-colonial governmentality. </w:t>
      </w:r>
      <w:r w:rsidRPr="00087A72">
        <w:rPr>
          <w:sz w:val="12"/>
        </w:rPr>
        <w:t xml:space="preserve">This paper may at times appear messy or chaotic, staging its narrative at the intersections of seemingly disparate histories and stories, labouring to connect the dots across multiple objects. </w:t>
      </w:r>
      <w:r w:rsidRPr="00087A72">
        <w:rPr>
          <w:rStyle w:val="StyleUnderline"/>
        </w:rPr>
        <w:t>I am less concerned with trying to tie up all the loose ends then with gathering together bits and pieces of cultural texts in order to offer speculative developments in how we conceptualize the work of masturbation in the face of what I consider to be settler colonialism’s drive to sever the ontological and erotic bond between Indigenous flesh and its self.</w:t>
      </w:r>
      <w:r w:rsidRPr="00087A72">
        <w:rPr>
          <w:sz w:val="12"/>
        </w:rPr>
        <w:t xml:space="preserve"> My archive is cluttered, as if my objects were chosen at random, showing up at unexpected times and in unexpected places, brought into dialogue with one another to mark a nascent kind of interdisciplinary research method that dissolves the otherwise staunchly surveilled boundaries between disciplines and their methodologies. My formulation of a “cluttered archive” is indebted to the work of 1) Jack Halberstam and his concept of “low theory”: deliberating choosing to read texts that are quickly collapsed into the monolith “low culture” and thus abandoned outside the purview of academic concern; 2) Ann Cvetkovich’s radical move to think both with texts that “made [her] feel better on so many occasions” and with ones that are not stunted by stubborn disciplinary boundaries – an archive she perhaps coyly calls “impossible”; and 3) Sara Ahmed’s “unhappy archives,” archives assembled precisely to disrupt conventional notions of happiness from various identity-based standpoints. 13 </w:t>
      </w:r>
      <w:r w:rsidRPr="00087A72">
        <w:rPr>
          <w:rStyle w:val="StyleUnderline"/>
        </w:rPr>
        <w:t xml:space="preserve">What I take from these rhetorical and methodological interventions is a kind of knowledge-making practice that is fundamentally political, one that endeavours to think outside the big worlds of Statistics and Demography and, instead, inside the smaller, much more precarious worlds of the ordinary and the ephemeral. </w:t>
      </w:r>
      <w:r w:rsidRPr="00087A72">
        <w:rPr>
          <w:sz w:val="12"/>
        </w:rPr>
        <w:t xml:space="preserve">For José Muñoz, </w:t>
      </w:r>
      <w:r w:rsidRPr="00087A72">
        <w:rPr>
          <w:rStyle w:val="StyleUnderline"/>
        </w:rPr>
        <w:t>ephemera is the stuff of queerness, the traces or remains of goings-on that, because of their slippery attachment to public memory, sometimes escape our optics for making sense of the political.</w:t>
      </w:r>
      <w:r w:rsidRPr="00087A72">
        <w:rPr>
          <w:sz w:val="12"/>
        </w:rPr>
        <w:t xml:space="preserve">14 </w:t>
      </w:r>
      <w:r w:rsidRPr="00087A72">
        <w:rPr>
          <w:rStyle w:val="StyleUnderline"/>
        </w:rPr>
        <w:t>It is here – in the ephemeral – that I suspect masturbation does its most radical work; and, this paper argues that this is especially apparent when the thingly – here, sex toys – becomes decolonial love’s condition of possibility. I thus take up what we might call a new materialist interest in the thingly in order to think about not only the ways in which matter and things thought to be inanimate, dead, or politically neutral significantly shape Indigenous peoples’ experiences of their bodies and their relations to the world., but also the ways in which things make some untapped forms of decolonial love possible.</w:t>
      </w:r>
      <w:r w:rsidRPr="00087A72">
        <w:rPr>
          <w:sz w:val="12"/>
        </w:rPr>
        <w:t xml:space="preserve">15 In short, I ask: </w:t>
      </w:r>
      <w:r w:rsidRPr="00087A72">
        <w:rPr>
          <w:rStyle w:val="StyleUnderline"/>
        </w:rPr>
        <w:t>what happens when things resist the meanings we give them and instead do the work of decolonization? The concept of thingly futures refers to a particular kind of teleology – a way of surviving the now such that we can imagine what a decolonial world might look like without the traces of its colonial pasts, something of a utopian politics that takes literal things seriously.</w:t>
      </w:r>
      <w:r w:rsidRPr="00087A72">
        <w:rPr>
          <w:sz w:val="12"/>
        </w:rPr>
        <w:t xml:space="preserve"> Things: the stuff that usually figures in the public imagination as inanimate matter, matter distinct from living sentient beings, or objects that we do not necessarily have to name because they are supposedly bereft of symbolic purchase. But, things also necessarily and paradoxically traffic in semantic possibility, not necessarily attached to any one item or concept, standing in for an infinite combination of materials that are said to be quotidian and, when put bluntly, boring. </w:t>
      </w:r>
      <w:r w:rsidRPr="00087A72">
        <w:rPr>
          <w:rStyle w:val="StyleUnderline"/>
        </w:rPr>
        <w:t xml:space="preserve">Thingly futures is a slowed and precarious process of dwelling in the present, hinting at the worlds we might actualize if we brought into focus the ways in which things intervene in our politics and our oppressions, oftentimes helping us get through the day or to complete the hard labor contingent upon maintaining the intimate topographies of the ordinary. I suspect there is a thingliness to masturbation, that sex toys like dildos and vibrators have ontological effects despite the moralizing claims that make up our understandings of this particular sex act. Although (but also perhaps precisely because) masturbation carries a stubborn stigma and negative affects like shame and guilt, I turn to it to analyze and dream up scenes of ethical relationality insofar as we live in a late capitalist age marked by a multiplicity of gendered and racialized forms of violences that alienate us from our bodies. </w:t>
      </w:r>
      <w:r w:rsidRPr="00087A72">
        <w:rPr>
          <w:sz w:val="12"/>
        </w:rPr>
        <w:t xml:space="preserve">In what follows, I read a few cultural histories of masturbation, popular films and television episodes that represent masturbation, feminist theories of self-care, and theories of affect to make perhaps contentious claims about the ontological and ethical potentiality of the Indigenous body that not only loves itself, but also masturbates. </w:t>
      </w:r>
      <w:r w:rsidRPr="00087A72">
        <w:rPr>
          <w:rStyle w:val="StyleUnderline"/>
        </w:rPr>
        <w:t>The point, then, is to take up masturbation as a point of entry into the sexual politics of the urgent present and its still creatable futures. Said differently, I do not intend to tease apart the substance of the autoerotic for the whitened average joe</w:t>
      </w:r>
      <w:r w:rsidRPr="00087A72">
        <w:rPr>
          <w:sz w:val="12"/>
        </w:rPr>
        <w:t xml:space="preserve"> (although we are all average joes in some form or another), </w:t>
      </w:r>
      <w:r w:rsidRPr="00087A72">
        <w:rPr>
          <w:rStyle w:val="StyleUnderline"/>
        </w:rPr>
        <w:t>but, instead, to take up masturbation as a staunchly ordinary strategy for maintaining one’s life in the face of racialized forms of structural attrition, especially in those moments when we feel like our bodies do not belong to us anymore. Particular attention will be paid to sex toys in order to think about the thingly entanglements that make Indigenous life possible in the crosshairs of a murderous settler state. My thesis is two-fold: 1) I argue that masturbation evidences something of an ethical rupture under the rubric of self-care and that it is a form of decolonial love vis-à-vis late capitalism’s alienating scenes of life; and 2) that the use sex toys for masturbatory purposes in particular points to episodes of ontological fusion and worlding. This project thus rests on a mode of knowledge acquisition beyond the human senses, a markedly imaginative and narratological project that starts with the presupposition that “things and humans are… entangled with one another in complex and unexpected ways.”</w:t>
      </w:r>
      <w:r w:rsidRPr="00087A72">
        <w:rPr>
          <w:sz w:val="12"/>
        </w:rPr>
        <w:t xml:space="preserve">16 In sum: things matter. </w:t>
      </w:r>
    </w:p>
    <w:p w:rsidR="00540BEA" w:rsidRPr="00087A72" w:rsidRDefault="00540BEA" w:rsidP="00D005A2">
      <w:pPr>
        <w:pStyle w:val="Heading3"/>
      </w:pPr>
      <w:r w:rsidRPr="00087A72">
        <w:t>Alt – Go Astray</w:t>
      </w:r>
    </w:p>
    <w:p w:rsidR="00540BEA" w:rsidRPr="00087A72" w:rsidRDefault="00540BEA" w:rsidP="00540BEA">
      <w:pPr>
        <w:pStyle w:val="Heading4"/>
      </w:pPr>
      <w:r w:rsidRPr="00087A72">
        <w:t>Thus the alternative is to reject the affirmative in order to go astray. The coordinated and hypervisible geography of the affirmative necessarily forecloses the possibility of entering the terrain of the otherwise which affirms decaying decolonial worlds. Rejection and refusal of the affirmative refuses presence in favor of haunting, opening up the possibility to inhabit the spectral other-worldliness of ferality. Decolonization is a fugitive choreography of ferality.</w:t>
      </w:r>
    </w:p>
    <w:p w:rsidR="00540BEA" w:rsidRPr="00087A72" w:rsidRDefault="00540BEA" w:rsidP="00540BEA">
      <w:r w:rsidRPr="00087A72">
        <w:rPr>
          <w:rStyle w:val="Style13ptBold"/>
        </w:rPr>
        <w:t>Belcourt 17</w:t>
      </w:r>
      <w:r w:rsidRPr="00087A72">
        <w:t xml:space="preserve"> (Billy Ray, 2016 Rhodes Scholar, Winner of the Griffin Prize for Poetry, and Doctoral Student at the University of Alberta “The body remembers when the world broke open” http://artseverywhere.ca/2017/02/08/body-remembers-world-broke-open/ DA: 2018-07-06) NIJ</w:t>
      </w:r>
    </w:p>
    <w:p w:rsidR="00540BEA" w:rsidRPr="00087A72" w:rsidRDefault="00540BEA" w:rsidP="00540BEA">
      <w:pPr>
        <w:rPr>
          <w:u w:val="single"/>
        </w:rPr>
      </w:pPr>
      <w:r w:rsidRPr="00087A72">
        <w:rPr>
          <w:sz w:val="12"/>
        </w:rPr>
        <w:t xml:space="preserve">I have said this twice before, but I will say it again:[1] </w:t>
      </w:r>
      <w:r w:rsidRPr="00087A72">
        <w:rPr>
          <w:rStyle w:val="StyleUnderline"/>
        </w:rPr>
        <w:t>I am trying to figure out how to be in this world without wanting it, and perhaps this is what it is to be Indigenous. To be Indigenous is also to be hurt on the way out, if the ‘way out’ is crowded by the past’s razor sharp edges.</w:t>
      </w:r>
      <w:r w:rsidRPr="00087A72">
        <w:rPr>
          <w:sz w:val="12"/>
        </w:rPr>
        <w:t xml:space="preserve">[2] </w:t>
      </w:r>
      <w:r w:rsidRPr="00087A72">
        <w:rPr>
          <w:rStyle w:val="StyleUnderline"/>
        </w:rPr>
        <w:t>The body remembers when the world broke open is a provocation of mine to think the time-frame of colonial worldings through the language of haunting and speculation. Which is to say that we are not done mourning the “world-shattering”</w:t>
      </w:r>
      <w:r w:rsidRPr="00087A72">
        <w:rPr>
          <w:sz w:val="12"/>
        </w:rPr>
        <w:t xml:space="preserve">[3] </w:t>
      </w:r>
      <w:r w:rsidRPr="00087A72">
        <w:rPr>
          <w:rStyle w:val="StyleUnderline"/>
        </w:rPr>
        <w:t>magnitude of settler invasion and its attendant crime scenes of all sorts, and that this kind of loss yields affects that reverberate into the near future by way of the body’s “critical receptivity;” that is, the ease with which we can be undone and displaced by others.</w:t>
      </w:r>
      <w:r w:rsidRPr="00087A72">
        <w:rPr>
          <w:sz w:val="12"/>
        </w:rPr>
        <w:t xml:space="preserve">[4] Avery Gordon is a sociologist of ghosts and she knows that this world is not the only one, and that there is a porous boundary between absence and presence that allows the past to both seek revenge and to live again in the present. She writes, </w:t>
      </w:r>
      <w:r w:rsidRPr="00087A72">
        <w:rPr>
          <w:rStyle w:val="StyleUnderline"/>
        </w:rPr>
        <w:t>“[H]aunting is one way in which abusive systems of power make themselves known and their impacts felt in everyday life, especially when they are supposedly over and done with.”</w:t>
      </w:r>
      <w:r w:rsidRPr="00087A72">
        <w:rPr>
          <w:sz w:val="12"/>
        </w:rPr>
        <w:t xml:space="preserve">[5] </w:t>
      </w:r>
      <w:r w:rsidRPr="00087A72">
        <w:rPr>
          <w:rStyle w:val="StyleUnderline"/>
        </w:rPr>
        <w:t>There is, then, a “laboured viscerality”</w:t>
      </w:r>
      <w:r w:rsidRPr="00087A72">
        <w:rPr>
          <w:sz w:val="12"/>
        </w:rPr>
        <w:t xml:space="preserve">[6] </w:t>
      </w:r>
      <w:r w:rsidRPr="00087A72">
        <w:rPr>
          <w:rStyle w:val="StyleUnderline"/>
        </w:rPr>
        <w:t>to being in life, and it is sometimes called a sore or gallstones</w:t>
      </w:r>
      <w:r w:rsidRPr="00087A72">
        <w:rPr>
          <w:sz w:val="12"/>
        </w:rPr>
        <w:t xml:space="preserve">[7] </w:t>
      </w:r>
      <w:r w:rsidRPr="00087A72">
        <w:rPr>
          <w:rStyle w:val="StyleUnderline"/>
        </w:rPr>
        <w:t>or an eye twitch.</w:t>
      </w:r>
      <w:r w:rsidRPr="00087A72">
        <w:rPr>
          <w:sz w:val="12"/>
        </w:rPr>
        <w:t xml:space="preserve">[8] </w:t>
      </w:r>
      <w:r w:rsidRPr="00087A72">
        <w:rPr>
          <w:rStyle w:val="StyleUnderline"/>
        </w:rPr>
        <w:t>A body can only jar so many spirits and trauma before it glitches, leaks, and splits at the seams. To split at the seams is to be strained by a deluge of affects, where “affect” describes psychic and physiological responses to moments of profound instability—when the you you have been struggles but ultimately fails to persist in the wake of something that moves you, for better or for worse.</w:t>
      </w:r>
      <w:r w:rsidRPr="00087A72">
        <w:rPr>
          <w:sz w:val="12"/>
        </w:rPr>
        <w:t xml:space="preserve"> In my research on diabetes and reserve life, I identify genetic predispositions as poor affective returns, insofar as </w:t>
      </w:r>
      <w:r w:rsidRPr="00087A72">
        <w:rPr>
          <w:rStyle w:val="StyleUnderline"/>
        </w:rPr>
        <w:t>chronic illness is one way the body sublimates histories of biological warfare into ordinary life.</w:t>
      </w:r>
      <w:r w:rsidRPr="00087A72">
        <w:rPr>
          <w:sz w:val="12"/>
        </w:rPr>
        <w:t xml:space="preserve">[9] On the other hand, like Tananan Athabascan theorist Dian Million, </w:t>
      </w:r>
      <w:r w:rsidRPr="00087A72">
        <w:rPr>
          <w:rStyle w:val="StyleUnderline"/>
        </w:rPr>
        <w:t>I also understand affect as the process by which the dead and the devoured seep into our bodies, proliferating Indigenous worlds peopled by spirits, good and bad.</w:t>
      </w:r>
      <w:r w:rsidRPr="00087A72">
        <w:rPr>
          <w:sz w:val="12"/>
        </w:rPr>
        <w:t xml:space="preserve">[10] </w:t>
      </w:r>
      <w:r w:rsidRPr="00087A72">
        <w:rPr>
          <w:rStyle w:val="StyleUnderline"/>
        </w:rPr>
        <w:t xml:space="preserve">Affect always produces bouts with non-sovereignty, leaving us vulnerable to a host of social and political dramas that do world-threatening things out of sight. Memory is thus one domain where affect becomes a noticeable pressure point. </w:t>
      </w:r>
      <w:r w:rsidRPr="00087A72">
        <w:rPr>
          <w:sz w:val="12"/>
        </w:rPr>
        <w:t xml:space="preserve">Tanya Lukin Linklater’s In Memoriam (2012) is a video of a performance that offers up this kind of corporeal volatility, staging memory’s wrath to the cacophonous tune of the Alutiiq language, sounds that Lukin Linklater might not actually know or know what to do with, sounds that both conjure and upset the traditional.[11] It is my contention that In Memoriam fleshes out what Karyn Recollet, writing beautifully about Kwakwaka’wakw dancers, calls </w:t>
      </w:r>
      <w:r w:rsidRPr="00087A72">
        <w:rPr>
          <w:rStyle w:val="StyleUnderline"/>
        </w:rPr>
        <w:t>“choreographic fugitivity,”</w:t>
      </w:r>
      <w:r w:rsidRPr="00087A72">
        <w:rPr>
          <w:sz w:val="12"/>
        </w:rPr>
        <w:t xml:space="preserve">[12] as Lukin Linklater’s dancers </w:t>
      </w:r>
      <w:r w:rsidRPr="00087A72">
        <w:rPr>
          <w:rStyle w:val="StyleUnderline"/>
        </w:rPr>
        <w:t>gesture to a rift in the present toward a geography of the elsewhere.</w:t>
      </w:r>
      <w:r w:rsidRPr="00087A72">
        <w:rPr>
          <w:sz w:val="12"/>
        </w:rPr>
        <w:t xml:space="preserve">[13] In particular, In Memoriam </w:t>
      </w:r>
      <w:r w:rsidRPr="00087A72">
        <w:rPr>
          <w:rStyle w:val="StyleUnderline"/>
        </w:rPr>
        <w:t xml:space="preserve">images what I want to call a choreography of the feral, as its wild movements give us dystopian glimpses into what it looks like when the body erupts, when it fails to patch up the ordinary’s grater wounds and is left beside itself with grief. This is not a bad thing. </w:t>
      </w:r>
      <w:r w:rsidRPr="00087A72">
        <w:rPr>
          <w:sz w:val="12"/>
        </w:rPr>
        <w:t xml:space="preserve">Lukin Linklater brings into focus a type of embodiment that is constitutive of Indigenous life in a nation like Canada, where our survival always hangs in the balance. By this I mean that </w:t>
      </w:r>
      <w:r w:rsidRPr="00087A72">
        <w:rPr>
          <w:rStyle w:val="StyleUnderline"/>
        </w:rPr>
        <w:t>even when we are seemingly still, we are nonetheless disjointed, shaky, and jumping out of our skin. This is what</w:t>
      </w:r>
      <w:r w:rsidRPr="00087A72">
        <w:rPr>
          <w:sz w:val="12"/>
        </w:rPr>
        <w:t xml:space="preserve"> the late queer theorist </w:t>
      </w:r>
      <w:r w:rsidRPr="00087A72">
        <w:rPr>
          <w:rStyle w:val="StyleUnderline"/>
        </w:rPr>
        <w:t>José Esteban Muñoz called an “embodied cultural surplus,” one that exposes what it takes to be here in this body and in this world when the here is a prison house that threatens to make decolonial flourishing into a fairy-tale of sorts.</w:t>
      </w:r>
      <w:r w:rsidRPr="00087A72">
        <w:rPr>
          <w:sz w:val="12"/>
        </w:rPr>
        <w:t xml:space="preserve">[14] Said differently, In Memoriam plays up a form of corporeal excess that bubbles just below a collective “threshold of awareness”[15] for those who most intimately bear the coloniality of the world. Lukin Linklater tells a story about how memory stalks the present, turning bodies into faulty containers for affect such that life becomes a catch-22 where ongoingness taxes.[16] </w:t>
      </w:r>
      <w:r w:rsidRPr="00087A72">
        <w:rPr>
          <w:rStyle w:val="StyleUnderline"/>
        </w:rPr>
        <w:t>We might not get the big decolonial world we want, as it takes everything we have to adjust to the unruly vibrations of the past-present. From the Latin, “in memoriam” translates as “to the memory (of),” and is used in English as a preposition to govern the relation between a noun—now lost—and an act or object of commemoration that renders the noun anew, spectrally. In Memoriam’s lost object is an Alutiiq-ness that could have been had the world not fallen apart, and the body is the medium through which it is invoked.</w:t>
      </w:r>
      <w:r w:rsidRPr="00087A72">
        <w:rPr>
          <w:sz w:val="12"/>
        </w:rPr>
        <w:t xml:space="preserve"> I want, however, to risk also interpreting the dancers’ jolting lurches as responses to haunting, as if to be haunted is to be dealt blows to your body when it cannot contain the pesky drip-drop of social violence in the normal anymore. </w:t>
      </w:r>
      <w:r w:rsidRPr="00087A72">
        <w:rPr>
          <w:rStyle w:val="StyleUnderline"/>
        </w:rPr>
        <w:t>Haunting,</w:t>
      </w:r>
      <w:r w:rsidRPr="00087A72">
        <w:rPr>
          <w:sz w:val="12"/>
        </w:rPr>
        <w:t xml:space="preserve"> Gordon teaches us, </w:t>
      </w:r>
      <w:r w:rsidRPr="00087A72">
        <w:rPr>
          <w:rStyle w:val="StyleUnderline"/>
        </w:rPr>
        <w:t>“alters the experience of being in time,” causing us to lose our bearings in the world.</w:t>
      </w:r>
      <w:r w:rsidRPr="00087A72">
        <w:rPr>
          <w:sz w:val="12"/>
        </w:rPr>
        <w:t xml:space="preserve">[17] </w:t>
      </w:r>
      <w:r w:rsidRPr="00087A72">
        <w:rPr>
          <w:rStyle w:val="Emphasis"/>
        </w:rPr>
        <w:t xml:space="preserve">This is what haunts me: knowing that there was once a world we could have loved in without the spectre of premature death stopping us in our tracks. </w:t>
      </w:r>
      <w:r w:rsidRPr="00087A72">
        <w:rPr>
          <w:sz w:val="12"/>
        </w:rPr>
        <w:t xml:space="preserve">But, </w:t>
      </w:r>
      <w:r w:rsidRPr="00087A72">
        <w:rPr>
          <w:rStyle w:val="StyleUnderline"/>
        </w:rPr>
        <w:t>In Memoriam does not take us to this utopian past-future, migrating instead across two seemingly unidentifiable geographies, dropping us in the thick of an otherworld in which external stimuli wreak havoc on those who assemble there.</w:t>
      </w:r>
      <w:r w:rsidRPr="00087A72">
        <w:rPr>
          <w:sz w:val="12"/>
        </w:rPr>
        <w:t xml:space="preserve"> Lukin Linklater’s is art that transports an Alutiiq-ness to a tightly-framed elsewhere,[18] mapping a small gap between a here and a there that is something of a death trap. </w:t>
      </w:r>
      <w:r w:rsidRPr="00087A72">
        <w:rPr>
          <w:rStyle w:val="StyleUnderline"/>
        </w:rPr>
        <w:t>This is the mise-en-scène of the otherworld:</w:t>
      </w:r>
      <w:r w:rsidRPr="00087A72">
        <w:rPr>
          <w:sz w:val="12"/>
        </w:rPr>
        <w:t xml:space="preserve"> peopled by two dancers who might or might not be the same woman and who might or might not be from different space-times, In Memoriam fluctuates between a familiar earthly colour palette to a melancholic grey scale, taking us to what I have previously called “the astray.” For me, </w:t>
      </w:r>
      <w:r w:rsidRPr="00087A72">
        <w:rPr>
          <w:rStyle w:val="Emphasis"/>
        </w:rPr>
        <w:t>the astray is a makeshift geography where experimentation and haste are workable socialites, where dreamers and doomed lovers gather to take a shot at life lived decolonially, if only for a little while.</w:t>
      </w:r>
      <w:r w:rsidRPr="00087A72">
        <w:rPr>
          <w:rStyle w:val="StyleUnderline"/>
        </w:rPr>
        <w:t xml:space="preserve"> The astray is the stuff of last-minute decision-making and wrong turns, accommodating moments of action that should not be possible in the world, propping up an infrastructure for renegade life.</w:t>
      </w:r>
      <w:r w:rsidRPr="00087A72">
        <w:rPr>
          <w:sz w:val="12"/>
        </w:rPr>
        <w:t xml:space="preserve"> In “On ‘Moving Too Fast,’ or Decolonial Speed,” </w:t>
      </w:r>
      <w:r w:rsidRPr="00087A72">
        <w:rPr>
          <w:rStyle w:val="StyleUnderline"/>
        </w:rPr>
        <w:t>I wrote: “He is a lapse in time whose expressivity is marked by the teleological pull of an otherwise.”</w:t>
      </w:r>
      <w:r w:rsidRPr="00087A72">
        <w:rPr>
          <w:sz w:val="12"/>
        </w:rPr>
        <w:t xml:space="preserve">[19] </w:t>
      </w:r>
      <w:r w:rsidRPr="00087A72">
        <w:rPr>
          <w:rStyle w:val="StyleUnderline"/>
        </w:rPr>
        <w:t>I was writing about a man I had fallen in love with, and the tenuous affects that barely held an emergent world together in the face of capitalism’s governance of the intimate. The phrase “it feels as if we’ve known each for ages” thus points to the astray’s shoddy memory work, and the ways some forms of love operate as if outside worldly time itself. We sometimes live in something that feels like another dimension. The astray is therefore a shape-shifting mini world, and it clarifies for me how we shoulder sadness like ours and still get through the day. But, perhaps the astray does not have an embargo on negative affect.</w:t>
      </w:r>
      <w:r w:rsidRPr="00087A72">
        <w:rPr>
          <w:sz w:val="12"/>
        </w:rPr>
        <w:t xml:space="preserve"> As I now see it in Lukin Linklater’s video, </w:t>
      </w:r>
      <w:r w:rsidRPr="00087A72">
        <w:rPr>
          <w:rStyle w:val="StyleUnderline"/>
        </w:rPr>
        <w:t>the astray is another realm where haunting’s damages are rendered and calculated, or sometimes just borne witness to.</w:t>
      </w:r>
      <w:r w:rsidRPr="00087A72">
        <w:rPr>
          <w:sz w:val="12"/>
        </w:rPr>
        <w:t xml:space="preserve"> Lukin Linklater’s is art like do not let us die this way, and </w:t>
      </w:r>
      <w:r w:rsidRPr="00087A72">
        <w:rPr>
          <w:rStyle w:val="Emphasis"/>
        </w:rPr>
        <w:t>the astray houses forms of being in the world that cannot easily be seen, especially by an academic culture obsessed with hypervisibility; that is, the voyeuristic drive to find a wound on the body.</w:t>
      </w:r>
      <w:r w:rsidRPr="00087A72">
        <w:rPr>
          <w:sz w:val="12"/>
        </w:rPr>
        <w:t xml:space="preserve">[20] Instead, In Memoriam opens up the astray so as to entangle us in its episodes of heartbreak that do not always magnetize public curiosity, doing away with the “legal and public fantasy about what a traditional group should look and act like, how it should be composed.”[21] Lukin Linklater slows down the present’s tempos: her dancer reaches towards the camera, perhaps to say without actually saying anything: “look, look at the wounds that remembering brands onto me.” In an interview with Elizabeth Povinelli, Mohawk anthropologist Audra Simpson notes: </w:t>
      </w:r>
      <w:r w:rsidRPr="00087A72">
        <w:rPr>
          <w:rStyle w:val="StyleUnderline"/>
        </w:rPr>
        <w:t>“And throughout the Native world we see lives lived in a constant contortion, and it’s not a good yoga pose. It’s collectively experienced and carries a great cost.”</w:t>
      </w:r>
      <w:r w:rsidRPr="00087A72">
        <w:rPr>
          <w:sz w:val="12"/>
        </w:rPr>
        <w:t xml:space="preserve">[22] </w:t>
      </w:r>
      <w:r w:rsidRPr="00087A72">
        <w:rPr>
          <w:rStyle w:val="StyleUnderline"/>
        </w:rPr>
        <w:t>In Memoriam represents life lived in a constant contortion</w:t>
      </w:r>
      <w:r w:rsidRPr="00087A72">
        <w:rPr>
          <w:sz w:val="12"/>
        </w:rPr>
        <w:t xml:space="preserve"> as its dancers are </w:t>
      </w:r>
      <w:r w:rsidRPr="00087A72">
        <w:rPr>
          <w:rStyle w:val="StyleUnderline"/>
        </w:rPr>
        <w:t>wrenched into a feralness that the ordinary cannot govern, routing political blame to a state whose bloodlust tore generations apart. In Memoriam, then, evinces a feral aesthetic, filming Indigenous bodies as they absorb colonial trauma and respond without making recourse to the skin’s ability to deflate affect.</w:t>
      </w:r>
      <w:r w:rsidRPr="00087A72">
        <w:rPr>
          <w:sz w:val="12"/>
        </w:rPr>
        <w:t xml:space="preserve"> </w:t>
      </w:r>
      <w:r w:rsidRPr="00087A72">
        <w:rPr>
          <w:rStyle w:val="StyleUnderline"/>
        </w:rPr>
        <w:t>Decolonization is something of a becoming-feral, as it rewilds Indigenous life and detaches our ideas of sovereignty from the settler state’s norms of belonging.</w:t>
      </w:r>
      <w:r w:rsidRPr="00087A72">
        <w:rPr>
          <w:sz w:val="12"/>
        </w:rPr>
        <w:t xml:space="preserve"> Here, though, </w:t>
      </w:r>
      <w:r w:rsidRPr="00087A72">
        <w:rPr>
          <w:rStyle w:val="StyleUnderline"/>
        </w:rPr>
        <w:t>ferality also describes a monstrous subjectivity of sorts characterized by an enduring disassembled-ness—an odd way of showing that shit has hit the fan, so to speak. This is ferality’s grammar: twitch, jump, shake, convulse, scream, ache. It is as if the dancers have been possessed, taken captive by the ghosts of Indigenous worlds past, dancing at the edge of the world. To be possessed is necessarily to be dispossessed.</w:t>
      </w:r>
      <w:r w:rsidRPr="00087A72">
        <w:rPr>
          <w:sz w:val="12"/>
        </w:rPr>
        <w:t xml:space="preserve"> In Memoriam is the start of life improvised in the aftermath of that kind of usurpation. </w:t>
      </w:r>
      <w:r w:rsidRPr="00087A72">
        <w:rPr>
          <w:rStyle w:val="Emphasis"/>
        </w:rPr>
        <w:t xml:space="preserve">I have thus put In Memoriam into my feral archive because it is art that noisily calls out for a witness to life precariously slapped together. Importantly, In Memoriam does not have a goal; there is no paradise-like then and there within arm’s reach, just a last-ditch effort to sift through outposts of a dystopian otherworld to show that we do not get to pretend that we are okay. Sometimes we have to fall apart. </w:t>
      </w:r>
      <w:r w:rsidRPr="00087A72">
        <w:rPr>
          <w:rStyle w:val="StyleUnderline"/>
        </w:rPr>
        <w:t>In supposedly reconciliatory times like ours, Indigenous artists are burdened with answering the call to envision a good post-colonial future, but we are still hurting in the present and we are not finished trying to figure out how to activate collective survival. My point is that In Memoriam demands a new hermeneutics of the sometimes and the somewhere, a hermeneutic that wards off the ossifying grip of analytics that do not take the imaginative, the otherworldly, and the ghostly into account to social-scientifically sketch Indigenous suffering and resistance. This is how we demonstrate that the “present is not enough,” to make recourse to the Muñozian axiom.</w:t>
      </w:r>
      <w:r w:rsidRPr="00087A72">
        <w:rPr>
          <w:sz w:val="12"/>
        </w:rPr>
        <w:t xml:space="preserve">[23] </w:t>
      </w:r>
      <w:r w:rsidRPr="00087A72">
        <w:rPr>
          <w:rStyle w:val="StyleUnderline"/>
        </w:rPr>
        <w:t>We must search through other dimensions to prop up architectures in which we are not always already ontologically mixed with social violence.</w:t>
      </w:r>
    </w:p>
    <w:p w:rsidR="00CD7A9B" w:rsidRPr="00087A72" w:rsidRDefault="00CD7A9B" w:rsidP="00D005A2">
      <w:pPr>
        <w:pStyle w:val="Heading3"/>
      </w:pPr>
      <w:r w:rsidRPr="00087A72">
        <w:t>Alt – Indigenous Fugitivity</w:t>
      </w:r>
    </w:p>
    <w:p w:rsidR="00CD7A9B" w:rsidRPr="00087A72" w:rsidRDefault="00CD7A9B" w:rsidP="00CD7A9B">
      <w:pPr>
        <w:pStyle w:val="Heading4"/>
      </w:pPr>
      <w:r w:rsidRPr="00087A72">
        <w:t>Power and visibility does not function in a settler world as a mode of resistance because it is constantly assimilated and recoded – instead, you should affirm a mode of mode of Indigenous Fugitivity which acts as a weaponization of enigmatic modes of resistance to break through colonialism’s attempt to erase alterity</w:t>
      </w:r>
    </w:p>
    <w:p w:rsidR="00CD7A9B" w:rsidRPr="00087A72" w:rsidRDefault="00CD7A9B" w:rsidP="00CD7A9B">
      <w:pPr>
        <w:rPr>
          <w:rStyle w:val="Style13ptBold"/>
          <w:b w:val="0"/>
          <w:bCs w:val="0"/>
          <w:sz w:val="16"/>
        </w:rPr>
      </w:pPr>
      <w:r w:rsidRPr="00087A72">
        <w:rPr>
          <w:rStyle w:val="Style13ptBold"/>
        </w:rPr>
        <w:t xml:space="preserve">Martineau and Ritskes 14 </w:t>
      </w:r>
      <w:r w:rsidRPr="00087A72">
        <w:t>(Jarrett, works extensively at the intersections of music art, media, technology, and social movements and holds an M.A. and a Ph.D. in Indigenous Governance from the University of Victoria, Eric has a Masters in Education in Social Justice Education. “Fugitive indigeneity: Reclaiming the terrain of decolonial struggle through Indigenous art” Vol. 3, No. 1, 2014, pp. 3-6 | GL)</w:t>
      </w:r>
    </w:p>
    <w:p w:rsidR="00CD7A9B" w:rsidRPr="00087A72" w:rsidRDefault="00CD7A9B" w:rsidP="00CD7A9B">
      <w:r w:rsidRPr="00087A72">
        <w:t xml:space="preserve">This special issue of Decolonization highlights </w:t>
      </w:r>
      <w:r w:rsidRPr="00087A72">
        <w:rPr>
          <w:rStyle w:val="StyleUnderline"/>
        </w:rPr>
        <w:t>the relationship between Indigenous art and struggle - in particular relationship to Indigenous lands, languages and lifeways</w:t>
      </w:r>
      <w:r w:rsidRPr="00087A72">
        <w:t xml:space="preserve"> - in order to explore the </w:t>
      </w:r>
      <w:r w:rsidRPr="00087A72">
        <w:rPr>
          <w:rStyle w:val="StyleUnderline"/>
        </w:rPr>
        <w:t>creative forms that become possible in fugitive spaces of indigeneity: in the critical ruptures where normative, colonial categories and binaries break down and are broken open</w:t>
      </w:r>
      <w:r w:rsidRPr="00087A72">
        <w:t xml:space="preserve">. </w:t>
      </w:r>
      <w:r w:rsidRPr="00087A72">
        <w:rPr>
          <w:rStyle w:val="StyleUnderline"/>
        </w:rPr>
        <w:t>In these breaks we witness resistant voices that refuse to be silenced</w:t>
      </w:r>
      <w:r w:rsidRPr="00087A72">
        <w:t>. As Ngugi (1998) explains, “[</w:t>
      </w:r>
      <w:r w:rsidRPr="00087A72">
        <w:rPr>
          <w:rStyle w:val="StyleUnderline"/>
        </w:rPr>
        <w:t>decolonial] art arms silence with voices that, even when the bodies that carry them are crushed and ground to powder, will rise again, and multiply, and sing out their presence… art in this sense is silence that screams</w:t>
      </w:r>
      <w:r w:rsidRPr="00087A72">
        <w:t xml:space="preserve">” (p. 28). Drawing from different artistic methods and practices, each of this issue’s contributors </w:t>
      </w:r>
      <w:r w:rsidRPr="00087A72">
        <w:rPr>
          <w:rStyle w:val="StyleUnderline"/>
        </w:rPr>
        <w:t>break colonialism’s enforced silence by reasserting the power of Indigenous and decolonial knowledges and voices to contend with colonial power</w:t>
      </w:r>
      <w:r w:rsidRPr="00087A72">
        <w:t xml:space="preserve">. When read collectively, these articles help clarify and push the boundaries of what “decolonial aesthetics” means to Indigenous life-worlds and struggles today. These screams fracture the colonial veneer of aesthetics defined in reference to Euro civility but, perhaps more importantly, they suggest a shared movement away from the enclosures of colonial modernity and into resurgent Indigenous visions of decolonial futures. </w:t>
      </w:r>
      <w:r w:rsidRPr="00087A72">
        <w:rPr>
          <w:rStyle w:val="StyleUnderline"/>
        </w:rPr>
        <w:t>To destabilize the pervasive mythology of colonialism (and its aesthetics) is to re-constitute and renarrate spaces beyond and elsewhere</w:t>
      </w:r>
      <w:r w:rsidRPr="00087A72">
        <w:t xml:space="preserve">. Gerald Vizenor (1998) has argued that </w:t>
      </w:r>
      <w:r w:rsidRPr="00087A72">
        <w:rPr>
          <w:rStyle w:val="StyleUnderline"/>
        </w:rPr>
        <w:t>Indigenous aesthetics of survivance assert Indigenous presences against the continued erasures wrought by settler colonialism through ‘fugitive poses’</w:t>
      </w:r>
      <w:r w:rsidRPr="00087A72">
        <w:t xml:space="preserve">. The fugitive pose is resonant with Joy James’ (2013) recent articulation of a radical Black ‘maroon philosophy’, in which decolonial </w:t>
      </w:r>
      <w:r w:rsidRPr="00087A72">
        <w:rPr>
          <w:rStyle w:val="StyleUnderline"/>
        </w:rPr>
        <w:t>aesthetics work to re-imagine, re-map, and re-constitute an elsewhere;</w:t>
      </w:r>
      <w:r w:rsidRPr="00087A72">
        <w:t xml:space="preserve"> an aesthetics that, as James (2013) suggests, is concretized through struggle and resistance. She </w:t>
      </w:r>
      <w:r w:rsidRPr="00087A72">
        <w:rPr>
          <w:rStyle w:val="StyleUnderline"/>
        </w:rPr>
        <w:t>mobilizes the ‘cell’ and the ‘reservation’</w:t>
      </w:r>
      <w:r w:rsidRPr="00087A72">
        <w:t xml:space="preserve"> (gesturing to both antiblack racism/slavery and settler colonialism) </w:t>
      </w:r>
      <w:r w:rsidRPr="00087A72">
        <w:rPr>
          <w:rStyle w:val="StyleUnderline"/>
        </w:rPr>
        <w:t>as spaces of confinement within colonial geographies, spaces constituted on the margins of Western ‘democracy’. Instead of struggling against this marginalization within dominant society - a struggle that leads back to inclusion - she argues that liminal spaces of fugitivity should be reimagined as part of a decolonizing “trajectory into freedom</w:t>
      </w:r>
      <w:r w:rsidRPr="00087A72">
        <w:t xml:space="preserve">” (p. 124). </w:t>
      </w:r>
      <w:r w:rsidRPr="00087A72">
        <w:rPr>
          <w:rStyle w:val="StyleUnderline"/>
        </w:rPr>
        <w:t>Indigenous art evokes a fugitive aesthetic that, in its decolonial ruptural forms, refuses the struggle for better or more inclusion and recognition</w:t>
      </w:r>
      <w:r w:rsidRPr="00087A72">
        <w:t xml:space="preserve"> (Coulthard, 2007) </w:t>
      </w:r>
      <w:r w:rsidRPr="00087A72">
        <w:rPr>
          <w:rStyle w:val="StyleUnderline"/>
        </w:rPr>
        <w:t>and, instead, chooses refusal and flight as modes of freedom</w:t>
      </w:r>
      <w:r w:rsidRPr="00087A72">
        <w:t xml:space="preserve">. </w:t>
      </w:r>
      <w:r w:rsidRPr="00087A72">
        <w:rPr>
          <w:rStyle w:val="Emphasis"/>
        </w:rPr>
        <w:t>Colonial modernity and the colonial state</w:t>
      </w:r>
      <w:r w:rsidRPr="00087A72">
        <w:t>, as Walter Mignolo (in this issue) states, is “</w:t>
      </w:r>
      <w:r w:rsidRPr="00087A72">
        <w:rPr>
          <w:rStyle w:val="StyleUnderline"/>
        </w:rPr>
        <w:t xml:space="preserve">a </w:t>
      </w:r>
      <w:r w:rsidRPr="00087A72">
        <w:rPr>
          <w:rStyle w:val="Emphasis"/>
        </w:rPr>
        <w:t>house we are not interested in inhabiting”</w:t>
      </w:r>
      <w:r w:rsidRPr="00087A72">
        <w:t xml:space="preserve"> (p. 205), echoing Métis activist Mederic McDougall who pointedly stated, “</w:t>
      </w:r>
      <w:r w:rsidRPr="00087A72">
        <w:rPr>
          <w:rStyle w:val="Emphasis"/>
        </w:rPr>
        <w:t>We do not want to be integrated into a decaying white society</w:t>
      </w:r>
      <w:r w:rsidRPr="00087A72">
        <w:t xml:space="preserve">. </w:t>
      </w:r>
      <w:r w:rsidRPr="00087A72">
        <w:rPr>
          <w:rStyle w:val="Emphasis"/>
        </w:rPr>
        <w:t>Why enter a house that is burning down?”</w:t>
      </w:r>
      <w:r w:rsidRPr="00087A72">
        <w:t xml:space="preserve"> (cited in, Adams, 1999, p. 74). </w:t>
      </w:r>
      <w:r w:rsidRPr="00087A72">
        <w:rPr>
          <w:rStyle w:val="StyleUnderline"/>
        </w:rPr>
        <w:t>The freedom realized through flight and refusal is the freedom to imagine and create an elsewhere in the here; a present future beyond the imaginative and territorial bounds of colonialism. It is a performance of other worlds, an embodied practice of flight. The fugitive aesthetic is not an abdication of contention and struggle; it is a reorientation toward freedom in movement, against the limits of colonial knowing and sensing</w:t>
      </w:r>
      <w:r w:rsidRPr="00087A72">
        <w:t xml:space="preserve">. It seeks to limn the margins of land, culture and consciousness for potential exits, for creative spaces of departure and renewal. </w:t>
      </w:r>
      <w:r w:rsidRPr="00087A72">
        <w:rPr>
          <w:rStyle w:val="StyleUnderline"/>
        </w:rPr>
        <w:t>Indigenous art not only confronts and reveals structures of power and the failures of settler colonialism (which is evidenced by the continuing presence of Indigenous peoples), it fights to realize Indigenous alternatives.</w:t>
      </w:r>
      <w:r w:rsidRPr="00087A72">
        <w:t xml:space="preserve"> Jodi Byrd (2011) has suggested, following Vizenor, that </w:t>
      </w:r>
      <w:r w:rsidRPr="00087A72">
        <w:rPr>
          <w:rStyle w:val="StyleUnderline"/>
        </w:rPr>
        <w:t>mnemonic reading can disrupt the elisions of settler democracy and ‘inclusion’ to understand “indigeneity as radical alterity</w:t>
      </w:r>
      <w:r w:rsidRPr="00087A72">
        <w:t>” (p. xii). This mnemonic reading harmonizes with Moten &amp; Harney’s (2013) call for a ‘wild beyond’ (2013) - a ‘</w:t>
      </w:r>
      <w:r w:rsidRPr="00087A72">
        <w:rPr>
          <w:rStyle w:val="StyleUnderline"/>
        </w:rPr>
        <w:t xml:space="preserve">beyond the beyond’ - that finds similar freedom in movement not simply away from colonialism, but away from any standpoint where colonialism makes sense. </w:t>
      </w:r>
      <w:r w:rsidRPr="00087A72">
        <w:rPr>
          <w:rStyle w:val="Emphasis"/>
        </w:rPr>
        <w:t>To occupy the wild is to occupy flight and reclaim the unconfined, the cacophonous, the dissonant, the noise of anticolonial creativity that sparks, speaks, dreams and gives shape to art that confounds colonial ‘common sense’</w:t>
      </w:r>
      <w:r w:rsidRPr="00087A72">
        <w:t xml:space="preserve">. </w:t>
      </w:r>
      <w:r w:rsidRPr="00087A72">
        <w:rPr>
          <w:rStyle w:val="StyleUnderline"/>
        </w:rPr>
        <w:t>Indigenous art resists colonial confinement and containment; it is irrecuperable to colonial logics</w:t>
      </w:r>
      <w:r w:rsidRPr="00087A72">
        <w:t xml:space="preserve">. Creativity flows, builds and spills over and through colonial enclosures, exceeding them. McDougall (in this issue) explains that </w:t>
      </w:r>
      <w:r w:rsidRPr="00087A72">
        <w:rPr>
          <w:rStyle w:val="StyleUnderline"/>
        </w:rPr>
        <w:t>kaona, as an embedded Indigenous decolonial aesthetic and linguistic praxis, is untranslatable and undecipherable to colonialism</w:t>
      </w:r>
      <w:r w:rsidRPr="00087A72">
        <w:t xml:space="preserve">. Thus, </w:t>
      </w:r>
      <w:r w:rsidRPr="00087A72">
        <w:rPr>
          <w:rStyle w:val="StyleUnderline"/>
        </w:rPr>
        <w:t>if democracy has been weaponized by colonialism to contain, erase, marginalize, and domesticate radical alternatives, the fugitive aesthetic of anticolonial Indigenous art not only disrupts this instrumentalizing stasis, which reduces Indigenous art to expressly political or identity-based significations, it also refuses the finality of enclosure</w:t>
      </w:r>
      <w:r w:rsidRPr="00087A72">
        <w:t xml:space="preserve"> (capture/captivity) by remaining in motion: moving, seeking, and building toward the ‘tangible unknown’ of decolonization (Sium, Desai &amp; Ritskes, 2012). </w:t>
      </w:r>
      <w:r w:rsidRPr="00087A72">
        <w:rPr>
          <w:rStyle w:val="StyleUnderline"/>
        </w:rPr>
        <w:t>The fugitivity of Indigenous art in struggle is not a flight from battle or a defensive, reactionary posture against the predation and violence of colonialism</w:t>
      </w:r>
      <w:r w:rsidRPr="00087A72">
        <w:t xml:space="preserve">. As Collins (in this issue) argues, the violence and broken promises of colonialism are what fuel the resurgence of the ‘warrior energy’ of the people, funneling it into creative contention with the limits of colonial modernity. </w:t>
      </w:r>
      <w:r w:rsidRPr="00087A72">
        <w:rPr>
          <w:rStyle w:val="StyleUnderline"/>
        </w:rPr>
        <w:t>Fugitivity finds its energetic potency in remaining illegible to power, incommensurable with colonialism, and opaque to appropriation, commodification and cultural theft</w:t>
      </w:r>
      <w:r w:rsidRPr="00087A72">
        <w:t xml:space="preserve">. </w:t>
      </w:r>
      <w:r w:rsidRPr="00087A72">
        <w:rPr>
          <w:rStyle w:val="StyleUnderline"/>
        </w:rPr>
        <w:t>That which is fugitive proposes an insurgent force of dissident visibility; it is the hidden that reveals itself in motion. The fugitive aesthetic is thus an overflowing of borders and bordered-thinking, a liminal praxis whose generative effects activate art in a transversal represencing of indigeneity throughout Indigenous lands, languages and territories</w:t>
      </w:r>
      <w:r w:rsidRPr="00087A72">
        <w:t xml:space="preserve">. The cultural and aesthetic production that emanates from these positions is </w:t>
      </w:r>
      <w:r w:rsidRPr="00087A72">
        <w:rPr>
          <w:rStyle w:val="Emphasis"/>
        </w:rPr>
        <w:t>a strategic motion of refusal: to evade capture, resist cooptation, and renew Indigenous life-ways through the creative negation of reductive colonial demarcations of being and sensing</w:t>
      </w:r>
      <w:r w:rsidRPr="00087A72">
        <w:t xml:space="preserve">. In this way, Indigenous </w:t>
      </w:r>
      <w:r w:rsidRPr="00087A72">
        <w:rPr>
          <w:rStyle w:val="StyleUnderline"/>
        </w:rPr>
        <w:t xml:space="preserve">art contributes to decolonization by disrupting colonialism’s linear ordering of the world and its conditioning of possibility. </w:t>
      </w:r>
      <w:r w:rsidRPr="00087A72">
        <w:t xml:space="preserve">Art creates experiences of potentiality that inspire and sustain our collective struggles for freedom; Indigenous art reminds, remembers, and calls out to us to account for colonial injustice, and to realize the potential freedom found in our creative transformation of the world. Jodi Byrd (2011) calls </w:t>
      </w:r>
      <w:r w:rsidRPr="00087A72">
        <w:rPr>
          <w:rStyle w:val="StyleUnderline"/>
        </w:rPr>
        <w:t>Indigeneity the virus in the global system; a radical alterity that simultaneously reveals and disrupts colonial logics and foundations</w:t>
      </w:r>
      <w:r w:rsidRPr="00087A72">
        <w:t xml:space="preserve">. How does this disruption occur? How are Indigenous aesthetics both rooted and fugitive, always grounded in place and land, yet highly mobile and adaptive? How does the radical alterity of indigeneity remix spatial and temporal logics? How does indigeneity elude the confines of colonial appropriation, the limits of colonial spectacularization and fetishization? </w:t>
      </w:r>
      <w:r w:rsidRPr="00087A72">
        <w:rPr>
          <w:rStyle w:val="StyleUnderline"/>
        </w:rPr>
        <w:t>Settler discourses of appropriation and inclusion are disrupted by Indigenous remembrance and re-presencing on the land.</w:t>
      </w:r>
      <w:r w:rsidRPr="00087A72">
        <w:t xml:space="preserve"> As PedriSpade demonstrates in this issue, her project, “Nametoo: Evidence that he/she is/was present,” works to re-inscribe “an Anishinabek presence within Anishinabek lands that fall outside the Indian Act that are now occupied predominantly by White settler-Canadians” (p. 88). For her, Indigenous art and photography are embedded in an aesthetic praxis that “involves sensorial acts of being, seeing, listening and hearing within our Anishinabek territories” (p. 97). Decolonial art does not abdicate or abandon the present; it re-inscribes indigeneity on the land, as the radical alterity of an already before, an always elsewhere from colonialism. In refusing colonial territorializations and intentionally relinking indigeneity to nationhood, land, knowledges and relationships, Pedri-Spade re-stories the land claimed by settler colonial dispossession and occupation as Indigenous land. By recognizing the historical sovereignty and continued presence of her peoples in/on their homelands, she works to unsettle and disrupt the perceptual normativity of the settler state’s occupation. Pedri-Spade re-images decolonial alternatives articulated in an aesthetics and praxis of reconnection, rootedness and mobility. Navarro explores similar themes in her piece, “Solarize-ing Native Hip-Hop: Feminist Land Ethics and Cultural Resistance,” in which she explicates an evolutionary Native feminist aesthetic tied to land sovereignty, representation, and community power. </w:t>
      </w:r>
      <w:r w:rsidRPr="00087A72">
        <w:rPr>
          <w:rStyle w:val="StyleUnderline"/>
        </w:rPr>
        <w:t>This aesthetic “is against the law rather than one that continues to demand recognition from the federal government to uphold the law</w:t>
      </w:r>
      <w:r w:rsidRPr="00087A72">
        <w:t xml:space="preserve">” (p. 108). Navarro envisions being ‘against the law’ through a radical relationality with the earth that simultaneously informs individual cultural positions and proposes points of connection for those seeking solidarity against the colonial state. Here, refusal is framed against the colonial logic of land as property, not only ‘against the law’ as provocation and disruption, but also as a generative reconfiguration of sensibility. In Navarro’s articulation, a Native feminist land ethic re-shapes the settler colonial logic of property through refutation. “The path to the wild beyond is paved with refusal” (Halberstam, 2013, p. 8), and Navarro presents ‘Solarize’ as a path to an elsewhere where the logic of property, of ownership and exploitation of land does not make sense, and where alliances built on a shared land ethic might be generated. A reorientation of settler relationships to land and property are aesthetic reorientations of relationships to sensing and sense experience. As Tiffany King (2013) writes, </w:t>
      </w:r>
      <w:r w:rsidRPr="00087A72">
        <w:rPr>
          <w:rStyle w:val="StyleUnderline"/>
        </w:rPr>
        <w:t>the settler’s relationship to property is both material</w:t>
      </w:r>
      <w:r w:rsidRPr="00087A72">
        <w:t xml:space="preserve"> (in that land is to be conquered, owned, and commodified), </w:t>
      </w:r>
      <w:r w:rsidRPr="00087A72">
        <w:rPr>
          <w:rStyle w:val="StyleUnderline"/>
        </w:rPr>
        <w:t>but it is also a concept that cognitively orders the mind of the settler, shaping and allowing the settler to survey land, knowledge, bodies - and art - for potential yield as commodities</w:t>
      </w:r>
      <w:r w:rsidRPr="00087A72">
        <w:t>. King demonstrates how the relationship between settler constructions of property is a powerful one in shaping the effects of cognitive colonialism in knowledge production, aesthetics, and being, both for Indigenous peoples and space, and also, in connection, for Black peoples and spaces. Navarro’s articulation of a Native feminist land ethic deconstructs the modes of being and creating enabled through colonial land occupation, reconfiguring them through a radical relationality with the land. This radical relationality to the land, that is birthed from and in the alterity of indigeneity, is a lived critique of settler modes of knowing and sensing that are cognitively ordered through property and ownership.</w:t>
      </w:r>
    </w:p>
    <w:p w:rsidR="00934B8A" w:rsidRPr="00087A72" w:rsidRDefault="00934B8A" w:rsidP="00D005A2">
      <w:pPr>
        <w:pStyle w:val="Heading3"/>
      </w:pPr>
      <w:r w:rsidRPr="00087A72">
        <w:t>Alt – Indigenous Teachings</w:t>
      </w:r>
    </w:p>
    <w:p w:rsidR="00934B8A" w:rsidRPr="00087A72" w:rsidRDefault="00934B8A" w:rsidP="00934B8A">
      <w:pPr>
        <w:pStyle w:val="Heading4"/>
      </w:pPr>
      <w:r w:rsidRPr="00087A72">
        <w:t xml:space="preserve">Alt- Adopt indigenous teachings to solve global warming </w:t>
      </w:r>
    </w:p>
    <w:p w:rsidR="00934B8A" w:rsidRPr="00087A72" w:rsidRDefault="00934B8A" w:rsidP="00934B8A">
      <w:pPr>
        <w:rPr>
          <w:rFonts w:eastAsia="Calibri" w:cs="Times New Roman"/>
          <w:sz w:val="16"/>
        </w:rPr>
      </w:pPr>
      <w:r w:rsidRPr="00087A72">
        <w:rPr>
          <w:rFonts w:eastAsia="Calibri" w:cs="Times New Roman"/>
          <w:b/>
        </w:rPr>
        <w:t>Arnold 17</w:t>
      </w:r>
      <w:r w:rsidRPr="00087A72">
        <w:rPr>
          <w:rFonts w:eastAsia="Calibri" w:cs="Times New Roman"/>
        </w:rPr>
        <w:t xml:space="preserve"> </w:t>
      </w:r>
      <w:r w:rsidRPr="00087A72">
        <w:rPr>
          <w:rFonts w:eastAsia="Calibri" w:cs="Times New Roman"/>
          <w:sz w:val="16"/>
        </w:rPr>
        <w:t>(Jobb Dixon, Department of Conflict Resolution Studies, Menno Simons College, University of Winnipeg, 520 Portage Avenue, Winnipeg, Manitoba, R3C 0G2, Canada., “Bare Nature and the Genocide– Ecocide Nexus—The Conditions of General Threat and the Hope of Cultural Adaptation: The Case of Canada’s Tar Sands”, pgg. 28-29)</w:t>
      </w:r>
    </w:p>
    <w:p w:rsidR="00934B8A" w:rsidRPr="00087A72" w:rsidRDefault="00934B8A" w:rsidP="00934B8A">
      <w:pPr>
        <w:rPr>
          <w:u w:val="single"/>
        </w:rPr>
      </w:pPr>
      <w:r w:rsidRPr="00087A72">
        <w:rPr>
          <w:u w:val="single"/>
        </w:rPr>
        <w:t>The first step toward moving to a horizon of collective collaboration, is to honor and connect with Indigenous-led struggles.</w:t>
      </w:r>
      <w:r w:rsidRPr="00087A72">
        <w:t xml:space="preserve"> </w:t>
      </w:r>
      <w:r w:rsidRPr="00087A72">
        <w:rPr>
          <w:sz w:val="14"/>
        </w:rPr>
        <w:t>Indigenous peoples have been continually adapting to the cultural and ecological conditions of genocide and ecocide for hundreds of years in North America (Woolford, Benvenuto, &amp; Hinton, 2014). In spite of the ongoing attempts to destroy their waysof-being, Indigenous cultures continue to carry teachings of land-based interdependence supported by legal traditions that show respect for both human and other-than-human creation (Hallowell, 1976).</w:t>
      </w:r>
      <w:r w:rsidRPr="00087A72">
        <w:t xml:space="preserve"> </w:t>
      </w:r>
      <w:r w:rsidRPr="00087A72">
        <w:rPr>
          <w:u w:val="single"/>
        </w:rPr>
        <w:t>Part of the challenge that remains lies in continuing to decenter the hegemonic forms of European sovereignty that facilitate the genocide–ecocide nexus.</w:t>
      </w:r>
      <w:r w:rsidRPr="00087A72">
        <w:t xml:space="preserve"> </w:t>
      </w:r>
      <w:r w:rsidRPr="00087A72">
        <w:rPr>
          <w:u w:val="single"/>
        </w:rPr>
        <w:t>Indigenous Peoples around the world are not merely resisting ecocidal practices, they are bringing to life a vision for land-based ecocultural homeostasis that resonates with sacred teachings</w:t>
      </w:r>
      <w:r w:rsidRPr="00087A72">
        <w:t xml:space="preserve">. </w:t>
      </w:r>
      <w:r w:rsidRPr="00087A72">
        <w:rPr>
          <w:u w:val="single"/>
        </w:rPr>
        <w:t>Regrounding global responses to climate change requires moving Indigenous epistemologies and governance models to the center of a transnational project coordinate through affective alignments of the populations currently managed as biopower.</w:t>
      </w:r>
      <w:r w:rsidRPr="00087A72">
        <w:t xml:space="preserve"> </w:t>
      </w:r>
      <w:r w:rsidRPr="00087A72">
        <w:rPr>
          <w:u w:val="single"/>
        </w:rPr>
        <w:t>Learning from and implementing land-based laws and ceremonies in the context of rapid ecological change is a promising model for sustainable yet dynamic adaptation strategies</w:t>
      </w:r>
      <w:r w:rsidRPr="00087A72">
        <w:t xml:space="preserve"> (L. Simpson, 2011). Glen Coulthard (2014) </w:t>
      </w:r>
      <w:r w:rsidRPr="00087A72">
        <w:rPr>
          <w:u w:val="single"/>
        </w:rPr>
        <w:t>conceptualizes the cultural resurgence of Indigenous politics through a land-based ethics</w:t>
      </w:r>
      <w:r w:rsidRPr="00087A72">
        <w:t xml:space="preserve">, </w:t>
      </w:r>
      <w:r w:rsidRPr="00087A72">
        <w:rPr>
          <w:sz w:val="14"/>
        </w:rPr>
        <w:t xml:space="preserve">what he </w:t>
      </w:r>
      <w:r w:rsidRPr="00087A72">
        <w:rPr>
          <w:u w:val="single"/>
        </w:rPr>
        <w:t>refers to</w:t>
      </w:r>
      <w:r w:rsidRPr="00087A72">
        <w:t xml:space="preserve"> </w:t>
      </w:r>
      <w:r w:rsidRPr="00087A72">
        <w:rPr>
          <w:sz w:val="14"/>
        </w:rPr>
        <w:t>as</w:t>
      </w:r>
      <w:r w:rsidRPr="00087A72">
        <w:t xml:space="preserve"> </w:t>
      </w:r>
      <w:r w:rsidRPr="00087A72">
        <w:rPr>
          <w:u w:val="single"/>
        </w:rPr>
        <w:t>grounded normativity</w:t>
      </w:r>
      <w:r w:rsidRPr="00087A72">
        <w:t xml:space="preserve">. </w:t>
      </w:r>
      <w:r w:rsidRPr="00087A72">
        <w:rPr>
          <w:sz w:val="14"/>
        </w:rPr>
        <w:t>Based on this framework</w:t>
      </w:r>
      <w:r w:rsidRPr="00087A72">
        <w:rPr>
          <w:u w:val="single"/>
        </w:rPr>
        <w:t xml:space="preserve">, Indigenous struggles against capitalist imperialism [are] best understood as a struggle oriented around the question of land—struggles not only for land, but also deeply informed by what the land as a mode of reciprocal relationship </w:t>
      </w:r>
      <w:r w:rsidRPr="00087A72">
        <w:rPr>
          <w:sz w:val="14"/>
        </w:rPr>
        <w:t xml:space="preserve">(which is itself informed by placed-based practices and associated forms of knowledge) </w:t>
      </w:r>
      <w:r w:rsidRPr="00087A72">
        <w:rPr>
          <w:u w:val="single"/>
        </w:rPr>
        <w:t>ought to teach us about living our lives in relation to one another and our surroundings in a respectful, nondominating and nonexploitative way.</w:t>
      </w:r>
      <w:r w:rsidRPr="00087A72">
        <w:t xml:space="preserve"> (Coulthard, 2014, p. 60</w:t>
      </w:r>
      <w:r w:rsidRPr="00087A72">
        <w:rPr>
          <w:u w:val="single"/>
        </w:rPr>
        <w:t>) Creating homeostatic social and ecological conditions must happen locally, prioritizing local values and practices grounded in meaningful relations between people and the land.</w:t>
      </w:r>
      <w:r w:rsidRPr="00087A72">
        <w:t xml:space="preserve"> </w:t>
      </w:r>
      <w:r w:rsidRPr="00087A72">
        <w:rPr>
          <w:sz w:val="14"/>
        </w:rPr>
        <w:t xml:space="preserve">Ninety years ago, Lemkin urged the League of Nations to take coordinated action to prevent the normalization of national socialism. We can now see how the spread of this ideology, and the international inaction in response, allowed for the preconditions of genocide to gain local traction and international legitimacy, actualizing a dramatic and transnational danger. Today, the spreading conditions of bare life and bare nature present a global danger that extends the scope of Lemkin’s concept of “global transnational danger” to a truly planetary level in form of the genocide–ecocide nexus (Short, 2016). The resources needed for change are currently available. The United Nations (2015) has facilitated the Paris Climate Agreement that provides a framework for facilitating global, institutional-level coordination of climate action (COP21). The United Nations has also adopted documents which provide framework for how local-level Indigenous rights ought to be recognized and enforced at the local level, through the U.N. Declaration on the Rights of Indigenous Peoples (2007). Even </w:t>
      </w:r>
      <w:r w:rsidRPr="00087A72">
        <w:rPr>
          <w:u w:val="single"/>
        </w:rPr>
        <w:t>economic theories now agree that with the right balance of input and compliance, it is possible for self-organizing local systems to incorporate sustainable technology and redistribute power in ways that bring healing, spirit, and dignity back to both human and otherthan-human forms of life</w:t>
      </w:r>
      <w:r w:rsidRPr="00087A72">
        <w:t xml:space="preserve"> (Ostrom, 2009). </w:t>
      </w:r>
      <w:r w:rsidRPr="00087A72">
        <w:rPr>
          <w:sz w:val="14"/>
        </w:rPr>
        <w:t xml:space="preserve">Whatever steps are taken to mitigate the use of fossil fuels, resources depleting and global populations growing, states of bare life and bare nature are the new normal. </w:t>
      </w:r>
      <w:r w:rsidRPr="00087A72">
        <w:rPr>
          <w:u w:val="single"/>
        </w:rPr>
        <w:t>Regionally specific forms of grounded normativity need to be implemented as the basis for building practical and sustainable alternatives to colonial capitalism</w:t>
      </w:r>
      <w:r w:rsidRPr="00087A72">
        <w:t xml:space="preserve">. </w:t>
      </w:r>
      <w:r w:rsidRPr="00087A72">
        <w:rPr>
          <w:u w:val="single"/>
        </w:rPr>
        <w:t xml:space="preserve">Enacting ecological interdependence involves creating new stories about how we can live together in our own corner of the world and how it fits with global adaptation. </w:t>
      </w:r>
      <w:r w:rsidRPr="00087A72">
        <w:rPr>
          <w:sz w:val="14"/>
        </w:rPr>
        <w:t xml:space="preserve">Canada’s resurgent Indigenous politics are mobilized by matters of life, death, as well as cultural survival through forms of ecocultural adaptation that have global implications in the era of climate change. Working toward tangible collaborative goals is not just a way to create deep resilience, it helps expose genocidal and ecocidal systems as illegitimate, unnecessary, and unacceptable. Movement toward modes of land-based governance supported by popular mobilizations that recognize and define themselves against the antagonistic premises of colonial capitalism is a already underway (Mouffe, 2013). The fact is, </w:t>
      </w:r>
      <w:r w:rsidRPr="00087A72">
        <w:rPr>
          <w:u w:val="single"/>
        </w:rPr>
        <w:t>people around the world are finding themselves pressed by matters of life-and-death, to adopt alternative ways-of-living that are ecologically sustainable</w:t>
      </w:r>
      <w:r w:rsidRPr="00087A72">
        <w:t xml:space="preserve">. </w:t>
      </w:r>
      <w:r w:rsidRPr="00087A72">
        <w:rPr>
          <w:sz w:val="14"/>
        </w:rPr>
        <w:t>This growing recognition of global interdependence is a hopeful sign (Lifton, 2017). While they are difficult to quantify and hard to label, affective economies where love for the sacredness of land is circulating with increasing intensity, energizing powerful currents of ecocultural change. The manifold forces involved in what might be called “land-affect” come in many forms (Arnold, in press). Indigenous cultural resurgence and other regionally specific articulations of change are emerging from local-level communities that have begun the work of mitigating the sources of climate change and adapting to changing realities on the ground (Amster, 2015). As more and more people around the world take part in creative local-level collaborations, centered on protecting and caring for the Peoples and lands around them</w:t>
      </w:r>
      <w:r w:rsidRPr="00087A72">
        <w:t xml:space="preserve">, </w:t>
      </w:r>
      <w:r w:rsidRPr="00087A72">
        <w:rPr>
          <w:u w:val="single"/>
        </w:rPr>
        <w:t xml:space="preserve">the conditions that give rise to bare nature and bare life will continue to be delegitimated, decommodified, and rendered inoperative. </w:t>
      </w:r>
    </w:p>
    <w:p w:rsidR="00087A72" w:rsidRDefault="00087A72" w:rsidP="00D005A2">
      <w:pPr>
        <w:pStyle w:val="Heading3"/>
      </w:pPr>
      <w:r w:rsidRPr="00087A72">
        <w:t>Alt – Native Feminist Refusal and Black Feminist Skepticism</w:t>
      </w:r>
    </w:p>
    <w:p w:rsidR="00087A72" w:rsidRPr="00087A72" w:rsidRDefault="00087A72" w:rsidP="00087A72">
      <w:pPr>
        <w:pStyle w:val="Heading4"/>
      </w:pPr>
      <w:r>
        <w:t>The alternative is Native feminist refusal and Black feminist skepticism. Be skeptical of the affirmative’s moves towards innocence and default towards a radical refusal of its politics as a theoretically generative move which can reveal the violences of the affirmative as well as produce a praxis that moves beyond academic scholarship.</w:t>
      </w:r>
    </w:p>
    <w:p w:rsidR="00087A72" w:rsidRPr="00087A72" w:rsidRDefault="00087A72" w:rsidP="00087A72">
      <w:r w:rsidRPr="00087A72">
        <w:rPr>
          <w:rStyle w:val="Style13ptBold"/>
        </w:rPr>
        <w:t>King 2017</w:t>
      </w:r>
      <w:r w:rsidRPr="00087A72">
        <w:t xml:space="preserve"> (Tiffany, Assistant Professor of Women’s and Gender Studies at the Georgia State University “Humans Involved: Lurking in the Lines of Posthumanist Flight” </w:t>
      </w:r>
      <w:r w:rsidRPr="00087A72">
        <w:rPr>
          <w:i/>
        </w:rPr>
        <w:t>Critical Ethnic Studies</w:t>
      </w:r>
      <w:r w:rsidRPr="00087A72">
        <w:t xml:space="preserve"> 3, No. 1, pp. 163-170) NIJ</w:t>
      </w:r>
    </w:p>
    <w:p w:rsidR="00087A72" w:rsidRPr="00087A72" w:rsidRDefault="00087A72" w:rsidP="00087A72">
      <w:pPr>
        <w:rPr>
          <w:u w:val="single"/>
        </w:rPr>
      </w:pPr>
      <w:r w:rsidRPr="00087A72">
        <w:rPr>
          <w:rStyle w:val="StyleUnderline"/>
        </w:rPr>
        <w:t>Native feminist politics of decolonial refusal and Black feminist abolitionist politics of skepticism informed by a misandry and misanthropic distrust of and animus toward the (over)representation of man/men as the human diverge from the polite, communicative acts of the public sphere</w:t>
      </w:r>
      <w:r w:rsidRPr="00087A72">
        <w:rPr>
          <w:sz w:val="12"/>
        </w:rPr>
        <w:t xml:space="preserve">, much like the politics of the “feminist killjoy.”4 [INSERT FOOTNOTE: I use “misandry” (hatred of men) and “misanthropic” (distrust or deep skepticism about humankind or humanity) to illustrate how Sylvia Wynter and other Black scholars attend to the ways that the human— and investments in the human—and its </w:t>
      </w:r>
      <w:r w:rsidRPr="00087A72">
        <w:rPr>
          <w:rStyle w:val="StyleUnderline"/>
        </w:rPr>
        <w:t>revised forms or genres of the human as woman/feminist still reproduce violent exclusions that make the death of Black and Native people viable and in-evitable.</w:t>
      </w:r>
      <w:r w:rsidRPr="00087A72">
        <w:rPr>
          <w:sz w:val="12"/>
        </w:rPr>
        <w:t xml:space="preserve"> In other words, neither men nor women (as humans) can absorb Black females/males/children/LGBT and trans people into their collective folds. Both the hatred of “misandry” and the distrust and pessimism of “misanthropy” are appropriate methods to describe the inflection of the critique levied by Wynter and the other Black scholars examined in this article. END FOOTNOTE] Throughout this article, </w:t>
      </w:r>
      <w:r w:rsidRPr="00087A72">
        <w:rPr>
          <w:rStyle w:val="StyleUnderline"/>
        </w:rPr>
        <w:t>I deploy the term “feminist” both ambivalently and strategically to mark and distinguish the scholarly tradition created by Black and Native women, queer, trans, and other people marginalized within these respective communities and their anticolonial and abolitionist movements.</w:t>
      </w:r>
      <w:r w:rsidRPr="00087A72">
        <w:rPr>
          <w:sz w:val="12"/>
        </w:rPr>
        <w:t xml:space="preserve">5 [INSERT FOOTNOTE: See Sylvia Wynter’s afterword, “Beyond Miranda’s Meanings: Un/silencing the ‘Demonic Ground’ of Caliban’s ‘Woman,’” in Out of the Kumbla: Caribbean Women and Literature, ed. Carole Boyce Davies (Chicago, Ill.: Africa World Press, 1990) 355– 72. Wynter warns Black women in the United States and the Caribbean that they need not uncritically embrace womanism as a political position, which can effectively oppose the elisions, racism, and false universalism of white feminism. “Feminism” as well as “womanism” are bounded and exclusive terms that do not effectively throw the category of the human into continual flux. END FOOTENOTE], Until a more useful and legible term emerges, </w:t>
      </w:r>
      <w:r w:rsidRPr="00087A72">
        <w:rPr>
          <w:rStyle w:val="StyleUnderline"/>
        </w:rPr>
        <w:t>I will use “feminist” to mark the practices of refusal and skepticism</w:t>
      </w:r>
      <w:r w:rsidRPr="00087A72">
        <w:rPr>
          <w:sz w:val="12"/>
        </w:rPr>
        <w:t xml:space="preserve"> (misandry/misanthropy) </w:t>
      </w:r>
      <w:r w:rsidRPr="00087A72">
        <w:rPr>
          <w:rStyle w:val="StyleUnderline"/>
        </w:rPr>
        <w:t>as ones that largely exist outside more masculinist traditions within Indigenous/Native studies and Black studies. “Decolonial refusal” and “abolitionist skepticism” depart from the kinds of masculinist anticolonial traditions that attempt to reason Native/ Black man to White Man within humanist logic in at least two significant ways. First, neither participate in the communicative acts of the humanist public sphere from within the terms of the debate. Further, they do not play by the rules.</w:t>
      </w:r>
      <w:r w:rsidRPr="00087A72">
        <w:rPr>
          <w:sz w:val="12"/>
        </w:rPr>
        <w:t xml:space="preserve">6 [INSERT FOOTNOTE: See the critiques of the anticolonial tradition within Caribbean philosophy articulated by Shona Jackson in her book Creole Indigeneity (Minneapolis: University of Minnesota Press, 2012). Jackson argues that anticolonial Caribbean masculinist philosophy tends to argue from inside the logic of Western philosophy in order to counter it. For instance, in a valorization of the laborer as human and inheritor of the nation-state, Caribbean philosophy tends to reproduce the Hegelian telos of labor as a humanizing agent for the slave, which inadvertently makes the slave a subordinate human and effectively erases the ostensibly “nonlaboring” humanity of Indigenous peoples in the Anglophone Caribbean. END FOOTENOTE] Specifically, the Native and Black “feminist” politics discussed throughout launch a critique of both the logic of the discussion about the human and identity as well as the mode of communication. In fact, </w:t>
      </w:r>
      <w:r w:rsidRPr="00087A72">
        <w:rPr>
          <w:rStyle w:val="Emphasis"/>
        </w:rPr>
        <w:t>practices of refusal and skepticism interrupt and flout codes of civil and collegial discursive protocol</w:t>
      </w:r>
      <w:r w:rsidRPr="00087A72">
        <w:rPr>
          <w:sz w:val="12"/>
        </w:rPr>
        <w:t xml:space="preserve"> to focus on and illumine the violence that structures the posthumanist discourse. Attending to the comportment, tone, and intensity of an engagement is just as important as focusing on its content. </w:t>
      </w:r>
      <w:r w:rsidRPr="00087A72">
        <w:rPr>
          <w:rStyle w:val="StyleUnderline"/>
        </w:rPr>
        <w:t>The particular manner in which Black and Native feminists push back against violence is important. The force, break with decorum, and style in which Black and Native feminists confront discursive violence can change the nature of future encounters.</w:t>
      </w:r>
      <w:r w:rsidRPr="00087A72">
        <w:rPr>
          <w:sz w:val="12"/>
        </w:rPr>
        <w:t xml:space="preserve"> Given that Black women who confront the logics of “nonrepresentational theory” are really confronting genocide and the white, whimsical disavowal of Black and Native negation on the way to subjectlessness, it is understandable that there is an equally discordant response. </w:t>
      </w:r>
      <w:r w:rsidRPr="00087A72">
        <w:rPr>
          <w:rStyle w:val="Emphasis"/>
        </w:rPr>
        <w:t>Refusal and skepticism are modes of engagement that are uncooperative and force an impasse in a discursive exchange.</w:t>
      </w:r>
      <w:r w:rsidRPr="00087A72">
        <w:rPr>
          <w:sz w:val="12"/>
        </w:rPr>
        <w:t xml:space="preserve"> This article tracks how traditions of “decolonial refusal” and “abolitionist skepticism” that emerge from Native/Indigenous and Black studies expose the limits and violence of contemporary nonidentitarian and nonrepresentational impulses within white “critical” theory. Further, </w:t>
      </w:r>
      <w:r w:rsidRPr="00087A72">
        <w:rPr>
          <w:rStyle w:val="StyleUnderline"/>
        </w:rPr>
        <w:t>this article asks whether Western</w:t>
      </w:r>
      <w:r w:rsidRPr="00087A72">
        <w:rPr>
          <w:sz w:val="12"/>
        </w:rPr>
        <w:t xml:space="preserve"> forms of nonrepresentational (subjectless and nonidentitarian) </w:t>
      </w:r>
      <w:r w:rsidRPr="00087A72">
        <w:rPr>
          <w:rStyle w:val="StyleUnderline"/>
        </w:rPr>
        <w:t>theory can truly transcend the human through self- critique, self-abnegation, and masochism alone. External pressure, specifically the kind of pressure that “decolonial refusal” and “abolitionist skepticism” as forms of resistance that enact outright rejection of or view</w:t>
      </w:r>
      <w:r w:rsidRPr="00087A72">
        <w:rPr>
          <w:sz w:val="12"/>
        </w:rPr>
        <w:t xml:space="preserve"> “posthumanist” attempts </w:t>
      </w:r>
      <w:r w:rsidRPr="00087A72">
        <w:rPr>
          <w:rStyle w:val="StyleUnderline"/>
        </w:rPr>
        <w:t>with a “hermeneutics of suspicion,”</w:t>
      </w:r>
      <w:r w:rsidRPr="00087A72">
        <w:rPr>
          <w:sz w:val="12"/>
        </w:rPr>
        <w:t xml:space="preserve">7 [INSERT FOOTNOTE: See the work of Black feminists such as Susana M. Morris, author of Close Kin and Distant Relatives: The Paradox of Respectability in Black Women’s Literature (Charlottesville: University of Virginia Press, 2014), as well as womanist theologians who appropriate the phrase </w:t>
      </w:r>
      <w:r w:rsidRPr="00087A72">
        <w:rPr>
          <w:rStyle w:val="StyleUnderline"/>
        </w:rPr>
        <w:t>“hermeneutics of suspicion”</w:t>
      </w:r>
      <w:r w:rsidRPr="00087A72">
        <w:rPr>
          <w:sz w:val="12"/>
        </w:rPr>
        <w:t xml:space="preserve"> as coined by Paul Ricoeur to </w:t>
      </w:r>
      <w:r w:rsidRPr="00087A72">
        <w:rPr>
          <w:rStyle w:val="StyleUnderline"/>
        </w:rPr>
        <w:t>describe the reading and interpretive practices of Black woman who are distrustful of traditional tropes about</w:t>
      </w:r>
      <w:r w:rsidRPr="00087A72">
        <w:rPr>
          <w:sz w:val="12"/>
        </w:rPr>
        <w:t xml:space="preserve"> heteronormativity or </w:t>
      </w:r>
      <w:r w:rsidRPr="00087A72">
        <w:rPr>
          <w:rStyle w:val="StyleUnderline"/>
        </w:rPr>
        <w:t>conventional ways of thinking about what is natural and normal.</w:t>
      </w:r>
      <w:r w:rsidRPr="00087A72">
        <w:rPr>
          <w:sz w:val="12"/>
        </w:rPr>
        <w:t xml:space="preserve"> Further, in Morris’s case, as well as within the tradition of Black women of faith and theologians, canonical and biblical texts are interpreted through a lens that acknowledges white supremacy and misogyny, and critically challenges racism and sexism (or kyriarchy in Morris’s case). Within Black feminist and womanist traditions, it is a position that can recognize the limitations of text and that refuses to accept the doctrine, theories, or message of an ideology wholesale. END FOOTENOTE] </w:t>
      </w:r>
      <w:r w:rsidRPr="00087A72">
        <w:rPr>
          <w:rStyle w:val="StyleUnderline"/>
        </w:rPr>
        <w:t>is needed in order to truly address the recurrent problem of the violence of the human</w:t>
      </w:r>
      <w:r w:rsidRPr="00087A72">
        <w:rPr>
          <w:sz w:val="12"/>
        </w:rPr>
        <w:t xml:space="preserve"> in continental theory. While this article does not directly stake a claim in embracing or rejecting identity per se, it does take up the category of the human. Because the category of the human is modified by identity in ways that position certain people (white, male, able- bodied) within greater or lesser proximity to humanness, identity is already taken up in this discussion. Conversations about the human are very much tethered to conversations about identity. In the final section, the article will explore how </w:t>
      </w:r>
      <w:r w:rsidRPr="00087A72">
        <w:rPr>
          <w:rStyle w:val="StyleUnderline"/>
        </w:rPr>
        <w:t>Black and Native/Indigenous absorption into the category of the human would disfigure the category of the human beyond recognition.</w:t>
      </w:r>
      <w:r w:rsidRPr="00087A72">
        <w:rPr>
          <w:sz w:val="12"/>
        </w:rPr>
        <w:t xml:space="preserve"> Engaging how forms of Native decolonization and Black abolition scrutinize the violently exclusive means in which the human has been written and conceived is generative because it sets some workable terms of engagement for interrogating Western and mainstream claims to and disavowals of identity. Rather than answer how Native decolonization and Black abolition construe the human or identity, the article examines how Native and Black feminists use refusal and misandry to question the very systems, institutions, and order of knowledge that secure humanity as an exclusive experience and bound identity in violent ways. I consider the practices and postures of refusal assumed by Native/Indigenous scholars such as Audra Simpson, Eve Tuck, Jodi Byrd, and Linda Tuhiwai Smith to be particularly instructive for exposing the violence of ostensibly nonrepresentational Deleuzoguattarian rhizomes and lines of flight. While reparative readings and “working with what is productive” about Gilles Deleuze and Félix Guattari’s work is certainly a part of the Native feminist scholarly tradition, this article focuses on the underexamined ways that Native feminists refuse to entertain certain logics and foundations that actually structure Deleuzoguattarian thought.8 [I thank one of the reviewers, who reminded me that Native feminist thought’s engagement with continental theory, specifically the work of Deleuze and Guattari, can be likened more to “constellations” as it takes up Deleuzoguattarian thought rather than a single point that always departs from a place of refusal. END FOOTENOTE] Further, </w:t>
      </w:r>
      <w:r w:rsidRPr="00087A72">
        <w:rPr>
          <w:rStyle w:val="StyleUnderline"/>
        </w:rPr>
        <w:t>I discuss “decolonial refusal” in relation to how Black scholars</w:t>
      </w:r>
      <w:r w:rsidRPr="00087A72">
        <w:rPr>
          <w:sz w:val="12"/>
        </w:rPr>
        <w:t xml:space="preserve"> like Sylvia Wynter, Zakiyyah Iman Jackson, and Amber Jamilla Musser work </w:t>
      </w:r>
      <w:r w:rsidRPr="00087A72">
        <w:rPr>
          <w:rStyle w:val="StyleUnderline"/>
        </w:rPr>
        <w:t>within a Black feminist tradition animated by a kind of skepticism or suspicion capable of ferreting out the trace of the white liberal human</w:t>
      </w:r>
      <w:r w:rsidRPr="00087A72">
        <w:rPr>
          <w:sz w:val="12"/>
        </w:rPr>
        <w:t xml:space="preserve"> within (self-)professed subjectless, futureless, and nonrepresentational white theoretical traditions. In other words, in the work of Sylvia Wynter, </w:t>
      </w:r>
      <w:r w:rsidRPr="00087A72">
        <w:rPr>
          <w:rStyle w:val="StyleUnderline"/>
        </w:rPr>
        <w:t>one senses a general suspicion and deep distrust of the ability of Western theory— specifically its attempt at self- critique and self- correction in the name of justice for humanity— to revise its cognitive orders</w:t>
      </w:r>
      <w:r w:rsidRPr="00087A72">
        <w:rPr>
          <w:sz w:val="12"/>
        </w:rPr>
        <w:t xml:space="preserve"> to work itself out of its current “closed system,” which reproduces exclusion and structural oppositions based on the negation of the other.9 [INSERT FOOTENOTE: See Katherine McKittrick, “Diachronic Loops/Deadweight Tonnage/Bad Made Measure,” Cultural Geographies 23, no. 1 (2016): 3– 18, doi:10.1177/14744740156 12716, for an exemplary explication of how Sylvia Wynter uses the decolonial scholarship of an “autopoiesis.” END FOOTENOTE] Wynter’s study of decolonial theory and its elaboration of autopoiesis informs her understanding of how the human and its overrepresentation as man emerges. </w:t>
      </w:r>
      <w:r w:rsidRPr="00087A72">
        <w:rPr>
          <w:rStyle w:val="StyleUnderline"/>
        </w:rPr>
        <w:t>Recognizing that humans (of various genres) write themselves through a “self- perpetuating and self- referencing closed belief system” that often prevents them from seeing or noticing “the process of recursion,” Wynter works to expose these blind spots.</w:t>
      </w:r>
      <w:r w:rsidRPr="00087A72">
        <w:rPr>
          <w:sz w:val="12"/>
        </w:rPr>
        <w:t xml:space="preserve">10 [INSERT FOOTNOTE: See McKittrick, “Diachronic Loops,” in which the author cites the importance of the work of H. Maturana and F. Varela, Autopoiesis and Cognition: The Realization of the Living (London: D. Reidel, 1972), for the study of the human’s process of self- writing. END FOOTNOTE] Wynter understands that one of </w:t>
      </w:r>
      <w:r w:rsidRPr="00087A72">
        <w:rPr>
          <w:rStyle w:val="StyleUnderline"/>
        </w:rPr>
        <w:t>the limitations of Western liberal thought is that it cannot see itself</w:t>
      </w:r>
      <w:r w:rsidRPr="00087A72">
        <w:rPr>
          <w:sz w:val="12"/>
        </w:rPr>
        <w:t xml:space="preserve"> in the process of writing itself. I observe a similar kind of cynicism about the way the academic left invokes “post humanism” in the work of Jackson and Musser. Musser in particular questions the capacity of queer theories to turn to sensations like masochism within the field of affect studies to overcome the subject. Further, Jackson’s and Musser’s work is skeptical that white transcendence can happen on its own terms or rely solely on its own processes of self-critique and self- correction. I read Jackson’s and Musser’s work as distrustful of the ability for “posthumanism” to be accountable to Black and Indigenous peoples or for affect theory on its own to not replicate and reinforce the subjugation of the other as it moves toward self- annihilation. Both the human and the post human are causes for suspicion within Black studies. Like Wynter, the field of Black studies has consistently made the liberal human an object of study and scrutiny, particularly the nefarious manner in which it violently produces Black existence as other than and at times nonhuman. Wynter’s empirical method of tracking the internal epistemic crises and revolutions of Europe from the outside has functioned as a model for one way that Black studies can unfurl a critique of the human as well as Western modes of thought. I use the terms “misanthropy” and “misandry” in this article to evoke how Black studies has remained attentive to, wary about, and deeply distrustful of the human condition, humankind, and the humanas-man/men in the case of Black “feminists.” Both Black studies’ distrust of the “human” and Black feminism’s distrust of humanism in its version as man/men (which at times seeks to incorporate Black men) relentlessly scrutinize how the category of the human and in this case the “posthuman” reproduce Black death. </w:t>
      </w:r>
      <w:r w:rsidRPr="00087A72">
        <w:rPr>
          <w:rStyle w:val="StyleUnderline"/>
        </w:rPr>
        <w:t>I link misandry (skepticism of humankind-as-man) to the kind of skepticism and “hermeneutics of suspicion”</w:t>
      </w:r>
      <w:r w:rsidRPr="00087A72">
        <w:rPr>
          <w:sz w:val="12"/>
        </w:rPr>
        <w:t xml:space="preserve"> that Black feminist scholars like Wynter, Jackson, and Musser at times apply to their reading and engagement with revisions to or expansions of the category of the human, posthuman discourses, and nonrepresentational theory In this article, </w:t>
      </w:r>
      <w:r w:rsidRPr="00087A72">
        <w:rPr>
          <w:rStyle w:val="StyleUnderline"/>
        </w:rPr>
        <w:t>I connect discursive performance of skepticism to embodied and affective responses I have witnessed in the academy that challenge the sanctioned modes of protocol, politesse, and decorum in the university.</w:t>
      </w:r>
      <w:r w:rsidRPr="00087A72">
        <w:rPr>
          <w:sz w:val="12"/>
        </w:rPr>
        <w:t xml:space="preserve"> For example, Wynter assumes a critically disinterested posture as she gazes empirically on and examines intra-European epistemic shifts over time. Paget Henry has described Wynter as an anthropologist of the Occident, as Europe becomes an object of study rather than the center of thought and humanity.11 [INSERT FOOTNOTE: Paget Henry, Caliban’s Reason: Introducing Afro-Caribbean Philosophy (New York: Routledge, 2002), 19. END FOOTENOTE] Throughout the body of Wynter’s work, she seems to be more interested in drawing our attention to the capacity of European orders of knowledge to shift over time— or their fragility— than in celebrating the progress that European systems of knowledge have claimed to make. </w:t>
      </w:r>
      <w:r w:rsidRPr="00087A72">
        <w:rPr>
          <w:rStyle w:val="StyleUnderline"/>
        </w:rPr>
        <w:t>Wynter’s tracking is just a tracking and not a celebration of the progress narrative that Western civilization tells about itself and its capacity to define, refine, and recognize new kinds of humanity over time. This comportment of critical disinterest is often read as an affront to the codes and customs of scholarly discourse and dialogue in the academic community</w:t>
      </w:r>
      <w:r w:rsidRPr="00087A72">
        <w:rPr>
          <w:sz w:val="12"/>
        </w:rPr>
        <w:t xml:space="preserve">, particularly when it is in response to the white thinkers of the Western cannon. </w:t>
      </w:r>
      <w:r w:rsidRPr="00087A72">
        <w:rPr>
          <w:rStyle w:val="StyleUnderline"/>
        </w:rPr>
        <w:t>Decolonial refusal and abolitionist skepticism respond to how perverse and reprehensible it is to ask Indigenous and Black people who cannot seem to escape death to</w:t>
      </w:r>
      <w:r w:rsidRPr="00087A72">
        <w:rPr>
          <w:sz w:val="12"/>
        </w:rPr>
        <w:t xml:space="preserve"> move beyond the human or the </w:t>
      </w:r>
      <w:r w:rsidRPr="00087A72">
        <w:rPr>
          <w:rStyle w:val="StyleUnderline"/>
        </w:rPr>
        <w:t>desire to be human. In fact, Black and Indigenous people have never been fully folded into the category of the human.</w:t>
      </w:r>
      <w:r w:rsidRPr="00087A72">
        <w:rPr>
          <w:sz w:val="12"/>
        </w:rPr>
        <w:t xml:space="preserve"> As Zakiyyah Iman Jackson has argued, It has largely gone unnoticed by posthumanists that their queries into ontology often find their homologous (even anticipatory) appearance in decolonial philosophies that confront slavery and colonialism’s inextricability from the Enlightenment humanism they are trying to displace. Perhaps this foresight on the part of decolonial theory is rather unsurprising considering that exigencies of race have crucially anticipated and shaped discourses governing the non- human (animal, technology, object, and plant).12 [Zakkiyah Iman Jackson, “Review: Animal: New Directions in the Theorization of Race and Posthumanism,” Feminist Studies 39, no. 3 (2013): 681. END FOOTENOTE] A crucial point that Jackson emphasizes is that Black and Indigenous studies, particularly decolonial studies, has already grappled with and anticipated the late twentieth century impulses inspired by Leo Bersani and Lee Edelman to annihilate the self and jettison the future. </w:t>
      </w:r>
      <w:r w:rsidRPr="00087A72">
        <w:rPr>
          <w:rStyle w:val="StyleUnderline"/>
        </w:rPr>
        <w:t>Indigenous and Black “sex” (as activity, reproduction, pleasure, world-building, and not-human sexuality) are already subsumed by death.</w:t>
      </w:r>
      <w:r w:rsidRPr="00087A72">
        <w:rPr>
          <w:sz w:val="12"/>
        </w:rPr>
        <w:t xml:space="preserve"> For some reason, </w:t>
      </w:r>
      <w:r w:rsidRPr="00087A72">
        <w:rPr>
          <w:rStyle w:val="StyleUnderline"/>
        </w:rPr>
        <w:t>white critical theory cannot seem to fathom that self- annihilation is something white people need to figure out by themselves.</w:t>
      </w:r>
      <w:r w:rsidRPr="00087A72">
        <w:rPr>
          <w:sz w:val="12"/>
        </w:rPr>
        <w:t xml:space="preserve"> In other words, “they can have that.”13 [INSERT FOOTNOTE: This is a colloquialism or form of vernacular often used by Blacks and People of Color to express that they disagree with something and more specifically reject an idea and will leave that to the people whom it concerns to deal with. END FOOTNOTE] Within Native feminist theorizing, ethnographic refusal can be traced to Audra Simpson’s 2007 article, “On Ethnographic Refusal.” In this seminal work, Simpson reflects on and gains inspiration from the tradition of refusal practiced by the people of Kahnawake.14 [INSERT FOOTNOTE: Simpson’s ethnographic work specifically focuses on the Kahnawake Mohawk who reside in a reservation in the territory is now referred to as southwest Quebec. END FOOTNOTE] </w:t>
      </w:r>
      <w:r w:rsidRPr="00087A72">
        <w:rPr>
          <w:rStyle w:val="StyleUnderline"/>
        </w:rPr>
        <w:t xml:space="preserve">Simpson shares that Kahnawake refusals are at the core and spirit of her own ethnographic and ethical practices of refusal. I was interested in the larger picture, in the discursive, material and moral territory that was simultaneously historical and contemporary </w:t>
      </w:r>
      <w:r w:rsidRPr="00087A72">
        <w:rPr>
          <w:sz w:val="12"/>
        </w:rPr>
        <w:t xml:space="preserve">(this “national” space) </w:t>
      </w:r>
      <w:r w:rsidRPr="00087A72">
        <w:rPr>
          <w:rStyle w:val="StyleUnderline"/>
        </w:rPr>
        <w:t>and the ways in which Kahnawakero:non, the “people of Kahnawake,” had refused the authority of the state at almost every turn.</w:t>
      </w:r>
      <w:r w:rsidRPr="00087A72">
        <w:rPr>
          <w:sz w:val="12"/>
        </w:rPr>
        <w:t xml:space="preserve"> The ways in which their formation of the initial membership code (now replaced by a lineage code and board of elders to implement the code and determine cases) was refused; the ways in which their interactions with border guards at the international boundary line were predicated upon a refusal; how refusal worked in everyday encounters to enunciate repeatedly to ourselves and to outsiders that “this is who we are, this is who you are, these are my rights.”15 [INSERT FOOTNOTE: Audra Simpson, “On Ethnographic Refusal: Indigeneity, ‘Voice’ and Colonial Citizenship,” Junctures: The Journal for Thematic Dialogue, no. 9 (December 2007): 73. END FOOTNOTE] Because Simpson was concerned with applying the political and everyday modes of Kahnawake refusal, she attended to the “collective limit” established by her and her Kahnawake participants.16 [INSERT FOOTNOTE: Ibid., 77. END FOOTNOTE] The collective limit was relationally and ethically determined by what was shared but more importantly by what was not shared. Simpson’s ability to discern the collective limit could only be achieved through a form of relational knowledge production that regards and cares for the other. Simpson recounts how one of her participants forced her to recognize a collective limit. Approaching and then arriving at the limit, Simpson experiences the following: And although I pushed him, hoping that there might be something explicit said from the space of his exclusion— or more explicit than he gave me— it was enough that he said what he said. “Enough” is certainly enough. “Enough,” I realised, was when I reached the limit of my own return and our collective arrival. Can I do this and still come home; what am I revealing here and why? Where will this get us? Who benefits from this and why? And “enough” was when they shut down (or told me to turn off the recorder), or told me outright funny things like “nobody seems to know”— when everybody does know and talks about it all the time. Dominion then has to be exercised over these representations, and that was determined when enough was said. The ethnographic limit then, was reached not just when it would cause harm (or extreme discomfort)— the limit was arrived at when the representation would bite all of us and compromise the representational territory that we have gained for ourselves in the past 100 years.17 [INSERT FOOTNOTE: Ibid., 78. END FOOTNOTE] Extending her discussion of ethnographic refusal beyond the bounds of ethnographic concerns, Simpson also ponders whether this enactment of refusal can be applied to theoretical work. </w:t>
      </w:r>
      <w:r w:rsidRPr="00087A72">
        <w:rPr>
          <w:rStyle w:val="StyleUnderline"/>
        </w:rPr>
        <w:t>Simpson outright poses a question: “What is theoretically generative about these refusals?”</w:t>
      </w:r>
      <w:r w:rsidRPr="00087A72">
        <w:rPr>
          <w:sz w:val="12"/>
        </w:rPr>
        <w:t xml:space="preserve">18 [INSERT FOOTNOTE: Ibid. END FOOTNOTE] The question that Simpson asks in 2007 is clarified by Eve Tuck and K. Wayne Yang in the 2014 essay “R- Words: Refusing Research.” Arguing that </w:t>
      </w:r>
      <w:r w:rsidRPr="00087A72">
        <w:rPr>
          <w:rStyle w:val="StyleUnderline"/>
        </w:rPr>
        <w:t>modes of refusal extended into the theoretical and methodological terrains of knowledge production are productive and necessary</w:t>
      </w:r>
      <w:r w:rsidRPr="00087A72">
        <w:rPr>
          <w:sz w:val="12"/>
        </w:rPr>
        <w:t xml:space="preserve">, Tuck and Yang state: For the purposes of our discussion, the most important insight to draw from Simpson’s article is her emphasis that </w:t>
      </w:r>
      <w:r w:rsidRPr="00087A72">
        <w:rPr>
          <w:rStyle w:val="StyleUnderline"/>
        </w:rPr>
        <w:t>refusals are not subtractive, but are theoretically generative, expansive. Refusal is not just a “no,” but a redirection to ideas otherwise unacknowledged or unquestioned. Unlike a settler colonial configuration of knowledge that is petulantly exasperated and resentful of limits, a methodology of refusal regards limits on knowledge as productive, as indeed a good thing.</w:t>
      </w:r>
      <w:r w:rsidRPr="00087A72">
        <w:rPr>
          <w:sz w:val="12"/>
        </w:rPr>
        <w:t xml:space="preserve">19 [INSERT FOOTNOTE: Eve Tuck and K. Wayne Yang, “R- Words: Refusing Research,” in Humanizing Research: Decolonizing Qualitative Inquiry with Youth and Communities (Thousand Oaks, Calif.: SAGE, 2014), 239. END FOOTNOTE] In line with Simpson’s intervention, Tuck and Yang posit that </w:t>
      </w:r>
      <w:r w:rsidRPr="00087A72">
        <w:rPr>
          <w:rStyle w:val="StyleUnderline"/>
        </w:rPr>
        <w:t>“refusal itself could be developed into both method and theory.”</w:t>
      </w:r>
      <w:r w:rsidRPr="00087A72">
        <w:rPr>
          <w:sz w:val="12"/>
        </w:rPr>
        <w:t xml:space="preserve">20 [INSERT FOOTNOTE: Ibid., 242. END FOOTNOTE] For Tuck and Yang, </w:t>
      </w:r>
      <w:r w:rsidRPr="00087A72">
        <w:rPr>
          <w:rStyle w:val="StyleUnderline"/>
        </w:rPr>
        <w:t>a generative practice of refusal and a decolonial and abolitionist tradition is making Western thought “turn back upon itself as settler colonial knowledge, as opposed to universal, liberal, or neutral knowledge without horizon.”</w:t>
      </w:r>
      <w:r w:rsidRPr="00087A72">
        <w:rPr>
          <w:sz w:val="12"/>
        </w:rPr>
        <w:t xml:space="preserve">21 [INSERT FOOTNOTE: Ibid., 243. END FOOTNOTE] In fact, </w:t>
      </w:r>
      <w:r w:rsidRPr="00087A72">
        <w:rPr>
          <w:rStyle w:val="StyleUnderline"/>
        </w:rPr>
        <w:t>the coauthors suggest “making the settler colonial metanarrative the object of . . . research.”</w:t>
      </w:r>
      <w:r w:rsidRPr="00087A72">
        <w:rPr>
          <w:sz w:val="12"/>
        </w:rPr>
        <w:t xml:space="preserve">22 [INSERT FOOTNOTE: Ibid., 244. END FOOTNOTE] </w:t>
      </w:r>
      <w:r w:rsidRPr="00087A72">
        <w:rPr>
          <w:rStyle w:val="StyleUnderline"/>
        </w:rPr>
        <w:t>What this move effectively does is question the uninterrogated assumptions and exposes the violent particularities of the metanarrative. Scrutiny as a practice of refusal also slows down or perhaps halts the momentum of the machinery that allows</w:t>
      </w:r>
      <w:r w:rsidRPr="00087A72">
        <w:rPr>
          <w:sz w:val="12"/>
        </w:rPr>
        <w:t xml:space="preserve">, as Tuck and Yang argue, </w:t>
      </w:r>
      <w:r w:rsidRPr="00087A72">
        <w:rPr>
          <w:rStyle w:val="StyleUnderline"/>
        </w:rPr>
        <w:t>“knowledge to facilitate interdictions on Indigenous and Black life.”</w:t>
      </w:r>
      <w:r w:rsidRPr="00087A72">
        <w:rPr>
          <w:sz w:val="12"/>
        </w:rPr>
        <w:t xml:space="preserve">23 [INSERT FOOTNOTE: Ibid., 244. END FOOTNOTE] Taking a cue from Simpson and Tuck and Yang, I turn to Tuck’s 2010 critique of Deleuze’s notion of “desire” as an example of the theoretical practice of refusal, which Simpson wonders about and which Tuck and Yang elaborated on in 2014. Eve Tuck’s 2010 article “Breaking Up with Deleuze” refuses Deleuze’s understanding and imposition of his definition of desire for Native studies and Native resurgence in particular. Tuck refuses the Deleuzoguattarian nomadic due to its totalizing moves and specifically its evasion and refusal of Native and alternative notions of refusal that emerge from Native struggles for survival.24 [INSERT FOOTNOTE: Eve Tuck, “Breaking Up with Deleuze: Desire and Valuing the Irreconcilable,” International Journal of Qualitative Studies in Education 23, no. 5 (2010): 635– 50. END FOOTNOTE] For Tuck, paying attention to “the continuity of ancestors,” or genealogies, in Native and in all modes of knowledge production is imperative. For Indigenous and Native studies, it reverses the erasure enacted by continental European and settler-colonial theory, which uses a tradition of ongoing genocide to annihilate Native thinkers and subsequently their epistemologies and theories. Prior to Byrd’s indictment of Deleuzoguattarian laudatory accounts of America’s terrain of “Indians without Ancestry,” Tuck reroutes us back to ancestral and genealogical thinking as a way of asserting Indigenous presence and its epistemological systems and traditions, devoid of Cartesian boundary- making impulses and desires. Tuck’s work also prepares us in 2010 for the critique that Byrd levies in 2011, which exposes the traditions, roots, and genealogies of Western poststructuralist theory. Such theory created the conditions of possibility and emergence for Deleuzoguattarian genocidal forms of rhizomatic and nonrepresentational thought. </w:t>
      </w:r>
      <w:r w:rsidRPr="00087A72">
        <w:rPr>
          <w:rStyle w:val="StyleUnderline"/>
        </w:rPr>
        <w:t>Black Caribbean feminist Michelle V. Rowley argues we need to especially attend to a theory’s “politics and conditions of emergence.”</w:t>
      </w:r>
      <w:r w:rsidRPr="00087A72">
        <w:rPr>
          <w:sz w:val="12"/>
        </w:rPr>
        <w:t xml:space="preserve">25 [INSERT FOOTNOTE: See Michelle V. Rowley, “The Idea of Ancestry: Of Feminist Genealogies and Many Other Things,” in Feminist Theory Reader: Local and Global Perspectives, 3rd ed., ed. Carole R. McCann and Syeung Kyung Kim (New York: Routledge, 2013), 810– 81, where Rowley argues that transnational feminisms need to attend to how the white feminist wave as a metaphor and theory emerges, disciplines are thought, and more importantly how “its wins” are gained through the exploitation and suffering of women from the Global South. Rowley describes this work as attending to the “politics and conditions of emergence” of feminist metaphors and theories. END FOOTNOTE] </w:t>
      </w:r>
      <w:r w:rsidRPr="00087A72">
        <w:rPr>
          <w:rStyle w:val="StyleUnderline"/>
        </w:rPr>
        <w:t xml:space="preserve">In other words, we need to consider on whose backs or through whose blood a theory developed and then circulated while hiding its own violence. </w:t>
      </w:r>
    </w:p>
    <w:p w:rsidR="007F2DDD" w:rsidRPr="00087A72" w:rsidRDefault="007F2DDD" w:rsidP="00D005A2">
      <w:pPr>
        <w:pStyle w:val="Heading3"/>
      </w:pPr>
      <w:r w:rsidRPr="00087A72">
        <w:t>Alt – Read Death as Text</w:t>
      </w:r>
    </w:p>
    <w:p w:rsidR="007F2DDD" w:rsidRPr="00087A72" w:rsidRDefault="007F2DDD" w:rsidP="007F2DDD">
      <w:pPr>
        <w:pStyle w:val="Heading4"/>
      </w:pPr>
      <w:r w:rsidRPr="00087A72">
        <w:t>Thus the alternative is to reject the affirmative in order to read the resolution as death, this death itself a text which reveals the death-driven enshatterment of Indigenous children as the affirmative’s condition of possibility. Rather than participate in the recuperative hermeneutics of the affirmative which seeks to tell another story, locate another object, reveal another body—reading death as text reveals how violence becomes eroticized in our search for an object of study. Colonial sexuality, playing out most obviously across the bodies of Indigenous women and children, becomes the underlying force in the affirmative’s drive towards knowledge.</w:t>
      </w:r>
    </w:p>
    <w:p w:rsidR="007F2DDD" w:rsidRPr="00087A72" w:rsidRDefault="007F2DDD" w:rsidP="007F2DDD">
      <w:r w:rsidRPr="00087A72">
        <w:rPr>
          <w:rStyle w:val="Style13ptBold"/>
        </w:rPr>
        <w:t>Young 17</w:t>
      </w:r>
      <w:r w:rsidRPr="00087A72">
        <w:t xml:space="preserve"> (Bryanne Huston, Doctoral Student at the University of North Carolina, Chapel Hill “Killing the Indian in the Child: Materialities of Death and Political Formations of Life in the Canadian Indian Residential School System,” pp. 39-42) NIJ</w:t>
      </w:r>
    </w:p>
    <w:p w:rsidR="007F2DDD" w:rsidRPr="00087A72" w:rsidRDefault="007F2DDD" w:rsidP="007F2DDD">
      <w:pPr>
        <w:rPr>
          <w:sz w:val="12"/>
        </w:rPr>
      </w:pPr>
      <w:r w:rsidRPr="00087A72">
        <w:rPr>
          <w:sz w:val="12"/>
        </w:rPr>
        <w:t xml:space="preserve">Sexuality and death present so dense a conjuncture the work has been difficult to begin. For a long time it yielded nothing but circularity. For a long time it seemed a doomed place to start. I think perhaps it is. I think that might be precisely the point. To find a particular form of colonial sexuality, </w:t>
      </w:r>
      <w:r w:rsidRPr="00087A72">
        <w:rPr>
          <w:rStyle w:val="StyleUnderline"/>
        </w:rPr>
        <w:t>to locate</w:t>
      </w:r>
      <w:r w:rsidRPr="00087A72">
        <w:rPr>
          <w:sz w:val="12"/>
        </w:rPr>
        <w:t xml:space="preserve"> it as </w:t>
      </w:r>
      <w:r w:rsidRPr="00087A72">
        <w:rPr>
          <w:rStyle w:val="StyleUnderline"/>
        </w:rPr>
        <w:t>an object of the archive—a practice</w:t>
      </w:r>
      <w:r w:rsidRPr="00087A72">
        <w:rPr>
          <w:sz w:val="12"/>
        </w:rPr>
        <w:t xml:space="preserve"> that sexuality studies and (post)colonial studies scholar Anjali </w:t>
      </w:r>
      <w:r w:rsidRPr="00087A72">
        <w:rPr>
          <w:rStyle w:val="StyleUnderline"/>
        </w:rPr>
        <w:t>Arondekar</w:t>
      </w:r>
      <w:r w:rsidRPr="00087A72">
        <w:rPr>
          <w:sz w:val="12"/>
        </w:rPr>
        <w:t xml:space="preserve"> (2009) </w:t>
      </w:r>
      <w:r w:rsidRPr="00087A72">
        <w:rPr>
          <w:rStyle w:val="StyleUnderline"/>
        </w:rPr>
        <w:t>calls “recuperative hermeneutics”</w:t>
      </w:r>
      <w:r w:rsidRPr="00087A72">
        <w:rPr>
          <w:sz w:val="12"/>
        </w:rPr>
        <w:t xml:space="preserve"> (2)</w:t>
      </w:r>
      <w:r w:rsidRPr="00087A72">
        <w:rPr>
          <w:rStyle w:val="StyleUnderline"/>
        </w:rPr>
        <w:t>—seems to indicate the bringing forth of a kind of veiled hiddenness, a there-to-be-had/found narrative that emerges if the light is right. A “recalcitrant event,” it is already as though there is something to/of sexuality that is lost, or silent—an already melancholy object.</w:t>
      </w:r>
      <w:r w:rsidRPr="00087A72">
        <w:rPr>
          <w:sz w:val="12"/>
        </w:rPr>
        <w:t xml:space="preserve"> 20 </w:t>
      </w:r>
      <w:r w:rsidRPr="00087A72">
        <w:rPr>
          <w:rStyle w:val="StyleUnderline"/>
        </w:rPr>
        <w:t>Arondekar invites us to think of this bringing-out-of-concealment as “the Derridean spectrality model”</w:t>
      </w:r>
      <w:r w:rsidRPr="00087A72">
        <w:rPr>
          <w:sz w:val="12"/>
        </w:rPr>
        <w:t xml:space="preserve"> (ibid). She is (ironically?) inviting us to consider sexuality vis-à-vis its ontology. If one is a critical theorist who’s milieu is the archive, </w:t>
      </w:r>
      <w:r w:rsidRPr="00087A72">
        <w:rPr>
          <w:rStyle w:val="StyleUnderline"/>
        </w:rPr>
        <w:t>Arondekar’s comment also, simultaneously, raises the question/problem of the archive as a kind of objet petit a: an indexing of our desire for archives, our desire for some lost object</w:t>
      </w:r>
      <w:r w:rsidRPr="00087A72">
        <w:rPr>
          <w:sz w:val="12"/>
        </w:rPr>
        <w:t>—perhaps something like sexuality, (even) sexuality itself, or perhaps its origins—</w:t>
      </w:r>
      <w:r w:rsidRPr="00087A72">
        <w:rPr>
          <w:rStyle w:val="StyleUnderline"/>
        </w:rPr>
        <w:t>in archives, and the standing in of archives for that which we most want to touch, describe, know, possess, control. Mal d’archive: a sickness unto death for the archive. We cannot ignore the sexuality latent in the archiviolithic force that destroys as it advances, that Derrida</w:t>
      </w:r>
      <w:r w:rsidRPr="00087A72">
        <w:rPr>
          <w:sz w:val="12"/>
        </w:rPr>
        <w:t xml:space="preserve"> (1995) </w:t>
      </w:r>
      <w:r w:rsidRPr="00087A72">
        <w:rPr>
          <w:rStyle w:val="StyleUnderline"/>
        </w:rPr>
        <w:t>tells us leaves nothing of its own behind</w:t>
      </w:r>
      <w:r w:rsidRPr="00087A72">
        <w:rPr>
          <w:sz w:val="12"/>
        </w:rPr>
        <w:t xml:space="preserve"> (11)</w:t>
      </w:r>
      <w:r w:rsidRPr="00087A72">
        <w:rPr>
          <w:rStyle w:val="StyleUnderline"/>
        </w:rPr>
        <w:t>—this is not to say that it leaves nothing.</w:t>
      </w:r>
      <w:r w:rsidRPr="00087A72">
        <w:rPr>
          <w:sz w:val="12"/>
        </w:rPr>
        <w:t xml:space="preserve"> As this chapter will argue, colonial sexuality leaves traces of itself everywhere. </w:t>
      </w:r>
      <w:r w:rsidRPr="00087A72">
        <w:rPr>
          <w:rStyle w:val="StyleUnderline"/>
        </w:rPr>
        <w:t>It has its own way of making objects out of the earth, or, differently stated, of reordering the libidinal forces of the people autochthonous to that earth. A violent worlding, it is a dispersed and scattered writing. Its generative destructiveness is no less present in the documents it leaves behind it like so many desiccated scales, than it is in what we today call the repeating ‘cycles of abuse’, the mimetic quality of Freud’s primal scene, enacted over and over again. A recursive event, this violent sexual intervention is an enshatterment that continues to make all forms of Indigenous childhood an opening on/into death. This is a worlding that marks over with sexual violence the missing (but not absent) bodies of Aboriginal women and girls, as, under its erotic and obscuring auspices, they seem to vanish into nothingness.</w:t>
      </w:r>
      <w:r w:rsidRPr="00087A72">
        <w:rPr>
          <w:sz w:val="12"/>
        </w:rPr>
        <w:t xml:space="preserve"> 21 </w:t>
      </w:r>
      <w:r w:rsidRPr="00087A72">
        <w:rPr>
          <w:rStyle w:val="StyleUnderline"/>
        </w:rPr>
        <w:t>It underwrites the extraordinarily high rates of Aboriginal suicide and disordered patterns of substance use; it continues to fund the high rates of infant mortality that, even today, plague Aboriginal communities. Presently, Indigenous sexuality seems to recursively enact Edelman’s slogan for queer negativity: no future. In the recursive patterns it is made to repeat this sexuality seems indivisible from death. All of these forms of death enact a refusal of/to (post)colonial futures. They are instances of death-written non-futurity, a futurity that is negated by death.</w:t>
      </w:r>
      <w:r w:rsidRPr="00087A72">
        <w:rPr>
          <w:sz w:val="12"/>
        </w:rPr>
        <w:t xml:space="preserve"> As bodily writings, they bring to mind the connected lexical experience/expression of Gayatri Spivak’s great aunt, whose writing on her body in menstrual blood made of her body an archive of a sexuality that refused, through performative non- reproductivity, to participate in an Imperial future, that likewise refused the kind of future the political movement to which she belonged imagined. Spivak tells us, in her 2010 meditation on her earlier (1988) essay (“Can the Subalterns Speak?”), that unable to carry out an assassination, Bhubaneswari substituted her own death for the death of an unnamed politician. Death had been called for, was required, and she offered herself. Bhubaneswari’s writing in menstrual blood is a non-reproductive bodily writing that could not, for many years, until Spivak herself entered into the practice of reading Bhubaneswari’s death as text, be read outside of sexuality. It is a kind of death that was not legible outside the gendered expectations Bhubaneswari’s seventeen-year-old body carried, even (especially?) in death. These expectations were the ordering frame within which her body made sense, within which her body signified. It is poignant and it is profoundly significant that the sexual logic Bhubaneswari’s death seemed to speak was the catalyst for Spivak’s writing on the subaltern. </w:t>
      </w:r>
      <w:r w:rsidRPr="00087A72">
        <w:rPr>
          <w:rStyle w:val="StyleUnderline"/>
        </w:rPr>
        <w:t>It is important to continue to mark that the present work</w:t>
      </w:r>
      <w:r w:rsidRPr="00087A72">
        <w:rPr>
          <w:sz w:val="12"/>
        </w:rPr>
        <w:t xml:space="preserve">, which in many ways follows Spivak’s, </w:t>
      </w:r>
      <w:r w:rsidRPr="00087A72">
        <w:rPr>
          <w:rStyle w:val="StyleUnderline"/>
        </w:rPr>
        <w:t>engages psychoanalytic theory as a reading practice, reading death as a text.</w:t>
      </w:r>
      <w:r w:rsidRPr="00087A72">
        <w:rPr>
          <w:sz w:val="12"/>
        </w:rPr>
        <w:t xml:space="preserve"> Readers of psychoanalytic theory know that </w:t>
      </w:r>
      <w:r w:rsidRPr="00087A72">
        <w:rPr>
          <w:rStyle w:val="Emphasis"/>
        </w:rPr>
        <w:t>death is never a straightforward object.</w:t>
      </w:r>
      <w:r w:rsidRPr="00087A72">
        <w:rPr>
          <w:rStyle w:val="StyleUnderline"/>
        </w:rPr>
        <w:t xml:space="preserve"> As it intersects the subject it moves underground, it obfuscates itself, it surfaces in the form of drives and instincts. For the indigenous child</w:t>
      </w:r>
      <w:r w:rsidRPr="00087A72">
        <w:rPr>
          <w:sz w:val="12"/>
        </w:rPr>
        <w:t xml:space="preserve"> residents of the IRS, </w:t>
      </w:r>
      <w:r w:rsidRPr="00087A72">
        <w:rPr>
          <w:rStyle w:val="StyleUnderline"/>
        </w:rPr>
        <w:t>sexuality was sutured to death, became a site of death under the purview of the death drive By reading death as text through the interpretive framework of psychoanalysis, this</w:t>
      </w:r>
      <w:r w:rsidRPr="00087A72">
        <w:rPr>
          <w:sz w:val="12"/>
        </w:rPr>
        <w:t xml:space="preserve"> chapter </w:t>
      </w:r>
      <w:r w:rsidRPr="00087A72">
        <w:rPr>
          <w:rStyle w:val="StyleUnderline"/>
        </w:rPr>
        <w:t>seeks to read in the interrupted patterns of sexuality of Aboriginal children in Canadian Indian residential schools—forms of sexual abuse which did in many cases result in literal, on top of, figural death—not that which easily conforms to contemporary ideologies or concepts of agency and resistance, liberal theories of the individual and corresponding multicultural valuations of difference etc. Instead, the aim is on that which is not reconcilable with any of these smooth discourses or ideological formations—the ineluctable remainders.</w:t>
      </w:r>
      <w:r w:rsidRPr="00087A72">
        <w:rPr>
          <w:sz w:val="12"/>
        </w:rPr>
        <w:t xml:space="preserve"> Like the details of the death of Spivak’s foremother, </w:t>
      </w:r>
      <w:r w:rsidRPr="00087A72">
        <w:rPr>
          <w:rStyle w:val="StyleUnderline"/>
        </w:rPr>
        <w:t>I am looking here for that which is not easily integrated and narrativized. What is ambitious here, perhaps even impossible, is an attempt to think colonial sexuality from both directions, in doing so to stretch what we think of as ‘archive’ topographically, to follow the anarchical violence the archive indexes and tamps down, to follow it most vociferously where it seems most to vanish. What remains, open to be interpreted, is a culture of death-drivenness: at the site of the production and reproduction of Indigeneity, of colonialism, in the corporeal records of both and at the loci of their collision/collusion. This is to argue both that colonial sexuality creates its own archives, while at the same time burning them to the ground.</w:t>
      </w:r>
      <w:r w:rsidRPr="00087A72">
        <w:rPr>
          <w:sz w:val="12"/>
        </w:rPr>
        <w:t xml:space="preserve"> And, it is to argue that locating sexuality as it hooks together with death, death understood here colloquially as well as psychoanalytically, within archives, in this case in Colonial Archives, is to already be searching for a spectrality, is already to render both death and sexuality spectral. Further, it is to invest in an object, the archival object of sexuality, which, Arondekar tells us, emerges only after it is lost—“a be-coming that can conversely only take place if more stories of its loss are produced” (17). </w:t>
      </w:r>
      <w:r w:rsidRPr="00087A72">
        <w:rPr>
          <w:rStyle w:val="StyleUnderline"/>
        </w:rPr>
        <w:t xml:space="preserve">The archival object of sexuality becomes itself only as sexuality is assumed to be a presentable absence; only in the stories that are told about sexuality does the archival object of sexuality emerge. The present work does not aim to take place within the economy of this production. </w:t>
      </w:r>
      <w:r w:rsidRPr="00087A72">
        <w:rPr>
          <w:sz w:val="12"/>
        </w:rPr>
        <w:t xml:space="preserve">Can one notice/witness spectrality without participating in producing it? Yet, if we do not, over and over again, seek to produce it, what becomes of it? What becomes of us? Writing sexuality is, I argue, already to encounter archives. It is a writing that cannot seem to get outside of Derrida’s elaboration of what he calls, just outside the frame of the epigraph in which he is quoted above the start of this chapter, the anarchy drive. We know that the anarchy drive is just one pseudonym—there are others—for the death drive. </w:t>
      </w:r>
      <w:r w:rsidRPr="00087A72">
        <w:rPr>
          <w:rStyle w:val="StyleUnderline"/>
        </w:rPr>
        <w:t>That which eludes perception, the anarchy/death drive, Derrida tells us, draws a mask right on the skin. This mask: (an) impression of erogenous—eros producing—colour.</w:t>
      </w:r>
      <w:r w:rsidRPr="00087A72">
        <w:rPr>
          <w:sz w:val="12"/>
        </w:rPr>
        <w:t xml:space="preserve"> So, if in writing, we do not arrive (safely) at sexuality, is there the barest possibility of arriving at its impressions, at the archives it makes of itself as it burns its way towards its own aiming, its own desiring. Is there a way of commenting on the way it writes us, writes our bodies? </w:t>
      </w:r>
      <w:r w:rsidRPr="00087A72">
        <w:rPr>
          <w:rStyle w:val="StyleUnderline"/>
        </w:rPr>
        <w:t>Derrida indicates that this touch of the death drive, its marking of/on the skin—itself, a complicated erogenous zone—is generative of eros, of bodily love/pleasure.</w:t>
      </w:r>
      <w:r w:rsidRPr="00087A72">
        <w:rPr>
          <w:sz w:val="12"/>
        </w:rPr>
        <w:t xml:space="preserve"> He writes: “As inheritance, it [death drive] leaves only its erotic simulacrum, its pseudonym in painting, its sexual idols, its masks of seduction: lovely impressions. These impressions are perhaps the very origin of what is so obscurely called the beauty of the beautiful. As memories of death” (emph. added ibid). As the phrase and its literary context is vital to the unfolding of this chapter, it is important to note before going any further that the critical uptake of Derrida’s </w:t>
      </w:r>
      <w:r w:rsidRPr="00087A72">
        <w:rPr>
          <w:rStyle w:val="StyleUnderline"/>
        </w:rPr>
        <w:t>Mal d’archive</w:t>
      </w:r>
      <w:r w:rsidRPr="00087A72">
        <w:rPr>
          <w:sz w:val="12"/>
        </w:rPr>
        <w:t xml:space="preserve">, particularly for Anglophone readers, has missed what the French title </w:t>
      </w:r>
      <w:r w:rsidRPr="00087A72">
        <w:rPr>
          <w:rStyle w:val="StyleUnderline"/>
        </w:rPr>
        <w:t>conveys: not the fever of the common cold</w:t>
      </w:r>
      <w:r w:rsidRPr="00087A72">
        <w:rPr>
          <w:sz w:val="12"/>
        </w:rPr>
        <w:t xml:space="preserve">, recruiting accompanying images of stomach ache and warm, clammy skin, </w:t>
      </w:r>
      <w:r w:rsidRPr="00087A72">
        <w:rPr>
          <w:rStyle w:val="StyleUnderline"/>
        </w:rPr>
        <w:t>but rather a sickness unto death. This is a sickness that connotes more a relentless desire for possession and mastery that outstrips pleasure than it does la gripe, more a sickness of erotic compulsion that leaves its mark right on the skin, that has no outside. The unto death this sickness marks is</w:t>
      </w:r>
      <w:r w:rsidRPr="00087A72">
        <w:rPr>
          <w:sz w:val="12"/>
        </w:rPr>
        <w:t xml:space="preserve">, remarkably, the least commented upon feature of Derrida’s text. Uptakes of Archive Fever: A Freudian Impression have found productive </w:t>
      </w:r>
      <w:r w:rsidRPr="00087A72">
        <w:rPr>
          <w:rStyle w:val="StyleUnderline"/>
        </w:rPr>
        <w:t>Derrida’s expanded conception of archives as indexical of state power, a power which itself, perhaps, has no outside, and links them to</w:t>
      </w:r>
      <w:r w:rsidRPr="00087A72">
        <w:rPr>
          <w:sz w:val="12"/>
        </w:rPr>
        <w:t xml:space="preserve"> Foucault’s earlier observations about </w:t>
      </w:r>
      <w:r w:rsidRPr="00087A72">
        <w:rPr>
          <w:rStyle w:val="StyleUnderline"/>
        </w:rPr>
        <w:t>the function of archives in the machinations of state power, or perhaps, simply, Power</w:t>
      </w:r>
      <w:r w:rsidRPr="00087A72">
        <w:rPr>
          <w:sz w:val="12"/>
        </w:rPr>
        <w:t xml:space="preserve"> 22 . Carolyn Steedman’s excellent meditation on archive fever foregrounds archives as objects of belief; 23 And, because of the timing of the monograph in the mid 1990’s, the text has broadly been folded into the larger ‘archival turn’. But, even against the background of Freudian psychoanalysis delivered in the monograph’s subtitle, English-speaking readers have neglected what I see as the book’s most outstanding and important feature, which is that the book is in every way about the death drive. This is perhaps not surprising. Even scholarship explicitly focused on the death drive seems to have a difficult time looking it straight in the eye. When we set out to talk about the death drive, we almost always (inevitably? compulsively?) find ourselves talking about something else. Paradoxical though it may seem, this is the best way to begin to talk about the death drive: focusing on the effects it produces, focusing on the forces to which it attaches itself rather than the drive itself. Derrida’s elaboration of mal d’archive goes a long way to demonstrating why this is so. The text is of further value to the present work in the way in which it enacts the polemic that the death drive is simultaneously all about archives, and all about sexuality. </w:t>
      </w:r>
      <w:r w:rsidRPr="00087A72">
        <w:rPr>
          <w:rStyle w:val="StyleUnderline"/>
        </w:rPr>
        <w:t>Archives and the death drive, the death drive and sexuality, sexuality and archives. This Borromean knot arrives, already, densely conjoined around the outside, around the invisible center the tangle indicates/shelters. What is on the inside? Is it the raw center of sexuality itself? Can we get there in words? Can we get there at all? And, if this is a drive with no outside, capable of recruiting everything, of leaving nothing of itself behind, then how do we locate it? How do we trace its movements, its meta- structure, its meta-structuring capacities?</w:t>
      </w:r>
      <w:r w:rsidRPr="00087A72">
        <w:rPr>
          <w:sz w:val="12"/>
        </w:rPr>
        <w:t xml:space="preserve"> These questions are, to my view and to the work at hand, of vital concern. A writing that extends from what I have begun to think of as the paradox, or riddle of the death drive, </w:t>
      </w:r>
      <w:r w:rsidRPr="00087A72">
        <w:rPr>
          <w:rStyle w:val="StyleUnderline"/>
        </w:rPr>
        <w:t>the archival responsibility</w:t>
      </w:r>
      <w:r w:rsidRPr="00087A72">
        <w:rPr>
          <w:sz w:val="12"/>
        </w:rPr>
        <w:t xml:space="preserve"> of the present work is to </w:t>
      </w:r>
      <w:r w:rsidRPr="00087A72">
        <w:rPr>
          <w:rStyle w:val="StyleUnderline"/>
        </w:rPr>
        <w:t>propose a different kind of archival encounter, one that displaces the narrative of retrieval</w:t>
      </w:r>
      <w:r w:rsidRPr="00087A72">
        <w:rPr>
          <w:sz w:val="12"/>
        </w:rPr>
        <w:t xml:space="preserve"> (while marking the compulsion it indicates—for the drive to retrieval is not at all irrelevant) </w:t>
      </w:r>
      <w:r w:rsidRPr="00087A72">
        <w:rPr>
          <w:rStyle w:val="StyleUnderline"/>
        </w:rPr>
        <w:t>with what Arondekar calls “a radically different script of historical continuation”</w:t>
      </w:r>
      <w:r w:rsidRPr="00087A72">
        <w:rPr>
          <w:sz w:val="12"/>
        </w:rPr>
        <w:t xml:space="preserve"> (3). Further, </w:t>
      </w:r>
      <w:r w:rsidRPr="00087A72">
        <w:rPr>
          <w:rStyle w:val="StyleUnderline"/>
        </w:rPr>
        <w:t>it is to note that the script of historical continuation marks, not progress/teleology, but an elemental structure, a repetition in fact, that one can see echoed throughout the colonial and (post)colonial world. Think of it, if you like, as the Fibonacci Sequence 24 of colonial psychic-political life—the structuration that underwrites colonial logic and colonial common sense.</w:t>
      </w:r>
      <w:r w:rsidRPr="00087A72">
        <w:rPr>
          <w:sz w:val="12"/>
        </w:rPr>
        <w:t xml:space="preserve"> Instead of the repeated precise proportionate unfurling of ferns and nautilus shells, the latter of which is also a symbol for expansion and renewal, we have the circularity of the death drive, its obliterating propulsion towards order and mastery, the drive that underwrites/funds the biopolitical impulse that justifies killing in the name of life. </w:t>
      </w:r>
      <w:r w:rsidRPr="00087A72">
        <w:rPr>
          <w:rStyle w:val="StyleUnderline"/>
        </w:rPr>
        <w:t>The critical challenge at hand is to imagine a practice of archival reading that incites relationships between what Arondekar calls “the seductions of recovery and the occlusions such retrieval mandates”</w:t>
      </w:r>
      <w:r w:rsidRPr="00087A72">
        <w:rPr>
          <w:sz w:val="12"/>
        </w:rPr>
        <w:t xml:space="preserve"> (ibid). </w:t>
      </w:r>
      <w:r w:rsidRPr="00087A72">
        <w:rPr>
          <w:rStyle w:val="StyleUnderline"/>
        </w:rPr>
        <w:t>The ethos of this ‘radically different script of historical continuation’ holds on to the movement between embodiment/bodies and the move to the archive, critically refusing the kind of flight from corporeality that seeks to find a disembodied kind of truth—a cleaner, smoother, transcendent truth beyond/above the inconveniences, contradictions, and material limitations, divergent, inchoate wills to power, and ungovernable excesses of physical-psychic life.</w:t>
      </w:r>
      <w:r w:rsidRPr="00087A72">
        <w:rPr>
          <w:sz w:val="12"/>
        </w:rPr>
        <w:t xml:space="preserve"> The uses and abuses of history, Nietzsche reminds us, are always in service of the present. What this indicates here is the necessity of holding on to an analytic of performance, which, itself indicates a particular kind of disappearance, which can at its best prompt a turn away from what performance and critical theory scholar Peggy Phelan (1997) calls “a conserving and conservative method” (3). At its best, performance holds the question of ontology open and draws continually and explicitly on the live body, as referent, as raw material, as erotic simulacrum, as revenant. </w:t>
      </w:r>
      <w:r w:rsidRPr="00087A72">
        <w:rPr>
          <w:rStyle w:val="StyleUnderline"/>
        </w:rPr>
        <w:t>The erogenous leavings of the death drive/archive fever indicate the presence of a live body, even if that body seems</w:t>
      </w:r>
      <w:r w:rsidRPr="00087A72">
        <w:rPr>
          <w:sz w:val="12"/>
        </w:rPr>
        <w:t xml:space="preserve">, in the words of performance and critical theorist Della Pollock (1998), </w:t>
      </w:r>
      <w:r w:rsidRPr="00087A72">
        <w:rPr>
          <w:rStyle w:val="StyleUnderline"/>
        </w:rPr>
        <w:t>to have gone away</w:t>
      </w:r>
      <w:r w:rsidRPr="00087A72">
        <w:rPr>
          <w:sz w:val="12"/>
        </w:rPr>
        <w:t xml:space="preserve"> (1). This is further to enact a kind of Derridean poetics in which the recuperative practices, gestures, and hermeneutics do not precisely return us to a space of absence.</w:t>
      </w:r>
    </w:p>
    <w:p w:rsidR="00651F58" w:rsidRPr="00087A72" w:rsidRDefault="00651F58" w:rsidP="00D005A2">
      <w:pPr>
        <w:pStyle w:val="Heading3"/>
      </w:pPr>
      <w:r w:rsidRPr="00087A72">
        <w:t>Alt – Read Mnemonically</w:t>
      </w:r>
    </w:p>
    <w:p w:rsidR="00651F58" w:rsidRPr="00087A72" w:rsidRDefault="009556BB" w:rsidP="009556BB">
      <w:pPr>
        <w:pStyle w:val="Heading4"/>
      </w:pPr>
      <w:r w:rsidRPr="00087A72">
        <w:t xml:space="preserve">The alternative is to reject the affirmative through a mnemonic reading of its cultural productions and political moments as violences of Native genocide. </w:t>
      </w:r>
    </w:p>
    <w:p w:rsidR="00651F58" w:rsidRPr="00087A72" w:rsidRDefault="00651F58" w:rsidP="00651F58">
      <w:r w:rsidRPr="00087A72">
        <w:rPr>
          <w:rStyle w:val="Style13ptBold"/>
        </w:rPr>
        <w:t>Byrd 11</w:t>
      </w:r>
      <w:r w:rsidRPr="00087A72">
        <w:t xml:space="preserve">  (Jodi A. The transit of empire: Indigenous critiques of colonialism. U of Minnesota Press, 2011.0Jodi A. Byrd is a citizen of the Chickasaw Nation of Oklahoma and assistant professor of American Indian studies and English at the University of Illinois at Urbanandash;Champaign.)</w:t>
      </w:r>
    </w:p>
    <w:p w:rsidR="00651F58" w:rsidRPr="00087A72" w:rsidRDefault="00651F58" w:rsidP="00651F58">
      <w:pPr>
        <w:rPr>
          <w:sz w:val="16"/>
        </w:rPr>
      </w:pPr>
      <w:r w:rsidRPr="00087A72">
        <w:rPr>
          <w:rStyle w:val="Heading3Char"/>
          <w:sz w:val="24"/>
        </w:rPr>
        <w:t>This</w:t>
      </w:r>
      <w:r w:rsidRPr="00087A72">
        <w:rPr>
          <w:sz w:val="16"/>
        </w:rPr>
        <w:t xml:space="preserve"> book by </w:t>
      </w:r>
      <w:r w:rsidRPr="00087A72">
        <w:rPr>
          <w:rStyle w:val="Heading3Char"/>
          <w:sz w:val="24"/>
        </w:rPr>
        <w:t>is my attempt to account for the traverse of U.S. empire by resurrecting indigenous presences within cultural, literary, and political contexts.</w:t>
      </w:r>
      <w:r w:rsidRPr="00087A72">
        <w:rPr>
          <w:sz w:val="16"/>
        </w:rPr>
        <w:t xml:space="preserve"> This project is very personal for me as well. My father passed away one week before Barack Obama was elected president and as I was working on this book. While his life had become unlivable through whatever it was that chased him on the roads linking Iowa, Nebraska, Oklahoma, and Texas, I always thought his struggle was, in the end, about home, place, and belonging. </w:t>
      </w:r>
      <w:r w:rsidRPr="00087A72">
        <w:rPr>
          <w:rStyle w:val="Heading3Char"/>
          <w:sz w:val="24"/>
        </w:rPr>
        <w:t>We Chickasaws lost our country twice—once through the removals</w:t>
      </w:r>
      <w:r w:rsidRPr="00087A72">
        <w:rPr>
          <w:sz w:val="16"/>
        </w:rPr>
        <w:t xml:space="preserve"> Tocqueville described in Democracy in America, </w:t>
      </w:r>
      <w:r w:rsidRPr="00087A72">
        <w:rPr>
          <w:rStyle w:val="Heading3Char"/>
          <w:sz w:val="24"/>
        </w:rPr>
        <w:t xml:space="preserve">and then through allotment and the creation of the state of Oklahoma in 1907. </w:t>
      </w:r>
      <w:r w:rsidRPr="00087A72">
        <w:rPr>
          <w:sz w:val="16"/>
        </w:rPr>
        <w:t xml:space="preserve">And though </w:t>
      </w:r>
      <w:r w:rsidRPr="00087A72">
        <w:rPr>
          <w:rStyle w:val="Heading3Char"/>
          <w:sz w:val="24"/>
        </w:rPr>
        <w:t>the Chickasaw Nation has certainly rebuilt and is today just as unconquerable and unconquered as it ever was, there is a difference between recovered and having never lost in the first place that stands in breach still for those of us attempting to theorize the legacies of colonialism within indigenous worlds.</w:t>
      </w:r>
      <w:r w:rsidRPr="00087A72">
        <w:rPr>
          <w:sz w:val="16"/>
        </w:rPr>
        <w:t xml:space="preserve"> For my dad, I think, that loss was unmappable, ungrievable, and unapproachable within the constraints of U.S. settler society. And though he spent his life as a medical doctor, a family practitioner trying to heal American Indians and white settlers in Valentine, Nebraska, or in Indian Health Service in the Sisseton-Wahpeton community, that loss flitted on the edges, drove him crazy, haunted him, and prompted anger whether toward those he loved or toward those towns and communities that built up rural with a dogged determinism to never admit to any wrongdoing</w:t>
      </w:r>
      <w:r w:rsidRPr="00087A72">
        <w:rPr>
          <w:sz w:val="16"/>
          <w:szCs w:val="24"/>
        </w:rPr>
        <w:t xml:space="preserve">. </w:t>
      </w:r>
      <w:r w:rsidRPr="00087A72">
        <w:rPr>
          <w:rStyle w:val="Heading3Char"/>
          <w:sz w:val="24"/>
        </w:rPr>
        <w:t>That loss never allowed the United States to be home, even though the lands the United States was built upon might in fact be so.</w:t>
      </w:r>
      <w:r w:rsidRPr="00087A72">
        <w:rPr>
          <w:sz w:val="16"/>
        </w:rPr>
        <w:t xml:space="preserve"> Before he died, my dad read parts of my book and many of my articles, and always he had opinions. He would call at 4 o’clock in the morning on the road from the sandhills of Nebraska or on his way back from his horses in Thacker Ville, Oklahoma, to share his thoughts and insights on what this book and my work should always be about. “Did you know Tocqueville was there at removal?” he would ask. He was obsessed with Tocqueville’s description of the Choctaw dogs who threw themselves into the Mississippi to chase after their owners who were unable to take them on the boats into Indian Territory. But more often than not, he’d tell me his philosophy about Indians in America. “We didn’t have time, money, or power,” he’d say more than once. “You put that in your book. That’s what your work is missing.” And then he’d laugh and tell me he couldn’t wait to read more. Since he last called, I have thought of little else. </w:t>
      </w:r>
      <w:r w:rsidRPr="00087A72">
        <w:rPr>
          <w:rStyle w:val="Heading3Char"/>
          <w:sz w:val="24"/>
        </w:rPr>
        <w:t>Indians did not have time, money, or power. The indigenous critical theory scholar in me wants to argue</w:t>
      </w:r>
      <w:r w:rsidRPr="00087A72">
        <w:rPr>
          <w:sz w:val="16"/>
        </w:rPr>
        <w:t xml:space="preserve"> with my dad</w:t>
      </w:r>
      <w:r w:rsidRPr="00087A72">
        <w:rPr>
          <w:rStyle w:val="Heading3Char"/>
          <w:sz w:val="24"/>
        </w:rPr>
        <w:t>, to point out all the ways the Chickasaws and other indigenous nations have always had power, time, and resources through relationship with land, complicity in chattel slavery, negotiations with the British, French, Spanish, and Americans, or in the very ability to rebuild one more time out of the destruction the militaries, laws, and legislative bodies left behind. But there is something also fundamentally true</w:t>
      </w:r>
      <w:r w:rsidRPr="00087A72">
        <w:rPr>
          <w:sz w:val="16"/>
        </w:rPr>
        <w:t xml:space="preserve"> in what my dad wanted me </w:t>
      </w:r>
      <w:r w:rsidRPr="00087A72">
        <w:rPr>
          <w:rStyle w:val="Heading3Char"/>
          <w:sz w:val="24"/>
        </w:rPr>
        <w:t>to say</w:t>
      </w:r>
      <w:r w:rsidRPr="00087A72">
        <w:rPr>
          <w:sz w:val="16"/>
        </w:rPr>
        <w:t xml:space="preserve"> for him, </w:t>
      </w:r>
      <w:r w:rsidRPr="00087A72">
        <w:rPr>
          <w:rStyle w:val="Heading3Char"/>
          <w:sz w:val="24"/>
        </w:rPr>
        <w:t>particularly in the ways Indians figure and do not within the academic, literary, cultural, and political inquiries that seek to delineate the problems facing so many people, be they settlers, diasporic immigrants, or natives in those lands stolen from indigenous peoples.</w:t>
      </w:r>
      <w:r w:rsidRPr="00087A72">
        <w:rPr>
          <w:sz w:val="16"/>
        </w:rPr>
        <w:t xml:space="preserve"> A book like </w:t>
      </w:r>
      <w:r w:rsidRPr="00087A72">
        <w:rPr>
          <w:rStyle w:val="Heading3Char"/>
          <w:sz w:val="24"/>
        </w:rPr>
        <w:t>this cannot do much in the way of power or money, but the one thing it might be able to do is offer some</w:t>
      </w:r>
      <w:r w:rsidRPr="00087A72">
        <w:rPr>
          <w:sz w:val="16"/>
        </w:rPr>
        <w:t xml:space="preserve"> of my </w:t>
      </w:r>
      <w:r w:rsidRPr="00087A72">
        <w:rPr>
          <w:rStyle w:val="Heading3Char"/>
          <w:sz w:val="24"/>
        </w:rPr>
        <w:t>time spent thinking about theory, narrative, and politics and the place of indigenous peoples within contemporary theories of postcoloniality, queerness, and race.</w:t>
      </w:r>
      <w:r w:rsidRPr="00087A72">
        <w:rPr>
          <w:sz w:val="16"/>
        </w:rPr>
        <w:t xml:space="preserve"> I hope that was what my dad had in mind when he offered me those challenges to think through the syllogistic traps of participatory democracy born out of violent occupation of lands. This book, then, is a journey of sorts, its method mnemonic as it places seemingly disparate histories, temporalities, and geographies into conversation in the hopes that, through enjambment, it might be possible to perceive how Indianness functions as a transit within empire. </w:t>
      </w:r>
      <w:r w:rsidRPr="00087A72">
        <w:rPr>
          <w:rStyle w:val="Heading3Char"/>
          <w:sz w:val="24"/>
        </w:rPr>
        <w:t xml:space="preserve">My method here suggests a reading praxis inspired by Blackfeet novelist Stephen Graham Jones’s Demon Theory, in which he delineates genre as mnemonic device in order to retell the Medea story through horror narrative.¹ </w:t>
      </w:r>
      <w:r w:rsidRPr="00087A72">
        <w:rPr>
          <w:sz w:val="16"/>
        </w:rPr>
        <w:t xml:space="preserve">The story of the new world is horror, the story of America a crime. </w:t>
      </w:r>
      <w:r w:rsidRPr="00087A72">
        <w:rPr>
          <w:rStyle w:val="Heading3Char"/>
          <w:sz w:val="24"/>
        </w:rPr>
        <w:t xml:space="preserve">To read mnemonically is to connect the violences and genocides of colonization to cultural productions and political movements in order to disrupt the elisions of multicultural liberal democracy that seek to rationalize the originary historical traumas that birthed settler colonialism through inclusion. Such a reading practice understands indigeneity as radical alterity and uses remembrance as a means through which to read counter to the stories empire tells itself. </w:t>
      </w:r>
      <w:r w:rsidRPr="00087A72">
        <w:rPr>
          <w:sz w:val="16"/>
        </w:rPr>
        <w:t xml:space="preserve">Lumbee scholar Robert A. Williams Jr. has argued that </w:t>
      </w:r>
      <w:r w:rsidRPr="00087A72">
        <w:rPr>
          <w:rStyle w:val="Heading3Char"/>
          <w:sz w:val="24"/>
        </w:rPr>
        <w:t>“the American Indian emerges as a distinct problem in Western legal thought,” but I contend here that ideas of the Indian and Indianness—the contagion through which U.S. empire orders the place of peoples within its purview—emerge as distinct problems for critical and postcolonial theories.² As a transit, Indianness becomes a site through which U.S. empire orients and replicates itself by transforming those to be colonized into “Indians” through continual reiterations of pioneer logics, whether in the Pacific, the Caribbean, or the Middle East.</w:t>
      </w:r>
      <w:r w:rsidRPr="00087A72">
        <w:rPr>
          <w:sz w:val="16"/>
        </w:rPr>
        <w:t xml:space="preserve"> The familiarity of “Indianness” is salve for the liberal multicultural democracy within the settler societies that serve as empire’s constituency. </w:t>
      </w:r>
      <w:r w:rsidRPr="00087A72">
        <w:rPr>
          <w:rStyle w:val="Heading3Char"/>
          <w:sz w:val="24"/>
        </w:rPr>
        <w:t xml:space="preserve">In the wake of this </w:t>
      </w:r>
      <w:r w:rsidRPr="00087A72">
        <w:rPr>
          <w:sz w:val="16"/>
        </w:rPr>
        <w:t xml:space="preserve">transit, and indeed as its </w:t>
      </w:r>
      <w:r w:rsidRPr="00087A72">
        <w:rPr>
          <w:rStyle w:val="Heading3Char"/>
          <w:sz w:val="24"/>
        </w:rPr>
        <w:t xml:space="preserve">quality as colonialist practice, one finds discordant and competing representations of diasporic arrivals and native lived experiences—what I call cacophony throughout this book—that vie for hegemony within the discursive, cultural, and political processes of representation and identity that form the basis for </w:t>
      </w:r>
      <w:r w:rsidRPr="00087A72">
        <w:rPr>
          <w:sz w:val="16"/>
        </w:rPr>
        <w:t xml:space="preserve">what Wendy Brown has identified as </w:t>
      </w:r>
      <w:r w:rsidRPr="00087A72">
        <w:rPr>
          <w:rStyle w:val="Heading3Char"/>
          <w:sz w:val="24"/>
        </w:rPr>
        <w:t>the states of injury and Foucault and others have termed biopolitics. Bringing indigeneity and Indians front and center to discussions of U.S. empire as it has traversed across Atlantic and Pacific worlds is a necessary intervention at this historical moment</w:t>
      </w:r>
      <w:r w:rsidRPr="00087A72">
        <w:rPr>
          <w:sz w:val="16"/>
        </w:rPr>
        <w:t>, precisely because it is through the elisions, erasures, enjambments, and repetitions of Indianness that one might see the stakes in decolonial, restorative justice tied to land, life, and grievability. As Willow Rosenberg in Joss Whedon’s television series Buffy the Vampire Slayer once said, “A vague disclaimer is nobody’s friend</w:t>
      </w:r>
      <w:r w:rsidRPr="00087A72">
        <w:rPr>
          <w:rStyle w:val="StyleUnderline"/>
        </w:rPr>
        <w:t xml:space="preserve">.”³ </w:t>
      </w:r>
      <w:r w:rsidRPr="00087A72">
        <w:rPr>
          <w:rStyle w:val="Heading3Char"/>
          <w:sz w:val="24"/>
        </w:rPr>
        <w:t>The Transit of Empire is built upon a number of foundational premises that may or may not be givens within critical theory but that are rapidly emerging as foundational to the disciplining of American Indian and indigenous studies. First, that colonization matters. For indigenous peoples, place, land, sovereignty, and memory matter.</w:t>
      </w:r>
      <w:r w:rsidRPr="00087A72">
        <w:rPr>
          <w:sz w:val="16"/>
        </w:rPr>
        <w:t xml:space="preserve"> In a world growing increasingly enamored with faster, flatter, smooth, where positionality doesn’t matter so much as how it is that we travel there, indigeneity matters. </w:t>
      </w:r>
      <w:r w:rsidRPr="00087A72">
        <w:rPr>
          <w:rStyle w:val="Heading3Char"/>
          <w:sz w:val="24"/>
        </w:rPr>
        <w:t>Second, this book temporalizes U.S. empire to the birth of the United States, and within its assumption of European colonialist agendas that sought to appropriate indigenous lands, knowledges, presences, and identities for its own use. Third, that despite cautions against original and originary within post-structuralist theory, this book asserts that there must be the possibility of the originary in the new world, and that it is located within the historical experiences of new world colonizations, genocides, and violences.</w:t>
      </w:r>
      <w:r w:rsidRPr="00087A72">
        <w:rPr>
          <w:sz w:val="16"/>
        </w:rPr>
        <w:t xml:space="preserve"> There is a long line of continuity between the past and the present that has not been disrupted despite the fact that the stories we tell may or may not acknowledge that continuity. </w:t>
      </w:r>
      <w:r w:rsidRPr="00087A72">
        <w:rPr>
          <w:rStyle w:val="Heading3Char"/>
          <w:sz w:val="24"/>
        </w:rPr>
        <w:t>And fourth, that indigenous peoples must be central to any theorizations of the conditions of postcoloniality, empire, and death-dealing regimes that arise out of indigenous lands.</w:t>
      </w:r>
      <w:r w:rsidRPr="00087A72">
        <w:rPr>
          <w:sz w:val="16"/>
        </w:rPr>
        <w:t xml:space="preserve"> We are long-memoried peoples, and we remember what happened the last time the world was flat</w:t>
      </w:r>
    </w:p>
    <w:p w:rsidR="00651F58" w:rsidRPr="00087A72" w:rsidRDefault="00651F58" w:rsidP="00651F58"/>
    <w:p w:rsidR="007B37E7" w:rsidRPr="00087A72" w:rsidRDefault="007B37E7" w:rsidP="00D005A2">
      <w:pPr>
        <w:pStyle w:val="Heading3"/>
      </w:pPr>
      <w:r w:rsidRPr="00087A72">
        <w:t>Alt – Rejection (Henderson)</w:t>
      </w:r>
    </w:p>
    <w:p w:rsidR="007B37E7" w:rsidRPr="00087A72" w:rsidRDefault="007B37E7" w:rsidP="007B37E7">
      <w:pPr>
        <w:pStyle w:val="Heading4"/>
      </w:pPr>
      <w:r w:rsidRPr="00087A72">
        <w:t>Settler colonialism maintains itself through the everyday, repetitive acts of practices, presences, and speech acts. Thus, refuse the affirmative’s as a repudiation of the Settler subject’s ongoing attempt to achieve the end of Indigenous life. Only by cultivating cracks in the Settler psyche can we disrupt settler colonial formations and create an ethic of decolonization.</w:t>
      </w:r>
    </w:p>
    <w:p w:rsidR="007B37E7" w:rsidRPr="00087A72" w:rsidRDefault="007B37E7" w:rsidP="007B37E7">
      <w:r w:rsidRPr="00087A72">
        <w:rPr>
          <w:rStyle w:val="Style13ptBold"/>
        </w:rPr>
        <w:t>Henderson 15</w:t>
      </w:r>
      <w:r w:rsidRPr="00087A72">
        <w:t xml:space="preserve"> (Phil, Doctoral Student at the University of Victoria "Imagoed communities: the psychosocial space of settler colonialism" Settler Colonial Studies DOI: 10.1080/2201473X.2015.1092194, pp. 10-14) NIJ</w:t>
      </w:r>
    </w:p>
    <w:p w:rsidR="007B37E7" w:rsidRPr="00087A72" w:rsidRDefault="007B37E7" w:rsidP="007B37E7">
      <w:pPr>
        <w:rPr>
          <w:sz w:val="12"/>
        </w:rPr>
      </w:pPr>
      <w:r w:rsidRPr="00087A72">
        <w:rPr>
          <w:sz w:val="12"/>
        </w:rPr>
        <w:t xml:space="preserve">Facing assertive indigenous presences within settler colonial spaces, </w:t>
      </w:r>
      <w:r w:rsidRPr="00087A72">
        <w:rPr>
          <w:rStyle w:val="Emphasis"/>
        </w:rPr>
        <w:t>settlers must answer the legitimate charge that their daily life – in all its banality – is predicated upon the privileges produced by ongoing genocide.</w:t>
      </w:r>
      <w:r w:rsidRPr="00087A72">
        <w:rPr>
          <w:sz w:val="12"/>
        </w:rPr>
        <w:t xml:space="preserve"> </w:t>
      </w:r>
      <w:r w:rsidRPr="00087A72">
        <w:rPr>
          <w:rStyle w:val="StyleUnderline"/>
        </w:rPr>
        <w:t>The jarring nature of such charges offers an irreconcilable challenge to settlers qua settlers.</w:t>
      </w:r>
      <w:r w:rsidRPr="00087A72">
        <w:rPr>
          <w:sz w:val="12"/>
        </w:rPr>
        <w:t xml:space="preserve">64 </w:t>
      </w:r>
      <w:r w:rsidRPr="00087A72">
        <w:rPr>
          <w:rStyle w:val="StyleUnderline"/>
        </w:rPr>
        <w:t>Should these charges become impossible to ignore, they threaten to explode the imago of settler colonialism, which had hitherto operated within the settler psyche in a relatively smooth and benign manner. This explosion is potentiated by the revelation of even a portion of the violence that is required to make settler life possible. If, for example, settlers are forced to see ‘their’ beach as a site of murder and ongoing colonization, it becomes more difficult to sustain it within the imaginary as a site of frivolity.</w:t>
      </w:r>
      <w:r w:rsidRPr="00087A72">
        <w:rPr>
          <w:sz w:val="12"/>
        </w:rPr>
        <w:t xml:space="preserve">65 As Brown writes, in the ‘loss of horizons, order, and identity’ the subject experiences a sense of enormous vulnerability.66 Threatened with this ‘loss of containment’, the settler subject embarks down the road to psychosis.67 Thus, to parlay Brown’s thesis to the settler colonial context, </w:t>
      </w:r>
      <w:r w:rsidRPr="00087A72">
        <w:rPr>
          <w:rStyle w:val="StyleUnderline"/>
        </w:rPr>
        <w:t>the uncontrollable rage that indigenous presences induce within the settler is not evidence of the strength of settlers, but rather of a subject lashing out on the brink of its own dissolution. This panic – this rabid and insatiable anger – is always already at the core of the settler as a subject.</w:t>
      </w:r>
      <w:r w:rsidRPr="00087A72">
        <w:rPr>
          <w:sz w:val="12"/>
        </w:rPr>
        <w:t xml:space="preserve"> As Lorenzo Veracini observes, </w:t>
      </w:r>
      <w:r w:rsidRPr="00087A72">
        <w:rPr>
          <w:rStyle w:val="StyleUnderline"/>
        </w:rPr>
        <w:t xml:space="preserve">the settler necessarily remains in a disposition of aggression ‘even after indigenous alterities have ceased to be threatening’. </w:t>
      </w:r>
      <w:r w:rsidRPr="00087A72">
        <w:rPr>
          <w:sz w:val="12"/>
        </w:rPr>
        <w:t xml:space="preserve">68 </w:t>
      </w:r>
      <w:r w:rsidRPr="00087A72">
        <w:rPr>
          <w:rStyle w:val="StyleUnderline"/>
        </w:rPr>
        <w:t>This disposition results from the precarity inherent in the maintenance of settler colonialism’s imago, wherein any and all indigenous presences threaten subjective dissolution of the settler as such.</w:t>
      </w:r>
      <w:r w:rsidRPr="00087A72">
        <w:rPr>
          <w:sz w:val="12"/>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w:t>
      </w:r>
      <w:r w:rsidRPr="00087A72">
        <w:rPr>
          <w:rStyle w:val="StyleUnderline"/>
        </w:rPr>
        <w:t>Their desire to produce a firm imago means that settlers are also always already in a psychically defensive position – that is, the settler’s offensive position</w:t>
      </w:r>
      <w:r w:rsidRPr="00087A72">
        <w:rPr>
          <w:sz w:val="12"/>
        </w:rPr>
        <w:t xml:space="preserve"> on occupied land </w:t>
      </w:r>
      <w:r w:rsidRPr="00087A72">
        <w:rPr>
          <w:rStyle w:val="StyleUnderline"/>
        </w:rPr>
        <w:t>is sustained through a defensive posture. For while settlers desire the total erasure of indigenous populations, the attendant desire to disappear their own identity as settlers necessitates the suppression of both desires, if the subject’s reliance on settler colonial power structure is to be psychically naturalized. Settlers’ reactions to indigenous peoples fit, almost universally, with the two ego defense responses</w:t>
      </w:r>
      <w:r w:rsidRPr="00087A72">
        <w:rPr>
          <w:sz w:val="12"/>
        </w:rPr>
        <w:t xml:space="preserve"> that Sigmund Freud observed. </w:t>
      </w:r>
      <w:r w:rsidRPr="00087A72">
        <w:rPr>
          <w:rStyle w:val="StyleUnderline"/>
        </w:rPr>
        <w:t>The first of these defenses is to attempt a complete conversion of the suppressed desire into a new idea.</w:t>
      </w:r>
      <w:r w:rsidRPr="00087A72">
        <w:rPr>
          <w:sz w:val="12"/>
        </w:rPr>
        <w:t xml:space="preserve"> In settler colonial contexts, </w:t>
      </w:r>
      <w:r w:rsidRPr="00087A72">
        <w:rPr>
          <w:rStyle w:val="StyleUnderline"/>
        </w:rPr>
        <w:t xml:space="preserve">this requires averting attention from the violence of dispossession; as such, settlers often suggest that they aim to create a ‘city on the hill’. </w:t>
      </w:r>
      <w:r w:rsidRPr="00087A72">
        <w:rPr>
          <w:sz w:val="12"/>
        </w:rPr>
        <w:t xml:space="preserve">70 Freud noted that </w:t>
      </w:r>
      <w:r w:rsidRPr="00087A72">
        <w:rPr>
          <w:rStyle w:val="StyleUnderline"/>
        </w:rPr>
        <w:t>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w:t>
      </w:r>
      <w:r w:rsidRPr="00087A72">
        <w:rPr>
          <w:sz w:val="12"/>
        </w:rPr>
        <w:t xml:space="preserve">71 As we have already seen, </w:t>
      </w:r>
      <w:r w:rsidRPr="00087A72">
        <w:rPr>
          <w:rStyle w:val="StyleUnderline"/>
        </w:rPr>
        <w:t>this obsession at once solidifies the power of the settler state, thereby naturalizing the settler and simultaneously perpetuating the processes of erasing indigenous peoples.</w:t>
      </w:r>
      <w:r w:rsidRPr="00087A72">
        <w:rPr>
          <w:sz w:val="12"/>
        </w:rPr>
        <w:t xml:space="preserve"> Psychic defenses are intended to secure the subject from pain, and whether that pain originates inside or outside the psyche is inconsequential. Because of the threat that indigeneity presents to the phantasmatic wholeness of settler colonialism, settlers must always remain suspended in a state of arrested development between these defensive positions. Despite any pretensions to the contrary, </w:t>
      </w:r>
      <w:r w:rsidRPr="00087A72">
        <w:rPr>
          <w:rStyle w:val="StyleUnderline"/>
        </w:rPr>
        <w:t>the settler is necessarily a parochial subject who continuously coils, reacts, disavows, and lashes out, when confronted with his dependency on indigenous peoples and their territory.</w:t>
      </w:r>
      <w:r w:rsidRPr="00087A72">
        <w:rPr>
          <w:sz w:val="12"/>
        </w:rPr>
        <w:t xml:space="preserve">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w:t>
      </w:r>
      <w:r w:rsidRPr="00087A72">
        <w:rPr>
          <w:rStyle w:val="StyleUnderline"/>
        </w:rPr>
        <w:t xml:space="preserve"> </w:t>
      </w:r>
      <w:r w:rsidRPr="00087A72">
        <w:rPr>
          <w:rStyle w:val="Emphasis"/>
        </w:rPr>
        <w:t xml:space="preserve">decolonization must include an analysis of the dominant ‘self-disciplining colonial subject’. </w:t>
      </w:r>
      <w:r w:rsidRPr="00087A72">
        <w:rPr>
          <w:sz w:val="12"/>
        </w:rPr>
        <w:t xml:space="preserve">73 However, as this discussion of subjective precarity demonstrates, the degree of to which these disciplinary or phenomenological processes are complete should not be overstated. For settler-allies must also examine and cultivate the ways in which settler subjects fail to be totally disciplined. Evidence of this incompletion is apparent in the subject’s arrested state of development. </w:t>
      </w:r>
      <w:r w:rsidRPr="00087A72">
        <w:rPr>
          <w:rStyle w:val="StyleUnderline"/>
        </w:rPr>
        <w:t xml:space="preserve">Discovering the instability at the core of the settler subject, indeed of all subjects, is the central conceit of psychoanalysis. </w:t>
      </w:r>
      <w:r w:rsidRPr="00087A72">
        <w:rPr>
          <w:sz w:val="12"/>
        </w:rPr>
        <w:t xml:space="preserve">This exception of at least partial failure to fully subjectivize the settler is also what sets my account apart from Rifkin’s. His phenomenology falls into the trap that Jacqueline Rose observes within many sociological accounts of the subject: that of assuming a successful internalization of norms. From the psychoanalytical perspective, </w:t>
      </w:r>
      <w:r w:rsidRPr="00087A72">
        <w:rPr>
          <w:rStyle w:val="StyleUnderline"/>
        </w:rPr>
        <w:t>the ‘unconscious constantly reveals the “failure”’ of internalization.</w:t>
      </w:r>
      <w:r w:rsidRPr="00087A72">
        <w:rPr>
          <w:sz w:val="12"/>
        </w:rPr>
        <w:t xml:space="preserve">74 As we have seen, </w:t>
      </w:r>
      <w:r w:rsidRPr="00087A72">
        <w:rPr>
          <w:rStyle w:val="StyleUnderline"/>
        </w:rPr>
        <w:t>within settler subjects this can be expressed as an irrational anxiety that expresses itself whenever a settler is confronted with the facts regarding their colonizing status. Under conditions of total subjectification, such charges ought to be unintelligible to the settler.</w:t>
      </w:r>
      <w:r w:rsidRPr="00087A72">
        <w:rPr>
          <w:sz w:val="12"/>
        </w:rPr>
        <w:t xml:space="preserve"> Thus, </w:t>
      </w:r>
      <w:r w:rsidRPr="00087A72">
        <w:rPr>
          <w:rStyle w:val="StyleUnderline"/>
        </w:rPr>
        <w:t>the process of subject formation is always in slippage and never totalized as others might suggest.</w:t>
      </w:r>
      <w:r w:rsidRPr="00087A72">
        <w:rPr>
          <w:sz w:val="12"/>
        </w:rPr>
        <w:t xml:space="preserve">75 </w:t>
      </w:r>
      <w:r w:rsidRPr="00087A72">
        <w:rPr>
          <w:rStyle w:val="Emphasis"/>
        </w:rPr>
        <w:t>Because of this precarity, the settler subject is prone to violence and lashing out; but the subject in slippage also provides an avenue by which the process of settler colonialism can be subverted – creating cracks in a phantasmatic wholeness which can be opened wider.</w:t>
      </w:r>
      <w:r w:rsidRPr="00087A72">
        <w:rPr>
          <w:sz w:val="12"/>
        </w:rPr>
        <w:t xml:space="preserve"> Breakages of this sort offer an opportunity to pursue what Paulette Regan calls a ‘restorying’ of settler colonial history and culture, to decanter settler mythologies built upon and within the dispossession of indigenous peoples.76 </w:t>
      </w:r>
      <w:r w:rsidRPr="00087A72">
        <w:rPr>
          <w:rStyle w:val="Emphasis"/>
        </w:rPr>
        <w:t>The cultivation of these cracks is a necessary part of decolonizing work, as it continues to panic and thus to destabilize settler subjects. Resistance to settler colonialism</w:t>
      </w:r>
      <w:r w:rsidRPr="00087A72">
        <w:rPr>
          <w:sz w:val="12"/>
        </w:rPr>
        <w:t xml:space="preserve"> does not occur only in highly visible moments like the famous conflict at Kanesatake and Kahnawake,77 it also </w:t>
      </w:r>
      <w:r w:rsidRPr="00087A72">
        <w:rPr>
          <w:rStyle w:val="Emphasis"/>
        </w:rPr>
        <w:t>occurs in reiterative and disruptive practices, presences, and speech acts.</w:t>
      </w:r>
      <w:r w:rsidRPr="00087A72">
        <w:rPr>
          <w:sz w:val="12"/>
        </w:rPr>
        <w:t xml:space="preserve"> Goeman correctly observes that </w:t>
      </w:r>
      <w:r w:rsidRPr="00087A72">
        <w:rPr>
          <w:rStyle w:val="Emphasis"/>
        </w:rPr>
        <w:t>the ‘repetitive practices of everyday life’ are what give settler spaces their meaning, as they provide a degree of naturalness to the settler imago and its psychic investments.</w:t>
      </w:r>
      <w:r w:rsidRPr="00087A72">
        <w:rPr>
          <w:sz w:val="12"/>
        </w:rPr>
        <w:t xml:space="preserve">78 As such, </w:t>
      </w:r>
      <w:r w:rsidRPr="00087A72">
        <w:rPr>
          <w:rStyle w:val="StyleUnderline"/>
        </w:rPr>
        <w:t xml:space="preserve">to disrupt the ease of these repetitions is at once to striate radically the otherwise smooth spaces of settler colonialism and also to disrupt the easy (re)production of the settler subject. </w:t>
      </w:r>
      <w:r w:rsidRPr="00087A72">
        <w:rPr>
          <w:sz w:val="12"/>
        </w:rPr>
        <w:t xml:space="preserve">Goeman calls these subversive acts the ‘micro-politics of resistance’, which historically took the form of ‘moving fences, not cooperating with census enumerators, sometimes disrupting survey parties’ amongst other process.79 These acts panic the subject that is disciplined as a product of settler colonial power, by forcing encounters with the sovereign indigenous peoples that were imagined to be gone. This reveals to the settler, if only fleetingly, the violence that founds and sustains the settler colonial relationship. While such practices may not overthrow the settler colonial system, they do subvert its logics by insistently drawing attention to the ongoing presence of indigenous peoples who refuse erasure. 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Island.80 The micro-politics of the movement strengthen indigenous subjects and their spatialities, while leaving an indelible imprint in the settler psyche. Predictably, rage and resentment were provoked in some settlers;81 however, Idle No More also drew thousands of settler-allies into the streets and renewed conversations about the necessity of nation-to-nation relationships. With settler colonial spaces disrupted and a relationship of domination made impossible to ignore, in the tradition of centuries of indigenous resistance, Idle No More put the settler subject into serious flux once more. Conclusion Settler colonialism has been distinguished from colonialism proper by what Wolfe calls its ‘logic of elimination’, which requires the erasure of indigenous peoples from the colonized territory. This is accomplished through a variety of mechanisms that range from outright violence to policies of gradual elimination. Ultimately, </w:t>
      </w:r>
      <w:r w:rsidRPr="00087A72">
        <w:rPr>
          <w:rStyle w:val="StyleUnderline"/>
        </w:rPr>
        <w:t xml:space="preserve">settler colonialism is perpetuated through a double move: to erase indigenous peoples and then to disappear settlers by naturalizing the violence inherent their existence in colonized territory. </w:t>
      </w:r>
      <w:r w:rsidRPr="00087A72">
        <w:rPr>
          <w:sz w:val="12"/>
        </w:rPr>
        <w:t xml:space="preserve">This is accomplished through the production of spatialities bereft of indigeneity. Out of this spatial logic, an imago of settler society is produced that binds settlers both psychically and socially to each other and to the colonized spaces. </w:t>
      </w:r>
      <w:r w:rsidRPr="00087A72">
        <w:rPr>
          <w:rStyle w:val="StyleUnderline"/>
        </w:rPr>
        <w:t>The continual (re)production of a settler colonial imago is necessary to secure the psychic horizons of the settler subject; it is also inextricably bound up with an insatiable need to constantly renew the erasure of indigenous peoples.</w:t>
      </w:r>
      <w:r w:rsidRPr="00087A72">
        <w:rPr>
          <w:sz w:val="12"/>
        </w:rPr>
        <w:t xml:space="preserve"> Thus, in order to secure its continued survival as a subject, the settler must always strive to maintain the conditions of settler colonialism. </w:t>
      </w:r>
      <w:r w:rsidRPr="00087A72">
        <w:rPr>
          <w:rStyle w:val="Emphasis"/>
        </w:rPr>
        <w:t>Total erasure of indigeneity is the grotesque desire of the settler that must be constantly disrupted.</w:t>
      </w:r>
      <w:r w:rsidRPr="00087A72">
        <w:rPr>
          <w:sz w:val="12"/>
        </w:rPr>
        <w:t xml:space="preserve"> Where indigenous peoples have persisted as an insurgent presence in the settler imago, they are always already threatening this disruption of the settler subject at its very core. </w:t>
      </w:r>
      <w:r w:rsidRPr="00087A72">
        <w:rPr>
          <w:rStyle w:val="StyleUnderline"/>
        </w:rPr>
        <w:t>For while the affirmation of indigeneity can induce panic, and subsequently rage, in the settler, it also opens a crack within the imago – that is, within the settler subject itself – through which an ethic of decolonization can emerge.</w:t>
      </w:r>
      <w:r w:rsidRPr="00087A72">
        <w:rPr>
          <w:sz w:val="12"/>
        </w:rPr>
        <w:t xml:space="preserve"> While it seems that settler colonialism is propelled by a tightly circuitous movement of subject formation, projection, and (re)formation, the presence of indigenous peoples in ongoing and sovereign relationship with the land serves as a powerful blockage of to the smoothness of this process.</w:t>
      </w:r>
    </w:p>
    <w:p w:rsidR="005562CD" w:rsidRPr="00087A72" w:rsidRDefault="005562CD" w:rsidP="00D005A2">
      <w:pPr>
        <w:pStyle w:val="Heading3"/>
      </w:pPr>
      <w:r w:rsidRPr="00087A72">
        <w:t>Alt – Rejection (Seawright)</w:t>
      </w:r>
    </w:p>
    <w:p w:rsidR="005562CD" w:rsidRPr="00087A72" w:rsidRDefault="005562CD" w:rsidP="005562CD">
      <w:pPr>
        <w:pStyle w:val="Heading4"/>
      </w:pPr>
      <w:r w:rsidRPr="00087A72">
        <w:t>The only alternative is to reject the aff, it doesn’t stop at the aff but it starts there. The affirmatives cultural assumptions are predicated in racism and only reflects the cultivation of violent scenarios and relationships.</w:t>
      </w:r>
    </w:p>
    <w:p w:rsidR="005562CD" w:rsidRPr="00087A72" w:rsidRDefault="005562CD" w:rsidP="005562CD">
      <w:r w:rsidRPr="00087A72">
        <w:rPr>
          <w:rStyle w:val="Style13ptBold"/>
        </w:rPr>
        <w:t xml:space="preserve">Seawright 2014 </w:t>
      </w:r>
      <w:r w:rsidRPr="00087A72">
        <w:t xml:space="preserve">(Gardner doctoral candidate in the Education, Culture, and Society department at the University of Utah, and will graduate in May 2018. His studies focus on the everyday presence of whiteness within educational spaces, as well as the possibilities of challenging this reality “Settler Traditions of Place: Making Explicit the Epistemological Legacy of White Supremacy and Settler Colonialism for Place-Based Education” </w:t>
      </w:r>
      <w:r w:rsidRPr="00087A72">
        <w:rPr>
          <w:i/>
        </w:rPr>
        <w:t>A Journal of the American Educational Studies Association</w:t>
      </w:r>
      <w:r w:rsidRPr="00087A72">
        <w:t>. 50:6, 554-572, pp.557-558)</w:t>
      </w:r>
    </w:p>
    <w:p w:rsidR="005562CD" w:rsidRPr="00087A72" w:rsidRDefault="005562CD" w:rsidP="005562CD">
      <w:pPr>
        <w:rPr>
          <w:sz w:val="8"/>
        </w:rPr>
      </w:pPr>
      <w:r w:rsidRPr="00087A72">
        <w:rPr>
          <w:sz w:val="8"/>
        </w:rPr>
        <w:t xml:space="preserve">Situating Settler Traditions Settler traditions of place are an epistemic genealogy—the ethics, logics, and ideologies foundational to a knowledge system that have been passed down across generations, a knowledge framework that establishes what is known (the socially constructed commonsense of a culture), how things come to be known (the process of attaining new knowledge), how the world is to be interpreted according to what is known (the social construction of reality), and how the self is known in relation to perceived reality (the politics of self). Tradition is used as </w:t>
      </w:r>
      <w:r w:rsidRPr="00087A72">
        <w:rPr>
          <w:rStyle w:val="StyleUnderline"/>
        </w:rPr>
        <w:t>a conceptual tool allowing for domination to be emphasized as an on-going historical process</w:t>
      </w:r>
      <w:r w:rsidRPr="00087A72">
        <w:rPr>
          <w:sz w:val="8"/>
        </w:rPr>
        <w:t xml:space="preserve">, while also allowing for epistemology as tradition to simultaneously be evolutionary and a cherished cultural artifact. As a cultural product, </w:t>
      </w:r>
      <w:r w:rsidRPr="00087A72">
        <w:rPr>
          <w:rStyle w:val="StyleUnderline"/>
        </w:rPr>
        <w:t xml:space="preserve">settler traditions of place are transmitted across generations through discipline, teaching, modeling and other forms of direct and subtle social communication resulting in normalized habits, beliefs, values, and practices. </w:t>
      </w:r>
      <w:r w:rsidRPr="00087A72">
        <w:rPr>
          <w:sz w:val="8"/>
        </w:rPr>
        <w:t xml:space="preserve">558 In speaking about “western cultural traditions,” Val Plumood (2002) argues that </w:t>
      </w:r>
      <w:r w:rsidRPr="00087A72">
        <w:rPr>
          <w:rStyle w:val="StyleUnderline"/>
        </w:rPr>
        <w:t>there are “epistemic and moral limitations” embedded in these traditions—these normalized habits—that perpetuate hierarchized notions of the world that privilege white-hetero-landowning males</w:t>
      </w:r>
      <w:r w:rsidRPr="00087A72">
        <w:rPr>
          <w:sz w:val="8"/>
        </w:rPr>
        <w:t xml:space="preserve"> (99). As Martusewicz et al. (2011) explain, these </w:t>
      </w:r>
      <w:r w:rsidRPr="00087A72">
        <w:rPr>
          <w:rStyle w:val="StyleUnderline"/>
        </w:rPr>
        <w:t>subtle discourses manifest as taken-for-granted cultural assumptions that are rooted in racism, sexism, classism that intertwine with and reflect the cultivation of violent relationships with the more-than-human world and natural systems that we depend on for life</w:t>
      </w:r>
      <w:r w:rsidRPr="00087A72">
        <w:rPr>
          <w:sz w:val="8"/>
        </w:rPr>
        <w:t xml:space="preserve"> (119). The tradition in question here is the social air that penetrates the Western world, interacting with human beings whether they want it to or not. Using tradition as a metaphor for epistemology allows me to emphasize the way epistemology can impact every aspect of life while remaining removed from a deterministic position. </w:t>
      </w:r>
      <w:r w:rsidRPr="00087A72">
        <w:rPr>
          <w:rStyle w:val="StyleUnderline"/>
        </w:rPr>
        <w:t>Embedded in discourse, tradition appears as ever-present; despite this, individual social actors have the agency to break tradition.</w:t>
      </w:r>
      <w:r w:rsidRPr="00087A72">
        <w:rPr>
          <w:sz w:val="8"/>
        </w:rPr>
        <w:t xml:space="preserve"> Consequently, in the same way that an individual breaks from familial, cultural, or religious tradition and faces the ramifications for transgressing, epistemic transgression can also incur social fallout and cause friction. </w:t>
      </w:r>
      <w:r w:rsidRPr="00087A72">
        <w:rPr>
          <w:rStyle w:val="StyleUnderline"/>
        </w:rPr>
        <w:t>When an individual epistemically transgresses, they employ an epistemic praxis (the operationalization of an alternative or critical epistemology) that goes against the grain and is counter to the tradition that defines the social environment.</w:t>
      </w:r>
      <w:r w:rsidRPr="00087A72">
        <w:rPr>
          <w:sz w:val="8"/>
        </w:rPr>
        <w:t xml:space="preserve"> For conversations concerning the cultivation of criticality (like the one herein) </w:t>
      </w:r>
      <w:r w:rsidRPr="00087A72">
        <w:rPr>
          <w:rStyle w:val="StyleUnderline"/>
        </w:rPr>
        <w:t>this break in tradition is absolutely desirable and can inspire</w:t>
      </w:r>
      <w:r w:rsidRPr="00087A72">
        <w:rPr>
          <w:sz w:val="8"/>
        </w:rPr>
        <w:t xml:space="preserve"> what Jose Medina (2013) calls ´ </w:t>
      </w:r>
      <w:r w:rsidRPr="00087A72">
        <w:rPr>
          <w:rStyle w:val="StyleUnderline"/>
        </w:rPr>
        <w:t>epistemic friction</w:t>
      </w:r>
      <w:r w:rsidRPr="00087A72">
        <w:rPr>
          <w:sz w:val="8"/>
        </w:rPr>
        <w:t>. Epistemic friction is c</w:t>
      </w:r>
      <w:r w:rsidRPr="00087A72">
        <w:rPr>
          <w:rStyle w:val="StyleUnderline"/>
        </w:rPr>
        <w:t>ontained in those uncomfortable moments in which our taken-for-granted assumptions about the world begin to crack.</w:t>
      </w:r>
      <w:r w:rsidRPr="00087A72">
        <w:rPr>
          <w:sz w:val="8"/>
        </w:rPr>
        <w:t xml:space="preserve"> These </w:t>
      </w:r>
      <w:r w:rsidRPr="00087A72">
        <w:rPr>
          <w:rStyle w:val="StyleUnderline"/>
        </w:rPr>
        <w:t>moments can be transformative and catalyze critical consciousness to imagine and hopefully actualize an alternative epistemology</w:t>
      </w:r>
      <w:r w:rsidRPr="00087A72">
        <w:rPr>
          <w:sz w:val="8"/>
        </w:rPr>
        <w:t xml:space="preserve">. The social agent attempting to perform a critical epistemic praxis is caught up in a complex relationship between a conscripting dominant knowledge system and their own morals and ethics. In Visible Identities, Linda Mart´ın Alcoff (2006) points out </w:t>
      </w:r>
      <w:r w:rsidRPr="00087A72">
        <w:rPr>
          <w:rStyle w:val="StyleUnderline"/>
        </w:rPr>
        <w:t>this social reality and suggests that, despite an individual agent’s intellectual and moral position, the quotidian habits and practices related to reading others’ bodies and having our own bodies read and reacted to according to racial and gender hierarchies assists in perpetuating a dominant epistemology.</w:t>
      </w:r>
      <w:r w:rsidRPr="00087A72">
        <w:rPr>
          <w:sz w:val="8"/>
        </w:rPr>
        <w:t xml:space="preserve"> Individuals are roped into participating with, and made complicit to, the dominant structure in a variety of ways, all of which impact individual lived realities. This epistemic reality encourages the need for an intimate and on-going engagement with the complex epistemic maneuvers of Western knowledge traditions. </w:t>
      </w:r>
      <w:r w:rsidRPr="00087A72">
        <w:rPr>
          <w:rStyle w:val="StyleUnderline"/>
        </w:rPr>
        <w:t>Practicing this engagement is done in hopes of promoting epistemic friction, finding ways to transgress, and disobey—all while resisting epistemic relapse into dominant ways of thinking and trying to see the many ways we may be conscripted into and made complicit to domination.</w:t>
      </w:r>
    </w:p>
    <w:p w:rsidR="00D005A2" w:rsidRPr="00087A72" w:rsidRDefault="00D005A2" w:rsidP="00D005A2">
      <w:pPr>
        <w:pStyle w:val="Heading3"/>
      </w:pPr>
      <w:r w:rsidRPr="00087A72">
        <w:t>Alt – Sovereign Erotics</w:t>
      </w:r>
    </w:p>
    <w:p w:rsidR="00D005A2" w:rsidRPr="00087A72" w:rsidRDefault="00D005A2" w:rsidP="00D005A2">
      <w:pPr>
        <w:pStyle w:val="Heading4"/>
      </w:pPr>
      <w:r w:rsidRPr="00087A72">
        <w:t>The alternative is sovereign erotics – an avowal of erotic wholeness to heal from the historical trauma faced by the native.</w:t>
      </w:r>
    </w:p>
    <w:p w:rsidR="00D005A2" w:rsidRPr="00087A72" w:rsidRDefault="00D005A2" w:rsidP="00D005A2">
      <w:r w:rsidRPr="00087A72">
        <w:rPr>
          <w:b/>
          <w:bCs/>
        </w:rPr>
        <w:t xml:space="preserve">Upadhyay 16 </w:t>
      </w:r>
      <w:r w:rsidRPr="00087A72">
        <w:t>(Nishant, Assistant Professor in Women's and Gender Studies at University of Massachusetts Dartmouth, Ph.D. in Graduate Program in Social and Political Thought at York University, South Asian</w:t>
      </w:r>
      <w:r w:rsidRPr="00087A72">
        <w:rPr>
          <w:i/>
        </w:rPr>
        <w:t xml:space="preserve"> “We’ll Sail Like Columbus”: Race, Indigeneity, Settler Colonialism, and the Making of South Asian Diasporas in Canada.</w:t>
      </w:r>
      <w:r w:rsidRPr="00087A72">
        <w:t xml:space="preserve"> pp. 217-219) OD</w:t>
      </w:r>
    </w:p>
    <w:p w:rsidR="00D005A2" w:rsidRPr="00087A72" w:rsidRDefault="00D005A2" w:rsidP="00D005A2">
      <w:pPr>
        <w:rPr>
          <w:sz w:val="12"/>
        </w:rPr>
      </w:pPr>
      <w:r w:rsidRPr="00087A72">
        <w:rPr>
          <w:sz w:val="12"/>
        </w:rPr>
        <w:t xml:space="preserve">Exploring both heteronormative and queer intimacies above, I do not want to posit non- heteronormative intimacies as more transgressive. </w:t>
      </w:r>
      <w:r w:rsidRPr="00087A72">
        <w:rPr>
          <w:b/>
          <w:iCs/>
          <w:u w:val="single"/>
        </w:rPr>
        <w:t>Queer of colour theorizations have demonstrated that queerness has the potential to be assimilated into imperialist, neo-colonial, and nationalist projects</w:t>
      </w:r>
      <w:r w:rsidRPr="00087A72">
        <w:rPr>
          <w:sz w:val="12"/>
        </w:rPr>
        <w:t xml:space="preserve">.24 Thus, queerness is not inherently transcendental of gender, sexual, and racial hierarchies. However, </w:t>
      </w:r>
      <w:r w:rsidRPr="00087A72">
        <w:rPr>
          <w:u w:val="single"/>
        </w:rPr>
        <w:t xml:space="preserve">without privileging non-heteronormative intimacies over heteronormative, by centring Two-Spirit and Indigenous queers and women, </w:t>
      </w:r>
      <w:r w:rsidRPr="00087A72">
        <w:rPr>
          <w:sz w:val="12"/>
        </w:rPr>
        <w:t xml:space="preserve">I explore colonized and racialized queer and trans bodies, experiences, desires, and erotics. Leanne B. Simpson (Alderville First Nation) shows the limitations of critiquing patriarchal relations by centering cisgender men and women, and </w:t>
      </w:r>
      <w:r w:rsidRPr="00087A72">
        <w:rPr>
          <w:b/>
          <w:iCs/>
          <w:u w:val="single"/>
        </w:rPr>
        <w:t>exhorts to see colonial construction of gender, sex, sexuality, and intimacy as “a violent and strategic dispossessing force, removing bodies from the land”</w:t>
      </w:r>
      <w:r w:rsidRPr="00087A72">
        <w:rPr>
          <w:sz w:val="12"/>
        </w:rPr>
        <w:t xml:space="preserve"> (n.pag.). Similarly, Driskill et al., editors of </w:t>
      </w:r>
      <w:r w:rsidRPr="00087A72">
        <w:rPr>
          <w:i/>
          <w:iCs/>
          <w:sz w:val="12"/>
        </w:rPr>
        <w:t>Queer Indigenous Studies</w:t>
      </w:r>
      <w:r w:rsidRPr="00087A72">
        <w:rPr>
          <w:sz w:val="12"/>
        </w:rPr>
        <w:t xml:space="preserve">, argue that heteronormativity is the marker for settler colonial logics and undermines struggles for decolonization and sovereignty (19). Driskill, Justice, et al., editors of </w:t>
      </w:r>
      <w:r w:rsidRPr="00087A72">
        <w:rPr>
          <w:i/>
          <w:iCs/>
          <w:sz w:val="12"/>
        </w:rPr>
        <w:t xml:space="preserve">Sovereign Erotics, </w:t>
      </w:r>
      <w:r w:rsidRPr="00087A72">
        <w:rPr>
          <w:sz w:val="12"/>
        </w:rPr>
        <w:t xml:space="preserve">call for </w:t>
      </w:r>
      <w:r w:rsidRPr="00087A72">
        <w:rPr>
          <w:b/>
          <w:iCs/>
          <w:u w:val="single"/>
        </w:rPr>
        <w:t>“a return to [Indigenous queer and Two-Spirit peoples] bodies as whole human beings [which] can disrupt colonial gender regimes that have attempted to disavow and colonize indigenous genders and sexualities”</w:t>
      </w:r>
      <w:r w:rsidRPr="00087A72">
        <w:rPr>
          <w:sz w:val="12"/>
        </w:rPr>
        <w:t xml:space="preserve"> (3). Qwo-Li Driskill calls for </w:t>
      </w:r>
      <w:r w:rsidRPr="00087A72">
        <w:rPr>
          <w:b/>
          <w:iCs/>
          <w:u w:val="single"/>
        </w:rPr>
        <w:t>an assertion of “sovereign erotics</w:t>
      </w:r>
      <w:r w:rsidRPr="00087A72">
        <w:rPr>
          <w:sz w:val="12"/>
        </w:rPr>
        <w:t xml:space="preserve">”—a phrase coined by them in their essay “Stolen From Our Bodies,” Driskill writes: When I speak of a Sovereign Erotic, I’m speaking of </w:t>
      </w:r>
      <w:r w:rsidRPr="00087A72">
        <w:rPr>
          <w:b/>
          <w:iCs/>
          <w:u w:val="single"/>
        </w:rPr>
        <w:t>an erotic wholeness healed and/or healing from the historical trauma that First Nations people continue to survive, rooted within the histories, traditions, and resistance struggles of our nations</w:t>
      </w:r>
      <w:r w:rsidRPr="00087A72">
        <w:rPr>
          <w:sz w:val="12"/>
        </w:rPr>
        <w:t xml:space="preserve">. (51) A “Sovereign Erotic” is, thus, </w:t>
      </w:r>
      <w:r w:rsidRPr="00087A72">
        <w:rPr>
          <w:u w:val="single"/>
        </w:rPr>
        <w:t xml:space="preserve">a continuance of pre-contact and post-contact gender and sexual relations that are grounded in the struggles against settler colonialism </w:t>
      </w:r>
      <w:r w:rsidRPr="00087A72">
        <w:rPr>
          <w:sz w:val="12"/>
        </w:rPr>
        <w:t xml:space="preserve">(56-57). </w:t>
      </w:r>
      <w:r w:rsidRPr="00087A72">
        <w:rPr>
          <w:b/>
          <w:iCs/>
          <w:u w:val="single"/>
        </w:rPr>
        <w:t>Sovereign erotics allow for an avowal of Native queer and Two-Spirit peoples. This opens up decolonial possibilities for love, erotics, desires and intimacies</w:t>
      </w:r>
      <w:r w:rsidRPr="00087A72">
        <w:rPr>
          <w:sz w:val="12"/>
        </w:rPr>
        <w:t xml:space="preserve">. Similarly, Daniel Heath Justice (Cherokee) asserts that </w:t>
      </w:r>
      <w:r w:rsidRPr="00087A72">
        <w:rPr>
          <w:b/>
          <w:iCs/>
          <w:u w:val="single"/>
        </w:rPr>
        <w:t>every act of sexual orgasm has the potential to be an act of decolonization</w:t>
      </w:r>
      <w:r w:rsidRPr="00087A72">
        <w:rPr>
          <w:sz w:val="12"/>
        </w:rPr>
        <w:t xml:space="preserve"> (106). Driskill draws from Audre Lorde notion of “Erotic as Power,” where Lorde elaborates on the erotic as “the power of our unexpressed or unrecognized feeling ... every oppression must corrupt or distort those various sources of power within the culture of the oppressed that can provide energy for change” (“Uses of the Erotic” 53). Thus, </w:t>
      </w:r>
      <w:r w:rsidRPr="00087A72">
        <w:rPr>
          <w:u w:val="single"/>
        </w:rPr>
        <w:t>unleashing the power of the erotic can give the energy to “change within our world”</w:t>
      </w:r>
      <w:r w:rsidRPr="00087A72">
        <w:rPr>
          <w:sz w:val="12"/>
        </w:rPr>
        <w:t xml:space="preserve"> (59). Jacqui Alexander likewise talks about </w:t>
      </w:r>
      <w:r w:rsidRPr="00087A72">
        <w:rPr>
          <w:b/>
          <w:iCs/>
          <w:u w:val="single"/>
        </w:rPr>
        <w:t>women’s “erotic autonomy”—which poses a threat to the ideology of nuclear heterosexual family, and thereby the nation-state</w:t>
      </w:r>
      <w:r w:rsidRPr="00087A72">
        <w:rPr>
          <w:sz w:val="12"/>
        </w:rPr>
        <w:t xml:space="preserve"> (22-23). By looking at Indigenous queer women’s desires, Deborah Miranda (Ohlone-Costanoan Esslen Nation and Chumash) illustrates: “F</w:t>
      </w:r>
      <w:r w:rsidRPr="00087A72">
        <w:rPr>
          <w:u w:val="single"/>
        </w:rPr>
        <w:t>or Indian women to express the erotic is</w:t>
      </w:r>
      <w:r w:rsidRPr="00087A72">
        <w:rPr>
          <w:sz w:val="12"/>
        </w:rPr>
        <w:t xml:space="preserve"> almost as </w:t>
      </w:r>
      <w:r w:rsidRPr="00087A72">
        <w:rPr>
          <w:u w:val="single"/>
        </w:rPr>
        <w:t>frightening to America</w:t>
      </w:r>
      <w:r w:rsidRPr="00087A72">
        <w:rPr>
          <w:sz w:val="12"/>
        </w:rPr>
        <w:t xml:space="preserve"> as if the skeletal witnesses in anthropology departments and national museums had suddenly risen from their boxes and begun to testify” (146). </w:t>
      </w:r>
      <w:r w:rsidRPr="00087A72">
        <w:rPr>
          <w:b/>
          <w:iCs/>
          <w:u w:val="single"/>
        </w:rPr>
        <w:t>Thus, Indigenous queer and Two-Spirit desires are central to the project of decolonization of Indigenous lands.</w:t>
      </w:r>
      <w:r w:rsidRPr="00087A72">
        <w:rPr>
          <w:sz w:val="12"/>
        </w:rPr>
        <w:t xml:space="preserve"> I briefly provided this overview, to engage with questions of gender and sexuality in the stories by Binning and Highway. </w:t>
      </w:r>
      <w:r w:rsidRPr="00087A72">
        <w:rPr>
          <w:b/>
          <w:iCs/>
          <w:u w:val="single"/>
        </w:rPr>
        <w:t>Grounding my analysis in the voices of Indigenous women, queer, and Two-Spirit folks is pertinent to challenge the erasure of these voices and bodies in the settler state</w:t>
      </w:r>
      <w:r w:rsidRPr="00087A72">
        <w:rPr>
          <w:sz w:val="12"/>
        </w:rPr>
        <w:t>.</w:t>
      </w:r>
    </w:p>
    <w:p w:rsidR="00D005A2" w:rsidRPr="00087A72" w:rsidRDefault="00D005A2" w:rsidP="00D005A2"/>
    <w:p w:rsidR="00514D76" w:rsidRPr="00087A72" w:rsidRDefault="00514D76" w:rsidP="00514D76">
      <w:pPr>
        <w:pStyle w:val="Heading3"/>
      </w:pPr>
      <w:r w:rsidRPr="00087A72">
        <w:t>Alt – Undo the Human</w:t>
      </w:r>
    </w:p>
    <w:p w:rsidR="00514D76" w:rsidRPr="00087A72" w:rsidRDefault="00514D76" w:rsidP="00514D76">
      <w:pPr>
        <w:pStyle w:val="Heading4"/>
      </w:pPr>
      <w:r w:rsidRPr="00087A72">
        <w:t>The alternative is to reject the distinction between “human” and “animal”, as this has led to global genocide and ecocide.</w:t>
      </w:r>
    </w:p>
    <w:p w:rsidR="00514D76" w:rsidRPr="00087A72" w:rsidRDefault="00514D76" w:rsidP="00514D76">
      <w:r w:rsidRPr="00087A72">
        <w:rPr>
          <w:rStyle w:val="Style13ptBold"/>
        </w:rPr>
        <w:t>McNeil 18</w:t>
      </w:r>
      <w:r w:rsidRPr="00087A72">
        <w:t xml:space="preserve"> (Elizabeth, an instructor of English at Arizona State University's downtown campus and Faculty Advisor for the Environmental Humanities Certificate. She is an Affiliate Faculty member in Women's and Gender Studies and African and African American Studies. She received her Ph.D. in English (American ethnic and women’s literatures) and M.F.A. in Creative Writing (poetry) from Arizona State University, “Mapping Queer Space(s) of Praxis and Pedagogy”, PP 305-307)</w:t>
      </w:r>
    </w:p>
    <w:p w:rsidR="00514D76" w:rsidRPr="00087A72" w:rsidRDefault="00514D76" w:rsidP="00514D76">
      <w:pPr>
        <w:pStyle w:val="p1"/>
        <w:rPr>
          <w:rFonts w:ascii="Georgia" w:hAnsi="Georgia"/>
          <w:sz w:val="15"/>
          <w:szCs w:val="15"/>
        </w:rPr>
      </w:pPr>
      <w:r w:rsidRPr="00087A72">
        <w:rPr>
          <w:rFonts w:ascii="Georgia" w:hAnsi="Georgia" w:cs="Arial"/>
          <w:b/>
          <w:sz w:val="28"/>
          <w:szCs w:val="28"/>
          <w:u w:val="single"/>
        </w:rPr>
        <w:t xml:space="preserve">Human separation from, and control of, populations of nonhumans signifies, as Derrida argues, a “radical discontinuity” between the animal and the human, </w:t>
      </w:r>
      <w:r w:rsidRPr="00087A72">
        <w:rPr>
          <w:rFonts w:ascii="Georgia" w:hAnsi="Georgia" w:cs="Arial"/>
          <w:szCs w:val="28"/>
        </w:rPr>
        <w:t xml:space="preserve">including the presumption that certain specific psychological capacities, including the capacity to mourn, </w:t>
      </w:r>
      <w:r w:rsidRPr="00087A72">
        <w:rPr>
          <w:rFonts w:ascii="Georgia" w:hAnsi="Georgia" w:cs="Arial"/>
          <w:b/>
          <w:sz w:val="28"/>
          <w:szCs w:val="28"/>
          <w:u w:val="single"/>
        </w:rPr>
        <w:t>delineate humans from animals</w:t>
      </w:r>
      <w:r w:rsidRPr="00087A72">
        <w:rPr>
          <w:rFonts w:ascii="Georgia" w:hAnsi="Georgia" w:cs="Arial"/>
          <w:szCs w:val="28"/>
        </w:rPr>
        <w:t xml:space="preserve">. For Derrida, </w:t>
      </w:r>
      <w:r w:rsidRPr="00087A72">
        <w:rPr>
          <w:rFonts w:ascii="Georgia" w:hAnsi="Georgia" w:cs="Arial"/>
          <w:b/>
          <w:sz w:val="28"/>
          <w:szCs w:val="28"/>
          <w:u w:val="single"/>
        </w:rPr>
        <w:t>even when we name “the animals” collectively, as an Othered heterogeneous group, we practice a form of violence against them</w:t>
      </w:r>
      <w:r w:rsidRPr="00087A72">
        <w:rPr>
          <w:rFonts w:ascii="Georgia" w:hAnsi="Georgia" w:cs="Arial"/>
          <w:szCs w:val="28"/>
        </w:rPr>
        <w:t xml:space="preserve"> (Derrida, The Animal 134–135). This </w:t>
      </w:r>
      <w:r w:rsidRPr="00087A72">
        <w:rPr>
          <w:rFonts w:ascii="Georgia" w:hAnsi="Georgia" w:cs="Arial"/>
          <w:b/>
          <w:sz w:val="28"/>
          <w:szCs w:val="28"/>
          <w:u w:val="single"/>
        </w:rPr>
        <w:t>“scapegoating” of the nonhuman legitimizes the “industrial mechanical chemical hormonal and genetic violence to which man has been submitting animal life for the past two centuries</w:t>
      </w:r>
      <w:r w:rsidRPr="00087A72">
        <w:rPr>
          <w:rFonts w:ascii="Georgia" w:hAnsi="Georgia" w:cs="Arial"/>
          <w:szCs w:val="28"/>
        </w:rPr>
        <w:t xml:space="preserve">” (26). Animals inhabit spaces beyond the horizon of imaginary human landscapes of interiority. </w:t>
      </w:r>
      <w:r w:rsidRPr="00087A72">
        <w:rPr>
          <w:rFonts w:ascii="Georgia" w:hAnsi="Georgia" w:cs="Arial"/>
          <w:b/>
          <w:sz w:val="28"/>
          <w:szCs w:val="28"/>
          <w:u w:val="single"/>
        </w:rPr>
        <w:t>Viewed from the interior of the human psyche, nonhumans are fantasmic psycho-bio-political objects. This fantasy legitimates their mass consumption not only literally as food, clothing, and medicine, but also as visual objects of the human gaze, of anthropomorphic projections, and as the scopic objects of environmental consumerism</w:t>
      </w:r>
      <w:r w:rsidRPr="00087A72">
        <w:rPr>
          <w:rFonts w:ascii="Georgia" w:hAnsi="Georgia" w:cs="Arial"/>
          <w:szCs w:val="28"/>
        </w:rPr>
        <w:t xml:space="preserve"> (Mortimer-Sandilands). </w:t>
      </w:r>
      <w:r w:rsidRPr="00087A72">
        <w:rPr>
          <w:rFonts w:ascii="Georgia" w:hAnsi="Georgia" w:cs="Arial"/>
          <w:b/>
          <w:sz w:val="28"/>
          <w:szCs w:val="28"/>
          <w:u w:val="single"/>
        </w:rPr>
        <w:t>Morton has proposed a queered ecology that will abandon the “disastrous” term “animal” that erroneously presumes a clear boundary between what is and isn’t life.</w:t>
      </w:r>
      <w:r w:rsidRPr="00087A72">
        <w:rPr>
          <w:rFonts w:ascii="Georgia" w:hAnsi="Georgia" w:cs="Arial"/>
          <w:szCs w:val="28"/>
        </w:rPr>
        <w:t xml:space="preserve"> </w:t>
      </w:r>
      <w:r w:rsidRPr="00087A72">
        <w:rPr>
          <w:rFonts w:ascii="Georgia" w:hAnsi="Georgia" w:cs="Arial"/>
          <w:b/>
          <w:sz w:val="28"/>
          <w:szCs w:val="28"/>
          <w:u w:val="single"/>
        </w:rPr>
        <w:t>Rather than determining where life forms begin and end,</w:t>
      </w:r>
      <w:r w:rsidRPr="00087A72">
        <w:rPr>
          <w:rFonts w:ascii="Georgia" w:hAnsi="Georgia" w:cs="Arial"/>
          <w:szCs w:val="28"/>
        </w:rPr>
        <w:t xml:space="preserve"> he describes t</w:t>
      </w:r>
      <w:r w:rsidRPr="00087A72">
        <w:rPr>
          <w:rFonts w:ascii="Georgia" w:hAnsi="Georgia" w:cs="Arial"/>
          <w:b/>
          <w:sz w:val="28"/>
          <w:szCs w:val="28"/>
          <w:u w:val="single"/>
        </w:rPr>
        <w:t>his border is “thick,” and filled with “paradoxical entities</w:t>
      </w:r>
      <w:r w:rsidRPr="00087A72">
        <w:rPr>
          <w:rFonts w:ascii="Georgia" w:hAnsi="Georgia"/>
          <w:szCs w:val="28"/>
        </w:rPr>
        <w:t>”</w:t>
      </w:r>
      <w:r w:rsidRPr="00087A72">
        <w:rPr>
          <w:rFonts w:ascii="Georgia" w:hAnsi="Georgia"/>
          <w:szCs w:val="15"/>
        </w:rPr>
        <w:t xml:space="preserve"> </w:t>
      </w:r>
      <w:r w:rsidRPr="00087A72">
        <w:rPr>
          <w:rFonts w:ascii="Georgia" w:hAnsi="Georgia" w:cs="Arial"/>
          <w:szCs w:val="28"/>
        </w:rPr>
        <w:t xml:space="preserve">(“Queer Ecology” 276). </w:t>
      </w:r>
      <w:r w:rsidRPr="00087A72">
        <w:rPr>
          <w:rFonts w:ascii="Georgia" w:hAnsi="Georgia" w:cs="Arial"/>
          <w:b/>
          <w:sz w:val="28"/>
          <w:szCs w:val="28"/>
          <w:u w:val="single"/>
        </w:rPr>
        <w:t>Ecology</w:t>
      </w:r>
      <w:r w:rsidRPr="00087A72">
        <w:rPr>
          <w:rFonts w:ascii="Georgia" w:hAnsi="Georgia" w:cs="Arial"/>
          <w:szCs w:val="28"/>
        </w:rPr>
        <w:t xml:space="preserve">, he argues, </w:t>
      </w:r>
      <w:r w:rsidRPr="00087A72">
        <w:rPr>
          <w:rFonts w:ascii="Georgia" w:hAnsi="Georgia" w:cs="Arial"/>
          <w:b/>
          <w:sz w:val="28"/>
          <w:szCs w:val="28"/>
          <w:u w:val="single"/>
        </w:rPr>
        <w:t>“humiliates” the human and spawns</w:t>
      </w:r>
      <w:r w:rsidRPr="00087A72">
        <w:rPr>
          <w:rFonts w:ascii="Georgia" w:hAnsi="Georgia" w:cs="Arial"/>
          <w:szCs w:val="28"/>
        </w:rPr>
        <w:t xml:space="preserve"> </w:t>
      </w:r>
      <w:r w:rsidRPr="00087A72">
        <w:rPr>
          <w:rFonts w:ascii="Georgia" w:hAnsi="Georgia" w:cs="Arial"/>
          <w:b/>
          <w:sz w:val="28"/>
          <w:szCs w:val="28"/>
          <w:u w:val="single"/>
        </w:rPr>
        <w:t>“politicized intimacy with other beings</w:t>
      </w:r>
      <w:r w:rsidRPr="00087A72">
        <w:rPr>
          <w:rFonts w:ascii="Georgia" w:hAnsi="Georgia" w:cs="Arial"/>
          <w:szCs w:val="28"/>
        </w:rPr>
        <w:t xml:space="preserve"> … an intimacy well described by queer theory when it argues that sexuality has never been a case of norm versus its pathological variants” (278).</w:t>
      </w:r>
      <w:r w:rsidRPr="00087A72">
        <w:rPr>
          <w:rFonts w:ascii="Georgia" w:hAnsi="Georgia" w:cs="Arial"/>
          <w:b/>
          <w:sz w:val="28"/>
          <w:szCs w:val="28"/>
          <w:u w:val="single"/>
        </w:rPr>
        <w:t>The deconstruction of the human/not-human divide means invoking boundary crossings that query the divisions derived from the notion of “species,”</w:t>
      </w:r>
      <w:r w:rsidRPr="00087A72">
        <w:rPr>
          <w:rFonts w:ascii="Georgia" w:hAnsi="Georgia" w:cs="Arial"/>
          <w:szCs w:val="28"/>
        </w:rPr>
        <w:t xml:space="preserve"> as Donna Haraway has proposed, in favor of co-habiting bodies and the multiplicity of beings who share mortal commonality. While </w:t>
      </w:r>
      <w:r w:rsidRPr="00087A72">
        <w:rPr>
          <w:rFonts w:ascii="Georgia" w:hAnsi="Georgia" w:cs="Arial"/>
          <w:b/>
          <w:sz w:val="28"/>
          <w:szCs w:val="28"/>
          <w:u w:val="single"/>
        </w:rPr>
        <w:t>the agricultural “domestication” of the nonhuman has existed for several thousand years</w:t>
      </w:r>
      <w:r w:rsidRPr="00087A72">
        <w:rPr>
          <w:rFonts w:ascii="Georgia" w:hAnsi="Georgia" w:cs="Arial"/>
          <w:szCs w:val="28"/>
        </w:rPr>
        <w:t xml:space="preserve"> (Diamond), </w:t>
      </w:r>
      <w:r w:rsidRPr="00087A72">
        <w:rPr>
          <w:rFonts w:ascii="Georgia" w:hAnsi="Georgia" w:cs="Arial"/>
          <w:b/>
          <w:sz w:val="28"/>
          <w:szCs w:val="28"/>
          <w:u w:val="single"/>
        </w:rPr>
        <w:t>the intensification of human exploitation of nonhuman beings and objects over the past 300 years, into the global-scale organized exploitation of Others as resource, is significant</w:t>
      </w:r>
      <w:r w:rsidRPr="00087A72">
        <w:rPr>
          <w:rFonts w:ascii="Georgia" w:hAnsi="Georgia" w:cs="Arial"/>
          <w:szCs w:val="28"/>
        </w:rPr>
        <w:t xml:space="preserve"> for the development of ecologically separative human subjectivity, </w:t>
      </w:r>
      <w:r w:rsidRPr="00087A72">
        <w:rPr>
          <w:rFonts w:ascii="Georgia" w:hAnsi="Georgia" w:cs="Arial"/>
          <w:b/>
          <w:sz w:val="28"/>
          <w:szCs w:val="28"/>
          <w:u w:val="single"/>
        </w:rPr>
        <w:t xml:space="preserve">because of the presumption that there always is an Other available for exploitation. </w:t>
      </w:r>
      <w:r w:rsidRPr="00087A72">
        <w:rPr>
          <w:rFonts w:ascii="Georgia" w:hAnsi="Georgia"/>
          <w:sz w:val="15"/>
          <w:szCs w:val="15"/>
        </w:rPr>
        <w:t> </w:t>
      </w:r>
      <w:r w:rsidRPr="00087A72">
        <w:rPr>
          <w:rFonts w:ascii="Georgia" w:hAnsi="Georgia" w:cs="Arial"/>
          <w:szCs w:val="28"/>
        </w:rPr>
        <w:t xml:space="preserve">As Cary Wolfe has noted, there is a difficulty with contemporary rights discourse due to </w:t>
      </w:r>
      <w:r w:rsidRPr="00087A72">
        <w:rPr>
          <w:rFonts w:ascii="Georgia" w:hAnsi="Georgia" w:cs="Arial"/>
          <w:b/>
          <w:sz w:val="28"/>
          <w:szCs w:val="28"/>
          <w:u w:val="single"/>
        </w:rPr>
        <w:t>the assumption that the violence inherent to “dehumanization” also means that degradation is intrinsic to the state of “animalization”</w:t>
      </w:r>
      <w:r w:rsidRPr="00087A72">
        <w:rPr>
          <w:rFonts w:ascii="Georgia" w:hAnsi="Georgia" w:cs="Arial"/>
          <w:szCs w:val="28"/>
        </w:rPr>
        <w:t xml:space="preserve"> (21), </w:t>
      </w:r>
      <w:r w:rsidRPr="00087A72">
        <w:rPr>
          <w:rFonts w:ascii="Georgia" w:hAnsi="Georgia" w:cs="Arial"/>
          <w:b/>
          <w:sz w:val="28"/>
          <w:szCs w:val="28"/>
          <w:u w:val="single"/>
        </w:rPr>
        <w:t>as is shown by the negative construal of humans being “treated like animals.”</w:t>
      </w:r>
      <w:r w:rsidRPr="00087A72">
        <w:rPr>
          <w:rFonts w:ascii="Georgia" w:hAnsi="Georgia" w:cs="Arial"/>
          <w:szCs w:val="28"/>
        </w:rPr>
        <w:t xml:space="preserve"> </w:t>
      </w:r>
      <w:r w:rsidRPr="00087A72">
        <w:rPr>
          <w:rFonts w:ascii="Georgia" w:hAnsi="Georgia" w:cs="Arial"/>
          <w:b/>
          <w:sz w:val="28"/>
          <w:szCs w:val="28"/>
          <w:u w:val="single"/>
        </w:rPr>
        <w:t>Liberal rights discourse presumes that a less violent, or a more “civilized,” humanity is needed to counter “inhuman” treatment.</w:t>
      </w:r>
      <w:r w:rsidRPr="00087A72">
        <w:rPr>
          <w:rFonts w:ascii="Georgia" w:hAnsi="Georgia" w:cs="Arial"/>
          <w:szCs w:val="28"/>
        </w:rPr>
        <w:t xml:space="preserve"> Haraway makes the point that </w:t>
      </w:r>
      <w:r w:rsidRPr="00087A72">
        <w:rPr>
          <w:rFonts w:ascii="Georgia" w:hAnsi="Georgia" w:cs="Arial"/>
          <w:b/>
          <w:sz w:val="28"/>
          <w:szCs w:val="28"/>
          <w:u w:val="single"/>
        </w:rPr>
        <w:t>“humanity” is, by virtue of its distinction from nonhuman Others, predicated on violences inherent to the human having become set apart.</w:t>
      </w:r>
      <w:r w:rsidRPr="00087A72">
        <w:rPr>
          <w:rFonts w:ascii="Georgia" w:hAnsi="Georgia" w:cs="Arial"/>
          <w:szCs w:val="28"/>
        </w:rPr>
        <w:t xml:space="preserve"> She notes that </w:t>
      </w:r>
      <w:r w:rsidRPr="00087A72">
        <w:rPr>
          <w:rFonts w:ascii="Georgia" w:hAnsi="Georgia" w:cs="Arial"/>
          <w:b/>
          <w:sz w:val="28"/>
          <w:szCs w:val="28"/>
          <w:u w:val="single"/>
        </w:rPr>
        <w:t>only a human can be murdered; it is seen as a moral outrage to degrade the human to the level of the “killable”; we call this “genocide” and conceive of it as a loss of our “humanity</w:t>
      </w:r>
      <w:r w:rsidRPr="00087A72">
        <w:rPr>
          <w:rFonts w:ascii="Georgia" w:hAnsi="Georgia" w:cs="Arial"/>
          <w:szCs w:val="28"/>
        </w:rPr>
        <w:t xml:space="preserve">.” But, for Haraway, </w:t>
      </w:r>
      <w:r w:rsidRPr="00087A72">
        <w:rPr>
          <w:rFonts w:ascii="Georgia" w:hAnsi="Georgia" w:cs="Arial"/>
          <w:b/>
          <w:sz w:val="28"/>
          <w:szCs w:val="28"/>
          <w:u w:val="single"/>
        </w:rPr>
        <w:t>humanity itself is being constructed through the exclusion of suffering animal others</w:t>
      </w:r>
      <w:r w:rsidRPr="00087A72">
        <w:rPr>
          <w:rFonts w:ascii="Georgia" w:hAnsi="Georgia" w:cs="Arial"/>
          <w:szCs w:val="28"/>
        </w:rPr>
        <w:t xml:space="preserve"> (78–79). The identity of </w:t>
      </w:r>
      <w:r w:rsidRPr="00087A72">
        <w:rPr>
          <w:rFonts w:ascii="Georgia" w:hAnsi="Georgia" w:cs="Arial"/>
          <w:b/>
          <w:sz w:val="28"/>
          <w:szCs w:val="28"/>
          <w:u w:val="single"/>
        </w:rPr>
        <w:t>“being human” will always, by virtue of its intrinsic constitution through Otherings, be the cause of inhuman(e) violences.</w:t>
      </w:r>
      <w:r w:rsidRPr="00087A72">
        <w:rPr>
          <w:rFonts w:ascii="Georgia" w:hAnsi="Georgia" w:cs="Arial"/>
          <w:szCs w:val="28"/>
        </w:rPr>
        <w:t xml:space="preserve"> </w:t>
      </w:r>
      <w:r w:rsidRPr="00087A72">
        <w:rPr>
          <w:rFonts w:ascii="Georgia" w:hAnsi="Georgia" w:cs="Arial"/>
          <w:b/>
          <w:sz w:val="28"/>
          <w:szCs w:val="28"/>
          <w:u w:val="single"/>
        </w:rPr>
        <w:t>The insistence that we become more “humane” runs the danger of entrenching further the separative and delusional position that generated the ecocidal and genocidal imperatives underpinning the agro-colonization of the planet, and which has resulted in the global ecological predicament of the Anthropocene</w:t>
      </w:r>
      <w:r w:rsidRPr="00087A72">
        <w:rPr>
          <w:rFonts w:ascii="Georgia" w:hAnsi="Georgia" w:cs="Arial"/>
          <w:szCs w:val="28"/>
        </w:rPr>
        <w:t>.</w:t>
      </w:r>
      <w:r w:rsidRPr="00087A72">
        <w:rPr>
          <w:rFonts w:ascii="Georgia" w:hAnsi="Georgia" w:cs="Arial"/>
          <w:b/>
          <w:sz w:val="28"/>
          <w:szCs w:val="28"/>
          <w:u w:val="single"/>
        </w:rPr>
        <w:t xml:space="preserve"> If civilized humanity enacts violences, including the violences of normalization, upon others of all kinds, including other “peoples,” then an  eco-queer critique of human/nonhuman relations suggests a reading of “de-humanization” that, rather than propelling us to become more human, urges that we should become less human</w:t>
      </w:r>
      <w:r w:rsidRPr="00087A72">
        <w:rPr>
          <w:rFonts w:ascii="Georgia" w:hAnsi="Georgia" w:cs="Arial"/>
          <w:szCs w:val="28"/>
        </w:rPr>
        <w:t xml:space="preserve"> , or as Lee Edelman suggests, queerly “inhuman” (109). The </w:t>
      </w:r>
      <w:r w:rsidRPr="00087A72">
        <w:rPr>
          <w:rFonts w:ascii="Georgia" w:hAnsi="Georgia" w:cs="Arial"/>
          <w:b/>
          <w:sz w:val="28"/>
          <w:szCs w:val="28"/>
          <w:u w:val="single"/>
        </w:rPr>
        <w:t>ejection of the bestial from the human and the projection of bestial animality onto Native peoples act together to instate “the human” as ecologically separative</w:t>
      </w:r>
      <w:r w:rsidRPr="00087A72">
        <w:rPr>
          <w:rFonts w:ascii="Georgia" w:hAnsi="Georgia" w:cs="Arial"/>
          <w:szCs w:val="28"/>
        </w:rPr>
        <w:t xml:space="preserve">. However, </w:t>
      </w:r>
      <w:r w:rsidRPr="00087A72">
        <w:rPr>
          <w:rFonts w:ascii="Georgia" w:hAnsi="Georgia" w:cs="Arial"/>
          <w:b/>
          <w:sz w:val="28"/>
          <w:szCs w:val="28"/>
          <w:u w:val="single"/>
        </w:rPr>
        <w:t>shifting parameters in relation to what counts as human reveal the instability of the category of “the human” itself.</w:t>
      </w:r>
      <w:r w:rsidRPr="00087A72">
        <w:rPr>
          <w:rFonts w:ascii="Georgia" w:hAnsi="Georgia" w:cs="Arial"/>
          <w:szCs w:val="28"/>
        </w:rPr>
        <w:t xml:space="preserve"> Forms of bestialization vary according to the normalizing requirements of a given biopolitical context. </w:t>
      </w:r>
      <w:r w:rsidRPr="00087A72">
        <w:rPr>
          <w:rFonts w:ascii="Georgia" w:hAnsi="Georgia" w:cs="Arial"/>
          <w:b/>
          <w:sz w:val="28"/>
          <w:szCs w:val="28"/>
          <w:u w:val="single"/>
        </w:rPr>
        <w:t>What counts as properly human morphs across different historical periods and cultures, and can either incorporate or exclude Others when defining and redefining what constitutes the human</w:t>
      </w:r>
      <w:r w:rsidRPr="00087A72">
        <w:rPr>
          <w:rFonts w:ascii="Georgia" w:hAnsi="Georgia" w:cs="Arial"/>
          <w:szCs w:val="28"/>
        </w:rPr>
        <w:t xml:space="preserve">. In relation to the signification of deviance, two seemingly opposite trajectories can be identified: one in which the deviant is de-bestialized and assimilated to a medico-judicial category of humanity, and the other where the deviant is bestialized and entirely excluded from the category of humanity. Whether producing animalized or humanized deviants, or bestialized nonhumans, </w:t>
      </w:r>
      <w:r w:rsidRPr="00087A72">
        <w:rPr>
          <w:rFonts w:ascii="Georgia" w:hAnsi="Georgia" w:cs="Arial"/>
          <w:b/>
          <w:sz w:val="28"/>
          <w:szCs w:val="28"/>
          <w:u w:val="single"/>
        </w:rPr>
        <w:t>“humanization” functions as disciplinary normativity. The discursive productions of human/beast dualisms have justified colonial and medico-legal violence and confinements, and the ecological destructions that have led to the global agro-industrialization of the planet have culminated in the irreversible alteration by humans of the biosphere.</w:t>
      </w:r>
      <w:r w:rsidRPr="00087A72">
        <w:rPr>
          <w:rFonts w:ascii="Georgia" w:hAnsi="Georgia"/>
          <w:sz w:val="15"/>
          <w:szCs w:val="15"/>
        </w:rPr>
        <w:t xml:space="preserve"> </w:t>
      </w:r>
      <w:r w:rsidRPr="00087A72">
        <w:rPr>
          <w:rFonts w:ascii="Georgia" w:hAnsi="Georgia" w:cs="Arial"/>
          <w:szCs w:val="28"/>
        </w:rPr>
        <w:t xml:space="preserve">Wolf recovery is a particularly uncanny reversal on the part of humans, whereby those who were demonized, and whose deletion was nearly complete, have been returned, and they have become, both ecologically and culturally, “re-animated.” Yet </w:t>
      </w:r>
      <w:r w:rsidRPr="00087A72">
        <w:rPr>
          <w:rFonts w:ascii="Georgia" w:hAnsi="Georgia" w:cs="Arial"/>
          <w:b/>
          <w:sz w:val="28"/>
          <w:szCs w:val="28"/>
          <w:u w:val="single"/>
        </w:rPr>
        <w:t>agro-colonialist identities that normalize the hunting of wolves for pleasure or sport, or wish to see them eradicated once again as a territorial enemy, have also been reasserted</w:t>
      </w:r>
      <w:r w:rsidRPr="00087A72">
        <w:rPr>
          <w:rFonts w:ascii="Georgia" w:hAnsi="Georgia" w:cs="Arial"/>
          <w:szCs w:val="28"/>
        </w:rPr>
        <w:t xml:space="preserve">. This begs the question of what human relations to wolves might signify, when we can re-call them to life only to reinvent them as “big game.” Are new lupine ghosts now being raised? The heavy tread of “the human” unwittingly leaves behind visible tracks of what went before, and now, on the contested terrain of wolf recovery, older specters are becoming more visible. </w:t>
      </w:r>
      <w:r w:rsidRPr="00087A72">
        <w:rPr>
          <w:rFonts w:ascii="Georgia" w:hAnsi="Georgia" w:cs="Arial"/>
          <w:b/>
          <w:sz w:val="28"/>
          <w:szCs w:val="28"/>
          <w:u w:val="single"/>
        </w:rPr>
        <w:t>Decades and centuries of extirpations past have not erased the cultural memories of those whose histories are interwoven with the histories of wolves</w:t>
      </w:r>
      <w:r w:rsidRPr="00087A72">
        <w:rPr>
          <w:rFonts w:ascii="Georgia" w:hAnsi="Georgia" w:cs="Arial"/>
          <w:szCs w:val="28"/>
        </w:rPr>
        <w:t xml:space="preserve">. </w:t>
      </w:r>
      <w:r w:rsidRPr="00087A72">
        <w:rPr>
          <w:rFonts w:ascii="Georgia" w:hAnsi="Georgia" w:cs="Arial"/>
          <w:b/>
          <w:sz w:val="28"/>
          <w:szCs w:val="28"/>
          <w:u w:val="single"/>
        </w:rPr>
        <w:t>Wolves uncover a human desire to become-not-so-human and provoke resistances to discourses that have sought to confine all of life in forms of exploitation and “population management.”</w:t>
      </w:r>
      <w:r w:rsidRPr="00087A72">
        <w:rPr>
          <w:rFonts w:ascii="Georgia" w:hAnsi="Georgia" w:cs="Arial"/>
          <w:szCs w:val="28"/>
        </w:rPr>
        <w:t xml:space="preserve"> The contested terrain of wolf recovery may yet become the territory upon which an assembly of the disavowed can form decolonizing, ecological, and queer recuperative alliances. </w:t>
      </w:r>
      <w:r w:rsidRPr="00087A72">
        <w:rPr>
          <w:rFonts w:ascii="Georgia" w:hAnsi="Georgia" w:cs="Arial"/>
          <w:b/>
          <w:sz w:val="28"/>
          <w:szCs w:val="28"/>
          <w:u w:val="single"/>
        </w:rPr>
        <w:t>Affinities between the marginalized, the deviant, and the bestial emerge from their co-subjections to, and joint exclusions from, colonizing agriculturalism</w:t>
      </w:r>
      <w:r w:rsidRPr="00087A72">
        <w:rPr>
          <w:rFonts w:ascii="Georgia" w:hAnsi="Georgia" w:cs="Arial"/>
          <w:szCs w:val="28"/>
        </w:rPr>
        <w:t xml:space="preserve">. </w:t>
      </w:r>
      <w:r w:rsidRPr="00087A72">
        <w:rPr>
          <w:rFonts w:ascii="Georgia" w:hAnsi="Georgia" w:cs="Arial"/>
          <w:b/>
          <w:sz w:val="28"/>
          <w:szCs w:val="28"/>
          <w:u w:val="single"/>
        </w:rPr>
        <w:t>Their shared positioning on the borderlands of the humanized realm, where questions concerning which beings count as human, which as beast, and who will be made to live and who to die, are determined.</w:t>
      </w:r>
      <w:r w:rsidRPr="00087A72">
        <w:rPr>
          <w:rFonts w:ascii="Georgia" w:hAnsi="Georgia" w:cs="Arial"/>
          <w:szCs w:val="28"/>
        </w:rPr>
        <w:t xml:space="preserve"> This reclamation of the bestial represents a proposal for de-humanization whereby, rather than </w:t>
      </w:r>
      <w:r w:rsidRPr="00087A72">
        <w:rPr>
          <w:rFonts w:ascii="Georgia" w:hAnsi="Georgia" w:cs="Arial"/>
          <w:b/>
          <w:sz w:val="28"/>
          <w:szCs w:val="28"/>
          <w:u w:val="single"/>
        </w:rPr>
        <w:t>our problem being construed as our not being human enough, it is that we are too human by far</w:t>
      </w:r>
      <w:r w:rsidRPr="00087A72">
        <w:rPr>
          <w:rFonts w:ascii="Georgia" w:hAnsi="Georgia" w:cs="Arial"/>
          <w:sz w:val="28"/>
          <w:szCs w:val="28"/>
          <w:u w:val="single"/>
        </w:rPr>
        <w:t xml:space="preserve">. </w:t>
      </w:r>
      <w:r w:rsidRPr="00087A72">
        <w:rPr>
          <w:rFonts w:ascii="Georgia" w:hAnsi="Georgia" w:cs="Arial"/>
          <w:b/>
          <w:sz w:val="28"/>
          <w:szCs w:val="28"/>
          <w:u w:val="single"/>
        </w:rPr>
        <w:t>Those deemed not-human, not fully human, and not normatively human share the bond of subjective mortal commonality which queries the boundaries of agro-colonial humanization and opens a window onto a landscape of the bestial and the re-bestialized where the colonial and ecologically separative identities of “humanity” become un-done.</w:t>
      </w:r>
    </w:p>
    <w:p w:rsidR="00514D76" w:rsidRPr="00087A72" w:rsidRDefault="00514D76" w:rsidP="00514D76"/>
    <w:p w:rsidR="00D005A2" w:rsidRPr="00087A72" w:rsidRDefault="00D005A2" w:rsidP="00D005A2">
      <w:pPr>
        <w:pStyle w:val="Heading2"/>
      </w:pPr>
      <w:r w:rsidRPr="00087A72">
        <w:t>Alternative Solvency</w:t>
      </w:r>
    </w:p>
    <w:p w:rsidR="00D005A2" w:rsidRPr="00087A72" w:rsidRDefault="00D005A2" w:rsidP="00D005A2">
      <w:pPr>
        <w:pStyle w:val="Heading3"/>
      </w:pPr>
      <w:r w:rsidRPr="00087A72">
        <w:t>Alt Solves – Anti-Blackness</w:t>
      </w:r>
    </w:p>
    <w:p w:rsidR="00D005A2" w:rsidRPr="00087A72" w:rsidRDefault="00D005A2" w:rsidP="00D005A2">
      <w:pPr>
        <w:pStyle w:val="Heading4"/>
      </w:pPr>
      <w:r w:rsidRPr="00087A72">
        <w:t xml:space="preserve">An analysis of white supremacy and Whiteness through merely the lens of the Black white binary rather than the history and legacy that colonial modernity has left behind is complicit in reproducing settler colonialist structures. </w:t>
      </w:r>
    </w:p>
    <w:p w:rsidR="00D005A2" w:rsidRPr="00087A72" w:rsidRDefault="00D005A2" w:rsidP="00D005A2">
      <w:r w:rsidRPr="00087A72">
        <w:rPr>
          <w:b/>
          <w:bCs/>
        </w:rPr>
        <w:t xml:space="preserve">Upadhyay 16 </w:t>
      </w:r>
      <w:r w:rsidRPr="00087A72">
        <w:t>(Nishant, Assistant Professor in Women's and Gender Studies at University of Massachusetts Dartmouth, Ph.D. in Graduate Program in Social and Political Thought at York University, South Asian</w:t>
      </w:r>
      <w:r w:rsidRPr="00087A72">
        <w:rPr>
          <w:i/>
        </w:rPr>
        <w:t xml:space="preserve"> “We’ll Sail Like Columbus”: Race, Indigeneity, Settler Colonialism, and the Making of South Asian Diasporas in Canada.</w:t>
      </w:r>
      <w:r w:rsidRPr="00087A72">
        <w:t xml:space="preserve"> pp. 249-253) OD</w:t>
      </w:r>
    </w:p>
    <w:p w:rsidR="00D005A2" w:rsidRPr="00087A72" w:rsidRDefault="00D005A2" w:rsidP="00D005A2">
      <w:pPr>
        <w:rPr>
          <w:sz w:val="12"/>
        </w:rPr>
      </w:pPr>
      <w:r w:rsidRPr="00087A72">
        <w:rPr>
          <w:u w:val="single"/>
        </w:rPr>
        <w:t xml:space="preserve">How do we understand race and racialized diasporas in this colonial-capitalist context? </w:t>
      </w:r>
      <w:r w:rsidRPr="00087A72">
        <w:rPr>
          <w:sz w:val="12"/>
        </w:rPr>
        <w:t xml:space="preserve">As I demonstrate in Chapter 1, colonization of Indigenous nations in the Americas is connected to the colonization of South Asia and beyond. </w:t>
      </w:r>
      <w:r w:rsidRPr="00087A72">
        <w:rPr>
          <w:u w:val="single"/>
        </w:rPr>
        <w:t>Through underlying conditions enabled by colonial and capitalist processes</w:t>
      </w:r>
      <w:r w:rsidRPr="00087A72">
        <w:rPr>
          <w:sz w:val="12"/>
        </w:rPr>
        <w:t xml:space="preserve">, heteropatriarchy, and white supremacy, past and ongoing, here and there, </w:t>
      </w:r>
      <w:r w:rsidRPr="00087A72">
        <w:rPr>
          <w:u w:val="single"/>
        </w:rPr>
        <w:t xml:space="preserve">circuits of migrations are maintained and reproduced, whereby racialized bodies come to settler societies. </w:t>
      </w:r>
      <w:r w:rsidRPr="00087A72">
        <w:rPr>
          <w:sz w:val="12"/>
        </w:rPr>
        <w:t>Kamala Visweswaran challenging cultural reductionisms of diasporic formations, argues that “</w:t>
      </w:r>
      <w:r w:rsidRPr="00087A72">
        <w:rPr>
          <w:b/>
          <w:iCs/>
          <w:u w:val="single"/>
        </w:rPr>
        <w:t>diasporas result from colonial design, not cultural happenstance”</w:t>
      </w:r>
      <w:r w:rsidRPr="00087A72">
        <w:rPr>
          <w:sz w:val="12"/>
        </w:rPr>
        <w:t xml:space="preserve"> (“Diaspora by Design” 13). Lily Cho argues for the need to understand </w:t>
      </w:r>
      <w:r w:rsidRPr="00087A72">
        <w:rPr>
          <w:u w:val="single"/>
        </w:rPr>
        <w:t>diasporas as a “condition of subjectivity” instead of an object of analysis</w:t>
      </w:r>
      <w:r w:rsidRPr="00087A72">
        <w:rPr>
          <w:sz w:val="12"/>
        </w:rPr>
        <w:t xml:space="preserve">. According to Cho, diaspora should be analyzed through “long histories of displacement and genealogies of displacement” (“The Turn to Diaspora” 14). Similarly, Junaid Rana notes that “the system of indentured labour formalized through imperial expansion across Asia and the Americas provides an important point for comparative studies of world regions and the formation of a global racial system from British colonialism and American capitalism” (Terrifying Muslims 101). Diasporas, Visweswaran, Cho, and Rana contend, are constituted by intersectional processes of colonialism, capitalism, and racialization. Hence, as Stuart Hall argues, it is important to understand diasporic identities not as essences but as positionings. </w:t>
      </w:r>
      <w:r w:rsidRPr="00087A72">
        <w:rPr>
          <w:b/>
          <w:iCs/>
          <w:u w:val="single"/>
        </w:rPr>
        <w:t>Diasporas must be understood in relation to global colonial processes.</w:t>
      </w:r>
      <w:r w:rsidRPr="00087A72">
        <w:rPr>
          <w:sz w:val="12"/>
        </w:rPr>
        <w:t xml:space="preserve"> Diasporas are designed, constructed, produced, structured, and not just constituted through dreams and aspirations</w:t>
      </w:r>
      <w:r w:rsidRPr="00087A72">
        <w:rPr>
          <w:u w:val="single"/>
        </w:rPr>
        <w:t>. Such an understanding</w:t>
      </w:r>
      <w:r w:rsidRPr="00087A72">
        <w:rPr>
          <w:sz w:val="12"/>
        </w:rPr>
        <w:t xml:space="preserve"> does not preclude any resistances to the structures, but rather </w:t>
      </w:r>
      <w:r w:rsidRPr="00087A72">
        <w:rPr>
          <w:u w:val="single"/>
        </w:rPr>
        <w:t>highlights the complexities and complicities</w:t>
      </w:r>
      <w:r w:rsidRPr="00087A72">
        <w:rPr>
          <w:sz w:val="12"/>
        </w:rPr>
        <w:t xml:space="preserve"> of diasporas. 249 It is important to reflect on </w:t>
      </w:r>
      <w:r w:rsidRPr="00087A72">
        <w:rPr>
          <w:b/>
          <w:iCs/>
          <w:u w:val="single"/>
        </w:rPr>
        <w:t>legacies of enslavement and violences of anti-Black racism in the present</w:t>
      </w:r>
      <w:r w:rsidRPr="00087A72">
        <w:rPr>
          <w:sz w:val="12"/>
        </w:rPr>
        <w:t xml:space="preserve">, to </w:t>
      </w:r>
      <w:r w:rsidRPr="00087A72">
        <w:rPr>
          <w:b/>
          <w:iCs/>
          <w:u w:val="single"/>
        </w:rPr>
        <w:t>understand methods of racialized diasporic formations within settler colonial contexts.</w:t>
      </w:r>
      <w:r w:rsidRPr="00087A72">
        <w:rPr>
          <w:sz w:val="12"/>
        </w:rPr>
        <w:t xml:space="preserve"> Andrea Smith argues that through </w:t>
      </w:r>
      <w:r w:rsidRPr="00087A72">
        <w:rPr>
          <w:u w:val="single"/>
        </w:rPr>
        <w:t>processes of colonialism have relied on varying constructions of labour of Indigenous and Black peoples</w:t>
      </w:r>
      <w:r w:rsidRPr="00087A72">
        <w:rPr>
          <w:sz w:val="12"/>
        </w:rPr>
        <w:t>. She contends: “</w:t>
      </w:r>
      <w:r w:rsidRPr="00087A72">
        <w:rPr>
          <w:b/>
          <w:iCs/>
          <w:u w:val="single"/>
        </w:rPr>
        <w:t>anti-Blackness requires the disappearance of colonialism, Indigenous genocide requires the disappearance of Indigenous labor</w:t>
      </w:r>
      <w:r w:rsidRPr="00087A72">
        <w:rPr>
          <w:sz w:val="12"/>
        </w:rPr>
        <w:t xml:space="preserve">” (“The Colonialism That” n.pag.). </w:t>
      </w:r>
      <w:r w:rsidRPr="00087A72">
        <w:rPr>
          <w:u w:val="single"/>
        </w:rPr>
        <w:t>This allows the settler state to exploit Black labour and appropriate Indigenous lands</w:t>
      </w:r>
      <w:r w:rsidRPr="00087A72">
        <w:rPr>
          <w:sz w:val="12"/>
        </w:rPr>
        <w:t>. Further</w:t>
      </w:r>
      <w:r w:rsidRPr="00087A72">
        <w:rPr>
          <w:u w:val="single"/>
        </w:rPr>
        <w:t>, the settler state keeps Black people landless</w:t>
      </w:r>
      <w:r w:rsidRPr="00087A72">
        <w:rPr>
          <w:sz w:val="12"/>
        </w:rPr>
        <w:t xml:space="preserve"> (Tuck, Guess, and Sultan; Tuck and McKenzie), </w:t>
      </w:r>
      <w:r w:rsidRPr="00087A72">
        <w:rPr>
          <w:u w:val="single"/>
        </w:rPr>
        <w:t>and negates the labour of Indigenous peoples</w:t>
      </w:r>
      <w:r w:rsidRPr="00087A72">
        <w:rPr>
          <w:sz w:val="12"/>
        </w:rPr>
        <w:t xml:space="preserve"> (Coulthard; Simpson). Tiffany King argues that </w:t>
      </w:r>
      <w:r w:rsidRPr="00087A72">
        <w:rPr>
          <w:b/>
          <w:iCs/>
          <w:u w:val="single"/>
        </w:rPr>
        <w:t>while Black labour has been used to build the settler state</w:t>
      </w:r>
      <w:r w:rsidRPr="00087A72">
        <w:rPr>
          <w:sz w:val="12"/>
        </w:rPr>
        <w:t xml:space="preserve">, but </w:t>
      </w:r>
      <w:r w:rsidRPr="00087A72">
        <w:rPr>
          <w:b/>
          <w:iCs/>
          <w:u w:val="single"/>
        </w:rPr>
        <w:t>their labour cannot be understand as complicit in settler colonialism</w:t>
      </w:r>
      <w:r w:rsidRPr="00087A72">
        <w:rPr>
          <w:sz w:val="12"/>
        </w:rPr>
        <w:t xml:space="preserve">. King asserts: “blackness is constituted by a fungibilty and accumulation that must exist outside the edge and boundary of the laborer-as-human” (n.pag.). </w:t>
      </w:r>
      <w:r w:rsidRPr="00087A72">
        <w:rPr>
          <w:b/>
          <w:iCs/>
          <w:u w:val="single"/>
        </w:rPr>
        <w:t>Labour becomes a limiting frame for conceptualizing Blackness with/in white settle colonialism</w:t>
      </w:r>
      <w:r w:rsidRPr="00087A72">
        <w:rPr>
          <w:sz w:val="12"/>
        </w:rPr>
        <w:t xml:space="preserve">, as the enslaved labour is anti-human (Wilderson III, Red, White &amp; Black 11). Further, King cautions against the category of labor for Black bodies, as for non- Black communities of colour labor allows for migrants to seek belonging, inclusion, and citizenship within the settler state. She contends: “People of Color scholars often rehearse histories of arrival as populations of coerced labor as a way of explaining their presence, as well as distance or proximity to the category of the Settler” (n.pag.). </w:t>
      </w:r>
      <w:r w:rsidRPr="00087A72">
        <w:rPr>
          <w:u w:val="single"/>
        </w:rPr>
        <w:t>Shona Jackson,</w:t>
      </w:r>
      <w:r w:rsidRPr="00087A72">
        <w:rPr>
          <w:sz w:val="12"/>
        </w:rPr>
        <w:t xml:space="preserve"> on the other hand, also</w:t>
      </w:r>
      <w:r w:rsidRPr="00087A72">
        <w:rPr>
          <w:u w:val="single"/>
        </w:rPr>
        <w:t xml:space="preserve"> calls for a rejection of the category of labour by Black peoples, as a rejection of settler colonial modalities. </w:t>
      </w:r>
      <w:r w:rsidRPr="00087A72">
        <w:rPr>
          <w:sz w:val="12"/>
        </w:rPr>
        <w:t xml:space="preserve">She contends: “when labor is turned into the basis for our right to rule we articulate what is fundamentally anti-Indigenous or anti-native in both the old and new worlds” (“Humanity beyond the Regime” n.pag.). She points to the ways in which Black labour can be complicit the maintenance of the settler state; offering a different articulation of Blackness than 250 King and others. However, I posit that taken together King and Jackson demonstrate perversities of anti-Black logics within the reproduction of settler colonial state. Rejecting the conflation of labour with Blackness is not just a struggle for Black Liberation but also for Indigenous decolonization. Thus, </w:t>
      </w:r>
      <w:r w:rsidRPr="00087A72">
        <w:rPr>
          <w:u w:val="single"/>
        </w:rPr>
        <w:t>for people of colour, any claims to inclusion to the white settler states is a way to invest themselves in the dispossession of Indigenous and Black peoples</w:t>
      </w:r>
      <w:r w:rsidRPr="00087A72">
        <w:rPr>
          <w:sz w:val="12"/>
        </w:rPr>
        <w:t xml:space="preserve">. In the next section I show how constructs of “model” migrant and “unmodel” Native are produced and reproduced through settler state’s technologies. Making of Model/Unmodel Others Susan Koshy demonstrates how </w:t>
      </w:r>
      <w:r w:rsidRPr="00087A72">
        <w:rPr>
          <w:u w:val="single"/>
        </w:rPr>
        <w:t>white privilege has been reconstituted as deracialized12</w:t>
      </w:r>
      <w:r w:rsidRPr="00087A72">
        <w:rPr>
          <w:sz w:val="12"/>
        </w:rPr>
        <w:t xml:space="preserve"> </w:t>
      </w:r>
      <w:r w:rsidRPr="00087A72">
        <w:rPr>
          <w:u w:val="single"/>
        </w:rPr>
        <w:t>meritocracy through the consent of racialized immigrant communities</w:t>
      </w:r>
      <w:r w:rsidRPr="00087A72">
        <w:rPr>
          <w:sz w:val="12"/>
        </w:rPr>
        <w:t>, particularly Asian Americans in the U.S. (“Morphing Race into Ethnicity”). Through complicity and opportunistic alliances between whites and different racialized communities whiteness rearticulates and reproduces “</w:t>
      </w:r>
      <w:r w:rsidRPr="00087A72">
        <w:rPr>
          <w:u w:val="single"/>
        </w:rPr>
        <w:t>the existing national binary of Black and white”—where Black communities remain at the bottom of the racial hierarchies and non-Black communities of colour can aspire to go up the “race-ladder” by, participating in and benefitting from anti-Black racism in the United States</w:t>
      </w:r>
      <w:r w:rsidRPr="00087A72">
        <w:rPr>
          <w:sz w:val="12"/>
        </w:rPr>
        <w:t xml:space="preserve"> (156-57). Vijay Prashad similarly critiqued the social engineering and processes of anti-Black and anti-poor agendas behind the myth-making of South Asians as “model” racialized subjects in the U.S. (The Karma of Brown Folk). According to Keith Osajima, the discourses of “model minority” started during the Civil Rights Movement and the peak of Black militancy. </w:t>
      </w:r>
      <w:r w:rsidRPr="00087A72">
        <w:rPr>
          <w:u w:val="single"/>
        </w:rPr>
        <w:t>Creating binaries between the “urban ghetto” Black communities and upwardly-mobile Asian communities,</w:t>
      </w:r>
      <w:r w:rsidRPr="00087A72">
        <w:rPr>
          <w:sz w:val="12"/>
        </w:rPr>
        <w:t xml:space="preserve"> the discourse was deployed to disavow “the black militants claim that America was fundamentally a racist society, structured to keep minorities in a subordinate position” (450). Critiquing scholarship on processes of racialization and minoritization of Asian Americans, and Asian Canadians, the work of Koshy, Prashad, Osajima and others have challenged anti-Black racism in the making of Asian-American/Asian-Canadian subjectivities.13 </w:t>
      </w:r>
      <w:r w:rsidRPr="00087A72">
        <w:rPr>
          <w:u w:val="single"/>
        </w:rPr>
        <w:t>This important scholarship has been critical for analyzing the multi-layered, interlocking processes of racialization and white supremacy, and the complicities and resistances of racialized communities in the U.S</w:t>
      </w:r>
      <w:r w:rsidRPr="00087A72">
        <w:rPr>
          <w:sz w:val="12"/>
        </w:rPr>
        <w:t xml:space="preserve">. and Canada. </w:t>
      </w:r>
      <w:r w:rsidRPr="00087A72">
        <w:rPr>
          <w:b/>
          <w:iCs/>
          <w:u w:val="single"/>
        </w:rPr>
        <w:t>While anti-Black racism is real and violent in communities of colour, specifically within South Asian communities</w:t>
      </w:r>
      <w:r w:rsidRPr="00087A72">
        <w:rPr>
          <w:sz w:val="12"/>
        </w:rPr>
        <w:t xml:space="preserve">, as I demonstrate in the previous chapters, </w:t>
      </w:r>
      <w:r w:rsidRPr="00087A72">
        <w:rPr>
          <w:b/>
          <w:iCs/>
          <w:u w:val="single"/>
        </w:rPr>
        <w:t>I argue that analyzing white supremacy and whiteness primarily through the binary of Black and white limits the critique and resistance against the violences of white supremacy.</w:t>
      </w:r>
      <w:r w:rsidRPr="00087A72">
        <w:rPr>
          <w:sz w:val="12"/>
        </w:rPr>
        <w:t xml:space="preserve"> </w:t>
      </w:r>
      <w:r w:rsidRPr="00087A72">
        <w:rPr>
          <w:b/>
          <w:iCs/>
          <w:u w:val="single"/>
        </w:rPr>
        <w:t>Histories, legacies, and violences of slavery have been foundational in the making of race at the advent of colonial modernity</w:t>
      </w:r>
      <w:r w:rsidRPr="00087A72">
        <w:rPr>
          <w:sz w:val="12"/>
        </w:rPr>
        <w:t xml:space="preserve">, however, </w:t>
      </w:r>
      <w:r w:rsidRPr="00087A72">
        <w:rPr>
          <w:b/>
          <w:iCs/>
          <w:u w:val="single"/>
        </w:rPr>
        <w:t>without engaging with the original and ongoing processes of settler colonialism</w:t>
      </w:r>
      <w:r w:rsidRPr="00087A72">
        <w:rPr>
          <w:sz w:val="12"/>
        </w:rPr>
        <w:t xml:space="preserve"> on the stolen Indigenous lands of Turtle Island, </w:t>
      </w:r>
      <w:r w:rsidRPr="00087A72">
        <w:rPr>
          <w:b/>
          <w:iCs/>
          <w:u w:val="single"/>
        </w:rPr>
        <w:t>any analysis of white supremacy is limited</w:t>
      </w:r>
      <w:r w:rsidRPr="00087A72">
        <w:rPr>
          <w:sz w:val="12"/>
        </w:rPr>
        <w:t xml:space="preserve">, incomplete, </w:t>
      </w:r>
      <w:r w:rsidRPr="00087A72">
        <w:rPr>
          <w:b/>
          <w:iCs/>
          <w:u w:val="single"/>
        </w:rPr>
        <w:t>and complicit in settler colonialism</w:t>
      </w:r>
      <w:r w:rsidRPr="00087A72">
        <w:rPr>
          <w:sz w:val="12"/>
        </w:rPr>
        <w:t xml:space="preserve">.14 I add to Koshy, Prashad, and Osajima’s work, and ask how would complicity and opportunistic alliances between whites and non-Indigenous and non-Black racialized communities (re)produce not just anti-Black racism and white supremacy but settler colonialism and anti-Native racism as well? Thomas Biolsi argues that Indigenous peoples are constructed as a model minority for other racialized minorities, but not as a model of being efficient and productive citizens. Rather, they are “a limit model of what other minorities should never expect as a remedy for racism because other minorities are not ‘special cases’” (255). Racialized peoples seeking to be “model,” “assimilated,” and “settled” aspire to be like white citizens. Subsequently, multicultural technologies of the state seek to discipline racialized subjects to not seek out “privileges” from the state on the basis of their marginalized and oppressed identities, historical or ongoing. This is not to say that Indigenous peoples make such claims or that racialized communities do not fight against racism and other injustices that they face. Rather, what Biolsi is hinting at is that “model” aspirations enable people of color to “un-see” racism or invisibilize the processes that seek to marginalize them. This is indeed how the myths of deracialized meritocracy are constructed. </w:t>
      </w:r>
    </w:p>
    <w:p w:rsidR="00496C79" w:rsidRPr="00087A72" w:rsidRDefault="00496C79" w:rsidP="00496C79">
      <w:pPr>
        <w:pStyle w:val="Heading4"/>
      </w:pPr>
      <w:r w:rsidRPr="00087A72">
        <w:t xml:space="preserve">Anti-Blackness is a condition of settler colonialism, the erasure of Blackness from the state imagination. </w:t>
      </w:r>
    </w:p>
    <w:p w:rsidR="00496C79" w:rsidRPr="00087A72" w:rsidRDefault="00496C79" w:rsidP="00496C79">
      <w:r w:rsidRPr="00087A72">
        <w:rPr>
          <w:b/>
          <w:bCs/>
        </w:rPr>
        <w:t xml:space="preserve">Upadhyay 16 </w:t>
      </w:r>
      <w:r w:rsidRPr="00087A72">
        <w:t>(Nishant, Assistant Professor in Women's and Gender Studies at University of Massachusetts Dartmouth, Ph.D. in Graduate Program in Social and Political Thought at York University, South Asian</w:t>
      </w:r>
      <w:r w:rsidRPr="00087A72">
        <w:rPr>
          <w:i/>
        </w:rPr>
        <w:t xml:space="preserve"> “We’ll Sail Like Columbus”: Race, Indigeneity, Settler Colonialism, and the Making of South Asian Diasporas in Canada.</w:t>
      </w:r>
      <w:r w:rsidRPr="00087A72">
        <w:t xml:space="preserve"> Pg. 76-82) OD</w:t>
      </w:r>
    </w:p>
    <w:p w:rsidR="00496C79" w:rsidRPr="00087A72" w:rsidRDefault="00496C79" w:rsidP="00496C79">
      <w:pPr>
        <w:rPr>
          <w:sz w:val="12"/>
        </w:rPr>
      </w:pPr>
      <w:r w:rsidRPr="00087A72">
        <w:rPr>
          <w:b/>
          <w:iCs/>
          <w:u w:val="single"/>
        </w:rPr>
        <w:t>Transatlantic slavery and the continuities of anti-Black racism in the Americas, thus, are the products of settler colonialism</w:t>
      </w:r>
      <w:r w:rsidRPr="00087A72">
        <w:rPr>
          <w:sz w:val="12"/>
        </w:rPr>
        <w:t xml:space="preserve">; as Canada continues to be a settler colonial state, the colonization of Indigenous people and the legacies of transatlantic slavery (namely, anti-Black formations) are intrinsic to the study of the contemporary Canadian state. </w:t>
      </w:r>
      <w:r w:rsidRPr="00087A72">
        <w:rPr>
          <w:u w:val="single"/>
        </w:rPr>
        <w:t>Tuck and Yang elaborate further and hold that settler colonialism is built upon “the triad of settler-native-slave” (6). This entangled triad structures and shapes differing racial formations and hierarchies. They elaborate on the processes of enslavement</w:t>
      </w:r>
      <w:r w:rsidRPr="00087A72">
        <w:rPr>
          <w:sz w:val="12"/>
        </w:rPr>
        <w:t xml:space="preserve">: </w:t>
      </w:r>
      <w:r w:rsidRPr="00087A72">
        <w:rPr>
          <w:u w:val="single"/>
        </w:rPr>
        <w:t>The slave is</w:t>
      </w:r>
      <w:r w:rsidRPr="00087A72">
        <w:rPr>
          <w:sz w:val="12"/>
        </w:rPr>
        <w:t xml:space="preserve"> a desirable commodity but the person underneath is </w:t>
      </w:r>
      <w:r w:rsidRPr="00087A72">
        <w:rPr>
          <w:u w:val="single"/>
        </w:rPr>
        <w:t>imprisonable, punishable, and murderable.</w:t>
      </w:r>
      <w:r w:rsidRPr="00087A72">
        <w:rPr>
          <w:sz w:val="12"/>
        </w:rPr>
        <w:t xml:space="preserve"> </w:t>
      </w:r>
      <w:r w:rsidRPr="00087A72">
        <w:rPr>
          <w:u w:val="single"/>
        </w:rPr>
        <w:t>The violence of keeping/killing the chattel slave makes them deathlike monsters in the settler imagination; they are reconfigured/disfigured as the threat</w:t>
      </w:r>
      <w:r w:rsidRPr="00087A72">
        <w:rPr>
          <w:sz w:val="12"/>
        </w:rPr>
        <w:t xml:space="preserve">. (6) It is through dehumanizing, terrorizing and murdering enslaved peoples, along with murdering and dispossessing Indigenous peoples, that the settler self-posits itself as superior (6). South Asians are placed within these overlapping logics of race and coloniality that work to oppress Indigenous and Black peoples. I contend throughout the dissertation that anti-Black racism informs and shapes racialized diasporic formations in Canada. In this section, I explore the workings of </w:t>
      </w:r>
      <w:r w:rsidRPr="00087A72">
        <w:rPr>
          <w:u w:val="single"/>
        </w:rPr>
        <w:t>anti-Black racism</w:t>
      </w:r>
      <w:r w:rsidRPr="00087A72">
        <w:rPr>
          <w:sz w:val="12"/>
        </w:rPr>
        <w:t xml:space="preserve"> in Canada </w:t>
      </w:r>
      <w:r w:rsidRPr="00087A72">
        <w:rPr>
          <w:u w:val="single"/>
        </w:rPr>
        <w:t>as a condition of settler colonialism</w:t>
      </w:r>
      <w:r w:rsidRPr="00087A72">
        <w:rPr>
          <w:sz w:val="12"/>
        </w:rPr>
        <w:t xml:space="preserve">. Black scholars and writers in Canada show how Canada continues to imagine its past and present without Blackness, and with Blackness as always present elsewhere.6 They assert that Black people have always been in Canada and that Blackness continues to shape Canada’s whiteness. I borrow Rinaldo </w:t>
      </w:r>
      <w:r w:rsidRPr="00087A72">
        <w:rPr>
          <w:u w:val="single"/>
        </w:rPr>
        <w:t>Walcott’s definition of Blackness as a sign which holds histories and legacies of resilience and oppression, which is “never closed and always under contestation”</w:t>
      </w:r>
      <w:r w:rsidRPr="00087A72">
        <w:rPr>
          <w:sz w:val="12"/>
        </w:rPr>
        <w:t xml:space="preserve"> 6 This body of work includes (but not limited to): Brand, No Burden to Carry; Brand, In Another Place, Not Here; Brand, A Map to the Door of No Return; George Elliott Clarke, “Africana Canadiana”; George Elliott Clarke, Odysseys Home: Mapping African-Canadian Literature; Cooper; Foster; McKittrick, Demonic Grounds; McKittrick, Demonic Grounds; McKittrick, Sylvia Wynter; Walcott, Rude; Walcott, Black like Who?; and Walcott, “Outside in Black Studies,” 69 (Black like Who xiv-xv). In the settler colonial Canadian imaginary, </w:t>
      </w:r>
      <w:r w:rsidRPr="00087A72">
        <w:rPr>
          <w:u w:val="single"/>
        </w:rPr>
        <w:t>Black communities have never been historical, but are always posited as new immigrant communities</w:t>
      </w:r>
      <w:r w:rsidRPr="00087A72">
        <w:rPr>
          <w:sz w:val="12"/>
        </w:rPr>
        <w:t xml:space="preserve">. </w:t>
      </w:r>
      <w:r w:rsidRPr="00087A72">
        <w:rPr>
          <w:u w:val="single"/>
        </w:rPr>
        <w:t>In this denial of Blackness lies the inherent anti-Black characteristics of the</w:t>
      </w:r>
      <w:r w:rsidRPr="00087A72">
        <w:rPr>
          <w:sz w:val="12"/>
        </w:rPr>
        <w:t xml:space="preserve"> Canadian </w:t>
      </w:r>
      <w:r w:rsidRPr="00087A72">
        <w:rPr>
          <w:u w:val="single"/>
        </w:rPr>
        <w:t>settler state</w:t>
      </w:r>
      <w:r w:rsidRPr="00087A72">
        <w:rPr>
          <w:sz w:val="12"/>
        </w:rPr>
        <w:t>. Katherine McKittrick illustrates: In Canada, blackness and black people are altogether deniable and evidence of prior codes of representation that have identified blackness/difference as irrelevant</w:t>
      </w:r>
      <w:r w:rsidRPr="00087A72">
        <w:rPr>
          <w:u w:val="single"/>
        </w:rPr>
        <w:t>. But black existence is an actuality, which takes on several different forms that do not always conform to the idea</w:t>
      </w:r>
      <w:r w:rsidRPr="00087A72">
        <w:rPr>
          <w:sz w:val="12"/>
        </w:rPr>
        <w:t xml:space="preserve"> of Canada. (Demonic Grounds 93, emphasis in original) Blackness is always erasable, and therefore non-Canadian, even within the multicultural framework of Canada. McKittrick further contends that the Canadian state obliterates its own complicities and participation in Transatlantic enslavement and the histories of early Black communities in Canada, and posits itself as a historical refuge to enslaved peoples from the U.S., or contemporarily as a land of opportunities to new Black Caribbean and African im/migrants. </w:t>
      </w:r>
      <w:r w:rsidRPr="00087A72">
        <w:rPr>
          <w:u w:val="single"/>
        </w:rPr>
        <w:t>Thus, Black communities are always</w:t>
      </w:r>
      <w:r w:rsidRPr="00087A72">
        <w:rPr>
          <w:sz w:val="12"/>
        </w:rPr>
        <w:t xml:space="preserve"> non-Canadian, and “always </w:t>
      </w:r>
      <w:r w:rsidRPr="00087A72">
        <w:rPr>
          <w:u w:val="single"/>
        </w:rPr>
        <w:t>elsewhere, recent, unfamiliar, and impossible”</w:t>
      </w:r>
      <w:r w:rsidRPr="00087A72">
        <w:rPr>
          <w:sz w:val="12"/>
        </w:rPr>
        <w:t xml:space="preserve"> (99</w:t>
      </w:r>
      <w:r w:rsidRPr="00087A72">
        <w:rPr>
          <w:u w:val="single"/>
        </w:rPr>
        <w:t>). Racial and colonial amnesia shapes</w:t>
      </w:r>
      <w:r w:rsidRPr="00087A72">
        <w:rPr>
          <w:sz w:val="12"/>
        </w:rPr>
        <w:t xml:space="preserve"> Canadian </w:t>
      </w:r>
      <w:r w:rsidRPr="00087A72">
        <w:rPr>
          <w:u w:val="single"/>
        </w:rPr>
        <w:t>ideologies of race and the state’s image historically as a “sanctuary” for enslaved African-Americans and presently as “multicultural” for Black Carribbean and African migrants</w:t>
      </w:r>
      <w:r w:rsidRPr="00087A72">
        <w:rPr>
          <w:sz w:val="12"/>
        </w:rPr>
        <w:t xml:space="preserve">. Walcott calls this erasure of Blackness “absented presence” (Black like Who 22). From historical narrative to present day imaginations, Black peoples have an absented presence in Canada. Black scholars show how the settler colonial state of Canada has always been complicit in Transatlantic slavery; Blackness, Walcott argues, is always “constitutive of Canadianness” (Rude). Writing against Canada’s erasure of its “ignoble and unsavoury past,” Afua Cooper has documented detailed histories of Canada’s participation in transatlantic slavery as a “slave society” (8 &amp; 11). </w:t>
      </w:r>
      <w:r w:rsidRPr="00087A72">
        <w:rPr>
          <w:b/>
          <w:iCs/>
          <w:u w:val="single"/>
        </w:rPr>
        <w:t>Slavery was not just common, it was an institutionalized</w:t>
      </w:r>
      <w:r w:rsidRPr="00087A72">
        <w:rPr>
          <w:sz w:val="12"/>
        </w:rPr>
        <w:t xml:space="preserve"> </w:t>
      </w:r>
      <w:r w:rsidRPr="00087A72">
        <w:rPr>
          <w:b/>
          <w:iCs/>
          <w:u w:val="single"/>
        </w:rPr>
        <w:t>practice</w:t>
      </w:r>
      <w:r w:rsidRPr="00087A72">
        <w:rPr>
          <w:sz w:val="12"/>
        </w:rPr>
        <w:t xml:space="preserve"> in Canada for over two centuries (from 1628-1833) and Canada was actively involved in the slave trade. 70 While the Canadian economy differed from the southern United States’ slave economy, Cooper notes that to a degree, Canada’s settler colonial economic model was also based on enslavement (12). Enslaved Africans worked in varying jobs, as house servants, farm labourers, hangmen, and in skilled occupations; they were owned by merchants, the Church, individuals, and corporations (147). The exact number of enslaved Africans is hard to determine since they were considered private property. As an estimate, from 1730-1760 in New France (present day Quebec) there were between 1,000-1,500 enslaved Black peoples (out of a total population of only 38,000) (McKittrick, Demonic Grounds 110). Cooper and others have noted that enslaved people fought against their enslavement in all forms, from everyday acts of resistance to slave uprisings, and even allegedly setting fire to a major city (81). Moreover, processes of enslavement were racialized as well as gendered. Enslavement rendered Black women “an inhuman racial-sexual worker, an objectified body, as a site through which sex, violence, and reproduction can be imagined and enacted, and be as a captive human” (xvii). Thus, Black women’s bodies were constructed as inhuman and were crucial to the racial-sexual formations of enslavement. Despite the persistent presence of enslaved and free Black peoples across the regions now known as Canada</w:t>
      </w:r>
      <w:r w:rsidRPr="00087A72">
        <w:rPr>
          <w:u w:val="single"/>
        </w:rPr>
        <w:t>, Blackness continues to be erased from the state’s self-imagination</w:t>
      </w:r>
      <w:r w:rsidRPr="00087A72">
        <w:rPr>
          <w:sz w:val="12"/>
        </w:rPr>
        <w:t xml:space="preserve">. I briefly outlined this history to draw attention to Canada’s involvement in enslavement. Canada’s inherent anti-Blackness is exposed through the denial of these violent and erased histories. Canada’s </w:t>
      </w:r>
      <w:r w:rsidRPr="00087A72">
        <w:rPr>
          <w:u w:val="single"/>
        </w:rPr>
        <w:t>histories and legacies of enslavement need to be theorized as part of settler colonial modalities, and any analysis of race and race-making</w:t>
      </w:r>
      <w:r w:rsidRPr="00087A72">
        <w:rPr>
          <w:sz w:val="12"/>
        </w:rPr>
        <w:t xml:space="preserve"> in Canada </w:t>
      </w:r>
      <w:r w:rsidRPr="00087A72">
        <w:rPr>
          <w:u w:val="single"/>
        </w:rPr>
        <w:t>need to be grounded in these.</w:t>
      </w:r>
      <w:r w:rsidRPr="00087A72">
        <w:rPr>
          <w:sz w:val="12"/>
        </w:rPr>
        <w:t xml:space="preserve"> Further, these histories connect to the contemporary forms of anti-Black racism in Canada in two very important ways. Firstly, as George Elliot Clarke notes, Canada’s practice of </w:t>
      </w:r>
      <w:r w:rsidRPr="00087A72">
        <w:rPr>
          <w:b/>
          <w:iCs/>
          <w:u w:val="single"/>
        </w:rPr>
        <w:t>African and Indigenous slavery is manifested in its present labour needs which rely on racial hierarchies 71 in its immigration processes</w:t>
      </w:r>
      <w:r w:rsidRPr="00087A72">
        <w:rPr>
          <w:sz w:val="12"/>
        </w:rPr>
        <w:t xml:space="preserve"> (xii). Secondly, Walcott highlights the continuities of racial ideologies deriving from slavery that suggest that Black bodies in Canada “can and must be abused, misused, regulated, disciplined and over-policed” (Black like Who 37). Contemporarily, this is reflected in gendered and sexual violences against Black women, queer, trans, and disabled peoples, high rates of incarceration, police brutality and murder, constant surveillance by the state and “citizens,” poverty and segregation, everyday experiences of racism, and antiBlack immigration practices. Thus, Blackness and anti-Blackness continue to shape Canada. Along with the continued resistance of Indigenous peoples, the resilience of Black peoples in Canada continues to rupture and unsettle the myths of two founding nations in the making of Canada (44). </w:t>
      </w:r>
      <w:r w:rsidRPr="00087A72">
        <w:rPr>
          <w:u w:val="single"/>
        </w:rPr>
        <w:t xml:space="preserve">Black and African peoples, whether they “entered” </w:t>
      </w:r>
      <w:r w:rsidRPr="00087A72">
        <w:rPr>
          <w:sz w:val="12"/>
        </w:rPr>
        <w:t>settler colonial Canada</w:t>
      </w:r>
      <w:r w:rsidRPr="00087A72">
        <w:rPr>
          <w:u w:val="single"/>
        </w:rPr>
        <w:t xml:space="preserve"> in the eighteenth century or now, continue to be rendered as the unwanted-other</w:t>
      </w:r>
      <w:r w:rsidRPr="00087A72">
        <w:rPr>
          <w:sz w:val="12"/>
        </w:rPr>
        <w:t xml:space="preserve">. Walcott further contends that Blackness continues to shape and impact what it means for non-Black peoples to be human in the post-Columbus world, as anti-Blackness still produces Blackness as anti-human (“The Problem of the Human”). Saidiya Hartman calls this the “afterlife of slavery” (Lose Your Mother). </w:t>
      </w:r>
      <w:r w:rsidRPr="00087A72">
        <w:rPr>
          <w:u w:val="single"/>
        </w:rPr>
        <w:t>That Black lives do not matter still in the U.S.,</w:t>
      </w:r>
      <w:r w:rsidRPr="00087A72">
        <w:rPr>
          <w:sz w:val="12"/>
        </w:rPr>
        <w:t xml:space="preserve"> Hartman contends, is “</w:t>
      </w:r>
      <w:r w:rsidRPr="00087A72">
        <w:rPr>
          <w:u w:val="single"/>
        </w:rPr>
        <w:t xml:space="preserve">because black lives are still imperiled and devalued by a racial calculus and a political arithmetic that were entrenched centuries ago. This is the afterlife of slavery” </w:t>
      </w:r>
      <w:r w:rsidRPr="00087A72">
        <w:rPr>
          <w:sz w:val="12"/>
        </w:rPr>
        <w:t>(6).</w:t>
      </w:r>
    </w:p>
    <w:p w:rsidR="00496C79" w:rsidRPr="00087A72" w:rsidRDefault="00496C79" w:rsidP="00496C79">
      <w:pPr>
        <w:pStyle w:val="Heading4"/>
      </w:pPr>
      <w:r w:rsidRPr="00087A72">
        <w:t xml:space="preserve">An analysis of Blackness is incomplete without the paradigm of settler colonialism. Black liberation is only possible through Indigenous decolonization. </w:t>
      </w:r>
    </w:p>
    <w:p w:rsidR="00496C79" w:rsidRPr="00087A72" w:rsidRDefault="00496C79" w:rsidP="00496C79">
      <w:r w:rsidRPr="00087A72">
        <w:rPr>
          <w:b/>
          <w:bCs/>
        </w:rPr>
        <w:t xml:space="preserve">Upadhyay 16 </w:t>
      </w:r>
      <w:r w:rsidRPr="00087A72">
        <w:t>(Nishant, Assistant Professor in Women's and Gender Studies at University of Massachusetts Dartmouth, Ph.D. in Graduate Program in Social and Political Thought at York University, South Asian</w:t>
      </w:r>
      <w:r w:rsidRPr="00087A72">
        <w:rPr>
          <w:i/>
        </w:rPr>
        <w:t xml:space="preserve"> “We’ll Sail Like Columbus”: Race, Indigeneity, Settler Colonialism, and the Making of South Asian Diasporas in Canada.</w:t>
      </w:r>
      <w:r w:rsidRPr="00087A72">
        <w:t xml:space="preserve"> Pg. 74-76) OD</w:t>
      </w:r>
    </w:p>
    <w:p w:rsidR="00496C79" w:rsidRPr="00087A72" w:rsidRDefault="00496C79" w:rsidP="00496C79">
      <w:pPr>
        <w:rPr>
          <w:b/>
          <w:iCs/>
          <w:u w:val="single"/>
        </w:rPr>
      </w:pPr>
      <w:r w:rsidRPr="00087A72">
        <w:rPr>
          <w:sz w:val="12"/>
        </w:rPr>
        <w:t xml:space="preserve">I outline these critiques by Sexton, Walcott and Wilderson not to place them in opposition to Indigenous critiques, or to challenge Afro-pessimist rejections of critiques of settler colonialism. Rather, I do so to highlight </w:t>
      </w:r>
      <w:r w:rsidRPr="00087A72">
        <w:rPr>
          <w:u w:val="single"/>
        </w:rPr>
        <w:t>the interconnections of Black and Indigenous subject formations, and the inherent complexities and frictions between these differing racial and colonial projects</w:t>
      </w:r>
      <w:r w:rsidRPr="00087A72">
        <w:rPr>
          <w:sz w:val="12"/>
        </w:rPr>
        <w:t xml:space="preserve">. However, </w:t>
      </w:r>
      <w:r w:rsidRPr="00087A72">
        <w:rPr>
          <w:b/>
          <w:iCs/>
          <w:u w:val="single"/>
        </w:rPr>
        <w:t>I am critical when Blackness is deployed to displace colonialism,</w:t>
      </w:r>
      <w:r w:rsidRPr="00087A72">
        <w:rPr>
          <w:sz w:val="12"/>
        </w:rPr>
        <w:t xml:space="preserve"> and calls for Black humanity that do not attend to the occupation of Indigenous lands. </w:t>
      </w:r>
      <w:r w:rsidRPr="00087A72">
        <w:rPr>
          <w:b/>
          <w:iCs/>
          <w:u w:val="single"/>
        </w:rPr>
        <w:t>Jodi Byrd adds that “by figuring black oppression as foundational, it cannot address colonialist gestures within the paradigmatic ‘Indianness’ upon which it relies”</w:t>
      </w:r>
      <w:r w:rsidRPr="00087A72">
        <w:rPr>
          <w:sz w:val="12"/>
        </w:rPr>
        <w:t xml:space="preserve"> (“‘Been to the Nation’” 45-46). While Black communities are differently positioned than white and other racialized communities in the reproduction of the settler state, they stand to still benefit, in however a limited and marginal way, from the colonization of Indigenous peoples and lands. Drawing from Iyko Day, I am wary of any frameworks that seek to essentialize the varying projects of racial formations in settler societies (“Being or Nothingness” 110</w:t>
      </w:r>
      <w:r w:rsidRPr="00087A72">
        <w:rPr>
          <w:u w:val="single"/>
        </w:rPr>
        <w:t>). Resisting binary frameworks of Blackness and indigeneity, Day seeks to work with the complications and overlapping structures, and calls for a dialectical approach to theorizing settler colonial capitalism.</w:t>
      </w:r>
      <w:r w:rsidRPr="00087A72">
        <w:rPr>
          <w:sz w:val="12"/>
        </w:rPr>
        <w:t xml:space="preserve"> Day elaborates</w:t>
      </w:r>
      <w:r w:rsidRPr="00087A72">
        <w:rPr>
          <w:b/>
          <w:iCs/>
          <w:u w:val="single"/>
        </w:rPr>
        <w:t>:</w:t>
      </w:r>
      <w:r w:rsidRPr="00087A72">
        <w:rPr>
          <w:u w:val="single"/>
        </w:rPr>
        <w:t xml:space="preserve"> Putting colonial land and enslaved labor at the center of a dialectical analysis, </w:t>
      </w:r>
      <w:r w:rsidRPr="00087A72">
        <w:rPr>
          <w:b/>
          <w:iCs/>
          <w:u w:val="single"/>
        </w:rPr>
        <w:t>we can see that blackness is neither reducible to Indigenous land nor Indigeneity to enslaved labor. Indigenous peoples and slaves are not reducible to each other because settler colonialism abides by a dual logic that is originally driven to eliminate Native peoples from land and mix the land with enslaved black labor.</w:t>
      </w:r>
      <w:r w:rsidRPr="00087A72">
        <w:rPr>
          <w:sz w:val="12"/>
        </w:rPr>
        <w:t xml:space="preserve"> (113) The logics of Blackness and indigeneity are, therefore, not mutually exclusive, but rather </w:t>
      </w:r>
      <w:r w:rsidRPr="00087A72">
        <w:rPr>
          <w:u w:val="single"/>
        </w:rPr>
        <w:t>antiBlackness works as a condition produced by the settler state to violently accumulate by dispossessing both Indigenous and Black peoples.</w:t>
      </w:r>
      <w:r w:rsidRPr="00087A72">
        <w:rPr>
          <w:sz w:val="12"/>
        </w:rPr>
        <w:t xml:space="preserve"> </w:t>
      </w:r>
      <w:r w:rsidRPr="00087A72">
        <w:rPr>
          <w:b/>
          <w:iCs/>
          <w:u w:val="single"/>
        </w:rPr>
        <w:t xml:space="preserve">Since anti-blackness is enabled through the conditions of settler colonialism in settler states, Black liberation is inherently connected to Indigenous decolonization. </w:t>
      </w:r>
      <w:r w:rsidRPr="00087A72">
        <w:rPr>
          <w:sz w:val="12"/>
        </w:rPr>
        <w:t xml:space="preserve">In the above discussion, I ground critiques of anti-Blackness and enslavement within critiques of settler colonialism. While the dissertation </w:t>
      </w:r>
      <w:r w:rsidRPr="00087A72">
        <w:rPr>
          <w:u w:val="single"/>
        </w:rPr>
        <w:t>focuses on settler colonialism</w:t>
      </w:r>
      <w:r w:rsidRPr="00087A72">
        <w:rPr>
          <w:sz w:val="12"/>
        </w:rPr>
        <w:t xml:space="preserve">, I </w:t>
      </w:r>
      <w:r w:rsidRPr="00087A72">
        <w:rPr>
          <w:u w:val="single"/>
        </w:rPr>
        <w:t>engage with anti-Blackness throughout</w:t>
      </w:r>
      <w:r w:rsidRPr="00087A72">
        <w:rPr>
          <w:sz w:val="12"/>
        </w:rPr>
        <w:t>. As South Asians are complicit in settler colonial processes, they 76 also simultaneously partake in and benefit from anti-Black racism. Thus, I theorize South Asian complicities within settler colonialism and its anti-Black racist formations. Theorizing caste in South Asian diasporas, in Chapters 2 and 3, I demonstrate how structures of caste intersect with structures of anti-Blackness in pertinent ways. I argue that anti-Blackness and caste violence mutually inform and shape each other in South Asian diasporic formations. In Chapter 4, exploring “</w:t>
      </w:r>
      <w:r w:rsidRPr="00087A72">
        <w:rPr>
          <w:u w:val="single"/>
        </w:rPr>
        <w:t>colonial intimacies</w:t>
      </w:r>
      <w:r w:rsidRPr="00087A72">
        <w:rPr>
          <w:sz w:val="12"/>
        </w:rPr>
        <w:t xml:space="preserve">” between South Asians and Indigenous peoples, I </w:t>
      </w:r>
      <w:r w:rsidRPr="00087A72">
        <w:rPr>
          <w:u w:val="single"/>
        </w:rPr>
        <w:t>engage with Black critiques of interraciality and multiraciality in theorizing intimacies and desires between differently racialized and colonized peoples</w:t>
      </w:r>
      <w:r w:rsidRPr="00087A72">
        <w:rPr>
          <w:sz w:val="12"/>
        </w:rPr>
        <w:t>. Using these critiques</w:t>
      </w:r>
      <w:r w:rsidRPr="00087A72">
        <w:rPr>
          <w:u w:val="single"/>
        </w:rPr>
        <w:t>, I demonstrate the limits of such interracial intimacies which are shaped through erasing Black and Indigenous desires and bodies.</w:t>
      </w:r>
      <w:r w:rsidRPr="00087A72">
        <w:rPr>
          <w:sz w:val="12"/>
        </w:rPr>
        <w:t xml:space="preserve"> Chapter 5 explores questions of racialized labour in settler colonial capitalist economies. I maintain that theorizations of racialized labour in white settler states needs to contextualize how these settler states have relied on enslaved and forced Black labour. Yet, I argue that </w:t>
      </w:r>
      <w:r w:rsidRPr="00087A72">
        <w:rPr>
          <w:b/>
          <w:iCs/>
          <w:u w:val="single"/>
        </w:rPr>
        <w:t>it is necessary to contextualize anti-Black racism as a condition produced by settler colonial modalities</w:t>
      </w:r>
      <w:r w:rsidRPr="00087A72">
        <w:rPr>
          <w:sz w:val="12"/>
        </w:rPr>
        <w:t xml:space="preserve">. Further, I posit that constructions of South Asians as a “model minority” happens through the continued denial and erasure of Indigenous and Black labour and their struggles. The dissertation seeks to engage with Black critiques of race, colonialism and capitalism in the making of the settler states. </w:t>
      </w:r>
      <w:r w:rsidRPr="00087A72">
        <w:rPr>
          <w:b/>
          <w:iCs/>
          <w:u w:val="single"/>
        </w:rPr>
        <w:t xml:space="preserve">Without these engagements, any analysis of race in settler societies is incomplete, inaccurate, and complicit in anti-Blackness. </w:t>
      </w:r>
    </w:p>
    <w:p w:rsidR="00E06E0C" w:rsidRPr="00087A72" w:rsidRDefault="00E06E0C" w:rsidP="00E06E0C">
      <w:pPr>
        <w:pStyle w:val="Heading4"/>
      </w:pPr>
      <w:r w:rsidRPr="00087A72">
        <w:t>A critique of the settler colonial structure has the capacity to examine race. The intersection of indigeneity and antiblackness presents a centrifugal dynamic rendering the United States as a unique site of analysis.</w:t>
      </w:r>
    </w:p>
    <w:p w:rsidR="00E06E0C" w:rsidRPr="00087A72" w:rsidRDefault="00E06E0C" w:rsidP="00E06E0C">
      <w:r w:rsidRPr="00087A72">
        <w:rPr>
          <w:b/>
        </w:rPr>
        <w:t>Day 15</w:t>
      </w:r>
      <w:r w:rsidRPr="00087A72">
        <w:t xml:space="preserve"> (Iyko, Associate Professor of English and Critical Social Thought at Mount Holyoke College “Being or Nothingness: Indigeneity, Antiblackness, and Settler Colonialism Critique” </w:t>
      </w:r>
      <w:r w:rsidRPr="00087A72">
        <w:rPr>
          <w:i/>
        </w:rPr>
        <w:t>Critical Ethnic Studies</w:t>
      </w:r>
      <w:r w:rsidRPr="00087A72">
        <w:t>, Vol. 1, No. 2 (Fall 2015), pp. 102-105) IA</w:t>
      </w:r>
      <w:r w:rsidRPr="00087A72">
        <w:tab/>
      </w:r>
    </w:p>
    <w:p w:rsidR="00E06E0C" w:rsidRPr="00087A72" w:rsidRDefault="00E06E0C" w:rsidP="00E06E0C">
      <w:pPr>
        <w:rPr>
          <w:u w:val="single"/>
        </w:rPr>
      </w:pPr>
      <w:r w:rsidRPr="00087A72">
        <w:rPr>
          <w:sz w:val="12"/>
        </w:rPr>
        <w:t xml:space="preserve">This special issue’s focus on comparative racial scholarship gives me an opportunity to weigh in on the specific interplay of race and settler colonialism within an expanding sphere of American studies, one that intersects with and broadens the long-standing critical terrain of Indigenous studies in North America. I am particularly interested in exploring the connection between settler colonial studies and black studies, especially in relation to binary formulations of colonial and racial formation. This is expressed either as an Indigenous/settler binary constituted in relation to land or a black/ nonblack binary founded on racial slavery. These approaches are at times deeply skeptical of relational or comparative analyses of race and reject any coalitional premise that unifies people of color generally. On this count, Jared Sexton argues that a form of “people-of-color-blindness” is embedded in the relational concept of “people of color,” one that fundamentally mis- understands “the specificity of antiblackness and presumes or insists upon the monolithic character of victimization under white supremacy.”1 Acknowledging these points, I focus on the exceptionalism produced by these binary frameworks, whereby </w:t>
      </w:r>
      <w:r w:rsidRPr="00087A72">
        <w:rPr>
          <w:b/>
          <w:iCs/>
          <w:u w:val="single"/>
        </w:rPr>
        <w:t>both the Native and the black body signify a genocidal limit concept</w:t>
      </w:r>
      <w:r w:rsidRPr="00087A72">
        <w:rPr>
          <w:sz w:val="12"/>
        </w:rPr>
        <w:t xml:space="preserve">. For instance, </w:t>
      </w:r>
      <w:r w:rsidRPr="00087A72">
        <w:rPr>
          <w:u w:val="single"/>
        </w:rPr>
        <w:t>Patrick Wolfe casts settler colonialism as a zero- sum game that requires “the elimination of Native alternatives” and results in the “social death of Nativeness.”2 Alternatively, writing from the perspec- tive of Afro-pessimism, Frank B. Wilderson III writes, “from the very beginning, we [black people] were meant to be accumulated and die.”</w:t>
      </w:r>
      <w:r w:rsidRPr="00087A72">
        <w:rPr>
          <w:sz w:val="12"/>
        </w:rPr>
        <w:t xml:space="preserve">3 Extending an Afro-pessimist critique to the field of settler colonial American studies, moreover, Sexton argues that settler colonial decolonization movements for Indigenous sovereignty embrace a Negrophobic discourse of “post-racialism by diminishing or denying the significance of race in thinking about the relative structural positions of black and non-black populations.”4 To be clear, my intentions in this article are not to engage in an evaluation of who the greater victim is—even if this kind of evaluation is precisely the objective of the scholarship under discussion. Rather, it is to probe the discursive construction of colonial and racial exceptionalism itself, particularly in terms of their relation to a privileged conception of labor within Karl Marx’s theory of primitive accumulation. For it is within these chapters of Capital, Volume I that </w:t>
      </w:r>
      <w:r w:rsidRPr="00087A72">
        <w:rPr>
          <w:b/>
          <w:iCs/>
          <w:u w:val="single"/>
        </w:rPr>
        <w:t>Marx connects enslavement and colonial genocide under a broader logic of capitalist accumulation through the violent expropriation of land and labor.</w:t>
      </w:r>
      <w:r w:rsidRPr="00087A72">
        <w:rPr>
          <w:sz w:val="12"/>
        </w:rPr>
        <w:t xml:space="preserve"> Guiding this inquiry is a larger motivating question about whether </w:t>
      </w:r>
      <w:r w:rsidRPr="00087A72">
        <w:rPr>
          <w:b/>
          <w:iCs/>
          <w:u w:val="single"/>
        </w:rPr>
        <w:t>settler colonial critique has an immanent capacity to examine race</w:t>
      </w:r>
      <w:r w:rsidRPr="00087A72">
        <w:rPr>
          <w:u w:val="single"/>
        </w:rPr>
        <w:t xml:space="preserve">. </w:t>
      </w:r>
      <w:r w:rsidRPr="00087A72">
        <w:rPr>
          <w:sz w:val="12"/>
        </w:rPr>
        <w:t xml:space="preserve">Before I proceed, I want to acknowledge that </w:t>
      </w:r>
      <w:r w:rsidRPr="00087A72">
        <w:rPr>
          <w:b/>
          <w:iCs/>
          <w:u w:val="single"/>
        </w:rPr>
        <w:t>the intersection of Indigeneity and antiblackness in the continental United States presents a unique set of issues,</w:t>
      </w:r>
      <w:r w:rsidRPr="00087A72">
        <w:rPr>
          <w:sz w:val="12"/>
        </w:rPr>
        <w:t xml:space="preserve"> insofar as Occupied Palestine and Hawai‘i have emerged as equally if not more prominent than </w:t>
      </w:r>
      <w:r w:rsidRPr="00087A72">
        <w:rPr>
          <w:u w:val="single"/>
        </w:rPr>
        <w:t>the continental United States as sites for theorizing the eliminatory logics of settler colonialism.</w:t>
      </w:r>
      <w:r w:rsidRPr="00087A72">
        <w:rPr>
          <w:sz w:val="12"/>
        </w:rPr>
        <w:t xml:space="preserve">5 Part of </w:t>
      </w:r>
      <w:r w:rsidRPr="00087A72">
        <w:rPr>
          <w:u w:val="single"/>
        </w:rPr>
        <w:t>this centrifugal dynamic</w:t>
      </w:r>
      <w:r w:rsidRPr="00087A72">
        <w:rPr>
          <w:sz w:val="12"/>
        </w:rPr>
        <w:t xml:space="preserve"> may be </w:t>
      </w:r>
      <w:r w:rsidRPr="00087A72">
        <w:rPr>
          <w:u w:val="single"/>
        </w:rPr>
        <w:t>attributed to the fact that unlike other white settler colonies like Canada, where colonial dispossession is the paradigmatic signifier of white settler supremacy, in the continental United States it has been the legacy of slavery and antiblack racism.</w:t>
      </w:r>
      <w:r w:rsidRPr="00087A72">
        <w:rPr>
          <w:sz w:val="12"/>
        </w:rPr>
        <w:t xml:space="preserve"> This is certainly not to say that the ongoing dispossession of Indigenous peoples in the United States goes completely unacknowledged but rather to appreciate the fact that alongside recent Indigenous sovereignty movements such as Idle No More in Canada or the BDS movement in Occupied Palestine, it has been Ferguson in the United States. Thus, </w:t>
      </w:r>
      <w:r w:rsidRPr="00087A72">
        <w:rPr>
          <w:u w:val="single"/>
        </w:rPr>
        <w:t>the centrifugal or long-distance lens that I associate with settler colonial American studies is clearly a reflection of the continued tensions around theorizing the intersection of race and Indigeneity.</w:t>
      </w:r>
      <w:r w:rsidRPr="00087A72">
        <w:rPr>
          <w:sz w:val="12"/>
        </w:rPr>
        <w:t xml:space="preserve"> Together with what Saidiya </w:t>
      </w:r>
      <w:r w:rsidRPr="00087A72">
        <w:rPr>
          <w:u w:val="single"/>
        </w:rPr>
        <w:t>Hartman calls the “afterlife of slavery,” the logic of antiblackness complicates a settler colonial binary framed around a cen- tral Indigenous/settler opposition.</w:t>
      </w:r>
      <w:r w:rsidRPr="00087A72">
        <w:rPr>
          <w:sz w:val="12"/>
        </w:rPr>
        <w:t xml:space="preserve">6 Understandably, </w:t>
      </w:r>
      <w:r w:rsidRPr="00087A72">
        <w:rPr>
          <w:u w:val="single"/>
        </w:rPr>
        <w:t>there is conceptual difficulty in folding the experience of racial capture and enslavement into the subject position of the “settler.”</w:t>
      </w:r>
      <w:r w:rsidRPr="00087A72">
        <w:rPr>
          <w:sz w:val="12"/>
        </w:rPr>
        <w:t xml:space="preserve"> But if we move outside the continental United States, questions raised by such binaries dissipate in the face of the starkest and most brutal binary colonial formations. Occupied Palestine, a comparatively recent site of set- tler colonialism, is such a place, powerfully magnifying the struggle between settler and Indigenous populations in ways that recall the frontier violence of nineteenth-century America. The illegal occupation, siege of Gaza, and ongoing construction of residential settlements on the West Bank is an uncanny corollary to the lead up to the 1830 Indian Removal Act, which relocated tens of thousands of peoples from the Southeastern Nations east of the Mississippi River. From this view, the glaring binarism of Occupied Palestine offers a window onto U.S. history. But it is for the same reason that Bill V. Mullen’s description of Occupied Palestine as “the most dialectical place on Earth” is unable to capture the racial heterogeneity of the conti- nental United States in the present tense.7 Further, in the case of Hawai‘i, another relatively recent site of settler colonialism, Asian Americans have replaced original white settlers and transformed and extended those elimi- natory logics into a formation of Asian settler colonialism that is also reflec- tive of the Indigenous/settler binary.8 As Dean Saranillio explains, </w:t>
      </w:r>
      <w:r w:rsidRPr="00087A72">
        <w:rPr>
          <w:u w:val="single"/>
        </w:rPr>
        <w:t>“</w:t>
      </w:r>
      <w:r w:rsidRPr="00087A72">
        <w:rPr>
          <w:b/>
          <w:iCs/>
          <w:u w:val="single"/>
        </w:rPr>
        <w:t>While migration in and of itself does not equate to colonialism, migration to a settler colonial space, where Native lands and resources are under political, ecological, and spiritual contestation, means the political agency of immi- grant communities can bolster a colonial system initiated by White set- tlers.”9 The lesson that Hawai‘i offers is one in which a formerly exploited migrant population has achieved structural dominance.</w:t>
      </w:r>
      <w:r w:rsidRPr="00087A72">
        <w:rPr>
          <w:u w:val="single"/>
        </w:rPr>
        <w:t xml:space="preserve"> Although white set- tlers exploited indentured Asian laborers in the 1890s as part of the process of dispossessing Native Hawaiians of their land, Asian American invocations of “local” identity and rejection of Native Hawaiian claims for sovereignty reproduce the logics of colonial dispossession. </w:t>
      </w:r>
      <w:r w:rsidRPr="00087A72">
        <w:rPr>
          <w:sz w:val="12"/>
        </w:rPr>
        <w:t xml:space="preserve">Here Patrick Wolfe’s clarifica- tion that settler colonialism is a “structure not an event” is especially salient.10 In comparison to Canada or Australia, what I would describe as a certain attenuation in identifying the continental United States as a settler colony may also be attributed to an ideology of American exceptionalism and history of empire building, which are possibly the most exemplary expressions of settler colonialism. Indeed, what distinguishes the United States as a set- tler colony is the way it epitomizes a paradigm of endless invasion of both Indigenous and foreign lands.11 Unlike former franchise colonies, such as British India or the Dutch East Indies—regions where economic exploi- tation occurred without large-scale white settlement—settler colonies are also largely immune to decolonization because settlers don’t leave. They are “breakaway” colonies insofar as they transfer the power of the metropolitan center to the periphery, subverting a normative logic of colonialism.12 In establishing British settler colonies, it was specifically land acquisition that was the primary objective rather than the exploitation of Indigenous labor.13 Because white settlement was a primary goal in British North America, Australia, New Zealand, and South Africa, the process of detaching from British imperial rule—becoming “postcolonial” as it were—did not struc- turally alter the colonial relationship between settlers and Indigenous pop- ulations. In other words, there is no “post” to settler colonialism. </w:t>
      </w:r>
      <w:r w:rsidRPr="00087A72">
        <w:rPr>
          <w:u w:val="single"/>
        </w:rPr>
        <w:t xml:space="preserve">As Werner Biermann and Reinhart Kössler reflect on the irony of revolutionary settler independence movements like those in the United States, “settler counter- imperialism cannot, in any sense, be considered of an emancipatory nature, but rather as a defense for atavistic forms of exploitation which by this token take on a politically anachronistic stature as well.”14 Therefore, in settler colonies, the diminishing role of an imperial metropole actually facilitated successive stages of Indigenous elimination that involved invasion, removal, relocation, reservation, termination, and assimilation. This renders a para- doxical situation where, as Robert J. C. Young describes it, “the postcolonial operates simultaneously as the colonial.”15 </w:t>
      </w:r>
    </w:p>
    <w:p w:rsidR="00E06E0C" w:rsidRPr="00087A72" w:rsidRDefault="00E06E0C" w:rsidP="00E06E0C">
      <w:pPr>
        <w:pStyle w:val="Heading4"/>
      </w:pPr>
      <w:r w:rsidRPr="00087A72">
        <w:t xml:space="preserve">The antidialectical stance of Afro-pessimist critique can only be reframed by the relation between colonialism and chattel slavery. Wilderson and Sexton’s claims about the relation of indigeneity and blackness reveal the danger of relying on rigidly binaristic approaches. </w:t>
      </w:r>
    </w:p>
    <w:p w:rsidR="00E06E0C" w:rsidRPr="00087A72" w:rsidRDefault="00E06E0C" w:rsidP="00E06E0C">
      <w:r w:rsidRPr="00087A72">
        <w:rPr>
          <w:b/>
        </w:rPr>
        <w:t>Day 15</w:t>
      </w:r>
      <w:r w:rsidRPr="00087A72">
        <w:t xml:space="preserve"> (Iyko, Associate Professor of English and Critical Social Thought at Mount Holyoke College “Being or Nothingness: Indigeneity, Antiblackness, and Settler Colonialism Critique” </w:t>
      </w:r>
      <w:r w:rsidRPr="00087A72">
        <w:rPr>
          <w:i/>
        </w:rPr>
        <w:t>Critical Ethnic Studies</w:t>
      </w:r>
      <w:r w:rsidRPr="00087A72">
        <w:t>, Vol. 1, No. 2 (Fall 2015), pp. 107-113) IA</w:t>
      </w:r>
      <w:r w:rsidRPr="00087A72">
        <w:tab/>
      </w:r>
    </w:p>
    <w:p w:rsidR="00E06E0C" w:rsidRPr="00087A72" w:rsidRDefault="00E06E0C" w:rsidP="00E06E0C">
      <w:pPr>
        <w:rPr>
          <w:sz w:val="12"/>
        </w:rPr>
      </w:pPr>
      <w:r w:rsidRPr="00087A72">
        <w:rPr>
          <w:sz w:val="12"/>
        </w:rPr>
        <w:t xml:space="preserve">The paradigm of Afro-pessimism offers an interesting corollary to the Indigenous/settler binary discussed above. My discussion of this critical theory rests on the terms of its binary formulation and rejection of Indige- nous sovereignty that have been advanced by Jared Sexton and Frank Wilderson, perhaps the most vocal proponents of this school of thought.28 My goal here is to </w:t>
      </w:r>
      <w:r w:rsidRPr="00087A72">
        <w:rPr>
          <w:u w:val="single"/>
        </w:rPr>
        <w:t xml:space="preserve">respond to their critique of Indigenous sovereignty by </w:t>
      </w:r>
      <w:r w:rsidRPr="00087A72">
        <w:rPr>
          <w:b/>
          <w:iCs/>
          <w:u w:val="single"/>
        </w:rPr>
        <w:t>reframing the relation between colonialism and racial slavery and to challenge the antidialectical stance of Afro-pessimist critique.</w:t>
      </w:r>
      <w:r w:rsidRPr="00087A72">
        <w:rPr>
          <w:sz w:val="12"/>
        </w:rPr>
        <w:t xml:space="preserve"> </w:t>
      </w:r>
      <w:r w:rsidRPr="00087A72">
        <w:rPr>
          <w:u w:val="single"/>
        </w:rPr>
        <w:t>Although Afro- pessimism rejects Marxian political economic analysis,29 it operationalizes a revised paradigm of economic determinism to install instead an antiblack base that generates a global racial superstructure.</w:t>
      </w:r>
      <w:r w:rsidRPr="00087A72">
        <w:rPr>
          <w:sz w:val="12"/>
        </w:rPr>
        <w:t xml:space="preserve"> Rather than reinscribe a black/white opposition, Afro-pessimism charts a black/nonblack binary that evolves out of the history of racial slavery. </w:t>
      </w:r>
      <w:r w:rsidRPr="00087A72">
        <w:rPr>
          <w:u w:val="single"/>
        </w:rPr>
        <w:t>The reason for absorbing whiteness into a variable condition of nonblackness is to deemphasize white power and instead emphasize the singularity and paradigmatic status of racial blackness as the essential condition of enslave- ability</w:t>
      </w:r>
      <w:r w:rsidRPr="00087A72">
        <w:rPr>
          <w:sz w:val="12"/>
        </w:rPr>
        <w:t xml:space="preserve">. According to Sexton, white people are better termed “all nonblacks . . . because </w:t>
      </w:r>
      <w:r w:rsidRPr="00087A72">
        <w:rPr>
          <w:u w:val="single"/>
        </w:rPr>
        <w:t xml:space="preserve">it is a racial blackness as a necessary condition for enslavement that matters most, rather than whiteness </w:t>
      </w:r>
      <w:r w:rsidRPr="00087A72">
        <w:rPr>
          <w:sz w:val="12"/>
        </w:rPr>
        <w:t xml:space="preserve">as a sufficient condition for freedom.”30 In what Sexton terms an “unequally arrayed category of nonblackness,” Wilderson designates white subjects as the “senior partners” and other non- white, nonblack racialized subjects as the “junior partners of civil society.”31 The indelible, iterative structure of racial slavery is what animates our con- temporary moment—what Sexton refers to as a future anterior—a mathematical terror that Saidiya Hartman grounds in the “racial calculus and a political arithmetic that were entrenched centuries ago.”32 Rejecting the Indigenous/settler opposition put forward by Wolfe, Sexton states that the U.S.-born slave-descended population “suffers the status of being neither the native nor the foreigner, neither the colonizer nor the colonized.”33 Thus blackness is both a lived impossibility and categorical exception. Wilderson further contends that black life is an evacuated historical category, a lived entity that is “off the record.”34 Unlike Native Americans, whom he claims have recourse to historical modes of ontological embodiment—such that they exist “liminally as half-death and half-life between the Slave (black) and the Human (White or nonblack)”—black people are a categorical negation, part of “America’s structuring irrationality” that engenders the coherence and rationality of white life.35 Wilderson and Sexton extend these arguments about the relationality of black and Indigenous ontologies of non- or half-life respectively to further interrogate the validity of Indigenous sovereignty movements. These arguments are taken from Wilderson’s articles and 2010 monograph Red, White &amp; Black: Cinema and the Structure of U.S. Antagonisms, which are expanded upon in Sexton’s 2014 article, “The Vel of Slavery: Tracking the Figure of the Unsovereign.” To begin then with Wilderson’s formulation, for him Indigeneity differs from antiblackness because Indigenous sovereignty struggles engage in a politics of state recognition that is categorically unavailable to black subjects. More than this, Wilderson claims that Native sovereignty claims ultimately uphold rather than undermine white supremacy and the coherence of the U.S. nation-state. He writes, “White supremacy has made good use of the Indian subject’s positionality: a positionality which fortifies and extends the interlocutory life of America as a coherent (albeit genocidal) idea, because treaties are forms of articulation, and discussions brokered between two groups presumed to possess the same kind of historical currency: sovereignty.”36 In their critical alliance, Wilderson and Sexton emphasize how “the dynamics of Negrophobia are animated . . . by a pre- occupation with sovereignty.”37 The claim of Negrophobic Indigenous sovereignty is rooted in Wilderson’s somewhat selective reading of Chris Eyre’s 2002 feature film Skins about Native American vigilantism and alcoholism. Here he argues that the Native American protagonist Rudy Yellow Lodge’s preoccupation with spiritual- ity and sovereignty animates his Negrophobia. Wilderson’s rationale for this interpretation is that Rudy has the capacity to be aligned with a politics of genocide rather than sovereignty, the latter of which forecloses a shared antagonism with black existence. Such an emphasis on sovereignty there- fore represents a “de-escalation of antagonism to the level of conflict.”38 In particular, Wilderson links Rudy’s investment in sovereignty to his anger at two Native teens for “acting ‘Black’ . . . their grunting voices and aggressive body language [indicating] that they are talking ‘Black.’”39 Because the teens get into a fight with one another, Wilderson registers Rudy’s “sovereign” re- jection of the corrosive effects of blackness. The teens’ mimicry of blackness is presented as the cause of their fight: “Rap lyrics, dialect, and Black male body language have pulled these two young men into a pit of absolute dere- liction and cultural abandonment,” which leads Wilderson to conclude that “Blackness is at the heart of Native American autogenocide.”40 As a result, as Sexton elaborates, Indigenous sovereignty can only mobilize a politics of “resurgence or recovery [that] is bound to regard the slave as ‘the position of the unthought.’”41 Slavery is incompatible with the presumptions of sov- ereign recuperation of and governance over land, identity, and cultures, because slavery “is not a loss that the self experiences . . . but rather the loss of any self that could experience such loss.”42 These points form the basic architecture for Sexton’s ultimate claim that sovereignty should be jetti- soned in favor of the more radical antagonistic project of abolition. To begin digesting these claims, </w:t>
      </w:r>
      <w:r w:rsidRPr="00087A72">
        <w:rPr>
          <w:b/>
          <w:iCs/>
          <w:u w:val="single"/>
        </w:rPr>
        <w:t>one finds a certain contradiction in the empirical relation of Indigeneity and blackness that Wilderson and Sexton present. Wilderson’s suggestion that a shared genocidal antagonism would potentially form a correspondence between Indigeneity and antiblackness is somewhat at odds with Sexton’s claim that racial slavery subsumes all other modalities of power</w:t>
      </w:r>
      <w:r w:rsidRPr="00087A72">
        <w:rPr>
          <w:u w:val="single"/>
        </w:rPr>
        <w:t>.</w:t>
      </w:r>
      <w:r w:rsidRPr="00087A72">
        <w:rPr>
          <w:sz w:val="12"/>
        </w:rPr>
        <w:t xml:space="preserve"> It is only through our realization of the excep- tionality of antiblackness, Sexton writes, that “might help not only to break down false dichotomies, and perhaps pose a truer one, but also to reveal the ways that the study of slavery is already and of necessity the study of capitalism, colonialism, and settler colonialism, among other things.”43 Here I interpret </w:t>
      </w:r>
      <w:r w:rsidRPr="00087A72">
        <w:rPr>
          <w:u w:val="single"/>
        </w:rPr>
        <w:t>Sexton’s rejection of a Native/settler opposition as among the “false dichotomies” that should be dispensed with in order to install a black/ nonblack “truer” dichotomy.</w:t>
      </w:r>
      <w:r w:rsidRPr="00087A72">
        <w:rPr>
          <w:sz w:val="12"/>
        </w:rPr>
        <w:t xml:space="preserve"> However, and this is my point, </w:t>
      </w:r>
      <w:r w:rsidRPr="00087A72">
        <w:rPr>
          <w:u w:val="single"/>
        </w:rPr>
        <w:t>Wilderson’s and Sexton’s divergent emphases</w:t>
      </w:r>
      <w:r w:rsidRPr="00087A72">
        <w:rPr>
          <w:sz w:val="12"/>
        </w:rPr>
        <w:t xml:space="preserve"> put the empirical status of Indigeneity in flux. On the one hand, Indigenous sovereignty </w:t>
      </w:r>
      <w:r w:rsidRPr="00087A72">
        <w:rPr>
          <w:u w:val="single"/>
        </w:rPr>
        <w:t xml:space="preserve">is conceptualized primarily as a screen: an “obscene supplement” of the settler nation-state,44 an anti- black expression of false consciousness, or a lost opportunity to apply the motif of genocide and share in an antagonism that relates to black social death. </w:t>
      </w:r>
      <w:r w:rsidRPr="00087A72">
        <w:rPr>
          <w:sz w:val="12"/>
        </w:rPr>
        <w:t xml:space="preserve">That is, </w:t>
      </w:r>
      <w:r w:rsidRPr="00087A72">
        <w:rPr>
          <w:u w:val="single"/>
        </w:rPr>
        <w:t>the claim that sovereignty “de-escalates” a genocidal antago- nism to “conflict” suggests that a more authentic truth of Indigeneity is genocide, which means that the unrealized fact of Indigeneity is its empiri- cal analogy to black social death.</w:t>
      </w:r>
      <w:r w:rsidRPr="00087A72">
        <w:rPr>
          <w:sz w:val="12"/>
        </w:rPr>
        <w:t xml:space="preserve"> But on the other hand, Sexton forcefully rejects any claim to an empirically based analogy, claiming that antiblack- ness trumps Indigeneity just as racial slavery trumps settler colonialism. And so </w:t>
      </w:r>
      <w:r w:rsidRPr="00087A72">
        <w:rPr>
          <w:u w:val="single"/>
        </w:rPr>
        <w:t>the potential relations that Wilderson sets up through a critique of sovereignty are at best irrelevant or at worse false in Sexton’s absolute claim that slavery stands alone as the “threshold of the political world.”</w:t>
      </w:r>
      <w:r w:rsidRPr="00087A72">
        <w:rPr>
          <w:sz w:val="12"/>
        </w:rPr>
        <w:t xml:space="preserve">45 I suggest that </w:t>
      </w:r>
      <w:r w:rsidRPr="00087A72">
        <w:rPr>
          <w:b/>
          <w:iCs/>
          <w:u w:val="single"/>
        </w:rPr>
        <w:t>this wavering relation/nonrelation of antiblackness and Indigeneity exhibited in Wilderson’s and Sexton’s work reveal the problem in any totalizing approach to the heterogeneous constitution of racial difference in settler colonies.</w:t>
      </w:r>
      <w:r w:rsidRPr="00087A72">
        <w:rPr>
          <w:sz w:val="12"/>
        </w:rPr>
        <w:t xml:space="preserve"> Beyond this inconsistency, </w:t>
      </w:r>
      <w:r w:rsidRPr="00087A72">
        <w:rPr>
          <w:u w:val="single"/>
        </w:rPr>
        <w:t>the liberal multiculturalist agenda that Wilderson and Sexton project into Indigenous sovereignty willfully evacuates any Indigenous refusal of a colonial politics of recognition.</w:t>
      </w:r>
      <w:r w:rsidRPr="00087A72">
        <w:rPr>
          <w:sz w:val="12"/>
        </w:rPr>
        <w:t xml:space="preserve"> Among other broad strokes, Sexton states, “as a rule, Native Studies reproduces the dom- inant liberal political narrative of emancipation and enfranchisement.”46 This provides a basis for Wilderson’s assertion that Indigenous sovereignty engages in a liberal politics of state legitimation through recognition be- cause “treaties are forms of articulation” that buttress “the interlocutory life of America as a coherent (albeit genocidal) idea.”47 But </w:t>
      </w:r>
      <w:r w:rsidRPr="00087A72">
        <w:rPr>
          <w:u w:val="single"/>
        </w:rPr>
        <w:t>such a depoliticized liberal project is</w:t>
      </w:r>
      <w:r w:rsidRPr="00087A72">
        <w:rPr>
          <w:sz w:val="12"/>
        </w:rPr>
        <w:t xml:space="preserve"> frankly </w:t>
      </w:r>
      <w:r w:rsidRPr="00087A72">
        <w:rPr>
          <w:u w:val="single"/>
        </w:rPr>
        <w:t>incompatible with Indigenous activism and scholarship that emerges from Native studies in North America.</w:t>
      </w:r>
      <w:r w:rsidRPr="00087A72">
        <w:rPr>
          <w:sz w:val="12"/>
        </w:rPr>
        <w:t xml:space="preserve"> The main argument in Glen Sean Coulthard’s book Red Skin, White Masks is to categorically </w:t>
      </w:r>
      <w:r w:rsidRPr="00087A72">
        <w:rPr>
          <w:u w:val="single"/>
        </w:rPr>
        <w:t>reject “the liberal recognition-based approach to Indigenous self- determination.”48 This is not a politics of legitimizing Indigenous nations through state recognition but rather one of refusal, a refusal to be recognized and thus interpellated by the settler colonial nation-state.</w:t>
      </w:r>
      <w:r w:rsidRPr="00087A72">
        <w:rPr>
          <w:sz w:val="12"/>
        </w:rPr>
        <w:t xml:space="preserve"> Drawing on Fanon, Coulthard describes the “necessity on the part of the oppressed to ‘</w:t>
      </w:r>
      <w:r w:rsidRPr="00087A72">
        <w:rPr>
          <w:u w:val="single"/>
        </w:rPr>
        <w:t>turn away’ from their other-oriented master-dependency, and to instead struggle for freedom on their own terms and in accordance with their own values.</w:t>
      </w:r>
      <w:r w:rsidRPr="00087A72">
        <w:rPr>
          <w:sz w:val="12"/>
        </w:rPr>
        <w:t xml:space="preserve">”49 It is also </w:t>
      </w:r>
      <w:r w:rsidRPr="00087A72">
        <w:rPr>
          <w:u w:val="single"/>
        </w:rPr>
        <w:t>difficult to reconcile the depoliticized narrative of “resurgence and recovery” that Wilderson and Sexton attribute to Indigenous sovereignty in the face of Idle No More, the anticapitalist Indigenous sovereignty movement in Canada whose national railway and highway blockades have seriously destabilized the expropriation of natural resources for the global market.</w:t>
      </w:r>
      <w:r w:rsidRPr="00087A72">
        <w:rPr>
          <w:sz w:val="12"/>
        </w:rPr>
        <w:t xml:space="preserve"> These are examples that </w:t>
      </w:r>
      <w:r w:rsidRPr="00087A72">
        <w:rPr>
          <w:u w:val="single"/>
        </w:rPr>
        <w:t>Coulthard describes as “direct action” rather than negotiation—in other words, antagonism, not conflict resolution</w:t>
      </w:r>
      <w:r w:rsidRPr="00087A72">
        <w:rPr>
          <w:sz w:val="12"/>
        </w:rPr>
        <w:t xml:space="preserve">: </w:t>
      </w:r>
      <w:r w:rsidRPr="00087A72">
        <w:rPr>
          <w:u w:val="single"/>
        </w:rPr>
        <w:t>They [blockades] are a crucial act of negation insofar as they seek to impede or block the flow of resources currently being transported to international markets from oil and gas fields, refineries, lumber mills, mining operations, and hydroelectric facilities located on the dispossessed lands of Indigenous nations. These modes of direct action . . . seek to have a negative impact on the economic infrastructure that is core to the colonial accumulation of capital in settler-political economies like Canada’s.50 These tactics are part of what Audra Simpson calls a “cartography of refusal” that “negates the authority of the other’s gaze.”51 It is impossible to frame the blockade movement, which has become the greatest threat to Canada’s resource agenda,52 as a struggle for “enfranchisement.” Idle No More is not in “conflict” with the Canadian nation-state; it is in a struggle against the very premise of settler colonial capitalism that requires the elimination of Indigenous peoples. As Coulthard states unambiguously, “For Indigenous nations to live, capitalism must die.”</w:t>
      </w:r>
      <w:r w:rsidRPr="00087A72">
        <w:rPr>
          <w:sz w:val="12"/>
        </w:rPr>
        <w:t xml:space="preserve">53 But perhaps my own defense of Indigenous decolonization movements for sovereignty begs a larger question about whether sovereignty in itself offers a radical politics that can encompass or mobilize a black radical tradition rooted in the project of abolition. And it is here that I </w:t>
      </w:r>
      <w:r w:rsidRPr="00087A72">
        <w:rPr>
          <w:u w:val="single"/>
        </w:rPr>
        <w:t>agree with Sexton’s intervention to problematize the idea that antiracist agendas must emerge from the foundational priority of Indigenous sovereignty and restoration of land.</w:t>
      </w:r>
      <w:r w:rsidRPr="00087A72">
        <w:rPr>
          <w:sz w:val="12"/>
        </w:rPr>
        <w:t xml:space="preserve">54 </w:t>
      </w:r>
      <w:r w:rsidRPr="00087A72">
        <w:rPr>
          <w:u w:val="single"/>
        </w:rPr>
        <w:t xml:space="preserve">But </w:t>
      </w:r>
      <w:r w:rsidRPr="00087A72">
        <w:rPr>
          <w:b/>
          <w:iCs/>
          <w:u w:val="single"/>
        </w:rPr>
        <w:t>against the totalizing frame of Afro-pessimism, I want to stress instead the pitfalls of any antidialectical approach to the political economy of the settler colonial racial state from the position of either Indigenous or antiblack exceptionalism. Settler colonial racial capitalism is not a thing but a social relation</w:t>
      </w:r>
      <w:r w:rsidRPr="00087A72">
        <w:rPr>
          <w:u w:val="single"/>
        </w:rPr>
        <w:t>.</w:t>
      </w:r>
      <w:r w:rsidRPr="00087A72">
        <w:rPr>
          <w:sz w:val="12"/>
        </w:rPr>
        <w:t xml:space="preserve"> As such, it is not produced out of the causal relationships that Sexton puts forward here: </w:t>
      </w:r>
      <w:r w:rsidRPr="00087A72">
        <w:rPr>
          <w:u w:val="single"/>
        </w:rPr>
        <w:t>“Slavery, as it were, precedes and prepares the way for colonialism, its forebear or fundament or support. Colonialism, as it were, the issue or heir of slavery, its outgrowth or edifice or monu- ment.”</w:t>
      </w:r>
      <w:r w:rsidRPr="00087A72">
        <w:rPr>
          <w:sz w:val="12"/>
        </w:rPr>
        <w:t xml:space="preserve">55 The nearly totalizing black existential frame is similarly based on a questionable construction of epistemic privilege: [black existence] does relate to the totality; it indicates the (repressed) truth of the political and economic system. That is to say, the whole range of posi- tions within the racial formation is most fully understood from this vantage point, not unlike the way in which the range of gender and sexual variance under patriarchal and heteronormative regimes is most fully understood through lenses that are feminist and queer.56 According to Sexton, no other oppression is reducible to antiblackness, but the relative totality of antiblackness is the privileged perspective from which to understand racial formation more broadly. But unlike the way feminist and queer critical theory interrogate heteropatriarchy from a subjectless standpoint, Sexton’s entire point seems to rest on the very specificity and singularity—rather than subjectlessness—of black critical theory’s capacity to understand race. </w:t>
      </w:r>
      <w:r w:rsidRPr="00087A72">
        <w:rPr>
          <w:b/>
          <w:iCs/>
          <w:u w:val="single"/>
        </w:rPr>
        <w:t>The privilege of this embodied viewpoint similarly relies on rigidly binaristic conceptions of land and bodily integrity.</w:t>
      </w:r>
      <w:r w:rsidRPr="00087A72">
        <w:rPr>
          <w:sz w:val="12"/>
        </w:rPr>
        <w:t xml:space="preserve"> He writes, “If the indigenous relation to land precedes and exceeds any regime of property, then the slave’s inhabitation of the earth precedes and exceeds any prior relation to land—landlessness. And selflessness is the correlate. No ground for identity, no ground to stand (on).”57 </w:t>
      </w:r>
      <w:r w:rsidRPr="00087A72">
        <w:rPr>
          <w:b/>
          <w:iCs/>
          <w:u w:val="single"/>
        </w:rPr>
        <w:t xml:space="preserve">In other words, the slave’s nonrelation to her body precedes and exceeds any other body’s relation to land. However, the settler colonial designation of the United States and Canada as terra nullius—as legally empty lands—denies the very corporeality of Indigenous populations to inhabit land, much less have any rights to it. Along- side genocidal elimination, the erasure of Indigenous corporeal existence is inseparable from the ground it doesn’t stand on, or is removed from.  </w:t>
      </w:r>
      <w:r w:rsidRPr="00087A72">
        <w:rPr>
          <w:sz w:val="12"/>
        </w:rPr>
        <w:t xml:space="preserve">For the same reason that the economic reductionism of orthodox Marxism has been discredited, such </w:t>
      </w:r>
      <w:r w:rsidRPr="00087A72">
        <w:rPr>
          <w:u w:val="single"/>
        </w:rPr>
        <w:t>an argument that frames racial slavery as a base for a colonial superstructure similarly fails to take into account the dialectics of settler colonial capitalism.</w:t>
      </w:r>
      <w:r w:rsidRPr="00087A72">
        <w:rPr>
          <w:sz w:val="12"/>
        </w:rPr>
        <w:t xml:space="preserve"> </w:t>
      </w:r>
      <w:r w:rsidRPr="00087A72">
        <w:rPr>
          <w:u w:val="single"/>
        </w:rPr>
        <w:t>The political economy of settler colonial capitalism is more appropriately figured as an ecology of power relations than a linear chain of events. Relinquishing any conceptual privi- lege that might be attributed to Indigeneity, alternatively, Coulthard offers a useful anti-exceptionalist stance: “the colonial relation should not be under- stood as a primary locus of ‘base’ from which these other forms of oppres- sion flow, but rather as the inherited background field within which market, racist, patriarchal, and state relations converge.”</w:t>
      </w:r>
      <w:r w:rsidRPr="00087A72">
        <w:rPr>
          <w:sz w:val="12"/>
        </w:rPr>
        <w:t xml:space="preserve">58 From this view, race and colonialism form the matrix of the settler colonial racial state. </w:t>
      </w:r>
      <w:r w:rsidRPr="00087A72">
        <w:rPr>
          <w:u w:val="single"/>
        </w:rPr>
        <w:t xml:space="preserve">Putting colonial land and enslaved labor at the center of a dialectical analysis, we can see that </w:t>
      </w:r>
      <w:r w:rsidRPr="00087A72">
        <w:rPr>
          <w:b/>
          <w:iCs/>
          <w:u w:val="single"/>
        </w:rPr>
        <w:t>blackness is neither reducible to Indigenous land nor Indigeneity to enslaved labor. Indigenous peoples and slaves are not reducible to each other because settler colonialism abides by a dual logic that is originally driven to eliminate Native peoples from land and mix the land with enslaved black labor.</w:t>
      </w:r>
      <w:r w:rsidRPr="00087A72">
        <w:rPr>
          <w:sz w:val="12"/>
        </w:rPr>
        <w:t xml:space="preserve"> </w:t>
      </w:r>
      <w:r w:rsidRPr="00087A72">
        <w:rPr>
          <w:u w:val="single"/>
        </w:rPr>
        <w:t>If land is the basis of settler colonialists’ relationship to Indigenous peoples, it is labor that frames that relationship with enslaved peoples.</w:t>
      </w:r>
      <w:r w:rsidRPr="00087A72">
        <w:rPr>
          <w:sz w:val="12"/>
        </w:rPr>
        <w:t xml:space="preserve"> We can draw on Patrick Wolfe’s important points about the heterogeneous racial effects of such a settler formation based on Indigenous land and enslaved labor. To summarize those points, the racial content of Indigenous peoples is the mirror opposite of blackness. </w:t>
      </w:r>
      <w:r w:rsidRPr="00087A72">
        <w:rPr>
          <w:u w:val="single"/>
        </w:rPr>
        <w:t>From the beginning, an eliminatory project was driven to reduce Native populations through genocidal wars and later through statistical elimination through blood quantum and assimilationist policies. For slaves, an opposite logic of exclusion was driven to increase, not eliminate, the population of slaves.</w:t>
      </w:r>
      <w:r w:rsidRPr="00087A72">
        <w:rPr>
          <w:sz w:val="12"/>
        </w:rPr>
        <w:t xml:space="preserve"> </w:t>
      </w:r>
      <w:r w:rsidRPr="00087A72">
        <w:rPr>
          <w:u w:val="single"/>
        </w:rPr>
        <w:t xml:space="preserve">One logic does not cause the other; rather, they work together to serve a unitary end in increasing white settler property in the form of land and an enslaved labor force. </w:t>
      </w:r>
      <w:r w:rsidRPr="00087A72">
        <w:rPr>
          <w:sz w:val="12"/>
        </w:rPr>
        <w:t>As a result, in the postemancipation, postfrontier era, the racial content of Indigenous peoples is entirely dissolvable and eradi- cable. Alternatively, the racial content of blackness remains absolute and essential, and maintains an infinite capacity to contaminate. As Wolfe states, “the respective racializations . . . were diametrically opposed, in a manner that reflected and preserved the foundational distinction between land and labor</w:t>
      </w:r>
      <w:r w:rsidRPr="00087A72">
        <w:rPr>
          <w:u w:val="single"/>
        </w:rPr>
        <w:t>. For whereas race for black people became an indelible trait that would survive any amount of admixture, race for Indians became an inherently descending quantity that was terminally susceptible to dilution.</w:t>
      </w:r>
      <w:r w:rsidRPr="00087A72">
        <w:rPr>
          <w:sz w:val="12"/>
        </w:rPr>
        <w:t xml:space="preserve">”59 One con- sequence is that the phrase “separate but equal” can take two meanings: as either an injurious legal relic or a sovereign politics of the future.60 Given this stark distinction in racial ontologies, any critical theory that views race and colonialism as a causal rather than dialectical relation is incapable of exposing these inextricable logics of settler colonialism. </w:t>
      </w:r>
    </w:p>
    <w:p w:rsidR="00E06E0C" w:rsidRPr="00087A72" w:rsidRDefault="00E06E0C" w:rsidP="00E06E0C">
      <w:pPr>
        <w:pStyle w:val="Heading4"/>
      </w:pPr>
      <w:r w:rsidRPr="00087A72">
        <w:t xml:space="preserve">Afro-pessimism and settler colonial studies both destabilize capitalism through conceptual displacements of the proletariat. </w:t>
      </w:r>
    </w:p>
    <w:p w:rsidR="00E06E0C" w:rsidRPr="00087A72" w:rsidRDefault="00E06E0C" w:rsidP="00E06E0C">
      <w:r w:rsidRPr="00087A72">
        <w:rPr>
          <w:b/>
        </w:rPr>
        <w:t>Day 15</w:t>
      </w:r>
      <w:r w:rsidRPr="00087A72">
        <w:t xml:space="preserve"> (Iyko, Associate Professor of English and Critical Social Thought at Mount Holyoke College “Being or Nothingness: Indigeneity, Antiblackness, and Settler Colonialism Critique” </w:t>
      </w:r>
      <w:r w:rsidRPr="00087A72">
        <w:rPr>
          <w:i/>
        </w:rPr>
        <w:t>Critical Ethnic Studies</w:t>
      </w:r>
      <w:r w:rsidRPr="00087A72">
        <w:t>, Vol. 1, No. 2 (Fall 2015), pp. 114-118) IA</w:t>
      </w:r>
      <w:r w:rsidRPr="00087A72">
        <w:tab/>
      </w:r>
    </w:p>
    <w:p w:rsidR="00E06E0C" w:rsidRPr="00087A72" w:rsidRDefault="00E06E0C" w:rsidP="00E06E0C">
      <w:pPr>
        <w:rPr>
          <w:sz w:val="12"/>
        </w:rPr>
      </w:pPr>
      <w:r w:rsidRPr="00087A72">
        <w:rPr>
          <w:sz w:val="12"/>
        </w:rPr>
        <w:t xml:space="preserve">In order to recuperate the frame of political economy, a focus on the dialec- tic of racial slavery and settler colonialism leads to important revisions of Karl Marx’s theory of primitive accumulation. In particular, Marx designates the transition from feudal to capitalist social relations as a violent process of primitive accumulation whereby “conquest, enslavement, robbery, murder, in short, force, play the greatest part.”61 For Marx, this results in the expropriation of the worker, the proletariat, who becomes the privileged subject of capitalist revolution. </w:t>
      </w:r>
      <w:r w:rsidRPr="00087A72">
        <w:rPr>
          <w:b/>
          <w:iCs/>
          <w:u w:val="single"/>
        </w:rPr>
        <w:t>If we consider primitive accumulation as a persistent structure rather than event, both Afro-pessimism and settler colonial studies destabilize normative conceptions of capitalism through the conceptual displacements of the proletariat.</w:t>
      </w:r>
      <w:r w:rsidRPr="00087A72">
        <w:rPr>
          <w:sz w:val="12"/>
        </w:rPr>
        <w:t xml:space="preserve"> As Coulthard demonstrates, </w:t>
      </w:r>
      <w:r w:rsidRPr="00087A72">
        <w:rPr>
          <w:u w:val="single"/>
        </w:rPr>
        <w:t>in considering Indigenous peoples in relation to primitive accumulation, “it appears that the history and experience of dispossession, not proletarianization, has been the dominant background structure shaping the character of the historical relationship between Indigenous peoples and the Canadian state.”</w:t>
      </w:r>
      <w:r w:rsidRPr="00087A72">
        <w:rPr>
          <w:sz w:val="12"/>
        </w:rPr>
        <w:t xml:space="preserve">62 It is thus dispossession of land through genocidal elimination, relocation, and theft that animates Indigenous resistance and anticapitalism and “less around our emergent status as ‘rightless proletarians.’”63 If we extend the frame of primitive accumulation to the question of slavery, it is the dispossession of the slave’s body rather than the proletarianization of labor that both precedes and exceeds the frame of settler colonial and global modernity. On this point Afro-pessimism offers a unique and incisive formulation of black labor. Dispensing with a view that slavery was a labor system— including Andrea Smith’s assessment that “African Americans have been traditionally valued for their labor”64—Sexton and Wilderson decouple slavery from a normative conception of labor. The slave, in their estimation, is a figure of anti-labor who calls into question the very legitimacy of productive work.65 Rather than a labor system, slavery represented foremost a capitalist property system that was kick-started by the “‘accumulation’ of black bodies regardless of their utility as laborers.”66 Thus </w:t>
      </w:r>
      <w:r w:rsidRPr="00087A72">
        <w:rPr>
          <w:u w:val="single"/>
        </w:rPr>
        <w:t>the slave cannot be thought of as a worker, because the “slave makes a demand which is in excess of the demand made by the worker.”67 That is to say, while the worker demands fairness and improved labor conditions the slave demands that all production cease regardless of its democratization because “work is not an organic principle for the slave.”</w:t>
      </w:r>
      <w:r w:rsidRPr="00087A72">
        <w:rPr>
          <w:sz w:val="12"/>
        </w:rPr>
        <w:t xml:space="preserve">68 This argument is fueled by Wilderson’s and Sexton’s general critique of Marxism, whose central tenets fall apart, they argue, in the presence of the black body. Here I quote Wilderson’s delineation of the unrecognized but generative condition of blackness for initiating capitalist modernity and later resolving crises of capitalism: The absence of black subjectivity from the crux of Marxist discourse is symptomatic of the discourse’s inability to cope with the possibility that the generative subject of capitalism, the black body of the fifteenth and sixteenth centuries, and the generative subject that resolves late-capital’s over-accumulation crisis, the black (incarcerated) body of the twentieth and twenty-first centuries, do not reify the basic categories which structure Marxist conflict: the categories of work, production, exploitation, historical self-awareness, and above all, hegemony.69 </w:t>
      </w:r>
      <w:r w:rsidRPr="00087A72">
        <w:rPr>
          <w:u w:val="single"/>
        </w:rPr>
        <w:t>Because antiblackness is a terror formation rather than a hegemonic one, overthrowing capitalism cannot guarantee emancipation.</w:t>
      </w:r>
      <w:r w:rsidRPr="00087A72">
        <w:rPr>
          <w:sz w:val="12"/>
        </w:rPr>
        <w:t xml:space="preserve"> There are no demands that the exploited worker can put forward that can satisfy or solve the experience of black social death, which prohibits the slave from entering into a transaction of value. Moreover, Steve Martinot and Jared Sexton dispel the assumption that “if racism can be made not useful to the relations of production or the security of territorial boundaries, it will fade away from the social landscape like the proverbial withering away of the state.”70 In their estimation, the precarity and irrationality of blackness operate out- side the normative and rational circuits of capitalism. Carrying this logic forward into the neoliberal age, as Tamara Nopper clarifies, “as workers, African Americans are treated as possessing no productive value and con- tributing to no economy or nation.”71 The social death of the black body is thus an irrational and despotic foundation on which the structuring rationality of American civil society and capitalism are based and enabled. </w:t>
      </w:r>
      <w:r w:rsidRPr="00087A72">
        <w:rPr>
          <w:u w:val="single"/>
        </w:rPr>
        <w:t xml:space="preserve">While I question the notion that slavery does not function as a labor system, </w:t>
      </w:r>
      <w:r w:rsidRPr="00087A72">
        <w:rPr>
          <w:b/>
          <w:iCs/>
          <w:u w:val="single"/>
        </w:rPr>
        <w:t>Wilderson makes an important point that the slave exceeds a normative Marxian conception of the productive worker</w:t>
      </w:r>
      <w:r w:rsidRPr="00087A72">
        <w:rPr>
          <w:u w:val="single"/>
        </w:rPr>
        <w:t xml:space="preserve">. Adding to the black subject’s exclusion from this category of worker, I would argue that </w:t>
      </w:r>
      <w:r w:rsidRPr="00087A72">
        <w:rPr>
          <w:b/>
          <w:iCs/>
          <w:u w:val="single"/>
        </w:rPr>
        <w:t>Indigenous peoples in settler colonies are similarly constituted outside of a hegemonic labor paradigm</w:t>
      </w:r>
      <w:r w:rsidRPr="00087A72">
        <w:rPr>
          <w:u w:val="single"/>
        </w:rPr>
        <w:t>.</w:t>
      </w:r>
      <w:r w:rsidRPr="00087A72">
        <w:rPr>
          <w:sz w:val="12"/>
        </w:rPr>
        <w:t xml:space="preserve"> To support this, </w:t>
      </w:r>
      <w:r w:rsidRPr="00087A72">
        <w:rPr>
          <w:u w:val="single"/>
        </w:rPr>
        <w:t xml:space="preserve">we can turn to Wilderson’s own example of the Khoisan of South Africa. He argues that when European anthropologists encountered the Khoisan they were deemed “without character” because they did not work.72 This perceived idleness was therefore grounds for their annihilation. As Wilderson recounts, this idleness had been “a) counterposed to work and b) criminalized and designated with the status of sin.”73 While the Khoisan animate the larger incoherence of a global antiblackness, they are also an Indigenous population subject to the eliminatory logics of settler colonialism. In many ways, their experience parallels that of Native Americans, whose lands were dispossessed on the basis of their presumed failure to work; that is, their so-called failure to cultivate land or enclose it. </w:t>
      </w:r>
      <w:r w:rsidRPr="00087A72">
        <w:rPr>
          <w:sz w:val="12"/>
        </w:rPr>
        <w:t xml:space="preserve">This colonial logic was </w:t>
      </w:r>
      <w:r w:rsidRPr="00087A72">
        <w:rPr>
          <w:u w:val="single"/>
        </w:rPr>
        <w:t>derived from John Locke’s Two Treatises of Government, which argued that Indigenous peoples had “no inherent right to property in land and that only appropriation through labor provided the rights of ownership.”74 A colonial construction of work (or absence of) was thus the justification for British settlers to claim prop- erty rights through agricultural labor and enclosed settlement.</w:t>
      </w:r>
      <w:r w:rsidRPr="00087A72">
        <w:rPr>
          <w:sz w:val="12"/>
        </w:rPr>
        <w:t xml:space="preserve"> These points relate to an overall logic of settler colonialism that Wolfe lays out, insofar as “</w:t>
      </w:r>
      <w:r w:rsidRPr="00087A72">
        <w:rPr>
          <w:u w:val="single"/>
        </w:rPr>
        <w:t>settler colonialism seeks to replace the native on their land rather than ex- tract surplus value by mixing their labor with a colony’s natural resources.”75 The racial logic that evacuates the humanity of the Khoisan works in tan- dem with a settler colonial logic driven to replace Indigenous peoples by eliminating them—rather than by exploiting their labor.</w:t>
      </w:r>
      <w:r w:rsidRPr="00087A72">
        <w:rPr>
          <w:sz w:val="12"/>
        </w:rPr>
        <w:t xml:space="preserve"> For Indigenous populations in North America, moreover, there are similarly no demands that the exploited worker can put forward to solve the experience of Indigenous elimination and dispossession. </w:t>
      </w:r>
      <w:r w:rsidRPr="00087A72">
        <w:rPr>
          <w:u w:val="single"/>
        </w:rPr>
        <w:t>The Indigenous body’s metaphoric distance from labor also stands as an irrational outside to settler colonial political economy. This opens up a view of how the internal dialectics of the racial state shape and distort the view of social labor, revealing irrationalities that exceed normative circuits of capitalism.</w:t>
      </w:r>
      <w:r w:rsidRPr="00087A72">
        <w:rPr>
          <w:sz w:val="12"/>
        </w:rPr>
        <w:t xml:space="preserve"> Expanding the scope beyond a black/Indigenous frame, we can explore how other groups have been subject to or have expressed different forms of economic irrationality in the context of settler colonialism. For example, since the nineteenth century, the content of Asian racialization has often turned on an excessive efficiency responsible for the destruction of norma- tive proletariat labor. Here too the Asian laborer’s negative relation to the extraction of surplus value frustrates a presumption of capitalism’s rational- ity. In the nineteenth-century context of Chinese railroad building in North America, the connection between the Chinese and the abstract domination of capitalism evolved through their identification with a mode of efficiency that was aligned with a perverse temporality of domestic and social repro- duction. In many ways, the Chinese became the personification of Marx’s formulation of “abstract labor.” Here abstract labor, which represents a social average of labor time to produce a use-value in order to express its quan- titative value during exchange, is set into opposition with concrete labor, the actual time and place of a specific laboring activity that expresses its qualitative use-value. Through the symbolic alignment of Chinese bodies with perverse forms of accelerated temporality, their human labor was ren- dered disembodied, abstract. White bodies, on the other hand, were sym- bolically associated with concrete labor, which establishes a commodity’s quality. In other words, the Chinese personified the quantitative sphere of abstract labor, which threatened the concrete, qualitative sphere of white labor’s social reproduction. Whiteness, too, has distorted its relation to capitalist modernity at key moments in history by invoking an ideology of romantic anticapitalism. Enduring features of Romanticism, the aesthetic movement that emerged in the nineteenth century, exhibit such a biologized worldview in its human (and often racial and national) identification with the purity of the natural world, portrayed as the valorized antithesis to the negative influences of urbanization and industrialization. From the antimaterialism expressed in Henry David Thoreau’s excursion to Walden Pond in the nineteenth century to Christopher McCandless’s 1992 divestment of all symbols of material wealth—even setting fire to his remaining cash—for a life in the wilderness, we can discern a romantic attachment to a pure and revitalizing construc- tion of nature, in contrast to the alienation attributed to capitalist moder- nity. Nature therefore personifies concrete, perfected human relations against the social degeneration caused by the abstract circuits of capitalism. This is a mode of white settler identification that Shari M. Huhndorf calls “going Native,” which functions to cover over colonial invasion and reimagine a natural affiliation to the land.76 Within this ideology of settler colonial be- longing, who else but the Native, whose alignment with a state of nature is perceived to be wholly removed from the sphere of capitalism, represents the idealized figure of this symbolic pursuit? Who else but the enslaved black subject remains as the reviled antithesis of that anticapitalism, as the originary object of modernity? The purpose of these brief examples is to suggest that an ongoing settler colonial structure of primitive accumulation and ideology of romantic anticapitalism require that we imagine far differ- ent demands than those that emerge from Marx’s beleaguered proletariat. By way of conclusion, I want to question the impetus for an Afro-pessimist or any other attempt to dismantle the validity of settler colonial critique by recourse to the issue of Native sovereignty.77 While </w:t>
      </w:r>
      <w:r w:rsidRPr="00087A72">
        <w:rPr>
          <w:u w:val="single"/>
        </w:rPr>
        <w:t xml:space="preserve">my argument in this essay has been to </w:t>
      </w:r>
      <w:r w:rsidRPr="00087A72">
        <w:rPr>
          <w:b/>
          <w:iCs/>
          <w:u w:val="single"/>
        </w:rPr>
        <w:t>problematize the notion that settler colonial racial capitalism is a zero sum game</w:t>
      </w:r>
      <w:r w:rsidRPr="00087A72">
        <w:rPr>
          <w:u w:val="single"/>
        </w:rPr>
        <w:t xml:space="preserve">, I think it is also important to acknowledge a longer institutional context that has historically sidelined Indigenous cultural politics in order to prioritize systems of oppression that target other gendered and racialized populations. Indeed, Indigenous struggles have often exceeded the dominant conceptual paradigms of U.S. ethnic studies anchored by race, citizenship, war and labor migration, and transnationalism and diaspora, to name only a few. Despite the crucial importance of these frameworks in the institutional history of ethnic studies, they have </w:t>
      </w:r>
      <w:r w:rsidRPr="00087A72">
        <w:rPr>
          <w:b/>
          <w:iCs/>
          <w:u w:val="single"/>
        </w:rPr>
        <w:t>tended to relegate Indigeneity rather than blackness to the “position of the unthought</w:t>
      </w:r>
      <w:r w:rsidRPr="00087A72">
        <w:rPr>
          <w:u w:val="single"/>
        </w:rPr>
        <w:t>.”</w:t>
      </w:r>
      <w:r w:rsidRPr="00087A72">
        <w:rPr>
          <w:sz w:val="12"/>
        </w:rPr>
        <w:t xml:space="preserve"> My hope is that a critical ethnic studies frame will enable a durable Native American critical existence in relation to the totality. Being, not nothingness. </w:t>
      </w:r>
    </w:p>
    <w:p w:rsidR="00D005A2" w:rsidRPr="00087A72" w:rsidRDefault="00D005A2" w:rsidP="00D005A2"/>
    <w:p w:rsidR="002E63E3" w:rsidRPr="00087A72" w:rsidRDefault="002E63E3" w:rsidP="00B27DC9">
      <w:pPr>
        <w:pStyle w:val="Heading3"/>
      </w:pPr>
      <w:r w:rsidRPr="00087A72">
        <w:t>Alt Solves – Capitalism</w:t>
      </w:r>
    </w:p>
    <w:p w:rsidR="002E63E3" w:rsidRPr="00087A72" w:rsidRDefault="002E63E3" w:rsidP="002E63E3">
      <w:pPr>
        <w:pStyle w:val="Heading4"/>
      </w:pPr>
      <w:r w:rsidRPr="00087A72">
        <w:t>The decolonization of anti-cap movements is a necessary prerequisite to fighting the larger structure of capitalism. Anything else remains complicit in a class system that subjugates the indigenous people under a unified proletarian settler class.</w:t>
      </w:r>
    </w:p>
    <w:p w:rsidR="002E63E3" w:rsidRPr="00087A72" w:rsidRDefault="002E63E3" w:rsidP="002E63E3">
      <w:r w:rsidRPr="00087A72">
        <w:rPr>
          <w:b/>
        </w:rPr>
        <w:t>FORTIER 15</w:t>
      </w:r>
      <w:r w:rsidRPr="00087A72">
        <w:t xml:space="preserve"> </w:t>
      </w:r>
      <w:r w:rsidRPr="00087A72">
        <w:rPr>
          <w:sz w:val="16"/>
        </w:rPr>
        <w:t>(CRAIG, “UNSETTLING MOVEMENTS: DECOLONIZING NON-INDIGENOUS RADICAL STRUGGLES IN SETTLER COLONIAL STATES.” Pp 109-117squirms)</w:t>
      </w:r>
    </w:p>
    <w:p w:rsidR="002E63E3" w:rsidRPr="00087A72" w:rsidRDefault="002E63E3" w:rsidP="002E63E3">
      <w:pPr>
        <w:ind w:right="15"/>
        <w:rPr>
          <w:sz w:val="16"/>
        </w:rPr>
      </w:pPr>
      <w:r w:rsidRPr="00087A72">
        <w:rPr>
          <w:sz w:val="16"/>
        </w:rPr>
        <w:t>¡</w:t>
      </w:r>
      <w:r w:rsidRPr="00087A72">
        <w:rPr>
          <w:i/>
          <w:sz w:val="16"/>
        </w:rPr>
        <w:t>Ya basta</w:t>
      </w:r>
      <w:r w:rsidRPr="00087A72">
        <w:rPr>
          <w:sz w:val="16"/>
        </w:rPr>
        <w:t xml:space="preserve">! </w:t>
      </w:r>
      <w:r w:rsidRPr="00087A72">
        <w:rPr>
          <w:rStyle w:val="Emphasis"/>
        </w:rPr>
        <w:t>On January 1st, 1994 th</w:t>
      </w:r>
      <w:r w:rsidRPr="00087A72">
        <w:rPr>
          <w:sz w:val="16"/>
        </w:rPr>
        <w:t xml:space="preserve">e Ejército Zapatista de Liberación Nacional </w:t>
      </w:r>
      <w:r w:rsidRPr="00087A72">
        <w:rPr>
          <w:rStyle w:val="Emphasis"/>
        </w:rPr>
        <w:t>(Zapatista National Liberation Army</w:t>
      </w:r>
      <w:r w:rsidRPr="00087A72">
        <w:rPr>
          <w:sz w:val="16"/>
        </w:rPr>
        <w:t xml:space="preserve"> – EZLN) </w:t>
      </w:r>
      <w:r w:rsidRPr="00087A72">
        <w:rPr>
          <w:rStyle w:val="Emphasis"/>
        </w:rPr>
        <w:t>rose up and in doing so, declared that capitalist modernity had reached its limits</w:t>
      </w:r>
      <w:r w:rsidRPr="00087A72">
        <w:rPr>
          <w:sz w:val="16"/>
        </w:rPr>
        <w:t xml:space="preserve">. Emerging from the mountains of southeastern Mexico on the day that the North American Free Trade Agreement (NAFTA) came into effect, </w:t>
      </w:r>
      <w:r w:rsidRPr="00087A72">
        <w:rPr>
          <w:rStyle w:val="Emphasis"/>
        </w:rPr>
        <w:t>the EZLN characterized their rebellion as “the product of five hundred years of struggle” against Spanish colonialism, North American imperialism and the system of capitalist development</w:t>
      </w:r>
      <w:r w:rsidRPr="00087A72">
        <w:rPr>
          <w:sz w:val="16"/>
        </w:rPr>
        <w:t xml:space="preserve">. NAFTA was the limit, in the words of the Zapatista “a death sentence for the Indians.” While engaging in liberation discourse similar to the nationalist struggles that characterized anti-colonial movements in 1960s and 1970s, the Zapatistas uniquely declared that they had no interest in obtaining political power and that they were more interested in creating a “democratic space, where the confrontation between diverse political points of view can be resolved” (Carrigan 2001:417). Such an arguably radical shift in political goals and rhetoric captured the hearts, minds and imaginations of radicals, activists and academics around the world, particularly among those in the anti- authoritarian current. The Zapatista uprising inspired anti-authoritarians worldwide with some declaring it to be the first “post-modern revolution” (Carrigan 2001). Theorists have pointed to the fluid and consultative decision-making structure of the EZLN (Burbach 2001); the Zapatista’s aim of representing their struggle as a polemic against modernity (McGreal 2006); the downplaying of individual roles and the role of the “heroic” guerilla commanders within the EZLN (Burbach 2001); the creative and sustained use of electronic media and international solidarity as part of its struggle (Gitlin 2001); and the Zapatista goals of commitment to Indigenous self-determination, autonomy and to the democratization of the political process (Carrigan 2001) as examples of the unique nature of the Zapatista rebellion. There was a natural affinity between the way in which the Zapatistas were organizing and the anti-authoritarian current within the emerging “anti- globalization/global justice” movement. Sarita Ahooja, one of the co-founders of the Convergence des Luttes Anti-Capitalistes (CLAC) in Montréal and a solidarity participant in the Zapatista liberation struggle discussed the overlapping principles shared between the CLAC and the EZLN. Sarita recounts: I would say that my first experience [in Canada] of horizontal organizing, mutual aid, and direct democracy in action was with the CLAC. I noticed more and more, my affinities, what I had learned and what I cherished as very valuable to change society and what the Zapatistas taught me, I saw it in the ideas of the anarchists that were organizing. Following the rise of movements against neoliberalism in the Global South, </w:t>
      </w:r>
      <w:r w:rsidRPr="00087A72">
        <w:rPr>
          <w:rStyle w:val="Emphasis"/>
        </w:rPr>
        <w:t xml:space="preserve">the global justice movement exploded onto the U.S. and Canadian horizons in the late 1990s and early 2000s as a vibrant and broad-based anti-capitalist struggle, it was very influenced by the principles and practices put forward by the EZLN. </w:t>
      </w:r>
      <w:r w:rsidRPr="00087A72">
        <w:rPr>
          <w:sz w:val="16"/>
        </w:rPr>
        <w:t xml:space="preserve">However, as these groups began to converge around global economic summits, some key weaknesses of the nascent movement became clear. For instance, it was evident that as exciting as </w:t>
      </w:r>
      <w:r w:rsidRPr="00087A72">
        <w:rPr>
          <w:rStyle w:val="Emphasis"/>
        </w:rPr>
        <w:t>this movement was</w:t>
      </w:r>
      <w:r w:rsidRPr="00087A72">
        <w:rPr>
          <w:sz w:val="16"/>
        </w:rPr>
        <w:t xml:space="preserve">, it was </w:t>
      </w:r>
      <w:r w:rsidRPr="00087A72">
        <w:rPr>
          <w:rStyle w:val="Emphasis"/>
        </w:rPr>
        <w:t>composed mostly of young white radicals and was narrowly focused on global capitalism. In that respect, it failed to take some of the key lessons being offered by the Zapatistas, other Indigenous peoples, and people of colour. While inspired by the Zapatista movement, many global justice activists failed to recognize the centrality of Indigenous land-based struggles, knowledges, and epistemologies in re-imagining revolutionary struggle</w:t>
      </w:r>
      <w:r w:rsidRPr="00087A72">
        <w:rPr>
          <w:sz w:val="16"/>
        </w:rPr>
        <w:t xml:space="preserve">. Clare Bayard, an organizer with the Catalyst Project in San Francisco explains her experience negotiating these contradictions within the global justice movement, noting, You know it was the late-90s, I was organizing around the WTO in Seattle and then coming out of that everything that got stirred to the surface around racism in that movement and what was going on in there being such a disconnect between the movement in the US that identified itself as the global justice movement, both being majority white, but also having no sense of its own history. </w:t>
      </w:r>
      <w:r w:rsidRPr="00087A72">
        <w:rPr>
          <w:rStyle w:val="Emphasis"/>
        </w:rPr>
        <w:t xml:space="preserve">This was a movement that really saw itself as young and new, but it was very disjointed from 500 years of anti-imperialist and anti-colonial struggle </w:t>
      </w:r>
      <w:r w:rsidRPr="00087A72">
        <w:rPr>
          <w:sz w:val="16"/>
        </w:rPr>
        <w:t xml:space="preserve">and that was a big eye-opening experience for me and a lot of my comrades – like “oh shit, we have to figure out what we are doing”. Similarly, Jaggi Singh, who helped organize protests against the Asia Pacific Economic Conference in Vancouver in 1997 and the Summit of the Americas in Québec City in 2001 highlighted the struggles that student organizers faced in connecting their struggles against capitalism to broader anti-colonial and anti-racist struggles. He recounts: This anti-capitalist analysis was clearly emerging out of the Vancouver APEC protests and out of the Seattle protests. </w:t>
      </w:r>
      <w:r w:rsidRPr="00087A72">
        <w:rPr>
          <w:rStyle w:val="Emphasis"/>
        </w:rPr>
        <w:t>But it’s not enough to talk about capitalism you have to also talk about the colonial reality. Colonial reality is not simply some historical eccentricity - it’s actually describing the realities that we live in today.</w:t>
      </w:r>
      <w:r w:rsidRPr="00087A72">
        <w:rPr>
          <w:sz w:val="16"/>
        </w:rPr>
        <w:t xml:space="preserve"> And indeed it was hard to miss the resurgence of land-based resistance by Indigenous peoples taking place in Canada. The standoffs at Kanehsata:ke in 1990, Gustafsen Lake on the west coast and at Ipperwash in Ontario in 1995 were just some of the fierce battles by Indigenous peoples against the settler colonial state and developmentalist capitalism bursting onto people’s television sets. One of the catalyst groups in attempting to bridge the organizing of the global justice movement with Indigenous uprisings was the Ontario Coalition Against Poverty (OCAP). OCAP, a Toronto-based anti-capitalist poor people’s organization came to prominence in the mid-1990s through their struggles against the neoliberal Progressive Conservative government of Mike Harris in Ontario. In their resistance to the Harris regime, OCAP began to develop strong relationships of solidarity with numerous anti- racist, Indigenous, and poor people’s groups opposed to the neoliberal policies of the Harris government. This included solidarity with the family of Dudley George, an Anishinaabe man killed by the Ontario Provincial Police during the Ipperwash occupation. OCAP integrated an anti-colonial analysis into their anti-capitalist politics and expanded their relationships with Indigenous land defenders to Six Nations and Tyendinaga as well as with urban Indigenous peoples in Toronto. Shawn Brant, a Kanienkehaka (Mohawk) organizer with OCAP was a major actor in pushing for this politics. Brant helped to bridge relationships between OCAP and Mohawk warriors in his home territory of Tyendinaga as well as with other Haudenosaunee communities such as those in Six Nations, Kanehsata:ke, Kahnawà:ke, and Akwesasne. As the global justice movement began gearing up for the Free Trade Area of the Americas Summit to be held in Quebec City in April 2001, enough of a relationship had been built between organizers in Toronto, Montréal, and New York City with Haudenosaunee radicals that some form of joint action was discussed in order to assert the sovereignty of Haudenosaunee communities from the Canadian and U.S. settler states. As anarchist scholar David Graeber (2009) recounts in </w:t>
      </w:r>
      <w:r w:rsidRPr="00087A72">
        <w:rPr>
          <w:i/>
          <w:sz w:val="16"/>
        </w:rPr>
        <w:t>Direct Action: An Ethnography</w:t>
      </w:r>
      <w:r w:rsidRPr="00087A72">
        <w:rPr>
          <w:sz w:val="16"/>
        </w:rPr>
        <w:t xml:space="preserve">, representatives of the New York City Direct Action Network (DAN), New York City Ya Basta!, the Independent Media Centre-New York City, Philly Direct Action Working Group and the People’s Law Collective met in Cornwall, Ontario months prior to the Summit of the Americas with members of the Tyendinaga Mohawks, the Ontario Coalition Against Poverty, the Guelph Direct Action Group, and the People’s Community Union (PCU) in Kingston to plan an action in which Mohawks at Akwesasne would open the border to activists from the United States wishing to pass into Canada as an assertion of their sovereignty. Graeber refers to a public email sent across anti-globalization listservs as evidence of the negotiations of solidarity between global justice and Indigenous sovereignty. A passage from that email reads, “The Mohawks intend this ‘Day of Rage’ as an assertion of sovereignty, since the bridge crossing the border is on Mohawk Land. Currently Mohawks allow use of the crossing 364 days a year, and open it once a year to assert sovereignty” (21). </w:t>
      </w:r>
      <w:r w:rsidRPr="00087A72">
        <w:rPr>
          <w:rStyle w:val="Emphasis"/>
        </w:rPr>
        <w:t>This plan reflected one of the first major attempts to insert an anti- colonial or decolonizing politics within the global justice movement.</w:t>
      </w:r>
      <w:r w:rsidRPr="00087A72">
        <w:rPr>
          <w:sz w:val="16"/>
        </w:rPr>
        <w:t xml:space="preserve"> </w:t>
      </w:r>
      <w:r w:rsidRPr="00087A72">
        <w:rPr>
          <w:rStyle w:val="Emphasis"/>
        </w:rPr>
        <w:t>While relatively symbolic, the action had the potential to establish important relationships between Indigenous resistance and the insurgent global justice movement</w:t>
      </w:r>
      <w:r w:rsidRPr="00087A72">
        <w:rPr>
          <w:sz w:val="16"/>
        </w:rPr>
        <w:t xml:space="preserve">. However, as some of the participants in my research interviews attested, a number of assumptions and mistakes on the part of the non-Indigenous organizers created a situation of hostility and conflict at Akwesasne. Maia Ramnath, a participant in the caravan from New York City to Akwesasne recalls: I think that there's a lot of ongoing attempts [to build relationships with Indigenous peoples in struggle], I wouldn't necessarily call them failures, but I would say it hasn't totally been successful either. The examples that I can think of, one goes all the way back to the FTAA protests in Quebec City. Tons of people went up from New York City, a big chunk of them decided to go up through the Mohawk reservation and that became complicated. The relationships built were complicated and I think that there were some good connections made and also some missteps made [as well]. The missteps referred to by Ramnath included a lack of awareness of the relationships being cultivated between the Haudenosaunee community at Akwesasne and the non- Indigenous radicals travelling to the Summit of the Americas. Many protesters feared being denied crossing the border by immigration enforcement and saw the route through Akwesasne as being an easy way to get to the summit. They did not understand the important and sensitive nature of the political relationships that were being cultivated. Additionally, not enough work had been done to gain the trust of the Mohawk community and the border crossing became a divisive issue for many of the residents of Akwesasne. The activists did not account for the multiple political perspectives within the community itself as Jody Dodd, an organizer in Philadelphia and one of the planned speakers at the border crossing recalled: The relationships that people said existed for us to be welcomed there were not there. And so when people showed up there was this really small group of people who were trying to be welcoming, but we weren't welcome there - we just weren't. So it was a little confusing because we were told one thing, but we weren't really welcome ... Despite the fact that we kind of descended on them (talk about the need for decolonization) I actually remember saying thank you to the Elders and thank you for letting us be here. While the confusion and conflict that took place at Akwesasne led to a number of activists from New York and Philadelphia retreating somewhat from fostering relationships with Indigenous communities, organizers in Québec and Ontario sought to engage more deeply. Emerging out of the Coalition des Lutte Anti-Capitalistes, the main anti- authoritarian coalition organizing for the Summit of the Americas protests, No One Is Illegal-Montréal and the Indigenous Peoples Solidarity Movement committed to strengthening their understanding of Indigenous struggles and the prospects for developing relationships of solidarity. Samir Shaheen-Hussain, a member of both NOII- Montréal and IPSM discussed organizing a conference in Montréal in 2002, a year after the Summit of the Americas, titled “Our Home on Native Land” where activists discussed the links between migration and colonization in a more nuanced way. Samir explains: Migrant communities who were fighting deportations were speaking on the same panel as people coming from communities like Tyendinaga who were self-determining and pushing to fight off government and corporate interventions in various ways. Making those links, I felt, was extremely powerful - but that too came with its own contradictions and tensions. </w:t>
      </w:r>
      <w:r w:rsidRPr="00087A72">
        <w:rPr>
          <w:rStyle w:val="Emphasis"/>
        </w:rPr>
        <w:t>Other anti-authoritarian groups</w:t>
      </w:r>
      <w:r w:rsidRPr="00087A72">
        <w:rPr>
          <w:sz w:val="16"/>
        </w:rPr>
        <w:t xml:space="preserve"> across Turtle Island </w:t>
      </w:r>
      <w:r w:rsidRPr="00087A72">
        <w:rPr>
          <w:rStyle w:val="Emphasis"/>
        </w:rPr>
        <w:t>sought to organize solidarity with Indigenous sovereignty movements more consciously while being more open about the affinities and contradictions in trying to negotiate these relationships</w:t>
      </w:r>
      <w:r w:rsidRPr="00087A72">
        <w:rPr>
          <w:sz w:val="16"/>
        </w:rPr>
        <w:t xml:space="preserve">, including in Vancouver (Coast Salish Territories), Minneapolis (Dakota territories), and Black Mesa (Dine’ and Hopi Territories). </w:t>
      </w:r>
      <w:r w:rsidRPr="00087A72">
        <w:rPr>
          <w:rStyle w:val="Emphasis"/>
        </w:rPr>
        <w:t>These relationships produced a number of important contributions to radical movements</w:t>
      </w:r>
      <w:r w:rsidRPr="00087A72">
        <w:rPr>
          <w:sz w:val="16"/>
        </w:rPr>
        <w:t xml:space="preserve"> including the highly distributed </w:t>
      </w:r>
      <w:r w:rsidRPr="00087A72">
        <w:rPr>
          <w:i/>
          <w:sz w:val="16"/>
        </w:rPr>
        <w:t xml:space="preserve">Unsettling Ourselves: Reflections and Resources for Deconstructing Colonial Mentality </w:t>
      </w:r>
      <w:r w:rsidRPr="00087A72">
        <w:rPr>
          <w:sz w:val="16"/>
        </w:rPr>
        <w:t xml:space="preserve">organized by Unsettling Minnesota, a collective of non-Dakota people working in solidarity towards decolonization on Dakota homelands. By 2008 there existed a strong enough network of non-Indigenous groups engaged in building relationships of solidarity with Indigenous sovereignty and resurgence movements that representatives from some of these collectives were invited to the inaugural Defenders of the Land gathering in Winnipeg where they met with each other and Indigenous land defenders and shared stories of their successes and failures in building relationships of solidarity. This was also an opportunity to strengthen connections between Indigenous and non-Indigenous struggles in resistance to two major international events in 2010: the Vancouver Olympics and the meeting of the G20 in Toronto. What was different about the Vancouver Olympics in particular was the effort to centralize Indigenous sovereignty struggles and to take leadership from land defenders in the preliminary stages of organizing the protests. As Isaac Oommen, an independent media activist from Vancouver (Coast Salish Territories) explains, “The motto of the anti-Olympics protests was ‘No Olympics on Stolen Native Land’ and that was really confrontational in the sense that it wasn’t just acknowledging the native land but also the fact that it was stolen.” Similarly, activists organizing the G20 protests made room for a specific day of action that would highlight Indigenous sovereignty struggles and their relationship to the policies of the G20. These actions were not without valid critique. Most importantly a number of Indigenous activists criticized the lumping of the Indigenous day of action within the mosaic of anti- oppression struggles as flattening the differences between Indigenous sovereignty and other political projects without asserting the foundational nature of decolonization to liberation on Turtle Island (Lewis 2012). </w:t>
      </w:r>
      <w:r w:rsidRPr="00087A72">
        <w:rPr>
          <w:rStyle w:val="Emphasis"/>
        </w:rPr>
        <w:t>Most recently the convergence of anti-capitalist, environmentalist, anti-racist and Indigenous sovereignty movements against the proliferation of pipelines that would transport oil and crude from the Alberta tar sands to the Atlantic and Pacific coasts and through the United States is a renewed opportunity to centralize decolonization within this resistance</w:t>
      </w:r>
      <w:r w:rsidRPr="00087A72">
        <w:rPr>
          <w:sz w:val="16"/>
        </w:rPr>
        <w:t xml:space="preserve">. Through the struggles against the Keystone XL, Enbridge Line 9, Northern Gateway pipelines, the continued exploitation of the tar sands, and the proliferation of fracking on Indigenous territories, environmentalist and anti-capitalist groups have started to understand that Indigenous resistance to these projects is the best hope for victory. While these struggles remain primarily reactive in their nature, they have formed the beginning of relationships between Indigenous and non-Indigenous activists that have spurred greater discussions on what a decolonial future would look like. This has required a significant shift in how relationships have been constructed between activists and Indigenous communities in the past. </w:t>
      </w:r>
    </w:p>
    <w:p w:rsidR="002E63E3" w:rsidRPr="00087A72" w:rsidRDefault="002E63E3" w:rsidP="002E63E3">
      <w:pPr>
        <w:ind w:right="15"/>
        <w:rPr>
          <w:sz w:val="16"/>
        </w:rPr>
      </w:pPr>
    </w:p>
    <w:p w:rsidR="002E63E3" w:rsidRPr="00087A72" w:rsidRDefault="002E63E3" w:rsidP="002E63E3">
      <w:pPr>
        <w:pStyle w:val="Heading4"/>
      </w:pPr>
      <w:r w:rsidRPr="00087A72">
        <w:t>The settler society maintains a social structure surrounding racial divisions as opposed to class relations. Poorest of the white settlers identify with their bourgeois oppressors instead of their indigenous comrades. Any movement that doesn’t break down the settler society, will make a fractured class and colonial violence inevitable.</w:t>
      </w:r>
    </w:p>
    <w:p w:rsidR="002E63E3" w:rsidRPr="00087A72" w:rsidRDefault="002E63E3" w:rsidP="002E63E3">
      <w:r w:rsidRPr="00087A72">
        <w:rPr>
          <w:b/>
        </w:rPr>
        <w:t>FORTIER 15</w:t>
      </w:r>
      <w:r w:rsidRPr="00087A72">
        <w:t xml:space="preserve"> </w:t>
      </w:r>
      <w:r w:rsidRPr="00087A72">
        <w:rPr>
          <w:sz w:val="16"/>
        </w:rPr>
        <w:t>(CRAIG, “UNSETTLING MOVEMENTS: DECOLONIZING NON-INDIGENOUS RADICAL STRUGGLES IN SETTLER COLONIAL STATES.” Pp 80-86 squirms)</w:t>
      </w:r>
    </w:p>
    <w:p w:rsidR="002E63E3" w:rsidRPr="00087A72" w:rsidRDefault="002E63E3" w:rsidP="002E63E3">
      <w:pPr>
        <w:rPr>
          <w:sz w:val="16"/>
        </w:rPr>
      </w:pPr>
      <w:r w:rsidRPr="00087A72">
        <w:rPr>
          <w:sz w:val="16"/>
        </w:rPr>
        <w:t xml:space="preserve">Early European settlements on Indigenous territories in North America, such as those in Jamestown, Virginia or on the banks of the St. Lawrence River suffered from repeated desertions of settlers to Indigenous nations. In Jamestown, for instance, one in every seven settlers deserted the colony during the winter of 1609-1610 (Linebaugh and Rediker 2000). Some early colonists related to Indigenous nations and systems of governance and saw in those practices characteristics related to their own ancestors like the Picts, Celts, and Britons who resisted the Roman and later English civilizing missions (Linebaugh and Rediker 2000). The ruling colonial elites, understanding the threat such desertions posed, were quick to implement tools to maintain power including the </w:t>
      </w:r>
      <w:r w:rsidRPr="00087A72">
        <w:rPr>
          <w:i/>
          <w:sz w:val="16"/>
        </w:rPr>
        <w:t xml:space="preserve">Laws Divine, Moral, and Martial </w:t>
      </w:r>
      <w:r w:rsidRPr="00087A72">
        <w:rPr>
          <w:sz w:val="16"/>
        </w:rPr>
        <w:t>(1609)</w:t>
      </w:r>
      <w:r w:rsidRPr="00087A72">
        <w:rPr>
          <w:i/>
          <w:sz w:val="16"/>
        </w:rPr>
        <w:t xml:space="preserve">. </w:t>
      </w:r>
      <w:r w:rsidRPr="00087A72">
        <w:rPr>
          <w:sz w:val="16"/>
        </w:rPr>
        <w:t>Sanctioned by the Virginia Company, these laws condemned to death those who deserted the colony to live with neighbouring Indigenous nations. Such regulations, Christianization, and the “escape valve” of western expansionism to prevent uprisings by poor Europeans formed the backbone of the doctrine of white supremacy in North America</w:t>
      </w:r>
      <w:r w:rsidRPr="00087A72">
        <w:rPr>
          <w:rStyle w:val="Emphasis"/>
        </w:rPr>
        <w:t xml:space="preserve">. The doctrine of white supremacy became an important weapon to destroy potential solidarity between European settlers and both Indigenous peoples and enslaved Africans. This doctrine of white supremacy was vast and multifaceted and was re-enforced after each major uprising where solidarity between poor white settlers, Indigenous peoples, and enslaved Africans took place </w:t>
      </w:r>
      <w:r w:rsidRPr="00087A72">
        <w:rPr>
          <w:rStyle w:val="Emphasis"/>
          <w:b w:val="0"/>
          <w:sz w:val="16"/>
          <w:u w:val="none"/>
        </w:rPr>
        <w:t>(Linebaugh and Rediker 2000; Kelley 2002).</w:t>
      </w:r>
      <w:r w:rsidRPr="00087A72">
        <w:rPr>
          <w:b/>
          <w:sz w:val="16"/>
        </w:rPr>
        <w:t xml:space="preserve"> </w:t>
      </w:r>
      <w:r w:rsidRPr="00087A72">
        <w:rPr>
          <w:sz w:val="16"/>
        </w:rPr>
        <w:t xml:space="preserve">It is important to underscore that </w:t>
      </w:r>
      <w:r w:rsidRPr="00087A72">
        <w:rPr>
          <w:rStyle w:val="Emphasis"/>
        </w:rPr>
        <w:t xml:space="preserve">the doctrine of white supremacy </w:t>
      </w:r>
      <w:r w:rsidRPr="00087A72">
        <w:rPr>
          <w:rStyle w:val="Emphasis"/>
          <w:b w:val="0"/>
          <w:sz w:val="16"/>
          <w:u w:val="none"/>
        </w:rPr>
        <w:t>was not simply a psychological affiliation with racist ideology, but</w:t>
      </w:r>
      <w:r w:rsidRPr="00087A72">
        <w:rPr>
          <w:rStyle w:val="Emphasis"/>
        </w:rPr>
        <w:t xml:space="preserve"> was produced materially through the transfer of land from Indigenous peoples to white settlers and the re-configuration of the settler economy to ensure that white settlers would be differentiated from enslaved Africans and Indigenous peoples within the workforce.</w:t>
      </w:r>
      <w:r w:rsidRPr="00087A72">
        <w:rPr>
          <w:sz w:val="16"/>
        </w:rPr>
        <w:t xml:space="preserve"> Dunbar-Ortiz (2014) traces this divisive practice back to the ideology of “pure” Christian bloodlines that legitimized the Crusades. She notes, “</w:t>
      </w:r>
      <w:r w:rsidRPr="00087A72">
        <w:rPr>
          <w:rStyle w:val="Emphasis"/>
        </w:rPr>
        <w:t>The ideology of white supremacy was paramount in neutralizing the class antagonisms of the landless against the landed and distributing confiscated land and properties of the Moors and Jews in Iberia, of the Irish in Ulster, and of Native American and African peoples”</w:t>
      </w:r>
      <w:r w:rsidRPr="00087A72">
        <w:rPr>
          <w:sz w:val="16"/>
        </w:rPr>
        <w:t xml:space="preserve"> (37). What Dunbar-Ortiz points to is </w:t>
      </w:r>
      <w:r w:rsidRPr="00087A72">
        <w:rPr>
          <w:rStyle w:val="Emphasis"/>
        </w:rPr>
        <w:t>that white supremacy in North America fulfills the needs of the colonial elite to secure racial unity in the face of class solidarities between poor whites, African slaves, and Indigenous peoples</w:t>
      </w:r>
      <w:r w:rsidRPr="00087A72">
        <w:rPr>
          <w:sz w:val="16"/>
        </w:rPr>
        <w:t xml:space="preserve">. Joel Olson explains that </w:t>
      </w:r>
      <w:r w:rsidRPr="00087A72">
        <w:rPr>
          <w:rStyle w:val="Emphasis"/>
        </w:rPr>
        <w:t>the concept of race</w:t>
      </w:r>
      <w:r w:rsidRPr="00087A72">
        <w:rPr>
          <w:sz w:val="16"/>
        </w:rPr>
        <w:t xml:space="preserve"> in North America, therefore</w:t>
      </w:r>
      <w:r w:rsidRPr="00087A72">
        <w:rPr>
          <w:rStyle w:val="Emphasis"/>
        </w:rPr>
        <w:t>, grew out of a combination of imperialism, settler colonialism and chattel slavery</w:t>
      </w:r>
      <w:r w:rsidRPr="00087A72">
        <w:rPr>
          <w:sz w:val="16"/>
        </w:rPr>
        <w:t xml:space="preserve">. Drawing on the work of Hannah Arendt, Olson (2004) argues, “European racism has served as a bridge connecting nationalism and imperialism, two ideologies that are otherwise internally contradictory” (7). In Europe, imperial expansion is justified by the promise of granting the domestic poor spoils won through imperialist enterprises and the assurances of racial superiority over those who are colonized. However, </w:t>
      </w:r>
      <w:r w:rsidRPr="00087A72">
        <w:rPr>
          <w:rStyle w:val="Emphasis"/>
        </w:rPr>
        <w:t xml:space="preserve">in settler colonial states like Canada and the United States the racial contract between the white ruling elite and the white working class is predicated upon sharing the spoils of not only imperial conquest but also settler colonial rule. The spoils of settler colonial rule are drawn from the institution of chattel slavery </w:t>
      </w:r>
      <w:r w:rsidRPr="00087A72">
        <w:rPr>
          <w:rStyle w:val="Emphasis"/>
          <w:b w:val="0"/>
          <w:sz w:val="16"/>
          <w:u w:val="none"/>
        </w:rPr>
        <w:t xml:space="preserve">(Olson 2004), </w:t>
      </w:r>
      <w:r w:rsidRPr="00087A72">
        <w:rPr>
          <w:rStyle w:val="Emphasis"/>
        </w:rPr>
        <w:t xml:space="preserve">the exploitation of the labour of migrants of colour through restrictive immigration laws </w:t>
      </w:r>
      <w:r w:rsidRPr="00087A72">
        <w:rPr>
          <w:rStyle w:val="Emphasis"/>
          <w:b w:val="0"/>
          <w:sz w:val="16"/>
          <w:u w:val="none"/>
        </w:rPr>
        <w:t>(Sharma 2006),</w:t>
      </w:r>
      <w:r w:rsidRPr="00087A72">
        <w:rPr>
          <w:rStyle w:val="Emphasis"/>
        </w:rPr>
        <w:t xml:space="preserve"> and the appropriation of Indigenous territories through the institutionalization of genocide and internal displacement </w:t>
      </w:r>
      <w:r w:rsidRPr="00087A72">
        <w:rPr>
          <w:rStyle w:val="Emphasis"/>
          <w:b w:val="0"/>
          <w:sz w:val="16"/>
          <w:u w:val="none"/>
        </w:rPr>
        <w:t>(Wolfe 2006).</w:t>
      </w:r>
      <w:r w:rsidRPr="00087A72">
        <w:rPr>
          <w:rStyle w:val="Emphasis"/>
        </w:rPr>
        <w:t xml:space="preserve"> </w:t>
      </w:r>
      <w:r w:rsidRPr="00087A72">
        <w:rPr>
          <w:sz w:val="16"/>
        </w:rPr>
        <w:t xml:space="preserve">Beyond martial law and punishments of white European settlers for treason, the British Crown used treaty making as a tool to limit poor whites from negotiating relationships with Indigenous nations. By declaring itself the only entity allowed to purchase land from Indigenous peoples, the Crown became the broker between those nations and settler colonists on questions of land. Since the Crown could now be seen as the only entity through which settlers could attain land (even if they were often excluded from land ownership by speculators), their survival (and desire for upward class mobility) was tied to the ability to be granted land from the British authorities in exchange for their labour within the emerging capitalist system (Keefer 2013). Imposing clear demarcations based on race and favorable treatment towards European settlers, the British Crown (and later the settler states of Canada and the United States) were able to advance the ideology and practice of white supremacy to consolidate power. As Federici (2004) notes, “white”, in the colonies, “became not just a badge of social and economic privilege...but a moral attribute, a means by which social hegemony was naturalized” (107). </w:t>
      </w:r>
      <w:r w:rsidRPr="00087A72">
        <w:rPr>
          <w:rStyle w:val="Emphasis"/>
          <w:b w:val="0"/>
          <w:sz w:val="16"/>
          <w:u w:val="none"/>
        </w:rPr>
        <w:t>This “white” privilege helped the elite to consolidate their control over the land base, transform property relations, and expropriate territories from Indigenous peoples</w:t>
      </w:r>
      <w:r w:rsidRPr="00087A72">
        <w:rPr>
          <w:rStyle w:val="Emphasis"/>
        </w:rPr>
        <w:t>. The foundation of white supremacy allowed for the monopoly of the means of production and the means of subsistence in the hands of white settler society. Through this historical lens, we can understand settler colonialism to be a white supremacist project and a genocidal policy that is premised on the elimination of Indigenous peoples in order to expropriate land and resources and to assert the white settler as the logical inheritor of these territories and resources. This logic, while challenged periodically by white settlers in resistance to their exploitative class conditions, came to dominate left political struggle from the seventeenth century into the twentieth century and continues to have a pervasive presence today</w:t>
      </w:r>
      <w:r w:rsidRPr="00087A72">
        <w:rPr>
          <w:sz w:val="16"/>
        </w:rPr>
        <w:t xml:space="preserve"> (Olson 2004; Wolfe 2006; Smith 2006; Amadahy and Lawrence 2009). Andrea Smith (2006) adds that the logic of white supremacy and the pillars of genocide, orientalism, and slavery that undergird it, can also have destabilizing impacts in trying to achieve solidarity between people of colour and Indigenous peoples, noting, </w:t>
      </w:r>
      <w:r w:rsidRPr="00087A72">
        <w:rPr>
          <w:rStyle w:val="Emphasis"/>
        </w:rPr>
        <w:t>“Our survival strategies and resistance to white supremacy are set by the system of white supremacy itself. What keeps us trapped within our particular pillars of white supremacy is that we are seduced with the prospect of being able to participate in the other pillars</w:t>
      </w:r>
      <w:r w:rsidRPr="00087A72">
        <w:rPr>
          <w:sz w:val="16"/>
        </w:rPr>
        <w:t xml:space="preserve">” (69). For Smith, these logics ensure that attempts to construct decolonizing relationships of solidarity amongst groups differently positioned within heteropatriarchy and white supremacy are difficult and often unsustainable. By the end of the nineteenth century consolidation of the U.S. and Canadian settler states through genocidal wars resulted in a shift of focus in official state policy towards a practice of assimilation that would continue the settler colonial strategy of extermination (Wolfe 2006). At the same time, North America began rapidly industrializing. Multiple </w:t>
      </w:r>
      <w:r w:rsidRPr="00087A72">
        <w:rPr>
          <w:rStyle w:val="Emphasis"/>
        </w:rPr>
        <w:t>waves of (mostly) European migrants</w:t>
      </w:r>
      <w:r w:rsidRPr="00087A72">
        <w:rPr>
          <w:sz w:val="16"/>
        </w:rPr>
        <w:t xml:space="preserve"> began shifting the demographics of the continent considerably. This </w:t>
      </w:r>
      <w:r w:rsidRPr="00087A72">
        <w:rPr>
          <w:rStyle w:val="Emphasis"/>
        </w:rPr>
        <w:t>had three tangible effects: the first was to increase the rate of proletarianization in North America amongst Euro-American settlers; the second to increase the rate of land dispossession of Indigenous peoples; and the third to restructure the labour force in a way that excluded, harassed, hyper-exploited and terrorized Black, Chinese, Japanese, Mexican, Indigenous and other non-white workers in such a brutal way that these populations were either driven out of the workforce altogether or formed a large body of the working underclass</w:t>
      </w:r>
      <w:r w:rsidRPr="00087A72">
        <w:rPr>
          <w:sz w:val="16"/>
        </w:rPr>
        <w:t xml:space="preserve"> (Sakai 1989). In both Canada and the United States </w:t>
      </w:r>
      <w:r w:rsidRPr="00087A72">
        <w:rPr>
          <w:rStyle w:val="Emphasis"/>
        </w:rPr>
        <w:t>white workers</w:t>
      </w:r>
      <w:r w:rsidRPr="00087A72">
        <w:rPr>
          <w:sz w:val="16"/>
        </w:rPr>
        <w:t xml:space="preserve"> organized and </w:t>
      </w:r>
      <w:r w:rsidRPr="00087A72">
        <w:rPr>
          <w:rStyle w:val="Emphasis"/>
        </w:rPr>
        <w:t>engaged in massive strike actions</w:t>
      </w:r>
      <w:r w:rsidRPr="00087A72">
        <w:rPr>
          <w:sz w:val="16"/>
        </w:rPr>
        <w:t xml:space="preserve"> against the ruling classes, but often </w:t>
      </w:r>
      <w:r w:rsidRPr="00087A72">
        <w:rPr>
          <w:rStyle w:val="Emphasis"/>
        </w:rPr>
        <w:t>with demands for access to Indigenous lands or for better work conditions at the expense of Black workers and other non-whites</w:t>
      </w:r>
      <w:r w:rsidRPr="00087A72">
        <w:rPr>
          <w:sz w:val="16"/>
        </w:rPr>
        <w:t xml:space="preserve">. J. Sakai’s </w:t>
      </w:r>
      <w:r w:rsidRPr="00087A72">
        <w:rPr>
          <w:i/>
          <w:sz w:val="16"/>
        </w:rPr>
        <w:t xml:space="preserve">Settlers: the Mythology of the White Proletariat </w:t>
      </w:r>
      <w:r w:rsidRPr="00087A72">
        <w:rPr>
          <w:sz w:val="16"/>
        </w:rPr>
        <w:t xml:space="preserve">offers an important critique of left historical revisionism that seeks to find evidence of sustained solidarity between white and Black workers. Sakai (1989) makes the important observations that since </w:t>
      </w:r>
      <w:r w:rsidRPr="00087A72">
        <w:rPr>
          <w:rStyle w:val="Emphasis"/>
        </w:rPr>
        <w:t>white settlers “clung to and hungered after the petty privileges derived from the loot of empire, they as a stratum became rabid and reactionary supporters of conquest and the annexation of oppressed nations</w:t>
      </w:r>
      <w:r w:rsidRPr="00087A72">
        <w:rPr>
          <w:sz w:val="16"/>
        </w:rPr>
        <w:t>” (25). Southern and Eastern European workers, who were discriminated against upon arrival in North America, began to be integrated in the workforce as labour movements asserted “whiteonly” policies and completely divested from any sustained solidarity with Indigenous struggles for sovereignty and Black struggles for liberation. Joel Olson (2004) drawing from the work of W.E.B. Du Bois asserts, “White workers...repress the Black community because they see it in their (short-term) interests to do so. The tragedy is that in exchange for such wages poor whites maintain a system that exploits them, too” (14</w:t>
      </w:r>
      <w:r w:rsidRPr="00087A72">
        <w:rPr>
          <w:rStyle w:val="Emphasis"/>
        </w:rPr>
        <w:t>). Even some of the most militant unions like the Industrial Workers of the World (IWW), who saw themselves as anti-authoritarian internationalists focused their energies on campaigns around the eight-hour workday and largely avoided direct opposition to colonialism or imperialist wars like World War I</w:t>
      </w:r>
      <w:r w:rsidRPr="00087A72">
        <w:rPr>
          <w:sz w:val="16"/>
        </w:rPr>
        <w:t xml:space="preserve"> (Sakai 1989</w:t>
      </w:r>
      <w:r w:rsidRPr="00087A72">
        <w:rPr>
          <w:rStyle w:val="Emphasis"/>
        </w:rPr>
        <w:t>). The origins of white settler colonial domination lie in a cross-class alliance between poor and working whites and the white colonial elite.</w:t>
      </w:r>
      <w:r w:rsidRPr="00087A72">
        <w:rPr>
          <w:sz w:val="16"/>
        </w:rPr>
        <w:t xml:space="preserve"> As Olson (2004) explains, “</w:t>
      </w:r>
      <w:r w:rsidRPr="00087A72">
        <w:rPr>
          <w:rStyle w:val="Emphasis"/>
        </w:rPr>
        <w:t>Class consciousness is blunted within the dominant race because social prestige and civil and political rights are granted to all members regardless of wealth, giving poor whites the right to identify with the upper class</w:t>
      </w:r>
      <w:r w:rsidRPr="00087A72">
        <w:rPr>
          <w:sz w:val="16"/>
        </w:rPr>
        <w:t xml:space="preserve">” (17). Similarly, </w:t>
      </w:r>
      <w:r w:rsidRPr="00087A72">
        <w:rPr>
          <w:rStyle w:val="Emphasis"/>
        </w:rPr>
        <w:t>another great contradiction preventing</w:t>
      </w:r>
      <w:r w:rsidRPr="00087A72">
        <w:rPr>
          <w:sz w:val="16"/>
        </w:rPr>
        <w:t xml:space="preserve"> white settler </w:t>
      </w:r>
      <w:r w:rsidRPr="00087A72">
        <w:rPr>
          <w:rStyle w:val="Emphasis"/>
        </w:rPr>
        <w:t>solidarity</w:t>
      </w:r>
      <w:r w:rsidRPr="00087A72">
        <w:rPr>
          <w:sz w:val="16"/>
        </w:rPr>
        <w:t xml:space="preserve"> from forming with the struggles of Indigenous peoples, Black people, Xicanas/Xicanos, and other non-white people </w:t>
      </w:r>
      <w:r w:rsidRPr="00087A72">
        <w:rPr>
          <w:rStyle w:val="Emphasis"/>
        </w:rPr>
        <w:t>is the parasitic nature of settler colonialism</w:t>
      </w:r>
      <w:r w:rsidRPr="00087A72">
        <w:rPr>
          <w:sz w:val="16"/>
        </w:rPr>
        <w:t xml:space="preserve">. Since </w:t>
      </w:r>
      <w:r w:rsidRPr="00087A72">
        <w:rPr>
          <w:rStyle w:val="Emphasis"/>
        </w:rPr>
        <w:t>even the lowest rungs of the white settler society share in the benefits of land and resource theft in Canada and the United States and global capitalist exploitation through imperialism abroad,</w:t>
      </w:r>
      <w:r w:rsidRPr="00087A72">
        <w:rPr>
          <w:sz w:val="16"/>
        </w:rPr>
        <w:t xml:space="preserve"> there are only a few historical examples of sustained movements of solidarity to dismantle settler states, challenge white supremacy, and resist imperialism (see Zinn 1995; Linebaugh and Rediker 2000; Kelley 2002). Since this chapter’s main focus is to trace the trajectory of some strands of solidarity between the white working class, Indigenous peoples, people of colour, and Black liberation struggles it is important to acknowledge that such alliances represent an exception rather than an historical norm. However, even some of these famous </w:t>
      </w:r>
      <w:r w:rsidRPr="00087A72">
        <w:rPr>
          <w:rStyle w:val="Emphasis"/>
        </w:rPr>
        <w:t>historical example</w:t>
      </w:r>
      <w:r w:rsidRPr="00087A72">
        <w:rPr>
          <w:sz w:val="16"/>
        </w:rPr>
        <w:t xml:space="preserve">s given by radical historians like Howard Zinn (1995) </w:t>
      </w:r>
      <w:r w:rsidRPr="00087A72">
        <w:rPr>
          <w:rStyle w:val="Emphasis"/>
        </w:rPr>
        <w:t>to show evidence of sustained racial solidarity, such as Bacon’s Rebellion, break down under further scrutiny. In the case of Bacon’s Rebellion</w:t>
      </w:r>
      <w:r w:rsidRPr="00087A72">
        <w:rPr>
          <w:sz w:val="16"/>
        </w:rPr>
        <w:t xml:space="preserve"> of 1776, now widely understood as a cross-racial alliance of poor Europeans and Africans</w:t>
      </w:r>
      <w:r w:rsidRPr="00087A72">
        <w:rPr>
          <w:rStyle w:val="Emphasis"/>
        </w:rPr>
        <w:t>, the purpose of the rebellion was to attack, kill and displace Indigenous peoples – not the colonial elite – this was an incidental outcome of an otherwise overt land grab. Although Bacon’s Rebellion did have the resulting effect of causing the Virginia leadership to flee temporarily, this alliance’s main goal (as well as many others between poor Europeans and Africans) was the appropriation of Indigenous lands.</w:t>
      </w:r>
      <w:r w:rsidRPr="00087A72">
        <w:rPr>
          <w:sz w:val="16"/>
        </w:rPr>
        <w:t xml:space="preserve"> An in-depth analysis of what prevented the white working class from participating in a cross-racial class struggle for liberation are beyond the scope of this study, but are taken up rigorously in Joel Olson’s </w:t>
      </w:r>
      <w:r w:rsidRPr="00087A72">
        <w:rPr>
          <w:i/>
          <w:sz w:val="16"/>
        </w:rPr>
        <w:t>The Abolition of White Democracy</w:t>
      </w:r>
      <w:r w:rsidRPr="00087A72">
        <w:rPr>
          <w:sz w:val="16"/>
        </w:rPr>
        <w:t xml:space="preserve">, J. Sakai’s </w:t>
      </w:r>
      <w:r w:rsidRPr="00087A72">
        <w:rPr>
          <w:i/>
          <w:sz w:val="16"/>
        </w:rPr>
        <w:t xml:space="preserve">Settlers: The Myth of the White Proletariat </w:t>
      </w:r>
      <w:r w:rsidRPr="00087A72">
        <w:rPr>
          <w:sz w:val="16"/>
        </w:rPr>
        <w:t xml:space="preserve">and Paulette Regan’s </w:t>
      </w:r>
      <w:r w:rsidRPr="00087A72">
        <w:rPr>
          <w:i/>
          <w:sz w:val="16"/>
        </w:rPr>
        <w:t>Unsettling the Settler Within</w:t>
      </w:r>
      <w:r w:rsidRPr="00087A72">
        <w:rPr>
          <w:sz w:val="16"/>
        </w:rPr>
        <w:t>. In the proceeding sections of this chapter I seek to trace the roots and trajectories of how cross-racial alliances have been constituted (if precariously) through a politics of decolonization rather than through the logics of settler colonialism</w:t>
      </w:r>
      <w:r w:rsidRPr="00087A72">
        <w:rPr>
          <w:b/>
          <w:sz w:val="16"/>
        </w:rPr>
        <w:t xml:space="preserve"> </w:t>
      </w:r>
    </w:p>
    <w:p w:rsidR="00D66B35" w:rsidRPr="00087A72" w:rsidRDefault="00D66B35" w:rsidP="00B27DC9">
      <w:pPr>
        <w:pStyle w:val="Heading3"/>
      </w:pPr>
      <w:r w:rsidRPr="00087A72">
        <w:t>Alt Solves – Decolonization 1</w:t>
      </w:r>
      <w:r w:rsidRPr="00087A72">
        <w:rPr>
          <w:vertAlign w:val="superscript"/>
        </w:rPr>
        <w:t>st</w:t>
      </w:r>
    </w:p>
    <w:p w:rsidR="00D66B35" w:rsidRPr="00087A72" w:rsidRDefault="00D66B35" w:rsidP="00D66B35">
      <w:pPr>
        <w:pStyle w:val="Heading4"/>
      </w:pPr>
      <w:r w:rsidRPr="00087A72">
        <w:rPr>
          <w:rStyle w:val="Emphasis"/>
          <w:b/>
          <w:iCs/>
          <w:u w:val="none"/>
        </w:rPr>
        <w:t>Emancipatory politics can only be viable with a framework of decolonization. Anything perpetuates the racialized violence of the settler state.</w:t>
      </w:r>
    </w:p>
    <w:p w:rsidR="00D66B35" w:rsidRPr="00087A72" w:rsidRDefault="00D66B35" w:rsidP="00D66B35">
      <w:r w:rsidRPr="00087A72">
        <w:rPr>
          <w:b/>
        </w:rPr>
        <w:t>FORTIER 15</w:t>
      </w:r>
      <w:r w:rsidRPr="00087A72">
        <w:t xml:space="preserve"> </w:t>
      </w:r>
      <w:r w:rsidRPr="00087A72">
        <w:rPr>
          <w:sz w:val="16"/>
        </w:rPr>
        <w:t>(CRAIG, “UNSETTLING MOVEMENTS: DECOLONIZING NON-INDIGENOUS RADICAL STRUGGLES IN SETTLER COLONIAL STATES.” Pp 93-101squirms)</w:t>
      </w:r>
    </w:p>
    <w:p w:rsidR="00D66B35" w:rsidRPr="00087A72" w:rsidRDefault="00D66B35" w:rsidP="00D66B35">
      <w:pPr>
        <w:ind w:left="-15" w:right="34"/>
        <w:rPr>
          <w:sz w:val="16"/>
        </w:rPr>
      </w:pPr>
      <w:r w:rsidRPr="00087A72">
        <w:rPr>
          <w:sz w:val="16"/>
        </w:rPr>
        <w:t>Drawing on a long history of resistance to slavery, white supremacy, colonialism, heteropatriarchy, and gendered violence</w:t>
      </w:r>
      <w:r w:rsidRPr="00087A72">
        <w:rPr>
          <w:rStyle w:val="Emphasis"/>
        </w:rPr>
        <w:t>, radical Black women and women of colour-led social movements have been at the forefront of forming a decolonial politics within the anti-authoritarian left</w:t>
      </w:r>
      <w:r w:rsidRPr="00087A72">
        <w:rPr>
          <w:sz w:val="16"/>
        </w:rPr>
        <w:t xml:space="preserve"> (Smith 2006; Lawrence and Dua 2005; Trask 2000; Casteñeda 1992). For instance</w:t>
      </w:r>
      <w:r w:rsidRPr="00087A72">
        <w:rPr>
          <w:rStyle w:val="Emphasis"/>
        </w:rPr>
        <w:t>, groups like Critical Resistance and Incite! Women of Color Against Violence have played important roles in advancing the politics of prison abolitionism (Davis 2003; Oparah 2004) and struggles against gendered state violence as well as inter- group violence (INCITE! 2006, 2011) through a decolonizing framework.</w:t>
      </w:r>
      <w:r w:rsidRPr="00087A72">
        <w:rPr>
          <w:sz w:val="16"/>
        </w:rPr>
        <w:t xml:space="preserve"> Migrant justice groups like No One Is Illegal and other women of colour-led movements have theorized and resisted border imperialism (Walia 2013) and have created possibilities for transnational solidarities in the struggle against racism and patriarchy (Mohanty 2003; Moraga and Anzaldúa 1981). Radical Black feminist organizations like the Combahee River Collective, Sista II Sista, among many others helped to influence theories of intersectionality (Collins 2000), solidarity (Young 1990; Walia 2014), love and care (hooks 2003; Wekker 2006; Carillio-Rowe 2008), and the spiritual and the sacred (Alexander 2005) – all of which have become an important part of negotiating practices of decolonization and relationship building with Indigenous peoples on Turtle Island</w:t>
      </w:r>
      <w:r w:rsidRPr="00087A72">
        <w:rPr>
          <w:rStyle w:val="Emphasis"/>
        </w:rPr>
        <w:t xml:space="preserve">. We can trace the roots of this strand of politics from a number of important historical sites, in particular, the movement to abolish slavery. Some of the earliest acts of non-Indigenous insurrection against the Euroamerican white elite were spurred by the resistance of enslaved African women, including the burning of the colonial settlement of present-day Montréal </w:t>
      </w:r>
      <w:r w:rsidRPr="00087A72">
        <w:rPr>
          <w:rStyle w:val="Emphasis"/>
          <w:b w:val="0"/>
          <w:sz w:val="16"/>
          <w:u w:val="none"/>
        </w:rPr>
        <w:t>(Cooper 2006),</w:t>
      </w:r>
      <w:r w:rsidRPr="00087A72">
        <w:rPr>
          <w:rStyle w:val="Emphasis"/>
        </w:rPr>
        <w:t xml:space="preserve"> the organization of the underground railroad by such notable abolitionists as Harriet Tubman </w:t>
      </w:r>
      <w:r w:rsidRPr="00087A72">
        <w:rPr>
          <w:rStyle w:val="Emphasis"/>
          <w:b w:val="0"/>
          <w:sz w:val="16"/>
          <w:u w:val="none"/>
        </w:rPr>
        <w:t>(Bordewich 2005),</w:t>
      </w:r>
      <w:r w:rsidRPr="00087A72">
        <w:rPr>
          <w:rStyle w:val="Emphasis"/>
        </w:rPr>
        <w:t xml:space="preserve"> and the establishment of maroon communities or mixed African-Indigenous communities in resistance to white settler colonies</w:t>
      </w:r>
      <w:r w:rsidRPr="00087A72">
        <w:rPr>
          <w:sz w:val="16"/>
        </w:rPr>
        <w:t xml:space="preserve"> (Linebaugh and Rediker 2000; Amadahy and Lawrence 2009). As Dixon (2014) notes, “Abolitionism also helped to inaugurate a tradition of Black freedom struggle that has carried powerfully through subsequent movements and steadily highlighted race as a key social fault line” (25). </w:t>
      </w:r>
      <w:r w:rsidRPr="00087A72">
        <w:rPr>
          <w:rStyle w:val="Emphasis"/>
        </w:rPr>
        <w:t>The abolitionist movement has always had to contend with the contradictions of imagining liberation in relationship to Indigenous desires for decolonization</w:t>
      </w:r>
      <w:r w:rsidRPr="00087A72">
        <w:rPr>
          <w:sz w:val="16"/>
        </w:rPr>
        <w:t xml:space="preserve"> (Byrd 2011; Gossett 2014). For instance, Amadahy and Lawrence (2009) critically discuss the quest for Black liberation in relation to Indigenous struggles against colonization, noting: [</w:t>
      </w:r>
      <w:r w:rsidRPr="00087A72">
        <w:rPr>
          <w:rStyle w:val="Emphasis"/>
        </w:rPr>
        <w:t>W]hether we are talking about contemporary migration from Africa itself, or the ongoing diaspora of peoples of African descent created by slavery, the reality is that African people living in the Americas are living on the lands of other Indigenous peoples. And for all peoples forced to live on other peoples’ lands, a crucial question becomes what relationships they will establish with the Indigenous peoples of that land whose survival is so under siege. Ultimately, to fail to negotiate a mutually supportive relationship is to risk truly becoming “settlers,” complicit in the extermination of those whose lands they occupy</w:t>
      </w:r>
      <w:r w:rsidRPr="00087A72">
        <w:rPr>
          <w:sz w:val="16"/>
        </w:rPr>
        <w:t xml:space="preserve"> (119). Questions of how to create relationships of solidarity between Black women, women of colour, and Indigenous women permeated a number of my interviews. For instance, in my interview with Sharrae Lyon, a multidisciplinary artist, afro-futurist writer and organizer based in Ottawa, Ontario, she discusses some of the ways in which women of colour feminism influenced helped her to resolve some of the contradictions inherent in enacting a decolonizing Black liberation politics. Sharrae explains: It was really through my reading [that I began to think of the complexities of decolonization as a Black woman]. When I was reading </w:t>
      </w:r>
      <w:r w:rsidRPr="00087A72">
        <w:rPr>
          <w:i/>
          <w:sz w:val="16"/>
        </w:rPr>
        <w:t xml:space="preserve">This Bridge Called My Back </w:t>
      </w:r>
      <w:r w:rsidRPr="00087A72">
        <w:rPr>
          <w:sz w:val="16"/>
        </w:rPr>
        <w:t xml:space="preserve">edited by Cherríe Moraga and Gloria Anzaldúa, that’s when I was actually like ok – there’s my ancestry and my aching because of what’s happening with the loss of my culture, but there’s something that is going on right here that in some ways I’m complicit in – directly and indirectly; knowingly and unknowingly. And that’s when that [work to build relationships of solidarity with Indigenous women] started. Emerging out of a critique of the ways in which women’s liberation movements of the 1960s, 70s, and 80s failed to account for the multiple differences in experiences of oppression faced by women of colour, anti-racist feminists had a profound impact on the political movements of that era. </w:t>
      </w:r>
      <w:r w:rsidRPr="00087A72">
        <w:rPr>
          <w:rStyle w:val="Emphasis"/>
        </w:rPr>
        <w:t>During the civil rights and Black liberation struggles in organizations such as the Black Panther Party and the Student Non Violent Coordinating Committee, Black women formed caucuses to begin discussions about the intersecting axes of oppression that they faced. Similarly, Women of All Red Nations emerged out of the American Indian Movement in response to the multiple levels of oppression faced by Indigenous women within the structures of heteropatriarchy and settler colonialism.</w:t>
      </w:r>
      <w:r w:rsidRPr="00087A72">
        <w:rPr>
          <w:sz w:val="16"/>
        </w:rPr>
        <w:t xml:space="preserve"> One of the most formative moves toward the development of a politics of decolonization emerging out of women of color feminism was the Third World Women’s Movement. According to Chandra Talpade Mohanty (2003), </w:t>
      </w:r>
      <w:r w:rsidRPr="00087A72">
        <w:rPr>
          <w:rStyle w:val="Emphasis"/>
        </w:rPr>
        <w:t>“Third World feminisms” grappled with two simultaneous projects: “the internal critique of hegemonic ‘Western’ feminisms and the formulation of autonomous feminist concerns and strategies that are geographically, historically, and culturally grounded” (17). Third World Women’s organizing emphasized transnational solidarity, intersectional and interlocking systems of oppression, and strategies of cooperation and communication across differences</w:t>
      </w:r>
      <w:r w:rsidRPr="00087A72">
        <w:rPr>
          <w:sz w:val="16"/>
        </w:rPr>
        <w:t>. As anti- racist feminist theorist Rabinder Kaur Sehdev (2010) argues, such solidarity work demands shared intimate knowledges and the mutual desire for closeness. In my discussions with Luam Kidane, a Black queer cis-woman artist and organizer, she reflected on how this notion of solidarity is important not only in developing relationships across difference but also as a means of being present in struggles in a holistic way. Luam states</w:t>
      </w:r>
      <w:r w:rsidRPr="00087A72">
        <w:rPr>
          <w:rStyle w:val="Emphasis"/>
        </w:rPr>
        <w:t>: [T]he central aspect of a decolonial struggle is to make sure that all parts of us, even the contradictory ones, can be addressed in transparent ways, in fluid ways, in non-punitive ways. So that for me is why I am engaged in decolonial struggle. It’s about my survival. It’s about the survival of the people around me and it’s about us being able to move through this world with love</w:t>
      </w:r>
      <w:r w:rsidRPr="00087A72">
        <w:rPr>
          <w:sz w:val="16"/>
        </w:rPr>
        <w:t>. Sehdev gives the example of the relationship forged between Stó:lo activist Lee Maracle and African-American organizer Audre Lorde as being indicative of the potential for solidarity between women of colour and Indigenous women through what Kidane highlighted as being an act of survival, noting that, “</w:t>
      </w:r>
      <w:r w:rsidRPr="00087A72">
        <w:rPr>
          <w:rStyle w:val="Emphasis"/>
        </w:rPr>
        <w:t>No emancipatory politics on this land will be viable without Indigenous women active in their conception and realization” (107). In a similar way, Third World feminisms have had a profound impact on the how relationships of solidarity are conceptualized and enacted within contemporary movements. To acknowledge and address the potential contradictions in trying to develop these solidarities, Third World feminisms emphasized the importance of developing relationships across difference</w:t>
      </w:r>
      <w:r w:rsidRPr="00087A72">
        <w:rPr>
          <w:sz w:val="16"/>
        </w:rPr>
        <w:t xml:space="preserve">, what Aimee Carillo-Rowe calls “bridge work” (Rowe 2008). As Sehdev (2010) suggests, this labour, “commits us to doing the hard work of connecting these configurations of power to the agency and selfhood of those located within them (the anchoring posts of the bridge). This is an active remembering against the general imperative to forget or dissociate” (118).. In 2000, the </w:t>
      </w:r>
      <w:r w:rsidRPr="00087A72">
        <w:rPr>
          <w:i/>
          <w:sz w:val="16"/>
        </w:rPr>
        <w:t xml:space="preserve">Color of Violence: Violence Against Women </w:t>
      </w:r>
      <w:r w:rsidRPr="00087A72">
        <w:rPr>
          <w:sz w:val="16"/>
        </w:rPr>
        <w:t xml:space="preserve">conference held at the University of California – Santa Cruz, brought together grassroots organizers who were challenging the lack of a structural analysis within the anti-violence against women movement. Smith (2001) notes that the conference Black and women of colour anti-racist feminists have contributed this decolonizing analysis to three movements in particular: anti-violence against women, prison abolition, and migrant justice helped to develop a critique of this approach because it is “impossible to seriously address sexual and domestic violence within communities of color without addressing these larger structures of violence, such as militarism, attacks on immigrants’ rights and Indian treaty rights, the proliferation of prisons, economic neo-colonialism, and institutional racism” (66). This conference spurred the organizing of Incite! Women of Color Against Violence who integrated a women of color-centered politics that was decidedly oppositional to the state and broke away from service provision work that tended to be state funded and state-influenced. Women of colour anti-racist feminists were also central in developing an analysis of the Prison Industrial Complex (see Davis 2003; Oparah 2004), the interlocking set of institutions, social relations, and economic incentives that maintains a system of carceral violence against Black people, people of colour, and Indigenous peoples in the United States and Canada. In 1998, radical women of colour and trans* organizers came together in Berkeley, California at a conference called “Critical Resistance” that would precipitate the founding of an organization of the same name (Dixon 2014). Critical Resistance has since played an important role in the prison abolition movement and has prompted the emergence of a number of important abolitionist groups throughout the North American settler states. In trying to understand the links between prison abolition movements and decolonization, I reached out to Che Gossett, a Black genderqueer femme who has organized with Critical Resistance and ACT UP in Philadelphia and has also engaged in Palestine solidarity work. Che eloquently explained to me the interconnections between prison abolitionism and decolonization, noting: </w:t>
      </w:r>
      <w:r w:rsidRPr="00087A72">
        <w:rPr>
          <w:rStyle w:val="Emphasis"/>
        </w:rPr>
        <w:t>There's big structures of power and that whole language of transformative justice or the language of abolition or the political and social imaginary of abolition is all about the carceral continuum from prisons to detention centres to involuntarily confining people in psych institutions and is attached to the colonial continuum because it has always been used as part of the colonization process. Prisons have been really central to that. We don't want to reproduce that same violence. People who are still struggling for national liberation - well there's prisons in the Palestinian Authority and there are prisons in the Bureau of Indian Affairs, you know? So thinking about ways that liberation is collective. Decolonial struggle is attached to a lot of other collective liberations. Through this type of analysis and practice, Critical Resistance and similar groups like the Prisoners Justice Action Committee in Toronto have expanded resistance against prisons to include immigration detention, youth corrections, police violence, queer/trans* state violence, and theft of land as being central to an abolitionist struggle</w:t>
      </w:r>
      <w:r w:rsidRPr="00087A72">
        <w:rPr>
          <w:sz w:val="16"/>
        </w:rPr>
        <w:t xml:space="preserve">. The politics associated with a prison abolitionist framework influenced by Black women, women of colour, anti-colonial, queer/trans* and Indigenous theory and practice fundamentally challenges the state and patriarchy and envisions new ways of relating to each other and dealing with social problems outside of carceral violence. Gossett (2014) referencing the work of Achille Mbembe (2003) on “necropolitics” (the relationship between sovereignty and power over life and death), writes that </w:t>
      </w:r>
      <w:r w:rsidRPr="00087A72">
        <w:rPr>
          <w:rStyle w:val="Emphasis"/>
        </w:rPr>
        <w:t>“Carceral necropolitics play a central role in settler colonial occupation” and suggests that these interrelationships point towards solidarity between struggles against carceral regimes, anti-blackness, and settler colonialism</w:t>
      </w:r>
      <w:r w:rsidRPr="00087A72">
        <w:rPr>
          <w:sz w:val="16"/>
        </w:rPr>
        <w:t xml:space="preserve"> (Gossett 2014). Similar to the prison abolition movement, the political development of migrant justice movements like No One Is Illegal has been significantly influenced by the leadership of women of colour and relationships of solidarity with Indigenous struggles The emergence of this anti-authoritarian women of colour-led migrant justice movement, at least since the early 2000s, has sparked a number of important conversations on how to challenge racist border controls and build relationships of solidarity with struggles for Indigenous sovereignty. In a 2001 speech following the attacks on the World Trade Centre in New York City, Sunera Thobani speaking to a conference of Indigenous women and women of colour activists boldly asserted the importance of understanding the centrality of decolonization to anti-racist and migrant justice struggles, noting: </w:t>
      </w:r>
      <w:r w:rsidRPr="00087A72">
        <w:rPr>
          <w:rStyle w:val="Emphasis"/>
        </w:rPr>
        <w:t>[W]e have to recognize that this level and this particular phase of globalization is rooted [...] in the colonization of Aboriginal peoples and Third World peoples all over the world. That is the basis. And so globalization continues to remain rooted in that colonization, and I think, recognizing that we are on Aboriginal land is a very, very important starting point for any one of our movements. But that cannot be the end point [...] [W]e have to recognize that there will be no social justice, no anti-racism, no feminist emancipation, no liberation of any kind for anybody on this continent unless Aboriginal people succeed in their demand for self-determination</w:t>
      </w:r>
      <w:r w:rsidRPr="00087A72">
        <w:rPr>
          <w:sz w:val="16"/>
        </w:rPr>
        <w:t xml:space="preserve"> (Thobani 2001). Thobani’s statement both challenged many of the assumptions of traditional anti-racist political organizing in Canada (particularly those seeking recognition from the state) and resonated with a growing base of activists who were starting to see </w:t>
      </w:r>
      <w:r w:rsidRPr="00087A72">
        <w:rPr>
          <w:rStyle w:val="Emphasis"/>
        </w:rPr>
        <w:t>decolonization and Indigenous solidarity as central to any anti-racist or anti-capitalist resistance in North America.</w:t>
      </w:r>
      <w:r w:rsidRPr="00087A72">
        <w:rPr>
          <w:sz w:val="16"/>
        </w:rPr>
        <w:t xml:space="preserve"> Groups led predominantly by women of colour (such as the network of No One Is Illegal groups in Canada) have initiated campaigns that resist systemic and racialized gendered violence. For instance, the </w:t>
      </w:r>
      <w:r w:rsidRPr="00087A72">
        <w:rPr>
          <w:i/>
          <w:sz w:val="16"/>
        </w:rPr>
        <w:t xml:space="preserve">Shelter, Sanctuary, Status </w:t>
      </w:r>
      <w:r w:rsidRPr="00087A72">
        <w:rPr>
          <w:sz w:val="16"/>
        </w:rPr>
        <w:t xml:space="preserve">campaign fought and won a policy that prevented immigration enforcement from entering into women’s shelters (Miranda 2010). During the campaign, organizers argued that by entering shelters to carry out deportations, immigrant enforcement officers were violating the sanctuary of women’s shelters and practicing state violence against women of colour. Through this campaign, many of the women of colour organizers with No One Is Illegal-Toronto began to develop relationships of solidarity with the No More Silence campaign organized by Indigenous women to highlight and seek solutions to the issue of missing and murdered Indigenous women. </w:t>
      </w:r>
      <w:r w:rsidRPr="00087A72">
        <w:rPr>
          <w:rStyle w:val="Emphasis"/>
        </w:rPr>
        <w:t>Both campaigns argued that the systemic violence faced by women of colour and Indigenous women in Canada was a result of the ongoing structures of racialized and settler colonial violence perpetrated by the state and by white settler society</w:t>
      </w:r>
      <w:r w:rsidRPr="00087A72">
        <w:rPr>
          <w:sz w:val="16"/>
        </w:rPr>
        <w:t>. These relationships pushed groups like No One Is Illegal to think seriously about what organizing their campaigns through a framework of decolonization might look like. Harsha Walia (2013), a longtime organizer with No One Is Illegal-Vancouver Coast Salish Territories, explains the importance of a decolonizing framework for migrant justice by noting, “</w:t>
      </w:r>
      <w:r w:rsidRPr="00087A72">
        <w:rPr>
          <w:rStyle w:val="Emphasis"/>
        </w:rPr>
        <w:t>Decolonization is rooted in dismantling the structures of border imperialism, settler colonialism, empire, capitalism, and oppression, while also being a generative praxis that creates the condition to grow and recenter alternatives to our current socioeconomic system</w:t>
      </w:r>
      <w:r w:rsidRPr="00087A72">
        <w:rPr>
          <w:sz w:val="16"/>
        </w:rPr>
        <w:t xml:space="preserve">” (18). These principles have led No One Is Illegal groups to develop long-term relationships of solidarity with Indigenous sovereignty movements through on-the-ground support. These relationships are not without their challenges, contradictions, and mistakes as organizers within No One Is Illegal seek to apply these principles in their practice. However, the work of organizers like Harsha Walia and members of No One Is Illegal in Vancouver, Montréal, and Toronto has been inspirational to a vast swath of the anti-authoritarian current in terms of thinking through strategies for developing relationships of solidarity among people who are differentially positioned within the structures of capitalism, settler colonialism, white supremacy, and heteropatriarchy. </w:t>
      </w:r>
    </w:p>
    <w:p w:rsidR="00B27DC9" w:rsidRPr="00087A72" w:rsidRDefault="00B27DC9" w:rsidP="00B27DC9">
      <w:pPr>
        <w:pStyle w:val="Heading3"/>
      </w:pPr>
      <w:r w:rsidRPr="00087A72">
        <w:t>Alt Solves – Native Sovereignty</w:t>
      </w:r>
    </w:p>
    <w:p w:rsidR="00B27DC9" w:rsidRPr="00087A72" w:rsidRDefault="00B27DC9" w:rsidP="00B27DC9">
      <w:pPr>
        <w:pStyle w:val="Heading4"/>
        <w:rPr>
          <w:rStyle w:val="Style13ptBold"/>
          <w:b/>
        </w:rPr>
      </w:pPr>
      <w:bookmarkStart w:id="46" w:name="_Hlk518637480"/>
      <w:r w:rsidRPr="00087A72">
        <w:rPr>
          <w:rStyle w:val="Style13ptBold"/>
          <w:b/>
        </w:rPr>
        <w:t>Only the alt solves. The aff’s world of current native sovereignty is just a proclamation of the state to exercise its power over native bodies and reduce them to bare life and viewing them as “sperate peoples,”</w:t>
      </w:r>
    </w:p>
    <w:p w:rsidR="00B27DC9" w:rsidRPr="00087A72" w:rsidRDefault="00B27DC9" w:rsidP="00B27DC9">
      <w:r w:rsidRPr="00087A72">
        <w:rPr>
          <w:rStyle w:val="Style13ptBold"/>
        </w:rPr>
        <w:t xml:space="preserve">Rifken 2009 </w:t>
      </w:r>
      <w:r w:rsidRPr="00087A72">
        <w:t>(Mark, Director of the Women's and Gender Studies Program and Professor of English at the University of North Carolina, Greensboro “Indigenizing Agamben: Rethinking Sovereignty in Light of the "Peculiar" Status of Native Peoples” University of Minnesota Press, Cultural Critique, No. 73 pp.92-98)</w:t>
      </w:r>
    </w:p>
    <w:p w:rsidR="00B27DC9" w:rsidRPr="00087A72" w:rsidRDefault="00B27DC9" w:rsidP="00B27DC9">
      <w:pPr>
        <w:rPr>
          <w:b/>
          <w:bCs/>
          <w:i/>
          <w:sz w:val="8"/>
        </w:rPr>
      </w:pPr>
      <w:r w:rsidRPr="00087A72">
        <w:rPr>
          <w:sz w:val="8"/>
        </w:rPr>
        <w:t xml:space="preserve">of living common to all living beings (animals, men, or gods)" versus "the form or way of living proper to an individual or a group" (1). He suggests that in classical antiquity the former was excluded from the sphere of politics, and that part of what most distinguishes modernity, particularly the structure of the state, is the effort to bring the former into the orbit of governmental regulation, in fact to see it as the animating principle of political life ("the politicization of bare life as such" [4]). The first articulation of the book's central thesis, then, is as follows: "It can even be said that the production of a biopolitical body is the original activity of sovereign power" (6)7 In other words, </w:t>
      </w:r>
      <w:r w:rsidRPr="00087A72">
        <w:rPr>
          <w:rStyle w:val="StyleUnderline"/>
        </w:rPr>
        <w:t>modern sovereignty depends upon generating a vision of the "body"-of apolitical natural life-that is cast as simultaneously exterior to the sphere of government and law and as the reference point for defining the proper aims, objects, and methods of governance</w:t>
      </w:r>
      <w:r w:rsidRPr="00087A72">
        <w:rPr>
          <w:sz w:val="8"/>
        </w:rPr>
        <w:t xml:space="preserve"> ("[p]lacing biological life at the center of its calculations" [6</w:t>
      </w:r>
      <w:r w:rsidRPr="00087A72">
        <w:rPr>
          <w:rStyle w:val="StyleUnderline"/>
        </w:rPr>
        <w:t xml:space="preserve">]). That "body" is divorced from politics per se while simultaneously defining the aspirational and normative horizon of political action. "Bare life," therefore, serves as an authorizing figure for decision-making by self-consciously political institutions while itself being presented as exempt from question or challenge within such institutions. </w:t>
      </w:r>
      <w:r w:rsidRPr="00087A72">
        <w:rPr>
          <w:sz w:val="8"/>
        </w:rPr>
        <w:t>Further, and more urgently for Agamben, the generation of "bare life" makes thinkable the consignment of those who do not fit the idealized "biopolitical body" to a "zone" outside of political participation and the regular working of the law but still within the ambit of state power. Describing this possibility, he observes, "</w:t>
      </w:r>
      <w:r w:rsidRPr="00087A72">
        <w:rPr>
          <w:rStyle w:val="StyleUnderline"/>
        </w:rPr>
        <w:t>The relation of exception is a relation of ban. He who has been banned is not, in fact, simply set outside the law and made indifferent to it but rather abandoned by it, that is, exposed and threatened on the threshold.... It is literally not possible to say whether the one who has been banned is outside or inside the juridical order"</w:t>
      </w:r>
      <w:r w:rsidRPr="00087A72">
        <w:rPr>
          <w:sz w:val="8"/>
        </w:rPr>
        <w:t xml:space="preserve"> (28-29). For Agamben, t</w:t>
      </w:r>
      <w:r w:rsidRPr="00087A72">
        <w:rPr>
          <w:rStyle w:val="StyleUnderline"/>
        </w:rPr>
        <w:t>he Nazi concentration camp serves as the paradigmatic example of the biopolitical imperatives structuring modern sovereignty</w:t>
      </w:r>
      <w:r w:rsidRPr="00087A72">
        <w:rPr>
          <w:sz w:val="8"/>
        </w:rPr>
        <w:t xml:space="preserve">, described as "the hidden matrix and nomos of the political space in which we are still living" (166). The existence of the camps disrupted the "functional nexus" on which the modern nation-state was "founded": "the old trinity composed of the state, the nation (birth), and land" in which "a determinate localization (land) and a determinate order (the State) are mediated by automatic rules for the inscription of life (birth or the nation), (174-76). </w:t>
      </w:r>
      <w:r w:rsidRPr="00087A72">
        <w:rPr>
          <w:rStyle w:val="StyleUnderline"/>
        </w:rPr>
        <w:t>The camp opens up a location within the state in which persons who are linked to the space of the nation by birth can be managed as "bare life/</w:t>
      </w:r>
      <w:r w:rsidRPr="00087A72">
        <w:rPr>
          <w:sz w:val="8"/>
        </w:rPr>
        <w:t xml:space="preserve">' </w:t>
      </w:r>
      <w:r w:rsidRPr="00087A72">
        <w:rPr>
          <w:rStyle w:val="StyleUnderline"/>
        </w:rPr>
        <w:t>as mere biological beings</w:t>
      </w:r>
      <w:r w:rsidRPr="00087A72">
        <w:rPr>
          <w:sz w:val="8"/>
        </w:rPr>
        <w:t xml:space="preserve"> bereft of any/all of the legal protections of citizenship. Yet </w:t>
      </w:r>
      <w:r w:rsidRPr="00087A72">
        <w:rPr>
          <w:rStyle w:val="StyleUnderline"/>
        </w:rPr>
        <w:t>if that denial of political subjectivity and simultaneous subjection to the force of the state confuses, or perhaps conflates, "exclusion and inclusion/' to what extent is that blurring predicated on the reification of the boundaries of the "sovereign power" of the nation?</w:t>
      </w:r>
      <w:r w:rsidRPr="00087A72">
        <w:rPr>
          <w:sz w:val="8"/>
        </w:rPr>
        <w:t xml:space="preserve"> Put another way,</w:t>
      </w:r>
      <w:r w:rsidRPr="00087A72">
        <w:rPr>
          <w:rStyle w:val="StyleUnderline"/>
        </w:rPr>
        <w:t xml:space="preserve"> if the person in the state of exception is considered "bare life" and thus neither truly "outside [n]or inside the juridical order," how does one know that the "abandoned" comes under the sway of a given sovereign?</w:t>
      </w:r>
      <w:r w:rsidRPr="00087A72">
        <w:rPr>
          <w:sz w:val="8"/>
        </w:rPr>
        <w:t xml:space="preserve"> How might the "irreducible in distinction" enacted by sovereignty that Agamben describes itself depend on a prior geopolitical mapping that is also produced through the invocation of sovereignty, differentiating those people and places that fall within the jurisdictional sphere of a given state from those that do not? That process of distinction, I contend, draws on the logic of exception Agamben theorizes but in ways that cannot be reduced to the cre ation of a "biopolitical body." In describing how modern sovereignty appears to found itself on the will of the people, Agamben locates a biopolitical problematic at the core of that claim: It is as if what we call "people" were in reality not a unitary subject but a dialectical oscillation between two opposite poles: on the one hand, the set of the People as a whole political body, and on the other, the sub set of the people as a fragmentary multiplicity of needy and excluded bodies; or again, on the one hand, an inclusion that claims to be total, and on the other, an exclusion that is clearly hopeless; at one extreme, the total state of integrated and sovereign citizens, and at the other, the preserve-court of miracles or camp-of the wretched, the oppressed, and the defeated. (177) </w:t>
      </w:r>
      <w:r w:rsidRPr="00087A72">
        <w:rPr>
          <w:rStyle w:val="StyleUnderline"/>
        </w:rPr>
        <w:t>The "People" stands less for the actual assemblage of persons within the state than for the set of those who fit the ideal "body" and who consequently will be recognized as "citizens," with the rest of the resident population consigned to the realm of "bare life"-</w:t>
      </w:r>
      <w:r w:rsidRPr="00087A72">
        <w:rPr>
          <w:sz w:val="8"/>
        </w:rPr>
        <w:t xml:space="preserve">the people who are not the People and thus are excluded from meaningful participation while remaining the objects of state control. However, when reflecting on the status </w:t>
      </w:r>
      <w:r w:rsidRPr="00087A72">
        <w:rPr>
          <w:rStyle w:val="StyleUnderline"/>
        </w:rPr>
        <w:t>of Indigenous populations in relation to the settler-state, a third category emerges that is neither people nor People-namely peoples</w:t>
      </w:r>
      <w:r w:rsidRPr="00087A72">
        <w:rPr>
          <w:sz w:val="8"/>
        </w:rPr>
        <w:t xml:space="preserve">. The possibility of </w:t>
      </w:r>
      <w:r w:rsidRPr="00087A72">
        <w:rPr>
          <w:rStyle w:val="StyleUnderline"/>
        </w:rPr>
        <w:t xml:space="preserve">conceptualizing the nation as "a whole political body" requires narrating it as "a unitary subject" rather than a collection of separate, unsubordinated, self-governing polities. </w:t>
      </w:r>
      <w:r w:rsidRPr="00087A72">
        <w:rPr>
          <w:sz w:val="8"/>
        </w:rPr>
        <w:t>Conversely, for "inclusion" to be articulated as "total," it needs to have a clear domain over which it is extended. In critiquing the approach of previous theorists to the issue of sovereignty, Agamben notes, "</w:t>
      </w:r>
      <w:r w:rsidRPr="00087A72">
        <w:rPr>
          <w:rStyle w:val="StyleUnderline"/>
        </w:rPr>
        <w:t>The problem of sovereignty was reduced to the question of who within the political order was invested with certain powers, and the very thresh old of the political order itself was never called into question</w:t>
      </w:r>
      <w:r w:rsidRPr="00087A72">
        <w:rPr>
          <w:sz w:val="8"/>
        </w:rPr>
        <w:t>" (12), but Agamben's account itself assumes a clear "within" by not posing the question of how sovereignty produces and is produced by place, how the state is realized as a spatial phenomenon as part of "the very threshold of the political order itself." I am suggesting, then, that t</w:t>
      </w:r>
      <w:r w:rsidRPr="00087A72">
        <w:rPr>
          <w:rStyle w:val="StyleUnderline"/>
        </w:rPr>
        <w:t>he biopolitical project of defining the proper "body" of the people is subtended by the geopolitical project of defining the territoriality of the nation, displacing competing claims by older/other political formations as what we might call bare habitance.</w:t>
      </w:r>
      <w:r w:rsidRPr="00087A72">
        <w:rPr>
          <w:sz w:val="8"/>
        </w:rPr>
        <w:t xml:space="preserve"> Agamben notes, "</w:t>
      </w:r>
      <w:r w:rsidRPr="00087A72">
        <w:rPr>
          <w:rStyle w:val="StyleUnderline"/>
        </w:rPr>
        <w:t>The camp is a piece of land placed outside the normal juridical order, but it is nevertheless not simply an external space</w:t>
      </w:r>
      <w:r w:rsidRPr="00087A72">
        <w:rPr>
          <w:sz w:val="8"/>
        </w:rPr>
        <w:t xml:space="preserve">" (169-70), but </w:t>
      </w:r>
      <w:r w:rsidRPr="00087A72">
        <w:rPr>
          <w:rStyle w:val="StyleUnderline"/>
        </w:rPr>
        <w:t>that definition also seems to capture rather precisely the status of the reservation, a space that while governed under "peculiar" rules categorically is denied status as "external," or "foreign."</w:t>
      </w:r>
      <w:r w:rsidRPr="00087A72">
        <w:rPr>
          <w:sz w:val="8"/>
        </w:rPr>
        <w:t xml:space="preserve"> Examining the reservation, and more broadly the representation of Native collectivity and territoriality in U.S. governmental dis courses, through the prism of Agamben's </w:t>
      </w:r>
      <w:r w:rsidRPr="00087A72">
        <w:rPr>
          <w:rStyle w:val="StyleUnderline"/>
        </w:rPr>
        <w:t>analysis of the state of exception</w:t>
      </w:r>
      <w:r w:rsidRPr="00087A72">
        <w:rPr>
          <w:sz w:val="8"/>
        </w:rPr>
        <w:t xml:space="preserve"> helps </w:t>
      </w:r>
      <w:r w:rsidRPr="00087A72">
        <w:rPr>
          <w:rStyle w:val="StyleUnderline"/>
        </w:rPr>
        <w:t xml:space="preserve">highlight </w:t>
      </w:r>
      <w:r w:rsidRPr="00087A72">
        <w:rPr>
          <w:sz w:val="8"/>
        </w:rPr>
        <w:t>the kinds of "</w:t>
      </w:r>
      <w:r w:rsidRPr="00087A72">
        <w:rPr>
          <w:rStyle w:val="StyleUnderline"/>
        </w:rPr>
        <w:t>sovereign violence" at play in the (re)production and naturalization of national space</w:t>
      </w:r>
      <w:r w:rsidRPr="00087A72">
        <w:rPr>
          <w:sz w:val="8"/>
        </w:rPr>
        <w:t xml:space="preserve">.8 </w:t>
      </w:r>
      <w:r w:rsidRPr="00087A72">
        <w:rPr>
          <w:rStyle w:val="StyleUnderline"/>
        </w:rPr>
        <w:t xml:space="preserve">The effort to think biopolitics without geopolitics, bare life without bare habitance, results in the erasure of the politics of collectivity and occupancy: </w:t>
      </w:r>
      <w:r w:rsidRPr="00087A72">
        <w:rPr>
          <w:sz w:val="8"/>
        </w:rPr>
        <w:t xml:space="preserve">what entities will count as polities and thus be seen as deserving of autonomy, what modes of inhabitance and land tenure will be understood as legitimate, and who will get to make such determinations and on what basis?9 Focusing on the fracture between "the People" and "the people" imagines explicitly or implicitly either a reconciliation of the two (restoring a version of the "trinity" of state, land, and birth) or the proliferation of a boundaryless humanness unconstrained by territorially circumscribed polities. </w:t>
      </w:r>
      <w:r w:rsidRPr="00087A72">
        <w:rPr>
          <w:rStyle w:val="StyleUnderline"/>
        </w:rPr>
        <w:t>These options leave little room for thinking indigeneity, the existence of peoples forcibly made domestic whose self-understandings and aspirations cannot be understood in terms of the denial of (or disjunctions within) state citizenship</w:t>
      </w:r>
      <w:r w:rsidRPr="00087A72">
        <w:rPr>
          <w:sz w:val="8"/>
        </w:rPr>
        <w:t xml:space="preserve">.10 While in the next section I will address how biopolitical and geo political dynamics work together, specifically in the translation of Native peoples into aggregates of individual domestic subjects (as either a race or a culture), I first want to explore in greater detail </w:t>
      </w:r>
      <w:r w:rsidRPr="00087A72">
        <w:rPr>
          <w:rStyle w:val="StyleUnderline"/>
        </w:rPr>
        <w:t>how the production of national space depends on coding Native peoples and lands as an exception. Administrative mappings of U.S. jurisdiction remain haunted by the presence of polities whose occupancy pre cedes that of the state and whose existence as collectivities repeatedly has been officially recognized through treaties. The Supreme Court decisions with which I began all register this difficulty. In Cherokee Nation v. Georgia, the court explicitly finds that the "acts of our government plainly recognize the Cherokee nation as a state," indicating they are "a distinct political society, separated from others, capable of managing its own affairs and governing itself"</w:t>
      </w:r>
      <w:r w:rsidRPr="00087A72">
        <w:rPr>
          <w:sz w:val="8"/>
        </w:rPr>
        <w:t xml:space="preserve"> (16). Yet the majority opinion also insists, "</w:t>
      </w:r>
      <w:r w:rsidRPr="00087A72">
        <w:rPr>
          <w:rStyle w:val="StyleUnderline"/>
        </w:rPr>
        <w:t>The Indian territory is admitted to compose a part of the United States," adding, "They occupy a territory to which we assert a title independent of their will" (17). Following a similar line of reasoning, U.S. v. Kagama insists "the colonies before the Revolution and the States and the United States since, have recognized in the Indians a possessory right to the soil. . .. But they asserted an ultimate title in the land itself" (381), and Justice Rehnquist in Oli phant v. Suquamish argues, "Indian tribes do retain elements of 'quasi sovereign' authority after ceding their lands to the United States," although "their exercise of separate power is constrained so as not to conflict with the interests of [the U.S.'s] overriding sovereignty"</w:t>
      </w:r>
      <w:r w:rsidRPr="00087A72">
        <w:rPr>
          <w:sz w:val="8"/>
        </w:rPr>
        <w:t xml:space="preserve"> (208 9). Each of these formulations acknowledges a tension between the kinds of political identity and authority suggested by the ability to enter into formal agreements with the United States and the claim that such otherwise (or previously) "distinct political societies]" are fully enclosed within the boundaries of the state and thus subject in some fashion to its rule. Presenting U.S.-Indian relations as "peculiar" or "anomalous" marks that tension, but such a description depicts the treaty system and the workings of federal Indian law as neither regular domestic law nor foreign policy. The oddity can seem to inhere in the treaties themselves, a supposed irregularity that </w:t>
      </w:r>
      <w:r w:rsidRPr="00087A72">
        <w:rPr>
          <w:rStyle w:val="StyleUnderline"/>
        </w:rPr>
        <w:t>U.S. lawmakers sought to remedy in the late nineteenth century by ending the practice of treaty making.11 The "peculiar"-ity of the treaty system, though, is less a function of the constitutional status it confers on Indian policy (enacting it through documents that, in the words of Article VI, make it "the supreme law of the land") than the underlying contradiction to which the treaty system points.</w:t>
      </w:r>
      <w:r w:rsidRPr="00087A72">
        <w:rPr>
          <w:sz w:val="8"/>
        </w:rPr>
        <w:t xml:space="preserve"> </w:t>
      </w:r>
      <w:r w:rsidRPr="00087A72">
        <w:rPr>
          <w:rStyle w:val="StyleUnderline"/>
        </w:rPr>
        <w:t>Treaties register and mediate a structural dis junction between the continuing existence of autochthonous Native collectivities that predate the formation of the United States and the adoption of a jurisdictional imaginary in which such collectivities are imagined as part of U.S. national space</w:t>
      </w:r>
      <w:r w:rsidRPr="00087A72">
        <w:rPr>
          <w:sz w:val="8"/>
        </w:rPr>
        <w:t xml:space="preserve">. More than merely recognizing Native peoples as "distinct political societies]" with whom the United States must negotiate for territory, however, the treaty system also seeks to interpellate Native polities into U.S. political discourses, presupposing (and imposing) forms of governance and occupancy that facilitate the cession of land.12 </w:t>
      </w:r>
      <w:r w:rsidRPr="00087A72">
        <w:rPr>
          <w:rStyle w:val="StyleUnderline"/>
        </w:rPr>
        <w:t>While in one sense acknowledging Native peoples as "separate" entities from the United States, the treaty based Indian policy of the late eighteenth and nineteenth centuries also sought to confirm the United States' "ultimate title in the land itself," thereby indicating the stresses generated by the narration of Native nations as domestic.</w:t>
      </w:r>
      <w:r w:rsidRPr="00087A72">
        <w:rPr>
          <w:sz w:val="8"/>
        </w:rPr>
        <w:t xml:space="preserve"> Dispensing with treaties, though, does not eliminate such strain or the normative difficulties it creates for validating U.S. authority over Native populations and lands, instead it sim ply tries to displace the problem of legitimacy which still returns insistently to trouble U.S. legal discourses.13 </w:t>
      </w:r>
      <w:r w:rsidRPr="00087A72">
        <w:rPr>
          <w:rStyle w:val="StyleUnderline"/>
        </w:rPr>
        <w:t>The potential disjuncture in U.S. jurisdiction opened by the presence of non-national entities with claims to land ostensibly inside the nation is sutured over by proclaiming a "sovereignty" that supposedly alleviates the potential "conflict" between U.S. and Native mappings.</w:t>
      </w:r>
      <w:r w:rsidRPr="00087A72">
        <w:rPr>
          <w:sz w:val="8"/>
        </w:rPr>
        <w:t xml:space="preserve"> Presented as simply logically following from Native peoples' residence on "territory admitted to compose a part of the United States,"14 </w:t>
      </w:r>
      <w:r w:rsidRPr="00087A72">
        <w:rPr>
          <w:rStyle w:val="StyleUnderline"/>
        </w:rPr>
        <w:t>the invocation of sovereignty casts them as exceptional, an aberration from the normal operation of law but one contained within the broader sphere of U.S. national authority. "Indian tribes" have only a "possessory right" or "quasi-sovereign" claims, but "ultimate title," the decisions reassuringly indicate, lies with the United States. Yet rather than providing an underlying framework in which to situate Indigenous populations, sovereignty instead appears as a mutable figure that enables their occupancy to be portrayed as "peculiar</w:t>
      </w:r>
      <w:r w:rsidRPr="00087A72">
        <w:rPr>
          <w:sz w:val="8"/>
        </w:rPr>
        <w:t xml:space="preserve">." Discursively, it bridges the logical and legal chasm between the political autonomy indexed by the treaty system and the depiction of Indigenous populations as domestic subjects. </w:t>
      </w:r>
      <w:r w:rsidRPr="00087A72">
        <w:rPr>
          <w:rStyle w:val="StyleUnderline"/>
        </w:rPr>
        <w:t>U.S. political discourses seek to contain the instability of the settler-state by repeatedly declaring the nation's geopolitical unity, but at moments when that avowal is brought into crisis by the continuing presence and operation of Native polities, the topos of sovereignty emerges, as if it exists before and beyond the specific legal questions at stake in any particular case or act of policy making</w:t>
      </w:r>
      <w:r w:rsidRPr="00087A72">
        <w:rPr>
          <w:sz w:val="8"/>
        </w:rPr>
        <w:t>. As Judith Butler suggests, "</w:t>
      </w:r>
      <w:r w:rsidRPr="00087A72">
        <w:rPr>
          <w:rStyle w:val="StyleUnderline"/>
        </w:rPr>
        <w:t>it is not that sovereignty exists as a possession that the US is said to 'have/ ... Grammar defeats us here. Sovereignty is what is tactically produced through the very mechanism of its self-justification</w:t>
      </w:r>
      <w:r w:rsidRPr="00087A72">
        <w:rPr>
          <w:sz w:val="8"/>
        </w:rPr>
        <w:t xml:space="preserve">" (82).15 The citation of sovereignty in this completely open-ended but rhetorically foundationalizing way suggests a potentially unlimited capacity to (re)define what will count as the organizing framework of political order. The performative citation of sovereignty by the United States depends on the creation of a state of exception for Native peoples. </w:t>
      </w:r>
      <w:r w:rsidRPr="00087A72">
        <w:rPr>
          <w:rStyle w:val="StyleUnderline"/>
        </w:rPr>
        <w:t>The content of "sovereignty" in the decisions is the assertion of the authority to treat Native peoples as having constrained, diminished, political control over themselves and their lands, and such a contention rests on the assumption that despite their existence before and after the founding of the United States as "separate people[s], with the power of regulating their internal and social relations" (U.S. v. Kagama, 381 82),</w:t>
      </w:r>
      <w:r w:rsidRPr="00087A72">
        <w:rPr>
          <w:sz w:val="8"/>
        </w:rPr>
        <w:t xml:space="preserve"> they somehow do not have equivalent status to "foreign" nations. As Agamben observes, "</w:t>
      </w:r>
      <w:r w:rsidRPr="00087A72">
        <w:rPr>
          <w:rStyle w:val="StyleUnderline"/>
        </w:rPr>
        <w:t>the state of exception is . . . the principle of every juridical localization, since only the state of exception opens the space in which the determination of a certain juridical order and a particular territory first becomes possible</w:t>
      </w:r>
      <w:r w:rsidRPr="00087A72">
        <w:rPr>
          <w:sz w:val="8"/>
        </w:rPr>
        <w:t xml:space="preserve">" (19). The </w:t>
      </w:r>
      <w:r w:rsidRPr="00087A72">
        <w:rPr>
          <w:rStyle w:val="StyleUnderline"/>
        </w:rPr>
        <w:t>jurisdictional imaginary of the United States is made possible only by localizing Native peoples, in the sense of circumscribing their political power/ status and portraying Indian policy as an aberration divorced from the principles at play in the rest of U.S. law, and that process of exception quite literally opens the space for a legal geography predicated on the territorial coherence of the nation</w:t>
      </w:r>
      <w:r w:rsidRPr="00087A72">
        <w:rPr>
          <w:sz w:val="8"/>
        </w:rPr>
        <w:t>. While it rhetorically appears to validate or underwrite U.S. law, the figure of sovereignty results from the exception, making possible the founding of the regime of domestic policy. U.S. authority over Native peoples cannot be derived from the constitutional order of law, instead, in Agamben's terms, "</w:t>
      </w:r>
      <w:r w:rsidRPr="00087A72">
        <w:rPr>
          <w:rStyle w:val="StyleUnderline"/>
        </w:rPr>
        <w:t>tracing a threshold ... on the basis of which outside and inside, the normal situation and chaos, enter into those complex topological relations that make the validity of the juridical order possible</w:t>
      </w:r>
      <w:r w:rsidRPr="00087A72">
        <w:rPr>
          <w:sz w:val="8"/>
        </w:rPr>
        <w:t xml:space="preserve">" (19). </w:t>
      </w:r>
      <w:r w:rsidRPr="00087A72">
        <w:rPr>
          <w:rStyle w:val="StyleUnderline"/>
        </w:rPr>
        <w:t>Those political collectivities whose occupancy does not fit the geopolitical ideal/imaginary of the state are left abandoned by it, "exposed and threatened on the threshold" of the juridical order that is made possible and validated by their exception</w:t>
      </w:r>
      <w:r w:rsidRPr="00087A72">
        <w:rPr>
          <w:sz w:val="8"/>
        </w:rPr>
        <w:t xml:space="preserve"> (28). From that perspective</w:t>
      </w:r>
      <w:r w:rsidRPr="00087A72">
        <w:rPr>
          <w:rStyle w:val="StyleUnderline"/>
        </w:rPr>
        <w:t>, settler-state sovereignty can be viewed less as an expression of the nation's rightful control over the land within its boundaries than the topological production of the impression of boundedness by banning-rendering "peculiar," "anomalous," "unique," "special"-competing claims to place and collectivity</w:t>
      </w:r>
      <w:r w:rsidRPr="00087A72">
        <w:rPr>
          <w:sz w:val="8"/>
        </w:rPr>
        <w:t xml:space="preserve">.16 This line of thought further suggests that if the validity of national policy is presented as being derived from the underlying fact of sovereignty, such a claim to legitimacy itself relies on the promulgation of an exception that rests on nothing more than the absoluteness with which it is articulated and enforced. </w:t>
      </w:r>
      <w:bookmarkEnd w:id="46"/>
    </w:p>
    <w:p w:rsidR="00032E5A" w:rsidRPr="00087A72" w:rsidRDefault="00032E5A" w:rsidP="00BF6777">
      <w:pPr>
        <w:pStyle w:val="Heading3"/>
      </w:pPr>
      <w:r w:rsidRPr="00087A72">
        <w:t>Alt Solves – Rejection Key</w:t>
      </w:r>
    </w:p>
    <w:p w:rsidR="00032E5A" w:rsidRPr="00087A72" w:rsidRDefault="00032E5A" w:rsidP="00032E5A">
      <w:pPr>
        <w:pStyle w:val="Heading4"/>
        <w:rPr>
          <w:rStyle w:val="Style13ptBold"/>
          <w:b/>
        </w:rPr>
      </w:pPr>
      <w:r w:rsidRPr="00087A72">
        <w:rPr>
          <w:rStyle w:val="Style13ptBold"/>
          <w:b/>
        </w:rPr>
        <w:t>Alternative methodologies can’t solve without complete refusal – accommodating the white settler into the alternative causes reimagination of epistemology to fail – the alt must disinvest in settler futurity and refuse to soothe settler anxieties</w:t>
      </w:r>
    </w:p>
    <w:p w:rsidR="00032E5A" w:rsidRPr="00087A72" w:rsidRDefault="00032E5A" w:rsidP="00032E5A">
      <w:pPr>
        <w:rPr>
          <w:rStyle w:val="Style13ptBold"/>
        </w:rPr>
      </w:pPr>
      <w:r w:rsidRPr="00087A72">
        <w:rPr>
          <w:rStyle w:val="Style13ptBold"/>
        </w:rPr>
        <w:t xml:space="preserve">TUCK &amp; GAZTAMBIDE-FERNÁNDEZ, 2013 </w:t>
      </w:r>
      <w:r w:rsidRPr="00087A72">
        <w:rPr>
          <w:rStyle w:val="Style13ptBold"/>
          <w:sz w:val="20"/>
          <w:szCs w:val="20"/>
        </w:rPr>
        <w:t xml:space="preserve">(Associate Professor of Critical Race and Indigenous Studies at the Ontario Institute for Studies in Education (OISE), University of Toronto, “Curriculum, Replacement, and Settler Futurity”, </w:t>
      </w:r>
      <w:r w:rsidRPr="00087A72">
        <w:rPr>
          <w:rStyle w:val="Style13ptBold"/>
          <w:i/>
          <w:sz w:val="20"/>
          <w:szCs w:val="20"/>
        </w:rPr>
        <w:t>Journal of Curriculum Theorizing</w:t>
      </w:r>
      <w:r w:rsidRPr="00087A72">
        <w:rPr>
          <w:rStyle w:val="Style13ptBold"/>
          <w:sz w:val="20"/>
          <w:szCs w:val="20"/>
        </w:rPr>
        <w:t>, Vol. 29, No. 1, pp. 84-86) [SP]</w:t>
      </w:r>
    </w:p>
    <w:p w:rsidR="00032E5A" w:rsidRPr="00087A72" w:rsidRDefault="00032E5A" w:rsidP="00032E5A">
      <w:pPr>
        <w:rPr>
          <w:sz w:val="16"/>
        </w:rPr>
      </w:pPr>
      <w:r w:rsidRPr="00087A72">
        <w:rPr>
          <w:u w:val="single"/>
        </w:rPr>
        <w:t>The term rematriation refers to the work of community members and scholars in curriculum studies who directly address the complicity of curriculum in the maintenance of settler colonialism</w:t>
      </w:r>
      <w:r w:rsidRPr="00087A72">
        <w:rPr>
          <w:sz w:val="16"/>
        </w:rPr>
        <w:t xml:space="preserve"> (Tuck, 2011). While not yet fully theorized, we discuss rematriation here because it, by design, aims to undercut and undermine the legacy of settler colonialism in curriculum. </w:t>
      </w:r>
      <w:r w:rsidRPr="00087A72">
        <w:rPr>
          <w:u w:val="single"/>
        </w:rPr>
        <w:t>Rematriation can be described as a form of what Donald (2012b) calls an ethical relationality, an “ecological” understanding of human relationality that does not deny difference, seeks to understand mutual implication</w:t>
      </w:r>
      <w:r w:rsidRPr="00087A72">
        <w:rPr>
          <w:sz w:val="16"/>
        </w:rPr>
        <w:t xml:space="preserve">, puts Indigenous epistemologies at the forefront, and requires a more public form of memory. 85 </w:t>
      </w:r>
      <w:r w:rsidRPr="00087A72">
        <w:rPr>
          <w:u w:val="single"/>
        </w:rPr>
        <w:t>Rematriation involves rethinking the aims of research in curriculum studies so that Indigenous communities and other over-researched but invisibilized communities can reject narratives and theories that have been used against us</w:t>
      </w:r>
      <w:r w:rsidRPr="00087A72">
        <w:rPr>
          <w:sz w:val="16"/>
        </w:rPr>
        <w:t xml:space="preserve">, and re-story knowledge and research to forward our own sovereignty and wellbeing (Tuck, 2009). This framework is borne out of the insistence that the academy does not need to know everything. Not everything, or even most things uncovered in a community-based inquiry process need to be reported in academic journals or settings. There are some stories that the academy has not proved itself to be worthy of knowing (See also Tuck &amp; Yang, forthcoming). </w:t>
      </w:r>
      <w:r w:rsidRPr="00087A72">
        <w:rPr>
          <w:u w:val="single"/>
        </w:rPr>
        <w:t xml:space="preserve">Elsewhere, Tuck has proposed the following rematriated aims of curriculum studies: remembering the true purposes of knowledge in/for our communities: • uncovering the quiet thoughts and beliefs of a community • mapping the variety of ideas in a community • making generational knowledge of elders, youth, parents, warriors, hunters, leaders, gardeners, fishers, teachers, and others available to other generations • using home languages to express ideas, and to bring new language to new and recovered ideas </w:t>
      </w:r>
      <w:r w:rsidRPr="00087A72">
        <w:rPr>
          <w:sz w:val="16"/>
        </w:rPr>
        <w:t xml:space="preserve">• honoring all of our relations by engaging in the flow of knowledge in community in ways that reflect epistemology/cosmology and relationships to land (Tuck, 2011, p. 36). Rematriation is a curricular project to be engaged by Indigenous peoples in participatory processes, the results of which may never feed back to the academy. It intends to break the loop of academic appropriation of Indigenous knowledge, and in doing so, challenges many of the assumptions about the inherent beneficence of the academic gaze. It makes some of what has been collected by academic researchers off limits, and installs limits on what can be harvested in the future. Though </w:t>
      </w:r>
      <w:r w:rsidRPr="00087A72">
        <w:rPr>
          <w:u w:val="single"/>
        </w:rPr>
        <w:t>sometimes Indigenous scholars carefully articulate their frameworks so that they cannot be interpreted as separatist, there are no safeguards in place against this interpretation. Indeed, it is a framework that insulates itself away from the larger body of curriculum studies work.</w:t>
      </w:r>
      <w:r w:rsidRPr="00087A72">
        <w:rPr>
          <w:sz w:val="16"/>
        </w:rPr>
        <w:t xml:space="preserve"> It does not try to intervene on the larger field, except for by example, and thus does not try to rescue curriculum studies from its own problematic tendencies. In terms of effectiveness or capacity to intervene upon the curricular project of replacement, therein lies the problem. As a framework invested in Indigenous futurity, and not in settler futurity, rematriation offers little in terms of lifeboats. Instead, it insists that there are forms of knowledge that persist outside of the colonial territory, and says, no, you can’t have them</w:t>
      </w:r>
      <w:r w:rsidRPr="00087A72">
        <w:rPr>
          <w:u w:val="single"/>
        </w:rPr>
        <w:t>. Rematriation performs as a refusal in relation to the larger curriculum field. Refusal One of the core reasons that each of the interventions we have described above has failed to interrupt settler colonialism and settler colonial replacement is that each has tried to make powerful shifts without alienating white settlers. In part, this is because of complaints by white settlers, such as “well, now what am I supposed to do?” and “how will I fit into this?” The expectation is that any viable alternative frame will account for the needs of the settler, address 86 their anxieties, and assure them that nothing is going to require them to change or disrupt their lives</w:t>
      </w:r>
      <w:r w:rsidRPr="00087A72">
        <w:rPr>
          <w:sz w:val="16"/>
        </w:rPr>
        <w:t xml:space="preserve">. </w:t>
      </w:r>
      <w:r w:rsidRPr="00087A72">
        <w:rPr>
          <w:u w:val="single"/>
        </w:rPr>
        <w:t>Insofar as these and other interventions try to accommodate the affect of the settler, they cannot succeed in reshaping or reimagining curriculum studies. What is needed is a discourse of refusal, refusing to require that new works in curriculum studies soothe settler anxieties.</w:t>
      </w:r>
      <w:r w:rsidRPr="00087A72">
        <w:rPr>
          <w:sz w:val="16"/>
        </w:rPr>
        <w:t xml:space="preserve"> </w:t>
      </w:r>
      <w:r w:rsidRPr="00087A72">
        <w:rPr>
          <w:b/>
          <w:u w:val="single"/>
        </w:rPr>
        <w:t>There must be work inside curriculum studies that dis-invests in settler futurity, that refuses to intervene, that observes a writ of “do not resuscitate.”</w:t>
      </w:r>
      <w:r w:rsidRPr="00087A72">
        <w:rPr>
          <w:sz w:val="16"/>
        </w:rPr>
        <w:t xml:space="preserve"> This refusal is not just a no, it is what is needed to generate work that is useful to us. But it is also not an invitation, it is an exaction. </w:t>
      </w:r>
      <w:r w:rsidRPr="00087A72">
        <w:rPr>
          <w:u w:val="single"/>
        </w:rPr>
        <w:t>We exact expropriation; to speak without explication; to claim without settler colonial justification; to refuse any response or allegation. Meanwhile, settlers in curriculum studies must hold one another accountable when they invade emergent work by requiring it to comfort their dis-ease</w:t>
      </w:r>
      <w:r w:rsidRPr="00087A72">
        <w:rPr>
          <w:sz w:val="16"/>
        </w:rPr>
        <w:t>. That is as far as we will go to provide instructions. There isn’t an easy ending. We anticipate that even with all of these refusals and exactions, this article is just as likely as any other to be incorporated and absorbed – our lines quoted, APA style, to either agree or dismiss, in some dusty footnote at the end of some argument about the proper way to do curriculum studies. We wonder who will notice when the Natty Bumppos of the field will both praise and dismiss, remove and replace, take what is necessary and position themselves, once again, as the true “native,” the true inheritors of a postpost-reconceptualized re-occupation. The most cynical view is that refusals will always be replaced as long as the vestiges of settler colonialism in curriculum studies go unobserved. Refusers will be erased, subtly written off the page as remnants of the past in a settler colonial future, and like Chingachgook, who was replaced by Natty Bumppo, their names will be misspelled on their gravestones.</w:t>
      </w:r>
    </w:p>
    <w:p w:rsidR="00BF6777" w:rsidRPr="00087A72" w:rsidRDefault="00BF6777" w:rsidP="00BF6777">
      <w:pPr>
        <w:pStyle w:val="Heading3"/>
      </w:pPr>
      <w:r w:rsidRPr="00087A72">
        <w:t>Alt Solves – White Supremacy</w:t>
      </w:r>
    </w:p>
    <w:p w:rsidR="00BF6777" w:rsidRPr="00087A72" w:rsidRDefault="00BF6777" w:rsidP="00BF6777">
      <w:pPr>
        <w:pStyle w:val="Heading4"/>
      </w:pPr>
      <w:r w:rsidRPr="00087A72">
        <w:t xml:space="preserve">Alt solves and prevents whiteness impact. The alternatice is the only solvency. The ideal social actor embedded in white settler epistemology is a guiding force that exists relationally to individual actors, resistance is the only way to guarantee a step away from the world of whiteness. Resistance means different things to different people, but is centralized around certain ideas, ideas to reject attempts like the affirmative to reinforce the ideas of white supremacy. </w:t>
      </w:r>
    </w:p>
    <w:p w:rsidR="00BF6777" w:rsidRPr="00087A72" w:rsidRDefault="00BF6777" w:rsidP="00BF6777">
      <w:r w:rsidRPr="00087A72">
        <w:rPr>
          <w:rStyle w:val="Style13ptBold"/>
        </w:rPr>
        <w:t xml:space="preserve">Seawright 2014 </w:t>
      </w:r>
      <w:r w:rsidRPr="00087A72">
        <w:t xml:space="preserve">(Gardner doctoral candidate in the Education, Culture, and Society department at the University of Utah, and will graduate in May 2018. His studies focus on the everyday presence of whiteness within educational spaces, as well as the possibilities of challenging this reality “Settler Traditions of Place: Making Explicit the Epistemological Legacy of White Supremacy and Settler Colonialism for Place-Based Education” </w:t>
      </w:r>
      <w:r w:rsidRPr="00087A72">
        <w:rPr>
          <w:i/>
        </w:rPr>
        <w:t>A Journal of the American Educational Studies Association</w:t>
      </w:r>
      <w:r w:rsidRPr="00087A72">
        <w:t>. 50:6, 554-572, pp.569-571)</w:t>
      </w:r>
    </w:p>
    <w:p w:rsidR="00BF6777" w:rsidRPr="00087A72" w:rsidRDefault="00BF6777" w:rsidP="00BF6777">
      <w:pPr>
        <w:rPr>
          <w:sz w:val="8"/>
        </w:rPr>
      </w:pPr>
      <w:r w:rsidRPr="00087A72">
        <w:rPr>
          <w:sz w:val="8"/>
        </w:rPr>
        <w:t>SETTLER TRADITION AND PLACE-BASED EDUCATION The importance of contextualizing Western traditions of place in relation to white supremacy and settler colonialism when implementing place-based education depends on the goals and orientation of the educational strategy. If there is a desire to be broadly oriented toward social and ecological justice, toward decolonization (and the repatriation of indigenous lands), then these histories must be considered alongside their guiding epistemological framework</w:t>
      </w:r>
      <w:r w:rsidRPr="00087A72">
        <w:rPr>
          <w:rStyle w:val="StyleUnderline"/>
        </w:rPr>
        <w:t>. Not exposing the foundational Western beliefs in ownership and private property in critical place-based education is akin to not correlating anti-racism with white-privilege.</w:t>
      </w:r>
      <w:r w:rsidRPr="00087A72">
        <w:rPr>
          <w:sz w:val="8"/>
        </w:rPr>
        <w:t xml:space="preserve"> The colonial impulse to dominate and control nature is embedded in the official knowledge of schools. Challenging this traditional Western theory of place is already being done by ecojustice educators (Martusewicz et al. 2011) and can be found in Indigenous communities’ long legacy of ecologically sophisticated place-based education (Cajete 1994, 1999; Deloria and Wildcat 2001; Kawagley and Barnhardt 1999). </w:t>
      </w:r>
      <w:r w:rsidRPr="00087A72">
        <w:rPr>
          <w:rStyle w:val="StyleUnderline"/>
        </w:rPr>
        <w:t>Educators and educational scholars whose work is rooted in Indigenous epistemologies have emphasized the need to interrogate Western perceptions of reality.</w:t>
      </w:r>
      <w:r w:rsidRPr="00087A72">
        <w:rPr>
          <w:sz w:val="8"/>
        </w:rPr>
        <w:t xml:space="preserve"> Critique provided by Vine Deloria, Jr. and Daniel Wildcat (2001) suggests that </w:t>
      </w:r>
      <w:r w:rsidRPr="00087A72">
        <w:rPr>
          <w:rStyle w:val="StyleUnderline"/>
        </w:rPr>
        <w:t>education rooted in Western understandings of the world provides no insight regarding “living relationships” and the processes between humans and the living world</w:t>
      </w:r>
      <w:r w:rsidRPr="00087A72">
        <w:rPr>
          <w:sz w:val="8"/>
        </w:rPr>
        <w:t xml:space="preserve"> (31). Michael Marker (2006) suggests that Western schools are disconnected from place, history and a narrated past; the “destination of schooling is away from land and community and toward a scientific/technological attitude about relationships between humans and animals” (493). These endeavors to critique and epistemologically engage must continue and build from the foundation laid by these scholars. The </w:t>
      </w:r>
      <w:r w:rsidRPr="00087A72">
        <w:rPr>
          <w:rStyle w:val="StyleUnderline"/>
        </w:rPr>
        <w:t>Western understanding of land and the natural world is not a simple abstract perception that can be altered with a competing ecologically informed perception. The dominant understanding of place is a product of how the settler-self is constituted within white settler epistemology</w:t>
      </w:r>
      <w:r w:rsidRPr="00087A72">
        <w:rPr>
          <w:sz w:val="8"/>
        </w:rPr>
        <w:t xml:space="preserve">. </w:t>
      </w:r>
      <w:r w:rsidRPr="00087A72">
        <w:rPr>
          <w:rStyle w:val="StyleUnderline"/>
        </w:rPr>
        <w:t>Settler identity is linked to the dominant interpretation of land</w:t>
      </w:r>
      <w:r w:rsidRPr="00087A72">
        <w:rPr>
          <w:sz w:val="8"/>
        </w:rPr>
        <w:t xml:space="preserve">. Michael Marker (2006) points to this, and argues that </w:t>
      </w:r>
      <w:r w:rsidRPr="00087A72">
        <w:rPr>
          <w:rStyle w:val="StyleUnderline"/>
        </w:rPr>
        <w:t>Indigenous knowledges are a threat to Western claims of “authenticity in relation to land and identity” and present a “direct challenge to the core assumptions about life’s goals and purpose</w:t>
      </w:r>
      <w:r w:rsidRPr="00087A72">
        <w:rPr>
          <w:sz w:val="8"/>
        </w:rPr>
        <w:t xml:space="preserve">” (486). The </w:t>
      </w:r>
      <w:r w:rsidRPr="00087A72">
        <w:rPr>
          <w:rStyle w:val="StyleUnderline"/>
        </w:rPr>
        <w:t>foundational relationship between place, white supremacy, and settler colonialism needs to continue to be contended with in social- and ecojustice education</w:t>
      </w:r>
      <w:r w:rsidRPr="00087A72">
        <w:rPr>
          <w:sz w:val="8"/>
        </w:rPr>
        <w:t xml:space="preserve">. An </w:t>
      </w:r>
      <w:r w:rsidRPr="00087A72">
        <w:rPr>
          <w:rStyle w:val="StyleUnderline"/>
        </w:rPr>
        <w:t>effective place-based education</w:t>
      </w:r>
      <w:r w:rsidRPr="00087A72">
        <w:rPr>
          <w:sz w:val="8"/>
        </w:rPr>
        <w:t xml:space="preserve"> not only 570 </w:t>
      </w:r>
      <w:r w:rsidRPr="00087A72">
        <w:rPr>
          <w:rStyle w:val="StyleUnderline"/>
        </w:rPr>
        <w:t>reshapes abstract understandings of nature and land, but provides a pathway for the tearing down and reconstruction of oppressive ontological relationships with the natural world</w:t>
      </w:r>
      <w:r w:rsidRPr="00087A72">
        <w:rPr>
          <w:sz w:val="8"/>
        </w:rPr>
        <w:t xml:space="preserve">. Conceptions of self are impacted but not determined by structural epistemology. </w:t>
      </w:r>
      <w:r w:rsidRPr="00087A72">
        <w:rPr>
          <w:rStyle w:val="StyleUnderline"/>
        </w:rPr>
        <w:t>The ideal social actor embedded in white settler epistemology is a guiding force that exists relationally to individual actors</w:t>
      </w:r>
      <w:r w:rsidRPr="00087A72">
        <w:rPr>
          <w:sz w:val="8"/>
        </w:rPr>
        <w:t xml:space="preserve">. Meaning, depending on an individual’s subject position and epistemic praxis, they will have a particular epistemic positionality that reflects how an individual is situated within networks of power, thus impacting experiential realities and the possibilities of resistance (Medina 2013). </w:t>
      </w:r>
      <w:r w:rsidRPr="00087A72">
        <w:rPr>
          <w:rStyle w:val="StyleUnderline"/>
        </w:rPr>
        <w:t xml:space="preserve">The possibilities of epistemic resistance have to be contextualized in relation to epistemic positionality, “for differently situated subjects have differential epistemic responsibilities </w:t>
      </w:r>
      <w:r w:rsidRPr="00087A72">
        <w:rPr>
          <w:sz w:val="8"/>
        </w:rPr>
        <w:t xml:space="preserve">(different not only in degree, but also in kind)” (Medina 2013, 17; emphasis in original). An individual’s subject position will shape their epistemic responsibility. In other words, </w:t>
      </w:r>
      <w:r w:rsidRPr="00087A72">
        <w:rPr>
          <w:rStyle w:val="StyleUnderline"/>
        </w:rPr>
        <w:t>white-setter epistemology curates an ideal social actor established upon racist and sexist norms, and there is an epistemic responsibility to resist that construction, but that resistance is going to depend on individual positionality in relation to that ideal social actor</w:t>
      </w:r>
      <w:r w:rsidRPr="00087A72">
        <w:rPr>
          <w:sz w:val="8"/>
        </w:rPr>
        <w:t xml:space="preserve">. There must be a process of self-estrangement and self-problematization based on how individual ontologies are constructed and how the ontological self correlates to the ideals of the prevailing epistemology. This self-estrangement can be facilitated through place-based educations. Ultimately, this article is an argument for more socially and ecologically just educations that are epistemologically informed. </w:t>
      </w:r>
      <w:r w:rsidRPr="00087A72">
        <w:rPr>
          <w:rStyle w:val="StyleUnderline"/>
        </w:rPr>
        <w:t>Ongoing critical epistemic introspection is one of the key steps in trying to counter injustice. But this is no easy task</w:t>
      </w:r>
      <w:r w:rsidRPr="00087A72">
        <w:rPr>
          <w:sz w:val="8"/>
        </w:rPr>
        <w:t>, as Jose Medina (2013) has pointed out: “</w:t>
      </w:r>
      <w:r w:rsidRPr="00087A72">
        <w:rPr>
          <w:rStyle w:val="StyleUnderline"/>
        </w:rPr>
        <w:t>Our cognitive, affective, and politi- ´ cal lives are permeated by different forms of conformity and resistance that shape our lives in various [not always fully coherent] ways</w:t>
      </w:r>
      <w:r w:rsidRPr="00087A72">
        <w:rPr>
          <w:sz w:val="8"/>
        </w:rPr>
        <w:t xml:space="preserve">” (14). With this in mind, the position I have </w:t>
      </w:r>
      <w:r w:rsidRPr="00087A72">
        <w:rPr>
          <w:rStyle w:val="StyleUnderline"/>
        </w:rPr>
        <w:t>articulated here is a call for epistemic resistance, which will mean different things for different people. Cognitive and emotional turmoil will manifest in a variety of ways, but it is this turmoil—this epistemic friction—that is necessary for critical epistemic introspection and for the deconstruction of structural oppressive epistemologies. Medina suggests that epistemic friction encourages the two poles of a resistance feedback loop, resistant experiences and resistant imaginations</w:t>
      </w:r>
      <w:r w:rsidRPr="00087A72">
        <w:rPr>
          <w:sz w:val="8"/>
        </w:rPr>
        <w:t xml:space="preserve">. </w:t>
      </w:r>
      <w:r w:rsidRPr="00087A72">
        <w:rPr>
          <w:rStyle w:val="StyleUnderline"/>
        </w:rPr>
        <w:t>Friction hopefully encourages the imagination of a better epistemic reality, which hopefully leads to alternative epistemic praxis that, in turn, leads to additional friction and a refreshed critical imagination—and so on and so forth</w:t>
      </w:r>
      <w:r w:rsidRPr="00087A72">
        <w:rPr>
          <w:sz w:val="8"/>
        </w:rPr>
        <w:t xml:space="preserve">. Place-based education holds the radical potential to situate this epistemic reality and be part of a watershed of collective critical imagination that can alter the violent relationships with humans and the more-than-human world. I agree with David Greenwood (2013a) when he suggests that “it is necessary to look back across time, and to look beyond schooling, for the places and selves we may not yet know” (99, emphasis added). </w:t>
      </w:r>
      <w:r w:rsidRPr="00087A72">
        <w:rPr>
          <w:rStyle w:val="StyleUnderline"/>
        </w:rPr>
        <w:t xml:space="preserve">A process of critically looking back and imagining a better place to decolonize current epistemological realities—to </w:t>
      </w:r>
      <w:r w:rsidRPr="00087A72">
        <w:rPr>
          <w:sz w:val="8"/>
        </w:rPr>
        <w:t xml:space="preserve">571 </w:t>
      </w:r>
      <w:r w:rsidRPr="00087A72">
        <w:rPr>
          <w:rStyle w:val="StyleUnderline"/>
        </w:rPr>
        <w:t>engage in an active process of sabotage</w:t>
      </w:r>
      <w:r w:rsidRPr="00087A72">
        <w:rPr>
          <w:sz w:val="8"/>
        </w:rPr>
        <w:t xml:space="preserve"> (self-sabotage and structural sabotage</w:t>
      </w:r>
      <w:r w:rsidRPr="00087A72">
        <w:rPr>
          <w:rStyle w:val="StyleUnderline"/>
        </w:rPr>
        <w:t xml:space="preserve">) and reconstruction of previously known realities. </w:t>
      </w:r>
      <w:r w:rsidRPr="00087A72">
        <w:rPr>
          <w:sz w:val="8"/>
        </w:rPr>
        <w:t xml:space="preserve">Gregory Cajete (1999) considers all humans to harbor an innate desire to be reciprocal with nature. </w:t>
      </w:r>
      <w:r w:rsidRPr="00087A72">
        <w:rPr>
          <w:rStyle w:val="StyleUnderline"/>
        </w:rPr>
        <w:t xml:space="preserve">A system of white settler supremacy, through capitalistic structuring of society and the economization of everything, works to alienate people from a healthy relationship with the natural world and local places. </w:t>
      </w:r>
      <w:r w:rsidRPr="00087A72">
        <w:rPr>
          <w:sz w:val="8"/>
        </w:rPr>
        <w:t xml:space="preserve">Healthy, sustainable, and reciprocal relationships to the social geography we are emplaced in have been bastardized, corrupted, and perverted by the same systems that let capital, competition, and private property define life. </w:t>
      </w:r>
      <w:r w:rsidRPr="00087A72">
        <w:rPr>
          <w:rStyle w:val="StyleUnderline"/>
        </w:rPr>
        <w:t xml:space="preserve">If we desire to foster socially just ecological education than there must be awareness of the politics of place and the politics of self that challenge that future. </w:t>
      </w:r>
      <w:r w:rsidRPr="00087A72">
        <w:rPr>
          <w:sz w:val="8"/>
        </w:rPr>
        <w:t>Place-based education carries the capacity to center epistemology within a process of pushing settler society away from ecological damage and racial and gender supremacy and toward the cultivation of a healthy reciprocal relationship with the natural world.</w:t>
      </w:r>
    </w:p>
    <w:p w:rsidR="00D005A2" w:rsidRPr="00087A72" w:rsidRDefault="00D005A2" w:rsidP="00D005A2">
      <w:pPr>
        <w:pStyle w:val="Heading1"/>
      </w:pPr>
      <w:r w:rsidRPr="00087A72">
        <w:t>2NC</w:t>
      </w:r>
    </w:p>
    <w:p w:rsidR="00D005A2" w:rsidRPr="00087A72" w:rsidRDefault="00E60068" w:rsidP="00D005A2">
      <w:pPr>
        <w:pStyle w:val="Heading2"/>
      </w:pPr>
      <w:r w:rsidRPr="00087A72">
        <w:t>A2: Permutation</w:t>
      </w:r>
    </w:p>
    <w:p w:rsidR="00D66B35" w:rsidRPr="00087A72" w:rsidRDefault="00D66B35" w:rsidP="0021729E">
      <w:pPr>
        <w:pStyle w:val="Heading3"/>
      </w:pPr>
      <w:r w:rsidRPr="00087A72">
        <w:t>A2: Permutation – Footnoting</w:t>
      </w:r>
    </w:p>
    <w:p w:rsidR="00D66B35" w:rsidRPr="00087A72" w:rsidRDefault="00D66B35" w:rsidP="00D66B35">
      <w:pPr>
        <w:pStyle w:val="Heading4"/>
      </w:pPr>
      <w:r w:rsidRPr="00087A72">
        <w:t>Policy reform is a mode of inclusion which papers over the on-going colonial legacy of the settler, a retrenchment of settler authority. This positioning of the settler as the benefactor of Indigeneity allows for the violent policing of Indigenous life.</w:t>
      </w:r>
    </w:p>
    <w:p w:rsidR="00D66B35" w:rsidRPr="00087A72" w:rsidRDefault="00D66B35" w:rsidP="00D66B35">
      <w:pPr>
        <w:rPr>
          <w:i/>
        </w:rPr>
      </w:pPr>
      <w:r w:rsidRPr="00087A72">
        <w:rPr>
          <w:rStyle w:val="Style13ptBold"/>
        </w:rPr>
        <w:t xml:space="preserve">Strakosch 15 </w:t>
      </w:r>
      <w:r w:rsidRPr="00087A72">
        <w:t xml:space="preserve">(Elizabeth, Elizabeth Strakosch is Lecturer in Public Policy and Politics at the School of Political Science and International Studies at the University of Queensland, Australia. </w:t>
      </w:r>
      <w:r w:rsidRPr="00087A72">
        <w:rPr>
          <w:i/>
        </w:rPr>
        <w:t>Neoliberal Indigenous Policy, pp. 1-7)</w:t>
      </w:r>
    </w:p>
    <w:p w:rsidR="00D66B35" w:rsidRPr="00087A72" w:rsidRDefault="00D66B35" w:rsidP="00D66B35">
      <w:pPr>
        <w:rPr>
          <w:rStyle w:val="Style13ptBold"/>
          <w:i/>
        </w:rPr>
      </w:pPr>
    </w:p>
    <w:p w:rsidR="00D66B35" w:rsidRPr="00087A72" w:rsidRDefault="00D66B35" w:rsidP="00D66B35">
      <w:r w:rsidRPr="00087A72">
        <w:t xml:space="preserve">Historically, </w:t>
      </w:r>
      <w:r w:rsidRPr="00087A72">
        <w:rPr>
          <w:rStyle w:val="StyleUnderline"/>
        </w:rPr>
        <w:t>the rise of colonialism coincides with the rise of liberalism in many of the key colonising states</w:t>
      </w:r>
      <w:r w:rsidRPr="00087A72">
        <w:t xml:space="preserve"> (Ivison et al. 2000: 2; Ivison 2002; Duffield and Hewitt 2013). The relationship between these two forces therefore bears close examination. </w:t>
      </w:r>
      <w:r w:rsidRPr="00087A72">
        <w:rPr>
          <w:rStyle w:val="StyleUnderline"/>
        </w:rPr>
        <w:t>At the same time as European societies were developing notions of individual rights, democracy and the illegitimacy of absolute authority, they were initiating some of the most hierarchical and destructive political encounters ever seen. This apparent contradiction was at first managed by excluding Indigenous peoples from the category of capable individuals, and hence from citizenship and its associated rights</w:t>
      </w:r>
      <w:r w:rsidRPr="00087A72">
        <w:t xml:space="preserve"> (Hindess 2001). </w:t>
      </w:r>
      <w:r w:rsidRPr="00087A72">
        <w:rPr>
          <w:rStyle w:val="StyleUnderline"/>
        </w:rPr>
        <w:t>The classical liberal claim to provide equal rights</w:t>
      </w:r>
      <w:r w:rsidRPr="00087A72">
        <w:t xml:space="preserve"> to all capable individuals </w:t>
      </w:r>
      <w:r w:rsidRPr="00087A72">
        <w:rPr>
          <w:rStyle w:val="StyleUnderline"/>
        </w:rPr>
        <w:t>could therefore be sustained, despite the routine exclusion of</w:t>
      </w:r>
      <w:r w:rsidRPr="00087A72">
        <w:t xml:space="preserve"> women, non-white people, </w:t>
      </w:r>
      <w:r w:rsidRPr="00087A72">
        <w:rPr>
          <w:rStyle w:val="StyleUnderline"/>
        </w:rPr>
        <w:t>Indigenous people</w:t>
      </w:r>
      <w:r w:rsidRPr="00087A72">
        <w:t xml:space="preserve"> and workers. During the twentieth century, excluded groups demanded recognition of their capacity, and such categorical exclusions became less acceptable. In the social liberal era, 1 </w:t>
      </w:r>
      <w:r w:rsidRPr="00087A72">
        <w:rPr>
          <w:rStyle w:val="StyleUnderline"/>
        </w:rPr>
        <w:t>citizenship was extended to Indigenous people, and their inclusion in the liberal order is often viewed as the end of colonialism.</w:t>
      </w:r>
      <w:r w:rsidRPr="00087A72">
        <w:t xml:space="preserve"> It is true that, in circumstances where Indigenous people constituted majority populations, liberal enfranchisement led to the overthrow or transformation of colonial regimes. If we only consider these cases, it might seem that the full enactment of liberalism dissolves colonial relationships. Yet </w:t>
      </w:r>
      <w:r w:rsidRPr="00087A72">
        <w:rPr>
          <w:rStyle w:val="StyleUnderline"/>
        </w:rPr>
        <w:t>the settler colonies of Australia, New Zealand, Canada and the US undermine this widely accepted story. Here, Indigenous peoples constitute minorities</w:t>
      </w:r>
      <w:r w:rsidRPr="00087A72">
        <w:t xml:space="preserve">. In the social liberal era, they too were granted recognition as capable citizens, but </w:t>
      </w:r>
      <w:r w:rsidRPr="00087A72">
        <w:rPr>
          <w:rStyle w:val="StyleUnderline"/>
        </w:rPr>
        <w:t>this inclusion has not led to formal decolonisation or even to substantial institutional reform</w:t>
      </w:r>
      <w:r w:rsidRPr="00087A72">
        <w:t xml:space="preserve">. As I argue in the following chapter, </w:t>
      </w:r>
      <w:r w:rsidRPr="00087A72">
        <w:rPr>
          <w:rStyle w:val="StyleUnderline"/>
        </w:rPr>
        <w:t>distributions of land, jurisdiction and political authority remain largely the same</w:t>
      </w:r>
      <w:r w:rsidRPr="00087A72">
        <w:t xml:space="preserve">. In fact, </w:t>
      </w:r>
      <w:r w:rsidRPr="00087A72">
        <w:rPr>
          <w:rStyle w:val="StyleUnderline"/>
        </w:rPr>
        <w:t>because these states tend to see the extension of liberal citizenship as ending colonialism and foreclosing further Indigenous claims, such inclusion entrenches rather than dismantles existing settler authority.</w:t>
      </w:r>
      <w:r w:rsidRPr="00087A72">
        <w:t xml:space="preserve"> </w:t>
      </w:r>
      <w:r w:rsidRPr="00087A72">
        <w:rPr>
          <w:rStyle w:val="StyleUnderline"/>
        </w:rPr>
        <w:t>Indigenous demands for decolonisation beyond inclusion in the settler order continue, but appear anachronistic to the settler majority.</w:t>
      </w:r>
      <w:r w:rsidRPr="00087A72">
        <w:t xml:space="preserve"> In such circumstances there is a more complex and facilitative relationship between liberalism and colonialism. Existing Indigenous and anti-colonial critiques of social liberal inclusionary regimes are persuasive. They challenge the postcolonial selfimage of settler states in profound and productive ways. However, such </w:t>
      </w:r>
      <w:r w:rsidRPr="00087A72">
        <w:rPr>
          <w:rStyle w:val="StyleUnderline"/>
        </w:rPr>
        <w:t>critiques remain focused on the ‘rights-bestowing’ social liberal order, and have yet to take account of the decline of these regimes. The progressive multicultural state that recognises and dispenses entitlements to morally authoritative claimants already seems like a figure of nostalgia</w:t>
      </w:r>
      <w:r w:rsidRPr="00087A72">
        <w:t xml:space="preserve">. Over many decades, </w:t>
      </w:r>
      <w:r w:rsidRPr="00087A72">
        <w:rPr>
          <w:rStyle w:val="StyleUnderline"/>
        </w:rPr>
        <w:t>neoliberal logics have undermined this construction of the enfolding state that can extend its benefits in potentially infinite directions. Neoliberalism relies on a language of economic insecurity as justification for comprehensive reforms to increase competitiveness, efficiency and responsibility, and to delegitimise claims on the state</w:t>
      </w:r>
      <w:r w:rsidRPr="00087A72">
        <w:t>. It celebrates the self-reliant, capable individual and denounces state regulation of such individuals as unproductive. However</w:t>
      </w:r>
      <w:r w:rsidRPr="00087A72">
        <w:rPr>
          <w:rStyle w:val="StyleUnderline"/>
        </w:rPr>
        <w:t>, it</w:t>
      </w:r>
      <w:r w:rsidRPr="00087A72">
        <w:t xml:space="preserve"> simultaneously </w:t>
      </w:r>
      <w:r w:rsidRPr="00087A72">
        <w:rPr>
          <w:rStyle w:val="StyleUnderline"/>
        </w:rPr>
        <w:t>allows increased coercion by the state where individuals or groups are deemed to lack appropriate capacity. Along with most domestic social policy, Indigenous programs in the Anglophone settler colonies of Australia, Canada, New Zealand and the US are increasingly less concerned with ensuring entitlements or extending Indigenous rights. Instead, they focus on individual economic participation</w:t>
      </w:r>
      <w:r w:rsidRPr="00087A72">
        <w:t xml:space="preserve">, and operate through networks, markets, contracts and disciplinary ‘workfare’ regimes. In some cases, such as in the 2007 Australian Northern Territory Emergency Response, the state actually suspends certain Indigenous citizen entitlements, and unilaterally compels Indigenous people to act in particular ways. This book traces the shift between social liberal and neoliberal political regimes in these settler colonies. How is the relationship between Indigenous peoples and settlers changing in this new liberal configuration? What does settler colonialism look like as the social democratic, inclusive state transforms? It is tempting to see the shift to a neoliberal settler colonial order as a return to Indigenous exclusion. </w:t>
      </w:r>
      <w:r w:rsidRPr="00087A72">
        <w:rPr>
          <w:rStyle w:val="StyleUnderline"/>
        </w:rPr>
        <w:t>Certain pathologising, paternalistic and racially based neoliberal practices are all too familiar; analysts diagnose a regression to early liberal policy regimes such as protectionism and assimilation.</w:t>
      </w:r>
      <w:r w:rsidRPr="00087A72">
        <w:t xml:space="preserve"> Progressive responses, therefore, tend to focus on defending Indigenous social liberal entitlements against the neoliberal encroachment, and rescuing a progressive liberal teleology from the neoliberal ‘wrong turn’. Yet </w:t>
      </w:r>
      <w:r w:rsidRPr="00087A72">
        <w:rPr>
          <w:rStyle w:val="StyleUnderline"/>
        </w:rPr>
        <w:t>this response elides the fact that neoliberal practices of exclusion are often temporary and take place on the terrain of formal Indigenous citizenship – they constitute de facto exclusion despite de jure inclusion. An unreflective defence of social liberalism also forgets that inclusion itself is a powerful and subtle colonising practice</w:t>
      </w:r>
      <w:r w:rsidRPr="00087A72">
        <w:t xml:space="preserve">. Rather than equating neoliberalism with exclusion, I draw on the work of governmentality scholars such as Barry Hindess to argue that neoliberalism brings a newly flexible relationship between inclusion and exclusion. In the neoliberal era, citizenship detaches from secure, categorical inclusion and permanent recognition of capacity. </w:t>
      </w:r>
      <w:r w:rsidRPr="00087A72">
        <w:rPr>
          <w:rStyle w:val="StyleUnderline"/>
        </w:rPr>
        <w:t>Where previously citizenship largely coincided with capacity, neoliberalism introduces the figure of the incapable citizen. This ambiguous position allows a subject to be formally included as a citizen, and simultaneously excluded from regimes of freedom for being temporarily ‘undeserving’ of this existing citizenship</w:t>
      </w:r>
      <w:r w:rsidRPr="00087A72">
        <w:t xml:space="preserve">. Like other neoliberal social policies, neoliberal Indigenous policy operates between the two poles of autonomy and control, and its power lies in this liminality. Indigenous selves are asked to perform their capacity in real time, and are governed through freedom or coercion accordingly. Reallocation is constant and rapid; being assessed and governed differently becomes a threat or a promise, and hence a lever. </w:t>
      </w:r>
      <w:r w:rsidRPr="00087A72">
        <w:rPr>
          <w:rStyle w:val="StyleUnderline"/>
        </w:rPr>
        <w:t>Neoliberal Indigenous policy intensifies the ambivalent position of Aboriginal people as simultaneously inside and outside the settler order, while always continuing to frame them as legitimate subjects of state policy authority</w:t>
      </w:r>
      <w:r w:rsidRPr="00087A72">
        <w:t xml:space="preserve">. Therefore, while neoliberalism reframes the political relationship between Indigenous and settler people in important ways, </w:t>
      </w:r>
      <w:r w:rsidRPr="00087A72">
        <w:rPr>
          <w:rStyle w:val="StyleUnderline"/>
        </w:rPr>
        <w:t>it continues to facilitate settler colonialism</w:t>
      </w:r>
      <w:r w:rsidRPr="00087A72">
        <w:t xml:space="preserve">. Like social liberalism, it formally includes Indigenous people as citizens and therefore claims to have resolved colonialism, but like classic liberalism, </w:t>
      </w:r>
      <w:r w:rsidRPr="00087A72">
        <w:rPr>
          <w:rStyle w:val="StyleUnderline"/>
        </w:rPr>
        <w:t>it allows the selective coercion, racial pathologisation and exclusion of Indigenous subjects in order to maintain settler privileges. It does this while emphasising economic necessity and individual welfare, and erasing the political dimensions of its actions.</w:t>
      </w:r>
      <w:r w:rsidRPr="00087A72">
        <w:t xml:space="preserve"> Neoliberalism, therefore, depoliticises and technicalises colonial hierarchies, framing them as the result of natural economic processes and individual capacity failures (Altamirano-Jiminez 2013: 4; Bargh 2002). Recuperating the political dimensions of Indigenous policy becomes especially important in these circumstances.</w:t>
      </w:r>
    </w:p>
    <w:p w:rsidR="00E60068" w:rsidRPr="00087A72" w:rsidRDefault="00E60068" w:rsidP="0021729E">
      <w:pPr>
        <w:pStyle w:val="Heading3"/>
      </w:pPr>
      <w:r w:rsidRPr="00087A72">
        <w:t>A2: Permutation – White Supremacy</w:t>
      </w:r>
    </w:p>
    <w:p w:rsidR="00E60068" w:rsidRPr="00087A72" w:rsidRDefault="00E60068" w:rsidP="00E60068">
      <w:pPr>
        <w:pStyle w:val="Heading4"/>
      </w:pPr>
      <w:r w:rsidRPr="00087A72">
        <w:t xml:space="preserve">White supremacy can only be challenged by engaging in the radical political </w:t>
      </w:r>
    </w:p>
    <w:p w:rsidR="00E60068" w:rsidRPr="00087A72" w:rsidRDefault="00E60068" w:rsidP="00E60068">
      <w:pPr>
        <w:rPr>
          <w:rFonts w:cstheme="minorHAnsi"/>
        </w:rPr>
      </w:pPr>
      <w:r w:rsidRPr="00087A72">
        <w:rPr>
          <w:rFonts w:cstheme="minorHAnsi"/>
          <w:b/>
        </w:rPr>
        <w:t>Marquez and Rana 17</w:t>
      </w:r>
      <w:r w:rsidRPr="00087A72">
        <w:rPr>
          <w:rFonts w:cstheme="minorHAnsi"/>
        </w:rPr>
        <w:t xml:space="preserve"> (Dr. Márquez’s scholarship and teaching peruse the borders of and build bridges between Black Studies, Latin@ Studies, and Native American Studies. His work facilitates conversations around prisons and punishment; critical race theory; racial capitalism; Black politics; Xicanismo; indigeneity; borders and borderlands; post-colonialism; decolonization; settler colonialism; neoliberalism; and social movement theory. Juanaid Rana is an anthropologist who writes about global capitalism, diaspora, racism, and social protest movements. He is an associate professor of Asian American Studies with appointments in the Department of Anthropology, the Center for South Asian and Middle Eastern Studies, and the Unit for Criticism and Interpretive Theory. “Black Radical Possibility and the Decolonial International” </w:t>
      </w:r>
      <w:r w:rsidRPr="00087A72">
        <w:rPr>
          <w:rFonts w:cstheme="minorHAnsi"/>
          <w:i/>
        </w:rPr>
        <w:t>South Atlantic Quarterly</w:t>
      </w:r>
      <w:r w:rsidRPr="00087A72">
        <w:rPr>
          <w:rFonts w:cstheme="minorHAnsi"/>
        </w:rPr>
        <w:t>, Vol. 3, No. 116, pp. 506-527) SR</w:t>
      </w:r>
    </w:p>
    <w:p w:rsidR="00E60068" w:rsidRPr="00087A72" w:rsidRDefault="00E60068" w:rsidP="00E60068">
      <w:pPr>
        <w:rPr>
          <w:rFonts w:cstheme="minorHAnsi"/>
          <w:u w:val="single"/>
        </w:rPr>
      </w:pPr>
      <w:r w:rsidRPr="00087A72">
        <w:rPr>
          <w:rFonts w:cstheme="minorHAnsi"/>
          <w:sz w:val="16"/>
          <w:szCs w:val="16"/>
        </w:rPr>
        <w:t>One could call it solidarity, and regardless of how analogies between Gaza and Ferguson might seem unsuitable, that day it seemed like the same playing field, the expendability of black and Palestinian bodies made clear as related, if not connected</w:t>
      </w:r>
      <w:r w:rsidRPr="00087A72">
        <w:rPr>
          <w:rFonts w:cstheme="minorHAnsi"/>
          <w:sz w:val="16"/>
          <w:szCs w:val="16"/>
          <w:u w:val="single"/>
        </w:rPr>
        <w:t>.</w:t>
      </w:r>
      <w:r w:rsidRPr="00087A72">
        <w:rPr>
          <w:rFonts w:cstheme="minorHAnsi"/>
          <w:u w:val="single"/>
        </w:rPr>
        <w:t xml:space="preserve"> And here, in such moments and examples, where expressions of solidarity are manifested organically or in spontaneous moments of rage against a global white supremacy, black politics (as filtered through African American history) represents a set of liberatory and decolo- nial politics that go beyond a conventional wisdom regarding racialized blackness and beyond the racial formation of the US nation-state. We argue that this decolonial analytic is a central component to a future struggle that draws on radical political histories. </w:t>
      </w:r>
      <w:r w:rsidRPr="00087A72">
        <w:rPr>
          <w:rFonts w:cstheme="minorHAnsi"/>
          <w:sz w:val="16"/>
          <w:szCs w:val="16"/>
        </w:rPr>
        <w:t xml:space="preserve">As a starting point, settler violence is global and interdependent on the subjugation and expendability of numer- ous subject populations that speak to a range of colonial experiences and forms of occupation and from which a political solidarity should and must emerge. For example, the settler colonial formation that depends on black and Palestinian subordination is also the possibility of black political libera- tion as internationalist liberation, or what we are calling decolonial interna- tionalism. With this we call attention to how black politics is often an axis or pivot from which reform or revolutionary social movements originate, to how insurgent connections are either made or how they can be impeded. </w:t>
      </w:r>
      <w:r w:rsidRPr="00087A72">
        <w:rPr>
          <w:rFonts w:cstheme="minorHAnsi"/>
          <w:u w:val="single"/>
        </w:rPr>
        <w:t>A decolonial internationalism is an insurgency against the rubric of white supremacy and maintains a global outlook through the radical political work of solidarity and ultimately an analytics of liberation. It is not so much place- bound, as compared to a global condition it recognizes particularity and specificity.</w:t>
      </w:r>
      <w:r w:rsidRPr="00087A72">
        <w:rPr>
          <w:rFonts w:cstheme="minorHAnsi"/>
        </w:rPr>
        <w:t xml:space="preserve"> </w:t>
      </w:r>
      <w:r w:rsidRPr="00087A72">
        <w:rPr>
          <w:rFonts w:cstheme="minorHAnsi"/>
          <w:sz w:val="16"/>
          <w:szCs w:val="16"/>
        </w:rPr>
        <w:t>That seemed clear to us again a few months later. On November 24, 2014, we were among a few hundred people gathered outside the Chicago Police Department’s headquarters in Bronzeville, a historically African American neighborhood on Chicago’s Near South Side. We came together to anticipate the grand jury ruling in the Brown case, which would decide whether Ferguson police officer Darren Wilson would face charges for Brown’s murder. This ruling was only rumored to be scheduled for release that very chilly evening. We, however, were prepared to respond with direct action. We represented a coalition of blacks, whites, Arabs, Latinx, straights, queers, and trans folks who were uneasy with the status quo and who had been busy organizing on various fronts across the city. The clothing and sign- age of those of us in attendance bore Marxist, black, anarchist, queer, trans, feminist, Palestinian, Native American, and Latinx symbols of resistance. The night carried on with no news. It was bitterly cold, around 15 degrees Fahrenheit. We were running out of things to chant, speakers to speak, and ways to keep warm. The crowd began to dissipate. The verdict was finally announced over a megaphone, and the crowd began to stir with unrest. OfficerFigure 2. Palestinian solidarity with Ferguson. Ferguson, MO, August 30, 2014. Photo by Junaid Rana Wilson was exonerated. We took to the streets with no real plan other than that we should march into the core of the city and disrupt its commerce. We marched eastward from the police headquarters down Thirty-Fifth Street and toward Lake Shore Drive. We dodged vehicles and joined arm in arm to deter traffic and shut that highway down. Much of our solidarity on that day was manifested physically, in our willingness to overcome the cold and risk injury to disrupt the status quo. Many of us continued our march into the city center. As fatigue and the cold set in, it was hard not to meditate on the meaning and significance of our actions, of the health risks we were enduring to challenge white supremacy with strangers, risks that our bodies were actively reminding us of</w:t>
      </w:r>
      <w:r w:rsidRPr="00087A72">
        <w:rPr>
          <w:rFonts w:cstheme="minorHAnsi"/>
        </w:rPr>
        <w:t xml:space="preserve">. </w:t>
      </w:r>
      <w:r w:rsidRPr="00087A72">
        <w:rPr>
          <w:rFonts w:cstheme="minorHAnsi"/>
          <w:u w:val="single"/>
        </w:rPr>
        <w:t>One thing that began to stand out</w:t>
      </w:r>
      <w:r w:rsidRPr="00087A72">
        <w:rPr>
          <w:rFonts w:cstheme="minorHAnsi"/>
        </w:rPr>
        <w:t>, at least for some of us</w:t>
      </w:r>
      <w:r w:rsidRPr="00087A72">
        <w:rPr>
          <w:rFonts w:cstheme="minorHAnsi"/>
          <w:u w:val="single"/>
        </w:rPr>
        <w:t xml:space="preserve">, was that it was intriguing to engage in a strategy of occupation (taking over a major road- way) in a space that for indigenous peoples was and is an occupied territory, an urban settler colonial formation wrought via genocidal violence. </w:t>
      </w:r>
      <w:r w:rsidRPr="00087A72">
        <w:rPr>
          <w:rFonts w:cstheme="minorHAnsi"/>
          <w:sz w:val="16"/>
          <w:szCs w:val="16"/>
        </w:rPr>
        <w:t>This juxtaposition, between what a political order was designed as (a settler colonial formation) and what we were asking for it to do (make non-white lives matter), seemed even more intriguing as our coalition marched past the Battle of Fort Dearborn Park at Eighteenth Street while en route to shut down Lake Shore Drive in solidarity with Brown. This public park was created to commemorate the Fort Dearborn massacre, an originating moment in the development or manifest destiny of Chicago as a modern and liberal city. Just over two centuries ago, Chicago’s western frontier was a mil- itarized border between what European settlers considered to be their civil society and the scene of nature or the savage wilderness that surrounded them, with the threat of the surround or of indigenous peoples having been the impetus for the settlers’ construction and defense of Fort Dearborn. Our path took us past yet another reminder of the settler colonial logics of our city. This time, it was a famous statue that also commemorates the Fort Dearborn Massacre by depicting a large and muscular white male settler slay- ing natives with his sword while he protects a terror-stricken white woman and child behind him. White guardian angels are depicted as flying above the scene to signify manifest destiny. This statue adorns a large stone section of a bridge over the Chicago River near the famed Magnificent Mile of commerce where consumers from around the world flock to shop and recreate. To clarify, the Fort Dearborn massacre is commemorated in Chicago, in its civic iconography, as an incident justifying the white civilizing mission of European settlers in the region and the conditions of violent repression, removal, and segregation that have characterized this city and its founding. Fort Dearborn is for Chicagoans what the Alamo is for Texans.</w:t>
      </w:r>
      <w:r w:rsidRPr="00087A72">
        <w:rPr>
          <w:rFonts w:cstheme="minorHAnsi"/>
        </w:rPr>
        <w:t xml:space="preserve"> </w:t>
      </w:r>
      <w:r w:rsidRPr="00087A72">
        <w:rPr>
          <w:rFonts w:cstheme="minorHAnsi"/>
          <w:u w:val="single"/>
        </w:rPr>
        <w:t xml:space="preserve">Each has been mythologized within a settler colonial imaginary as a space or moment where white pioneers sacrificed their lives for the future of their Western modernity, for the future of a just and democratic society (that has yet to appear), and in the face of a relentless attack of savages (Potawatomis or Mex- icans) who obstructed their manifest destiny. This ever-present threat of the surround, as Stefano Harney and Fred Moten (2013), Luana Ross (1998), and others have described, represents the justification for extraviolent law enforcement to be deployed and military apparatuses to be constructed and defended as trademark characteristics of a settler colonial state’s ethics. </w:t>
      </w:r>
      <w:r w:rsidRPr="00087A72">
        <w:rPr>
          <w:rFonts w:cstheme="minorHAnsi"/>
          <w:sz w:val="16"/>
          <w:szCs w:val="16"/>
        </w:rPr>
        <w:t xml:space="preserve">As we recount these scenes and acts of the initial and pivotal moments of the Ferguson rebellion, what comes to the forefront is how a number of points would continue in the protest movement that developed and how they address the concerns of political theory and the black radical tradition. These points are, first, the use of social media as an organizing tool; second, </w:t>
      </w:r>
      <w:r w:rsidRPr="00087A72">
        <w:rPr>
          <w:rFonts w:cstheme="minorHAnsi"/>
          <w:u w:val="single"/>
        </w:rPr>
        <w:t>the youth-oriented strategies of organizing that have reignited the direct-action challenge to white supremacy</w:t>
      </w:r>
      <w:r w:rsidRPr="00087A72">
        <w:rPr>
          <w:rFonts w:cstheme="minorHAnsi"/>
        </w:rPr>
        <w:t xml:space="preserve">; third, </w:t>
      </w:r>
      <w:r w:rsidRPr="00087A72">
        <w:rPr>
          <w:rFonts w:cstheme="minorHAnsi"/>
          <w:u w:val="single"/>
        </w:rPr>
        <w:t>the solidarities of struggles that are confronting militarized death and genocide</w:t>
      </w:r>
      <w:r w:rsidRPr="00087A72">
        <w:rPr>
          <w:rFonts w:cstheme="minorHAnsi"/>
        </w:rPr>
        <w:t xml:space="preserve">; and, fourth, </w:t>
      </w:r>
      <w:r w:rsidRPr="00087A72">
        <w:rPr>
          <w:rFonts w:cstheme="minorHAnsi"/>
          <w:u w:val="single"/>
        </w:rPr>
        <w:t>settler colonialism and occupation are the terms under which the militarized and state-sanctioned violence of premature and social death has become a global condition</w:t>
      </w:r>
      <w:r w:rsidRPr="00087A72">
        <w:rPr>
          <w:rFonts w:cstheme="minorHAnsi"/>
        </w:rPr>
        <w:t xml:space="preserve"> (Pat- terson 1982; Cacho 2012). And while we recount these points to outline a political practice after Ferguson, we also maintain that </w:t>
      </w:r>
      <w:r w:rsidRPr="00087A72">
        <w:rPr>
          <w:rFonts w:cstheme="minorHAnsi"/>
          <w:u w:val="single"/>
        </w:rPr>
        <w:t>these points are cen- tral to how social movements and the black radical tradition continue to make demands for social justice and the interpretive and analytical ground from which liberatory and decolonial struggle will carry on.</w:t>
      </w:r>
    </w:p>
    <w:p w:rsidR="00E60068" w:rsidRPr="00087A72" w:rsidRDefault="00E60068" w:rsidP="00E60068"/>
    <w:p w:rsidR="00E60068" w:rsidRPr="00087A72" w:rsidRDefault="00E60068" w:rsidP="0021729E">
      <w:pPr>
        <w:pStyle w:val="Heading3"/>
      </w:pPr>
      <w:r w:rsidRPr="00087A72">
        <w:t>A2: Permutation – Revolution</w:t>
      </w:r>
    </w:p>
    <w:p w:rsidR="00E60068" w:rsidRPr="00087A72" w:rsidRDefault="00E60068" w:rsidP="00E60068">
      <w:pPr>
        <w:pStyle w:val="Heading4"/>
      </w:pPr>
      <w:r w:rsidRPr="00087A72">
        <w:t xml:space="preserve">Radicalism is not reform </w:t>
      </w:r>
    </w:p>
    <w:p w:rsidR="00E60068" w:rsidRPr="00087A72" w:rsidRDefault="00E60068" w:rsidP="00E60068">
      <w:pPr>
        <w:rPr>
          <w:rFonts w:cstheme="minorHAnsi"/>
        </w:rPr>
      </w:pPr>
      <w:r w:rsidRPr="00087A72">
        <w:rPr>
          <w:rFonts w:cstheme="minorHAnsi"/>
          <w:b/>
        </w:rPr>
        <w:t>Marquez and Rana 17</w:t>
      </w:r>
      <w:r w:rsidRPr="00087A72">
        <w:rPr>
          <w:rFonts w:cstheme="minorHAnsi"/>
        </w:rPr>
        <w:t xml:space="preserve"> (Dr. Márquez’s scholarship and teaching peruse the borders of and build bridges between Black Studies, Latin@ Studies, and Native American Studies. His work facilitates conversations around prisons and punishment; critical race theory; racial capitalism; Black politics; Xicanismo; indigeneity; borders and borderlands; post-colonialism; decolonization; settler colonialism; neoliberalism; and social movement theory. Juanaid Rana is an anthropologist who writes about global capitalism, diaspora, racism, and social protest movements. He is an associate professor of Asian American Studies with appointments in the Department of Anthropology, the Center for South Asian and Middle Eastern Studies, and the Unit for Criticism and Interpretive Theory. “Black Radical Possibility and the Decolonial International” </w:t>
      </w:r>
      <w:r w:rsidRPr="00087A72">
        <w:rPr>
          <w:rFonts w:cstheme="minorHAnsi"/>
          <w:i/>
        </w:rPr>
        <w:t>South Atlantic Quarterly</w:t>
      </w:r>
      <w:r w:rsidRPr="00087A72">
        <w:rPr>
          <w:rFonts w:cstheme="minorHAnsi"/>
        </w:rPr>
        <w:t>, Vol. 3, No. 116, pp. 506-527) SR</w:t>
      </w:r>
    </w:p>
    <w:p w:rsidR="00E60068" w:rsidRPr="00087A72" w:rsidRDefault="00E60068" w:rsidP="00E60068">
      <w:pPr>
        <w:rPr>
          <w:rFonts w:cstheme="minorHAnsi"/>
        </w:rPr>
      </w:pPr>
      <w:r w:rsidRPr="00087A72">
        <w:rPr>
          <w:rFonts w:cstheme="minorHAnsi"/>
          <w:sz w:val="16"/>
          <w:szCs w:val="16"/>
        </w:rPr>
        <w:t xml:space="preserve">To this end, our primary aim is to delink BLM activism from what we argue is its neoliberal appropriation, the mainstreaming of it into the US political process. The rage we witnessed at Ferguson and similar sites there- after is not reducible to an effort to refine or improve a domestic civil rights agenda. We’ve seen this happen before. The infamous Moynihan report, as Grace Kyungwon Hong (2015) explains, represents the essence of neoliberal adjustments spun in the wake of militant direct actions against racial capi- talism across the United States in the late 1960s. Hong, moreover, demon- strates how this appropriation (coupled with the violent subjugation of the US Third World Left’s organizations and leaders) represented an attempt by the state to curb a growing critical dissent in US cities and, subsequently, helped set the stage for a new modality of global US hegemony under the auspices of post-Fordist capitalism. </w:t>
      </w:r>
      <w:r w:rsidRPr="00087A72">
        <w:rPr>
          <w:rFonts w:cstheme="minorHAnsi"/>
          <w:u w:val="single"/>
        </w:rPr>
        <w:t xml:space="preserve">Such shifts, or the mainstreaming of antiracist cultures, we believe, did not and do not constitute a radical change. Including a more diverse array of voices or subject positions in processes of liberal reform is not a rupture from Western modernity’s discontents. It does not undo what Anibal Quijano (2000) has famously dubbed the “coloniality of power.” Radicalism, we believe, lies more in what José Esteban Muñoz (1999) has described as “disidentification,” an intentional rupture from normative protocols through which difference is or has been measured and thus governed in modern social formations. </w:t>
      </w:r>
      <w:r w:rsidRPr="00087A72">
        <w:rPr>
          <w:rFonts w:cstheme="minorHAnsi"/>
        </w:rPr>
        <w:t>The fires that were set in Ferguson, as a result of the same kinds of direct action that transpired in the 1960s and that led to the neolib- eral turn, conveyed that African American youth there were not only angry about being expendable. Those fires conveyed that youth of color were actively disidentifying from conventional political protocols, that they were uninterested in liberal reforms and were willing to participate in a decolonial turn, a rupture. And, more importantly, black youth were willing to destroy symbols of a political order that offers them no refuge (and never has), in the hopes that such destruction would galvanize conversations, if not movement, toward building alternatives to the routine of death with impunity</w:t>
      </w:r>
      <w:r w:rsidRPr="00087A72">
        <w:rPr>
          <w:rFonts w:cstheme="minorHAnsi"/>
          <w:u w:val="single"/>
        </w:rPr>
        <w:t xml:space="preserve">. The potential of radical change is thus not reducible to unprecedented measures of belated inclusion. Radicalism is within the heat of the flame and, optimally, in the intellectual and organizing work that carries forth the impulse of insurgency (not of reform) in and on the ashes. </w:t>
      </w:r>
      <w:r w:rsidRPr="00087A72">
        <w:rPr>
          <w:rFonts w:cstheme="minorHAnsi"/>
          <w:sz w:val="16"/>
          <w:szCs w:val="16"/>
        </w:rPr>
        <w:t xml:space="preserve">We emphasize the significance of insurgent acts not only to push back against conservatives who criminalize “riots” as counterproductive. We also push back against liberals. Hip-hop artist Killer Mike, for example, recently commented on the direct actions at Ferguson: “Riots work. . . . Post-riots, they have two new black city council members, they have advocates in the community now, and the police chief retired” (Kreps 2015). We support this response to an extent, valuing its emphasis on incremental change and the grassroots efforts that often make it possible. We also deviate from the lib- eral telos of Killer Mike’s defense. Radical acts are intended to invoke conver- sations about what truly constitutes radical transformation. Liberal reform is the target of insurgent acts, not their goal. That, we contend, is what differentiates a decolonial approach from a liberal/progressive one. </w:t>
      </w:r>
      <w:r w:rsidRPr="00087A72">
        <w:rPr>
          <w:rFonts w:cstheme="minorHAnsi"/>
          <w:u w:val="single"/>
        </w:rPr>
        <w:t>A decolonial approach is made possible by insurgent acts. It is as much a diagnostic as it is a speculative maneuver</w:t>
      </w:r>
      <w:r w:rsidRPr="00087A72">
        <w:rPr>
          <w:rFonts w:cstheme="minorHAnsi"/>
        </w:rPr>
        <w:t>. A liberal approach, for example, gestures toward a refuge from racial/colonial violence, one that can be accomplished via the more comprehensive incorporation of racialized subjects into the body politic or the US political economy as equals. This teleological schema identifies incremental structural reforms, as made possible by a combination of (a) juridical adjustments by the state and (b) multicultural understanding or learned tolerance of difference among the body poli- tic, as a method through which black or brown bodies will no longer be interpreted as deserving of extraordinary measures of policing and surveil- lance. In other words</w:t>
      </w:r>
      <w:r w:rsidRPr="00087A72">
        <w:rPr>
          <w:rFonts w:cstheme="minorHAnsi"/>
          <w:u w:val="single"/>
        </w:rPr>
        <w:t xml:space="preserve">, a (neo)liberal approach suggests that the more the US body politic appreciates a group’s history (as a result of ethnic studies curricula in our schools, activism, and media) and the more protections the state offers the group as a result of such increased understanding, the better that group will be able to access the US middle class, a utopic refuge, and thus not be victimized by conditions such as police brutality. A decolonial approach diagnoses the US nation-state as essentially disqualified from offering refuge from racial/colonial violence because it is fundamentally structured by and through this condition. Its political economy derives from the production of black bodies as either enslaveable or excess, a power-knowledge interface that black studies scholars have effectively shown to be uninterrupted. It also derives from the production of indigenous peoples as irredeemable obstacles to the manifest destiny of this nation-state and thus as deserving of removal (genocide), a foundational logic that also naturalizes US global imperialism. </w:t>
      </w:r>
      <w:r w:rsidRPr="00087A72">
        <w:rPr>
          <w:rFonts w:cstheme="minorHAnsi"/>
        </w:rPr>
        <w:t xml:space="preserve">If we bear in mind this diagnostic reading of the US nation-state, a decolonial approach also requires us to speculate, imagine, and theorize. </w:t>
      </w:r>
      <w:r w:rsidRPr="00087A72">
        <w:rPr>
          <w:rFonts w:cstheme="minorHAnsi"/>
          <w:sz w:val="16"/>
          <w:szCs w:val="16"/>
        </w:rPr>
        <w:t>The energy and impetus of insurgent acts such as those we witnessed at Fer- guson also push, if not require, us to speculate alternatives to not only the interrelated structural forms of oppression that constitute the “coloniality of power” (Quijano 2000). They require us to fundamentally interrogate, if not defy, what decolonial thinkers such as Walter Mignolo (2003), Enrique Dus- sel (1977), and Sylvia Wynter (2003) have theorized as the ontological con- fines of modern or Eurocentric thought, that is, the “coloniality of knowl- edge” and the “coloniality of being,” power/knowledge interfaces that are inherent to modern colonial formations such as the United States and that can and so often do limit how we think about self, community, progress, or justice. Modern and colonial thought often coerces us to respond to our expendability counterintuitively</w:t>
      </w:r>
      <w:r w:rsidRPr="00087A72">
        <w:rPr>
          <w:rFonts w:cstheme="minorHAnsi"/>
        </w:rPr>
        <w:t xml:space="preserve">. </w:t>
      </w:r>
      <w:r w:rsidRPr="00087A72">
        <w:rPr>
          <w:rFonts w:cstheme="minorHAnsi"/>
          <w:u w:val="single"/>
        </w:rPr>
        <w:t xml:space="preserve">As we plea to colonial authorities for our lives to matter, we also neglect how race itself signifies a process and system through which lives are essentially and existentially devalued, placing a strain on the concept and reality of racial justice. </w:t>
      </w:r>
      <w:r w:rsidRPr="00087A72">
        <w:rPr>
          <w:rFonts w:cstheme="minorHAnsi"/>
        </w:rPr>
        <w:t>Again, we feel that insur- gent acts are fueled by a disavowal of the status quo or this routine of peti- tion, if even for a moment. They, for us, signal an implicit investment in another world that is possible and a willingness to organize for it (Anzaldúa 2015; El Kilombo Intergaláctico 2008). This quality, we believe, recuperates some of the radical synergy of previous movements such as the black radical tradition and the US Third World Left that neoliberal maneuvers have aimed to relegate to the past.</w:t>
      </w:r>
    </w:p>
    <w:p w:rsidR="00B27DC9" w:rsidRPr="00087A72" w:rsidRDefault="00B27DC9" w:rsidP="0021729E">
      <w:pPr>
        <w:pStyle w:val="Heading3"/>
      </w:pPr>
      <w:r w:rsidRPr="00087A72">
        <w:t>A2: Permutation – State</w:t>
      </w:r>
    </w:p>
    <w:p w:rsidR="00B27DC9" w:rsidRPr="00087A72" w:rsidRDefault="00B27DC9" w:rsidP="00B27DC9">
      <w:pPr>
        <w:pStyle w:val="Heading4"/>
      </w:pPr>
      <w:bookmarkStart w:id="47" w:name="_Hlk518637453"/>
      <w:r w:rsidRPr="00087A72">
        <w:t xml:space="preserve">The state as a sovereign actor is harmful to native bodies. The permutation serves the state only to reaffirm its geopolitical self-evidence and its authority to determine what issues, processes, and statuses will count as meaningful within the political system. </w:t>
      </w:r>
    </w:p>
    <w:p w:rsidR="00B27DC9" w:rsidRPr="00087A72" w:rsidRDefault="00B27DC9" w:rsidP="00B27DC9">
      <w:pPr>
        <w:rPr>
          <w:rStyle w:val="Style13ptBold"/>
          <w:i/>
        </w:rPr>
      </w:pPr>
      <w:r w:rsidRPr="00087A72">
        <w:rPr>
          <w:rStyle w:val="Style13ptBold"/>
        </w:rPr>
        <w:t xml:space="preserve">Rifken 2009 </w:t>
      </w:r>
      <w:r w:rsidRPr="00087A72">
        <w:t xml:space="preserve">(Mark, Director of the Women's and Gender Studies Program and Professor of English at the University of North Carolina, Greensboro “Indigenizing Agamben: Rethinking Sovereignty in Light of the "Peculiar" Status of Native Peoples” University of Minnesota Press, </w:t>
      </w:r>
      <w:r w:rsidRPr="00087A72">
        <w:rPr>
          <w:i/>
        </w:rPr>
        <w:t>Cultural Critique</w:t>
      </w:r>
      <w:r w:rsidRPr="00087A72">
        <w:t>, No. 73 pp.89-91)</w:t>
      </w:r>
    </w:p>
    <w:p w:rsidR="00B27DC9" w:rsidRPr="00087A72" w:rsidRDefault="00B27DC9" w:rsidP="00B27DC9"/>
    <w:p w:rsidR="00B27DC9" w:rsidRPr="00087A72" w:rsidRDefault="00B27DC9" w:rsidP="00B27DC9">
      <w:pPr>
        <w:rPr>
          <w:u w:val="single"/>
        </w:rPr>
      </w:pPr>
      <w:r w:rsidRPr="00087A72">
        <w:rPr>
          <w:rStyle w:val="StyleUnderline"/>
        </w:rPr>
        <w:t>What does "sovereignty" mean in the context of U.S. Indian policy</w:t>
      </w:r>
      <w:r w:rsidRPr="00087A72">
        <w:rPr>
          <w:sz w:val="8"/>
        </w:rPr>
        <w:t xml:space="preserve">? Looking at the statements above, all from U.S. Supreme Court decisions focused on the status of Native peoples, </w:t>
      </w:r>
      <w:r w:rsidRPr="00087A72">
        <w:rPr>
          <w:rStyle w:val="StyleUnderline"/>
        </w:rPr>
        <w:t>sovereignty at least touches on questions of jurisdiction, the drawing of national bound aries, and control over the legal status of persons and entities within those boundaries.</w:t>
      </w:r>
      <w:r w:rsidRPr="00087A72">
        <w:rPr>
          <w:sz w:val="8"/>
        </w:rPr>
        <w:t xml:space="preserve">1 While one could characterize the concept of sovereignty as a shorthand for the set of legal practices and principles that allow one to determine the rightful scope of U.S. authority, </w:t>
      </w:r>
      <w:r w:rsidRPr="00087A72">
        <w:rPr>
          <w:rStyle w:val="StyleUnderline"/>
        </w:rPr>
        <w:t>it seems to function in the decisions less as a way of designating a specific set of powers than as a negative presence, as what Native peoples categorically lack, or at the least only have in some radically diminished fashion managed by the United States</w:t>
      </w:r>
      <w:r w:rsidRPr="00087A72">
        <w:rPr>
          <w:sz w:val="8"/>
        </w:rPr>
        <w:t xml:space="preserve">. Further, the decisions cited seem less to extend existing legal categories and precedents than to indicate the absence of an appropriate legal framework in which to consider the political issues and dynamics at hand. </w:t>
      </w:r>
      <w:r w:rsidRPr="00087A72">
        <w:rPr>
          <w:rStyle w:val="StyleUnderline"/>
        </w:rPr>
        <w:t>Native peoples appear as a gap within U.S. legal discourse. These passages suggest that the available logics of U.S. jurisdiction are unable to incorporate Native peoples comfortably, and that continued Native presence pushes against the presumed coherence of the U.S. territorial and jurisdictional imaginary. While the decisions seem to be grasping to find language adequate to the disturbing legal limbo in which Native nations appear to sit, they also insist unequivocally that such peoples fall within the bounds of U.S. sovereignty, and the oddity attributed to U.S. Indian policy is offered as confirmation of that fact.</w:t>
      </w:r>
      <w:r w:rsidRPr="00087A72">
        <w:rPr>
          <w:sz w:val="8"/>
        </w:rPr>
        <w:t xml:space="preserve"> </w:t>
      </w:r>
      <w:r w:rsidRPr="00087A72">
        <w:rPr>
          <w:rStyle w:val="StyleUnderline"/>
        </w:rPr>
        <w:t>Typifying "the relations of the Indians to the United States" as "peculiar" and "anomalous," while also consistently presenting Native peoples as unlike all other political entities in U.S. law and policy, indexes the failure of U.S. discourses to encompass them while speaking as if they were incorporated via their incommensurability.</w:t>
      </w:r>
      <w:r w:rsidRPr="00087A72">
        <w:rPr>
          <w:sz w:val="8"/>
        </w:rPr>
        <w:t xml:space="preserve"> In Homo Sacer: Soverei..gn Power and Bare Life, Giorgio Agamben has described this kind of dialectic as the "state of exception," suggesting that it is at the core of what it means for a state to exert "sovereignty."2 He argues, "the sovereign decision on the exception is the originary juridico-political structure on the basis of which what is included in the juridical order and what is excluded from it acquire their meaning" (19), and "[i]n this sense, the exception is the originary form of law" (26). What appears as an exception from the regular regime of law actually exposes the rooting of the law itself in a "</w:t>
      </w:r>
      <w:r w:rsidRPr="00087A72">
        <w:rPr>
          <w:rStyle w:val="StyleUnderline"/>
        </w:rPr>
        <w:t>sovereign" will that can decide where, how, and to what the formal "juridical order" will apply. The narration of Native peoples as an exception from the regular categories of U.S. law, then, can be seen as</w:t>
      </w:r>
      <w:r w:rsidRPr="00087A72">
        <w:rPr>
          <w:sz w:val="8"/>
        </w:rPr>
        <w:t>, in Agamben's terms</w:t>
      </w:r>
      <w:r w:rsidRPr="00087A72">
        <w:rPr>
          <w:rStyle w:val="StyleUnderline"/>
        </w:rPr>
        <w:t>, a form of "sovereign violence" that "opens a zone of indistinction between law and nature, outside and inside, violence and law</w:t>
      </w:r>
      <w:r w:rsidRPr="00087A72">
        <w:rPr>
          <w:sz w:val="8"/>
        </w:rPr>
        <w:t>" (64).</w:t>
      </w:r>
      <w:r w:rsidRPr="00087A72">
        <w:rPr>
          <w:rStyle w:val="StyleUnderline"/>
        </w:rPr>
        <w:t>3 The language of exception, of inclusive exclusion, disursively brings Native peoples into the fold of sovereignty, implicitly offering an explanation for why Native peoples do not fit existing legal concepts (they are different) while assuming that they should be placed within the context of U.S. law (its conceptual field is the obvi ous comparative framework)</w:t>
      </w:r>
      <w:r w:rsidRPr="00087A72">
        <w:rPr>
          <w:sz w:val="8"/>
        </w:rPr>
        <w:t xml:space="preserve">.4 In using Agamben's work to address U.S. Indian policy, though, </w:t>
      </w:r>
      <w:r w:rsidRPr="00087A72">
        <w:rPr>
          <w:rStyle w:val="StyleUnderline"/>
        </w:rPr>
        <w:t>it needs to be reworked.</w:t>
      </w:r>
      <w:r w:rsidRPr="00087A72">
        <w:rPr>
          <w:sz w:val="8"/>
        </w:rPr>
        <w:t xml:space="preserve"> In particular, his emphasis on biopolitics tends to come at the expense of a discussion of geopolitics, the production of race supplanting the production of space as a way of envisioning the work of the sovereignty he critiques, and while his concept of the exception has been immensely influential in contemporary scholar ship and cultural criticism, such accounts largely have left aside dis cussion of Indigenous peoples</w:t>
      </w:r>
      <w:r w:rsidRPr="00087A72">
        <w:rPr>
          <w:rStyle w:val="StyleUnderline"/>
        </w:rPr>
        <w:t>. Attending to Native peoples' position within settler-state sovereignties requires investigating and adjusting three aspects of Agamben's thinking: the persistent inside/outside tropology he uses to address the exception, specifically the ways it serves as a metaphor divorced from territoriality; the notion of "bare life" as the basis of the exception, especially the individualizing ways that he uses that concept; and the implicit depiction of sovereignty as a self-confident exercise of authority free from anxiety over the legitimacy of state actions</w:t>
      </w:r>
      <w:r w:rsidRPr="00087A72">
        <w:rPr>
          <w:sz w:val="8"/>
        </w:rPr>
        <w:t xml:space="preserve">.5 Such revision </w:t>
      </w:r>
      <w:r w:rsidRPr="00087A72">
        <w:rPr>
          <w:rStyle w:val="StyleUnderline"/>
        </w:rPr>
        <w:t>allows for a reconsideration of the "zone of indistinction" produced by and within sovereignty, opening up analysis of the ways settler-states regulate not only proper kinds of embodiment</w:t>
      </w:r>
      <w:r w:rsidRPr="00087A72">
        <w:rPr>
          <w:sz w:val="8"/>
        </w:rPr>
        <w:t xml:space="preserve"> ("bare life") but also legitimate modes of collectivity and occupancy-what I will call bare habitance</w:t>
      </w:r>
      <w:r w:rsidRPr="00087A72">
        <w:rPr>
          <w:rStyle w:val="StyleUnderline"/>
        </w:rPr>
        <w:t>. If the "overriding sovereignty" of the United States is predicated on the creation of a state of exception, then the struggle for sovereignty by Native peoples can be envisioned as less about control of particular policy domains than of metapolitical authority</w:t>
      </w:r>
      <w:r w:rsidRPr="00087A72">
        <w:rPr>
          <w:sz w:val="8"/>
        </w:rPr>
        <w:t xml:space="preserve">-the ability to define the content and scope of "law" and "politics." Such a shift draws attention away from critiques of the particular rhetorics used to justify the state's plenary power and toward a macrological effort to contest the "overriding" assertion of a right to exert control over Native polities. My argument, then, explores the limits of forms of analysis organized around the critique of the settler-state's employ ment of racialized discourses of savagery and the emphasis on cul tural distinctions between Euramerican and Indigenous modes of governance. Both of these strategies within Indigenous political the ory treat sovereignty as a particular kind of political content that can be juxtaposed with a substantively different?more Native-friendly or Indigenous-centered?content, but by contrast, I suggest </w:t>
      </w:r>
      <w:r w:rsidRPr="00087A72">
        <w:rPr>
          <w:rStyle w:val="StyleUnderline"/>
        </w:rPr>
        <w:t>that discourses of racial difference and equality as well as of cultural recognition are deployed by the state in ways that reaffirm its geopolitical self-evidence and its authority to determine what issues, processes, and statuses will count as meaningful within the political system.</w:t>
      </w:r>
      <w:r w:rsidRPr="00087A72">
        <w:rPr>
          <w:sz w:val="8"/>
        </w:rPr>
        <w:t xml:space="preserve"> While arguments about Euramerican racism and the disjunctions be tween Native traditions and imposed structures of governance can be quite powerful in challenging aspects of settler-state policy, they can not account for the structuring violence performed by the figure of sovereignty. Drawing on Agamben, I will argue that </w:t>
      </w:r>
      <w:r w:rsidRPr="00087A72">
        <w:rPr>
          <w:rStyle w:val="StyleUnderline"/>
        </w:rPr>
        <w:t>"sovereignty" functions as a placeholder that has no determinate content.6 The state has been described as an entity that exercises a monopoly on the legit imate exercise of violence, and what I am suggesting is that the state of exception produced through Indian policy creates a monopoly on the legitimate exercise of legitimacy, an exclusive uncontestable right to define what will count as a viable legal or political form(ul)ation.</w:t>
      </w:r>
      <w:r w:rsidRPr="00087A72">
        <w:rPr>
          <w:sz w:val="8"/>
        </w:rPr>
        <w:t xml:space="preserve"> That fundamentally circular and self-validating, as well as anxious and fraught, performance grounds the legitimacy of state rule on noth ing more than the axiomatic negation of Native peoples' authority to determine or adjudicate for themselves the normative principles by which they will be governed. Through Agamben's theory of the excep tion, then, I will explore how the supposedly </w:t>
      </w:r>
      <w:r w:rsidRPr="00087A72">
        <w:rPr>
          <w:rStyle w:val="StyleUnderline"/>
        </w:rPr>
        <w:t xml:space="preserve">underlying sovereignty of the U.S. settler-state is a retrospective projection generated by, and dependent on, the "peculiar"-ization of Native peoples. </w:t>
      </w:r>
      <w:bookmarkEnd w:id="47"/>
    </w:p>
    <w:p w:rsidR="0021729E" w:rsidRPr="00087A72" w:rsidRDefault="0021729E" w:rsidP="0021729E">
      <w:pPr>
        <w:pStyle w:val="Heading3"/>
      </w:pPr>
      <w:r w:rsidRPr="00087A72">
        <w:t>A2: Permutation</w:t>
      </w:r>
      <w:r w:rsidR="00B27DC9" w:rsidRPr="00087A72">
        <w:t xml:space="preserve"> – Co-Option</w:t>
      </w:r>
    </w:p>
    <w:p w:rsidR="0021729E" w:rsidRPr="00087A72" w:rsidRDefault="0021729E" w:rsidP="0021729E">
      <w:pPr>
        <w:pStyle w:val="Heading4"/>
        <w:spacing w:line="240" w:lineRule="auto"/>
        <w:rPr>
          <w:sz w:val="28"/>
          <w:szCs w:val="28"/>
        </w:rPr>
      </w:pPr>
      <w:r w:rsidRPr="00087A72">
        <w:rPr>
          <w:sz w:val="28"/>
          <w:szCs w:val="28"/>
        </w:rPr>
        <w:t>The alternative is mutually exclusive, a permutation isn’t possible, the settler collective will always try to co-opt power in attempts to not only gain wealth and control, but to normalize the indigenous and themselves, banning all white people it the only way to prevent this</w:t>
      </w:r>
    </w:p>
    <w:p w:rsidR="0021729E" w:rsidRPr="00087A72" w:rsidRDefault="0021729E" w:rsidP="0021729E">
      <w:pPr>
        <w:rPr>
          <w:rStyle w:val="Style13ptBold"/>
        </w:rPr>
      </w:pPr>
      <w:r w:rsidRPr="00087A72">
        <w:rPr>
          <w:rStyle w:val="Style13ptBold"/>
        </w:rPr>
        <w:t xml:space="preserve">Barker, 2012 </w:t>
      </w:r>
      <w:r w:rsidRPr="00087A72">
        <w:t>(Adam J., Department of Geography, University of Leicester, Leicester, UK “Already Occupied: Indigenous Peoples, Settler Colonialism and the Occupy Movements in North America” Journal of Social, Cultural and Political Protest No.1 pp.3-5)</w:t>
      </w:r>
    </w:p>
    <w:p w:rsidR="0021729E" w:rsidRPr="00087A72" w:rsidRDefault="0021729E" w:rsidP="0021729E">
      <w:pPr>
        <w:spacing w:line="240" w:lineRule="auto"/>
        <w:rPr>
          <w:sz w:val="8"/>
        </w:rPr>
      </w:pPr>
      <w:r w:rsidRPr="00087A72">
        <w:rPr>
          <w:sz w:val="8"/>
        </w:rPr>
        <w:t xml:space="preserve">Pervasive Settler Colonialism. The relationships within and between the various communities converging around Occupy are complicated and shifting. Settler colonialism does not explain the friction between Occupy and Indigenous peoples in totality; however, it does provide a powerful lens through which to examine Settler–Indigenous dynamics around Occupy. Settler colonialism is persistent and pervasive, and is one of the most powerful forces to shape the North American social, political and economic landscapes. It cannot be ignored if for no other reason than that it implicates almost every Settler person in its functioning. The settler </w:t>
      </w:r>
      <w:r w:rsidRPr="00087A72">
        <w:rPr>
          <w:rStyle w:val="Emphasis"/>
        </w:rPr>
        <w:t xml:space="preserve">colonization </w:t>
      </w:r>
      <w:r w:rsidRPr="00087A72">
        <w:rPr>
          <w:rStyle w:val="StyleUnderline"/>
        </w:rPr>
        <w:t>of the Americas</w:t>
      </w:r>
      <w:r w:rsidRPr="00087A72">
        <w:rPr>
          <w:rStyle w:val="Emphasis"/>
        </w:rPr>
        <w:t xml:space="preserve"> created</w:t>
      </w:r>
      <w:r w:rsidRPr="00087A72">
        <w:rPr>
          <w:rStyle w:val="StyleUnderline"/>
        </w:rPr>
        <w:t xml:space="preserve"> a vast amount of </w:t>
      </w:r>
      <w:r w:rsidRPr="00087A72">
        <w:rPr>
          <w:rStyle w:val="Emphasis"/>
        </w:rPr>
        <w:t>wealth for colonizers</w:t>
      </w:r>
      <w:r w:rsidRPr="00087A72">
        <w:rPr>
          <w:rStyle w:val="StyleUnderline"/>
        </w:rPr>
        <w:t>, while</w:t>
      </w:r>
      <w:r w:rsidRPr="00087A72">
        <w:rPr>
          <w:sz w:val="8"/>
        </w:rPr>
        <w:t xml:space="preserve"> </w:t>
      </w:r>
      <w:r w:rsidRPr="00087A72">
        <w:rPr>
          <w:rStyle w:val="Emphasis"/>
        </w:rPr>
        <w:t xml:space="preserve">forcing Indigenous peoples to the extreme </w:t>
      </w:r>
      <w:r w:rsidRPr="00087A72">
        <w:t>margins</w:t>
      </w:r>
      <w:r w:rsidRPr="00087A72">
        <w:rPr>
          <w:sz w:val="8"/>
        </w:rPr>
        <w:t xml:space="preserve">. It is </w:t>
      </w:r>
      <w:r w:rsidRPr="00087A72">
        <w:rPr>
          <w:rStyle w:val="Emphasis"/>
          <w:b w:val="0"/>
        </w:rPr>
        <w:t>impossible not to feel</w:t>
      </w:r>
      <w:r w:rsidRPr="00087A72">
        <w:rPr>
          <w:sz w:val="8"/>
        </w:rPr>
        <w:t xml:space="preserve"> for </w:t>
      </w:r>
      <w:r w:rsidRPr="00087A72">
        <w:rPr>
          <w:rStyle w:val="StyleUnderline"/>
        </w:rPr>
        <w:t>the American</w:t>
      </w:r>
      <w:r w:rsidRPr="00087A72">
        <w:rPr>
          <w:sz w:val="8"/>
        </w:rPr>
        <w:t xml:space="preserve"> </w:t>
      </w:r>
      <w:r w:rsidRPr="00087A72">
        <w:rPr>
          <w:rStyle w:val="StyleUnderline"/>
        </w:rPr>
        <w:t>homeowners whose lives have been devastated by</w:t>
      </w:r>
      <w:r w:rsidRPr="00087A72">
        <w:rPr>
          <w:sz w:val="8"/>
        </w:rPr>
        <w:t xml:space="preserve"> </w:t>
      </w:r>
      <w:r w:rsidRPr="00087A72">
        <w:rPr>
          <w:rStyle w:val="StyleUnderline"/>
        </w:rPr>
        <w:t xml:space="preserve">predatory </w:t>
      </w:r>
      <w:r w:rsidRPr="00087A72">
        <w:rPr>
          <w:rStyle w:val="Emphasis"/>
          <w:b w:val="0"/>
        </w:rPr>
        <w:t>banks</w:t>
      </w:r>
      <w:r w:rsidRPr="00087A72">
        <w:rPr>
          <w:b/>
          <w:sz w:val="8"/>
        </w:rPr>
        <w:t xml:space="preserve"> </w:t>
      </w:r>
      <w:r w:rsidRPr="00087A72">
        <w:rPr>
          <w:rStyle w:val="Emphasis"/>
          <w:b w:val="0"/>
        </w:rPr>
        <w:t>and lax regulations</w:t>
      </w:r>
      <w:r w:rsidRPr="00087A72">
        <w:rPr>
          <w:b/>
          <w:sz w:val="8"/>
        </w:rPr>
        <w:t xml:space="preserve">, </w:t>
      </w:r>
      <w:r w:rsidRPr="00087A72">
        <w:rPr>
          <w:rStyle w:val="Emphasis"/>
          <w:b w:val="0"/>
        </w:rPr>
        <w:t>or the</w:t>
      </w:r>
      <w:r w:rsidRPr="00087A72">
        <w:rPr>
          <w:rStyle w:val="StyleUnderline"/>
          <w:b/>
        </w:rPr>
        <w:t xml:space="preserve"> </w:t>
      </w:r>
      <w:r w:rsidRPr="00087A72">
        <w:rPr>
          <w:rStyle w:val="StyleUnderline"/>
        </w:rPr>
        <w:t>increasing</w:t>
      </w:r>
      <w:r w:rsidRPr="00087A72">
        <w:rPr>
          <w:rStyle w:val="StyleUnderline"/>
          <w:b/>
        </w:rPr>
        <w:t xml:space="preserve"> </w:t>
      </w:r>
      <w:r w:rsidRPr="00087A72">
        <w:rPr>
          <w:rStyle w:val="Emphasis"/>
          <w:b w:val="0"/>
        </w:rPr>
        <w:t>mass of the poor</w:t>
      </w:r>
      <w:r w:rsidRPr="00087A72">
        <w:rPr>
          <w:b/>
          <w:sz w:val="8"/>
        </w:rPr>
        <w:t xml:space="preserve"> </w:t>
      </w:r>
      <w:r w:rsidRPr="00087A72">
        <w:rPr>
          <w:rStyle w:val="StyleUnderline"/>
        </w:rPr>
        <w:t>caught</w:t>
      </w:r>
      <w:r w:rsidRPr="00087A72">
        <w:rPr>
          <w:b/>
          <w:sz w:val="8"/>
        </w:rPr>
        <w:t xml:space="preserve"> </w:t>
      </w:r>
      <w:r w:rsidRPr="00087A72">
        <w:rPr>
          <w:rStyle w:val="Emphasis"/>
          <w:b w:val="0"/>
        </w:rPr>
        <w:t>on one side of the</w:t>
      </w:r>
      <w:r w:rsidRPr="00087A72">
        <w:rPr>
          <w:rStyle w:val="StyleUnderline"/>
          <w:b/>
        </w:rPr>
        <w:t xml:space="preserve"> </w:t>
      </w:r>
      <w:r w:rsidRPr="00087A72">
        <w:rPr>
          <w:rStyle w:val="StyleUnderline"/>
        </w:rPr>
        <w:t>widening</w:t>
      </w:r>
      <w:r w:rsidRPr="00087A72">
        <w:rPr>
          <w:rStyle w:val="StyleUnderline"/>
          <w:b/>
        </w:rPr>
        <w:t xml:space="preserve"> </w:t>
      </w:r>
      <w:r w:rsidRPr="00087A72">
        <w:rPr>
          <w:rStyle w:val="Emphasis"/>
          <w:b w:val="0"/>
        </w:rPr>
        <w:t>wealth gap</w:t>
      </w:r>
      <w:r w:rsidRPr="00087A72">
        <w:rPr>
          <w:b/>
          <w:sz w:val="8"/>
        </w:rPr>
        <w:t xml:space="preserve">. </w:t>
      </w:r>
      <w:r w:rsidRPr="00087A72">
        <w:rPr>
          <w:rStyle w:val="Emphasis"/>
          <w:b w:val="0"/>
        </w:rPr>
        <w:t>But</w:t>
      </w:r>
      <w:r w:rsidRPr="00087A72">
        <w:rPr>
          <w:b/>
          <w:sz w:val="8"/>
        </w:rPr>
        <w:t xml:space="preserve"> </w:t>
      </w:r>
      <w:r w:rsidRPr="00087A72">
        <w:rPr>
          <w:rStyle w:val="StyleUnderline"/>
        </w:rPr>
        <w:t>at the same time,</w:t>
      </w:r>
      <w:r w:rsidRPr="00087A72">
        <w:rPr>
          <w:rStyle w:val="StyleUnderline"/>
          <w:b/>
        </w:rPr>
        <w:t xml:space="preserve"> </w:t>
      </w:r>
      <w:r w:rsidRPr="00087A72">
        <w:rPr>
          <w:rStyle w:val="Emphasis"/>
          <w:b w:val="0"/>
        </w:rPr>
        <w:t xml:space="preserve">it cannot be </w:t>
      </w:r>
      <w:r w:rsidRPr="00087A72">
        <w:rPr>
          <w:rStyle w:val="Emphasis"/>
        </w:rPr>
        <w:t>ignored that American wealth</w:t>
      </w:r>
      <w:r w:rsidRPr="00087A72">
        <w:rPr>
          <w:sz w:val="8"/>
        </w:rPr>
        <w:t xml:space="preserve"> </w:t>
      </w:r>
      <w:r w:rsidRPr="00087A72">
        <w:rPr>
          <w:rStyle w:val="StyleUnderline"/>
        </w:rPr>
        <w:t xml:space="preserve">(especially that of the esteemed home-owning middle class) was and </w:t>
      </w:r>
      <w:r w:rsidRPr="00087A72">
        <w:rPr>
          <w:rStyle w:val="Emphasis"/>
        </w:rPr>
        <w:t>is generated from the exploitation</w:t>
      </w:r>
      <w:r w:rsidRPr="00087A72">
        <w:rPr>
          <w:sz w:val="8"/>
        </w:rPr>
        <w:t xml:space="preserve"> </w:t>
      </w:r>
      <w:r w:rsidRPr="00087A72">
        <w:rPr>
          <w:rStyle w:val="StyleUnderline"/>
        </w:rPr>
        <w:t xml:space="preserve">of stolen land. The dispossession </w:t>
      </w:r>
      <w:r w:rsidRPr="00087A72">
        <w:rPr>
          <w:rStyle w:val="Emphasis"/>
        </w:rPr>
        <w:t xml:space="preserve">of Indigenous peoples </w:t>
      </w:r>
      <w:r w:rsidRPr="00087A72">
        <w:rPr>
          <w:rStyle w:val="Emphasis"/>
          <w:b w:val="0"/>
        </w:rPr>
        <w:t>through a vast array of ‘transfers’</w:t>
      </w:r>
      <w:r w:rsidRPr="00087A72">
        <w:rPr>
          <w:sz w:val="8"/>
        </w:rPr>
        <w:t xml:space="preserve"> (Veracini, 2010, pp. 35–50) </w:t>
      </w:r>
      <w:r w:rsidRPr="00087A72">
        <w:rPr>
          <w:rStyle w:val="Emphasis"/>
        </w:rPr>
        <w:t xml:space="preserve">enables invasive </w:t>
      </w:r>
      <w:r w:rsidRPr="00087A72">
        <w:rPr>
          <w:rStyle w:val="Emphasis"/>
          <w:b w:val="0"/>
        </w:rPr>
        <w:t>settler</w:t>
      </w:r>
      <w:r w:rsidRPr="00087A72">
        <w:rPr>
          <w:rStyle w:val="Emphasis"/>
        </w:rPr>
        <w:t xml:space="preserve"> collectives to co-opt the power</w:t>
      </w:r>
      <w:r w:rsidRPr="00087A72">
        <w:rPr>
          <w:sz w:val="8"/>
        </w:rPr>
        <w:t xml:space="preserve"> </w:t>
      </w:r>
      <w:r w:rsidRPr="00087A72">
        <w:rPr>
          <w:rStyle w:val="StyleUnderline"/>
        </w:rPr>
        <w:t>of place: physical resources of</w:t>
      </w:r>
      <w:r w:rsidRPr="00087A72">
        <w:rPr>
          <w:sz w:val="8"/>
        </w:rPr>
        <w:t xml:space="preserve"> </w:t>
      </w:r>
      <w:r w:rsidRPr="00087A72">
        <w:rPr>
          <w:rStyle w:val="Emphasis"/>
          <w:b w:val="0"/>
        </w:rPr>
        <w:t>minerals</w:t>
      </w:r>
      <w:r w:rsidRPr="00087A72">
        <w:rPr>
          <w:sz w:val="8"/>
        </w:rPr>
        <w:t xml:space="preserve">, </w:t>
      </w:r>
      <w:r w:rsidRPr="00087A72">
        <w:rPr>
          <w:rStyle w:val="StyleUnderline"/>
        </w:rPr>
        <w:t>timber,</w:t>
      </w:r>
      <w:r w:rsidRPr="00087A72">
        <w:rPr>
          <w:sz w:val="8"/>
        </w:rPr>
        <w:t xml:space="preserve"> </w:t>
      </w:r>
      <w:r w:rsidRPr="00087A72">
        <w:rPr>
          <w:rStyle w:val="Emphasis"/>
          <w:b w:val="0"/>
        </w:rPr>
        <w:t>fertile land and</w:t>
      </w:r>
      <w:r w:rsidRPr="00087A72">
        <w:rPr>
          <w:rStyle w:val="Emphasis"/>
        </w:rPr>
        <w:t xml:space="preserve"> conceptual power relationships </w:t>
      </w:r>
      <w:r w:rsidRPr="00087A72">
        <w:rPr>
          <w:rStyle w:val="Emphasis"/>
          <w:b w:val="0"/>
        </w:rPr>
        <w:t>with the land e</w:t>
      </w:r>
      <w:r w:rsidRPr="00087A72">
        <w:rPr>
          <w:rStyle w:val="Emphasis"/>
        </w:rPr>
        <w:t xml:space="preserve">nacted </w:t>
      </w:r>
      <w:r w:rsidRPr="00087A72">
        <w:rPr>
          <w:rStyle w:val="StyleUnderline"/>
        </w:rPr>
        <w:t xml:space="preserve">through private property and </w:t>
      </w:r>
      <w:r w:rsidRPr="00087A72">
        <w:rPr>
          <w:rStyle w:val="Emphasis"/>
        </w:rPr>
        <w:t xml:space="preserve">the </w:t>
      </w:r>
      <w:r w:rsidRPr="00087A72">
        <w:rPr>
          <w:rStyle w:val="Emphasis"/>
          <w:b w:val="0"/>
        </w:rPr>
        <w:t>nation</w:t>
      </w:r>
      <w:r w:rsidRPr="00087A72">
        <w:rPr>
          <w:rStyle w:val="Emphasis"/>
        </w:rPr>
        <w:t xml:space="preserve"> state</w:t>
      </w:r>
      <w:r w:rsidRPr="00087A72">
        <w:rPr>
          <w:rStyle w:val="StyleUnderline"/>
        </w:rPr>
        <w:t>. The</w:t>
      </w:r>
      <w:r w:rsidRPr="00087A72">
        <w:rPr>
          <w:sz w:val="8"/>
        </w:rPr>
        <w:t xml:space="preserve"> </w:t>
      </w:r>
      <w:r w:rsidRPr="00087A72">
        <w:rPr>
          <w:rStyle w:val="Emphasis"/>
        </w:rPr>
        <w:t xml:space="preserve">diffuse nature </w:t>
      </w:r>
      <w:r w:rsidRPr="00087A72">
        <w:rPr>
          <w:rStyle w:val="Emphasis"/>
          <w:b w:val="0"/>
        </w:rPr>
        <w:t>of settler colonialism</w:t>
      </w:r>
      <w:r w:rsidRPr="00087A72">
        <w:rPr>
          <w:rStyle w:val="Emphasis"/>
        </w:rPr>
        <w:t xml:space="preserve"> enables the perception </w:t>
      </w:r>
      <w:r w:rsidRPr="00087A72">
        <w:rPr>
          <w:rStyle w:val="StyleUnderline"/>
        </w:rPr>
        <w:t xml:space="preserve">that, while everyone may be somehow connected to colonization, </w:t>
      </w:r>
      <w:r w:rsidRPr="00087A72">
        <w:rPr>
          <w:rStyle w:val="Emphasis"/>
        </w:rPr>
        <w:t>no one is responsible for it.</w:t>
      </w:r>
      <w:r w:rsidRPr="00087A72">
        <w:rPr>
          <w:sz w:val="8"/>
        </w:rPr>
        <w:t xml:space="preserve"> Veracini explains: ...a recurrent need to disavow produces a circumstance where </w:t>
      </w:r>
      <w:r w:rsidRPr="00087A72">
        <w:rPr>
          <w:rStyle w:val="Emphasis"/>
          <w:b w:val="0"/>
          <w:sz w:val="8"/>
          <w:u w:val="none"/>
        </w:rPr>
        <w:t>the actual operation of settler colonial practices is concealed behind other occurrences.... The settler hides... behind the activity of</w:t>
      </w:r>
      <w:r w:rsidRPr="00087A72">
        <w:rPr>
          <w:sz w:val="8"/>
        </w:rPr>
        <w:t xml:space="preserve"> settlers elsewhere, behind the persecuted, the migrant, even the refugee.... The settler hides behind his labour and hardship.... Most importantly, the peaceful settler hides behind the ethnic cleanser.... Settler colonialism obscures the conditions of its own production. (Veracini, 2010, p. 14) </w:t>
      </w:r>
      <w:r w:rsidRPr="00087A72">
        <w:rPr>
          <w:rStyle w:val="StyleUnderline"/>
        </w:rPr>
        <w:t xml:space="preserve">This </w:t>
      </w:r>
      <w:r w:rsidRPr="00087A72">
        <w:rPr>
          <w:rStyle w:val="Emphasis"/>
          <w:b w:val="0"/>
        </w:rPr>
        <w:t>denial</w:t>
      </w:r>
      <w:r w:rsidRPr="00087A72">
        <w:rPr>
          <w:sz w:val="8"/>
        </w:rPr>
        <w:t>—</w:t>
      </w:r>
      <w:r w:rsidRPr="00087A72">
        <w:rPr>
          <w:rStyle w:val="StyleUnderline"/>
        </w:rPr>
        <w:t>not of the existence of colonization, but of</w:t>
      </w:r>
      <w:r w:rsidRPr="00087A72">
        <w:rPr>
          <w:rStyle w:val="Emphasis"/>
        </w:rPr>
        <w:t xml:space="preserve"> </w:t>
      </w:r>
      <w:r w:rsidRPr="00087A72">
        <w:rPr>
          <w:rStyle w:val="Emphasis"/>
          <w:b w:val="0"/>
        </w:rPr>
        <w:t>personal complicity</w:t>
      </w:r>
      <w:r w:rsidRPr="00087A72">
        <w:rPr>
          <w:sz w:val="8"/>
        </w:rPr>
        <w:t xml:space="preserve"> (Regan, 2010, p. 45)—</w:t>
      </w:r>
      <w:r w:rsidRPr="00087A72">
        <w:rPr>
          <w:rStyle w:val="Emphasis"/>
          <w:b w:val="0"/>
        </w:rPr>
        <w:t>makes settler colonialism very difﬁcult to confront effectively</w:t>
      </w:r>
      <w:r w:rsidRPr="00087A72">
        <w:rPr>
          <w:rStyle w:val="Emphasis"/>
        </w:rPr>
        <w:t>.</w:t>
      </w:r>
      <w:r w:rsidRPr="00087A72">
        <w:rPr>
          <w:sz w:val="8"/>
        </w:rPr>
        <w:t xml:space="preserve"> That these elements manifest inside the Occupy movements is not surprising, but rather inevitable. However, it is not only the persistence of settler colonialism within Occupy that is at issue; it is also what settler colonialism reveals about the direction and intent of the Settler majority that makes up Occupy. </w:t>
      </w:r>
      <w:r w:rsidRPr="00087A72">
        <w:rPr>
          <w:rStyle w:val="Emphasis"/>
        </w:rPr>
        <w:t>Beyond</w:t>
      </w:r>
      <w:r w:rsidRPr="00087A72">
        <w:rPr>
          <w:rStyle w:val="StyleUnderline"/>
        </w:rPr>
        <w:t xml:space="preserve"> the colonial </w:t>
      </w:r>
      <w:r w:rsidRPr="00087A72">
        <w:rPr>
          <w:rStyle w:val="Emphasis"/>
          <w:b w:val="0"/>
        </w:rPr>
        <w:t>accumulation</w:t>
      </w:r>
      <w:r w:rsidRPr="00087A72">
        <w:rPr>
          <w:rStyle w:val="Emphasis"/>
        </w:rPr>
        <w:t xml:space="preserve"> </w:t>
      </w:r>
      <w:r w:rsidRPr="00087A72">
        <w:rPr>
          <w:rStyle w:val="Emphasis"/>
          <w:b w:val="0"/>
        </w:rPr>
        <w:t>of</w:t>
      </w:r>
      <w:r w:rsidRPr="00087A72">
        <w:rPr>
          <w:rStyle w:val="Emphasis"/>
        </w:rPr>
        <w:t xml:space="preserve"> wealth and power</w:t>
      </w:r>
      <w:r w:rsidRPr="00087A72">
        <w:rPr>
          <w:sz w:val="8"/>
        </w:rPr>
        <w:t xml:space="preserve">, </w:t>
      </w:r>
      <w:r w:rsidRPr="00087A72">
        <w:rPr>
          <w:rStyle w:val="Emphasis"/>
        </w:rPr>
        <w:t>Settler</w:t>
      </w:r>
      <w:r w:rsidRPr="00087A72">
        <w:rPr>
          <w:sz w:val="8"/>
        </w:rPr>
        <w:t xml:space="preserve"> people </w:t>
      </w:r>
      <w:r w:rsidRPr="00087A72">
        <w:rPr>
          <w:rStyle w:val="Emphasis"/>
        </w:rPr>
        <w:t>remain preoccupied with naturalization</w:t>
      </w:r>
      <w:r w:rsidRPr="00087A72">
        <w:rPr>
          <w:sz w:val="8"/>
        </w:rPr>
        <w:t xml:space="preserve">. </w:t>
      </w:r>
      <w:r w:rsidRPr="00087A72">
        <w:rPr>
          <w:rStyle w:val="StyleUnderline"/>
        </w:rPr>
        <w:t>Veracini argues that</w:t>
      </w:r>
      <w:r w:rsidRPr="00087A72">
        <w:rPr>
          <w:sz w:val="8"/>
        </w:rPr>
        <w:t xml:space="preserve"> </w:t>
      </w:r>
      <w:r w:rsidRPr="00087A72">
        <w:rPr>
          <w:rStyle w:val="Emphasis"/>
          <w:b w:val="0"/>
        </w:rPr>
        <w:t>all settler colonial societies</w:t>
      </w:r>
      <w:r w:rsidRPr="00087A72">
        <w:rPr>
          <w:rStyle w:val="Emphasis"/>
        </w:rPr>
        <w:t xml:space="preserve"> desire to supersede themselves</w:t>
      </w:r>
      <w:r w:rsidRPr="00087A72">
        <w:rPr>
          <w:rStyle w:val="Emphasis"/>
          <w:b w:val="0"/>
        </w:rPr>
        <w:t>, that is, to</w:t>
      </w:r>
      <w:r w:rsidRPr="00087A72">
        <w:rPr>
          <w:rStyle w:val="Emphasis"/>
        </w:rPr>
        <w:t xml:space="preserve"> create a ‘post settler’ </w:t>
      </w:r>
      <w:r w:rsidRPr="00087A72">
        <w:rPr>
          <w:rStyle w:val="Emphasis"/>
          <w:b w:val="0"/>
        </w:rPr>
        <w:t>polity</w:t>
      </w:r>
      <w:r w:rsidRPr="00087A72">
        <w:rPr>
          <w:sz w:val="8"/>
        </w:rPr>
        <w:t xml:space="preserve">. </w:t>
      </w:r>
      <w:r w:rsidRPr="00087A72">
        <w:rPr>
          <w:rStyle w:val="StyleUnderline"/>
        </w:rPr>
        <w:t>He describes</w:t>
      </w:r>
      <w:r w:rsidRPr="00087A72">
        <w:rPr>
          <w:sz w:val="8"/>
        </w:rPr>
        <w:t xml:space="preserve"> </w:t>
      </w:r>
      <w:r w:rsidRPr="00087A72">
        <w:rPr>
          <w:rStyle w:val="Emphasis"/>
          <w:b w:val="0"/>
        </w:rPr>
        <w:t>settler colonial</w:t>
      </w:r>
      <w:r w:rsidRPr="00087A72">
        <w:rPr>
          <w:rStyle w:val="Emphasis"/>
        </w:rPr>
        <w:t xml:space="preserve"> societies as ‘palindromes’</w:t>
      </w:r>
      <w:r w:rsidRPr="00087A72">
        <w:rPr>
          <w:sz w:val="8"/>
        </w:rPr>
        <w:t xml:space="preserve"> (Veracini, 2010, pp. 100–101) that </w:t>
      </w:r>
      <w:r w:rsidRPr="00087A72">
        <w:rPr>
          <w:rStyle w:val="Emphasis"/>
          <w:b w:val="0"/>
        </w:rPr>
        <w:t>must</w:t>
      </w:r>
      <w:r w:rsidRPr="00087A72">
        <w:rPr>
          <w:rStyle w:val="Emphasis"/>
        </w:rPr>
        <w:t xml:space="preserve"> come full circle to naturalize themselves</w:t>
      </w:r>
      <w:r w:rsidRPr="00087A72">
        <w:rPr>
          <w:rStyle w:val="StyleUnderline"/>
        </w:rPr>
        <w:t xml:space="preserve"> in place, or be </w:t>
      </w:r>
      <w:r w:rsidRPr="00087A72">
        <w:rPr>
          <w:rStyle w:val="Emphasis"/>
          <w:b w:val="0"/>
        </w:rPr>
        <w:t>forever</w:t>
      </w:r>
      <w:r w:rsidRPr="00087A72">
        <w:rPr>
          <w:rStyle w:val="Emphasis"/>
        </w:rPr>
        <w:t xml:space="preserve"> reminded of their status as </w:t>
      </w:r>
      <w:r w:rsidRPr="00087A72">
        <w:rPr>
          <w:rStyle w:val="Emphasis"/>
          <w:b w:val="0"/>
        </w:rPr>
        <w:t>foreigners</w:t>
      </w:r>
      <w:r w:rsidRPr="00087A72">
        <w:rPr>
          <w:rStyle w:val="StyleUnderline"/>
        </w:rPr>
        <w:t xml:space="preserve"> and, more accurately, </w:t>
      </w:r>
      <w:r w:rsidRPr="00087A72">
        <w:rPr>
          <w:rStyle w:val="Emphasis"/>
        </w:rPr>
        <w:t>invaders and exploiters</w:t>
      </w:r>
      <w:r w:rsidRPr="00087A72">
        <w:rPr>
          <w:sz w:val="8"/>
        </w:rPr>
        <w:t xml:space="preserve">. </w:t>
      </w:r>
      <w:r w:rsidRPr="00087A72">
        <w:rPr>
          <w:rStyle w:val="Emphasis"/>
          <w:b w:val="0"/>
        </w:rPr>
        <w:t>This</w:t>
      </w:r>
      <w:r w:rsidRPr="00087A72">
        <w:rPr>
          <w:rStyle w:val="Emphasis"/>
        </w:rPr>
        <w:t xml:space="preserve"> </w:t>
      </w:r>
      <w:r w:rsidRPr="00087A72">
        <w:rPr>
          <w:rStyle w:val="Emphasis"/>
          <w:b w:val="0"/>
        </w:rPr>
        <w:t>necessitates</w:t>
      </w:r>
      <w:r w:rsidRPr="00087A72">
        <w:rPr>
          <w:rStyle w:val="Emphasis"/>
        </w:rPr>
        <w:t xml:space="preserve"> the erasure </w:t>
      </w:r>
      <w:r w:rsidRPr="00087A72">
        <w:rPr>
          <w:rStyle w:val="Emphasis"/>
          <w:b w:val="0"/>
        </w:rPr>
        <w:t>of indigeneity</w:t>
      </w:r>
      <w:r w:rsidRPr="00087A72">
        <w:rPr>
          <w:rStyle w:val="Emphasis"/>
        </w:rPr>
        <w:t xml:space="preserve"> from place</w:t>
      </w:r>
      <w:r w:rsidRPr="00087A72">
        <w:rPr>
          <w:sz w:val="8"/>
        </w:rPr>
        <w:t xml:space="preserve"> (Alfred &amp; Corntassel, 2005, p. 598). </w:t>
      </w:r>
      <w:r w:rsidRPr="00087A72">
        <w:rPr>
          <w:rStyle w:val="Emphasis"/>
        </w:rPr>
        <w:t xml:space="preserve">Not just the physical erasure </w:t>
      </w:r>
      <w:r w:rsidRPr="00087A72">
        <w:rPr>
          <w:rStyle w:val="Emphasis"/>
          <w:b w:val="0"/>
        </w:rPr>
        <w:t>of indigenous populations</w:t>
      </w:r>
      <w:r w:rsidRPr="00087A72">
        <w:rPr>
          <w:rStyle w:val="StyleUnderline"/>
        </w:rPr>
        <w:t>, either;</w:t>
      </w:r>
      <w:r w:rsidRPr="00087A72">
        <w:rPr>
          <w:sz w:val="8"/>
        </w:rPr>
        <w:t xml:space="preserve"> </w:t>
      </w:r>
      <w:r w:rsidRPr="00087A72">
        <w:rPr>
          <w:rStyle w:val="Emphasis"/>
        </w:rPr>
        <w:t xml:space="preserve">the very memory of Indigenous ways of knowing and being </w:t>
      </w:r>
      <w:r w:rsidRPr="00087A72">
        <w:rPr>
          <w:rStyle w:val="Emphasis"/>
          <w:b w:val="0"/>
        </w:rPr>
        <w:t>must be</w:t>
      </w:r>
      <w:r w:rsidRPr="00087A72">
        <w:rPr>
          <w:rStyle w:val="Emphasis"/>
        </w:rPr>
        <w:t xml:space="preserve"> </w:t>
      </w:r>
      <w:r w:rsidRPr="00087A72">
        <w:rPr>
          <w:rStyle w:val="Emphasis"/>
          <w:b w:val="0"/>
        </w:rPr>
        <w:t>erased</w:t>
      </w:r>
      <w:r w:rsidRPr="00087A72">
        <w:rPr>
          <w:sz w:val="8"/>
        </w:rPr>
        <w:t xml:space="preserve"> </w:t>
      </w:r>
      <w:r w:rsidRPr="00087A72">
        <w:rPr>
          <w:rStyle w:val="StyleUnderline"/>
        </w:rPr>
        <w:t xml:space="preserve">or subsumed </w:t>
      </w:r>
      <w:r w:rsidRPr="00087A72">
        <w:rPr>
          <w:rStyle w:val="Emphasis"/>
        </w:rPr>
        <w:t>into a multicultural Settler polity</w:t>
      </w:r>
      <w:r w:rsidRPr="00087A72">
        <w:rPr>
          <w:rStyle w:val="StyleUnderline"/>
        </w:rPr>
        <w:t>. In this way,</w:t>
      </w:r>
      <w:r w:rsidRPr="00087A72">
        <w:rPr>
          <w:sz w:val="8"/>
        </w:rPr>
        <w:t xml:space="preserve"> </w:t>
      </w:r>
      <w:r w:rsidRPr="00087A72">
        <w:rPr>
          <w:rStyle w:val="Emphasis"/>
        </w:rPr>
        <w:t xml:space="preserve">the </w:t>
      </w:r>
      <w:r w:rsidRPr="00087A72">
        <w:rPr>
          <w:rStyle w:val="Emphasis"/>
          <w:b w:val="0"/>
        </w:rPr>
        <w:t>Indigenous–Settler</w:t>
      </w:r>
      <w:r w:rsidRPr="00087A72">
        <w:rPr>
          <w:rStyle w:val="Emphasis"/>
        </w:rPr>
        <w:t xml:space="preserve"> divide disappears</w:t>
      </w:r>
      <w:r w:rsidRPr="00087A72">
        <w:rPr>
          <w:sz w:val="8"/>
        </w:rPr>
        <w:t xml:space="preserve">, and </w:t>
      </w:r>
      <w:r w:rsidRPr="00087A72">
        <w:rPr>
          <w:rStyle w:val="Emphasis"/>
        </w:rPr>
        <w:t>Settler people become naturalized as simply ‘American’, ‘Canadian’ or whichever</w:t>
      </w:r>
      <w:r w:rsidRPr="00087A72">
        <w:rPr>
          <w:sz w:val="8"/>
        </w:rPr>
        <w:t xml:space="preserve"> </w:t>
      </w:r>
      <w:r w:rsidRPr="00087A72">
        <w:rPr>
          <w:rStyle w:val="StyleUnderline"/>
        </w:rPr>
        <w:t>other identity</w:t>
      </w:r>
      <w:r w:rsidRPr="00087A72">
        <w:rPr>
          <w:sz w:val="8"/>
        </w:rPr>
        <w:t xml:space="preserve"> </w:t>
      </w:r>
      <w:r w:rsidRPr="00087A72">
        <w:rPr>
          <w:rStyle w:val="Emphasis"/>
        </w:rPr>
        <w:t>labels apply</w:t>
      </w:r>
      <w:r w:rsidRPr="00087A72">
        <w:rPr>
          <w:rStyle w:val="StyleUnderline"/>
        </w:rPr>
        <w:t xml:space="preserve">. Kilibarda (2012) points out that themes of nationalism persist in the Occupy movements. </w:t>
      </w:r>
      <w:r w:rsidRPr="00087A72">
        <w:rPr>
          <w:rStyle w:val="Emphasis"/>
          <w:b w:val="0"/>
        </w:rPr>
        <w:t>The</w:t>
      </w:r>
      <w:r w:rsidRPr="00087A72">
        <w:rPr>
          <w:rStyle w:val="Emphasis"/>
        </w:rPr>
        <w:t xml:space="preserve"> narrative of reclaiming ones country from a corrupt few is a powerful story</w:t>
      </w:r>
      <w:r w:rsidRPr="00087A72">
        <w:rPr>
          <w:sz w:val="8"/>
        </w:rPr>
        <w:t xml:space="preserve">. </w:t>
      </w:r>
      <w:r w:rsidRPr="00087A72">
        <w:rPr>
          <w:rStyle w:val="StyleUnderline"/>
        </w:rPr>
        <w:t xml:space="preserve">Selbin’s (2010) analysis of social movements reminds us that </w:t>
      </w:r>
      <w:r w:rsidRPr="00087A72">
        <w:rPr>
          <w:rStyle w:val="Emphasis"/>
        </w:rPr>
        <w:t>people respond to ‘stories that they know’</w:t>
      </w:r>
      <w:r w:rsidRPr="00087A72">
        <w:rPr>
          <w:sz w:val="8"/>
        </w:rPr>
        <w:t xml:space="preserve"> </w:t>
      </w:r>
      <w:r w:rsidRPr="00087A72">
        <w:rPr>
          <w:rStyle w:val="StyleUnderline"/>
        </w:rPr>
        <w:t>and</w:t>
      </w:r>
      <w:r w:rsidRPr="00087A72">
        <w:rPr>
          <w:sz w:val="8"/>
        </w:rPr>
        <w:t xml:space="preserve"> </w:t>
      </w:r>
      <w:r w:rsidRPr="00087A72">
        <w:rPr>
          <w:rStyle w:val="Emphasis"/>
          <w:b w:val="0"/>
        </w:rPr>
        <w:t xml:space="preserve">build the </w:t>
      </w:r>
      <w:r w:rsidRPr="00087A72">
        <w:rPr>
          <w:rStyle w:val="Emphasis"/>
        </w:rPr>
        <w:t>narratives of social change as ‘bricoleurs’,</w:t>
      </w:r>
      <w:r w:rsidRPr="00087A72">
        <w:rPr>
          <w:sz w:val="8"/>
        </w:rPr>
        <w:t xml:space="preserve"> </w:t>
      </w:r>
      <w:r w:rsidRPr="00087A72">
        <w:rPr>
          <w:rStyle w:val="StyleUnderline"/>
        </w:rPr>
        <w:t>using the pieces of social memory and history that are available to them. In many ways, the Occupy movements return to powerful settler colonial stories: the exceptional nation, individual equality, a market that generates fundamental freedoms if only properly tended and regulated.</w:t>
      </w:r>
      <w:r w:rsidRPr="00087A72">
        <w:rPr>
          <w:sz w:val="8"/>
        </w:rPr>
        <w:t xml:space="preserve"> Despite the roots of capital accumulation in Indigenous dispossession, Occupy has largely chosen to focus on the abuse of power and position by individuals and corporations. This problem is to be addressed by mass collections of individuals: ‘the 99%’. </w:t>
      </w:r>
      <w:r w:rsidRPr="00087A72">
        <w:rPr>
          <w:rStyle w:val="Emphasis"/>
        </w:rPr>
        <w:t xml:space="preserve">Rather than addressing the roots of inequality </w:t>
      </w:r>
      <w:r w:rsidRPr="00087A72">
        <w:rPr>
          <w:rStyle w:val="Emphasis"/>
          <w:b w:val="0"/>
        </w:rPr>
        <w:t>in settler colonialism</w:t>
      </w:r>
      <w:r w:rsidRPr="00087A72">
        <w:rPr>
          <w:rStyle w:val="Emphasis"/>
        </w:rPr>
        <w:t xml:space="preserve">, the 99% seeks to level the playing ﬁeld </w:t>
      </w:r>
      <w:r w:rsidRPr="00087A72">
        <w:rPr>
          <w:rStyle w:val="Emphasis"/>
          <w:b w:val="0"/>
        </w:rPr>
        <w:t>within the imposed system of state and capital</w:t>
      </w:r>
      <w:r w:rsidRPr="00087A72">
        <w:rPr>
          <w:rStyle w:val="Emphasis"/>
        </w:rPr>
        <w:t xml:space="preserve">, completing the </w:t>
      </w:r>
      <w:r w:rsidRPr="00087A72">
        <w:rPr>
          <w:rStyle w:val="Emphasis"/>
          <w:b w:val="0"/>
        </w:rPr>
        <w:t>settler colonial</w:t>
      </w:r>
      <w:r w:rsidRPr="00087A72">
        <w:rPr>
          <w:rStyle w:val="Emphasis"/>
        </w:rPr>
        <w:t xml:space="preserve"> palindrome: Settler and Indigenous disappear, along with the history of colonization, leaving only </w:t>
      </w:r>
      <w:r w:rsidRPr="00087A72">
        <w:rPr>
          <w:rStyle w:val="Emphasis"/>
          <w:b w:val="0"/>
        </w:rPr>
        <w:t>homogenized</w:t>
      </w:r>
      <w:r w:rsidRPr="00087A72">
        <w:rPr>
          <w:sz w:val="8"/>
        </w:rPr>
        <w:t xml:space="preserve"> (liberal and progressive) </w:t>
      </w:r>
      <w:r w:rsidRPr="00087A72">
        <w:rPr>
          <w:rStyle w:val="Emphasis"/>
        </w:rPr>
        <w:t xml:space="preserve">rights-bearing individuals. </w:t>
      </w:r>
      <w:r w:rsidRPr="00087A72">
        <w:rPr>
          <w:rStyle w:val="Emphasis"/>
          <w:b w:val="0"/>
        </w:rPr>
        <w:t>Settler colonial theory</w:t>
      </w:r>
      <w:r w:rsidRPr="00087A72">
        <w:rPr>
          <w:rStyle w:val="Emphasis"/>
        </w:rPr>
        <w:t xml:space="preserve"> reveals this </w:t>
      </w:r>
      <w:r w:rsidRPr="00087A72">
        <w:rPr>
          <w:rStyle w:val="Emphasis"/>
          <w:b w:val="0"/>
        </w:rPr>
        <w:t>overlap</w:t>
      </w:r>
      <w:r w:rsidRPr="00087A72">
        <w:rPr>
          <w:rStyle w:val="Emphasis"/>
        </w:rPr>
        <w:t xml:space="preserve"> between stories of national liberation and </w:t>
      </w:r>
      <w:r w:rsidRPr="00087A72">
        <w:rPr>
          <w:rStyle w:val="Emphasis"/>
          <w:b w:val="0"/>
        </w:rPr>
        <w:t>histories of</w:t>
      </w:r>
      <w:r w:rsidRPr="00087A72">
        <w:rPr>
          <w:rStyle w:val="Emphasis"/>
        </w:rPr>
        <w:t xml:space="preserve"> colonial dispossession in settler states. </w:t>
      </w:r>
      <w:r w:rsidRPr="00087A72">
        <w:rPr>
          <w:sz w:val="8"/>
        </w:rPr>
        <w:t>This overlap is evident to some extent in the way that Occupy movements conceptualize themselves. The ‘99%’ moniker is both a powerful rallying cry and also a homogenizing declaration (Kilibarda, 2012, pp. 30–32</w:t>
      </w:r>
      <w:r w:rsidRPr="00087A72">
        <w:rPr>
          <w:rStyle w:val="StyleUnderline"/>
        </w:rPr>
        <w:t>). In fact,</w:t>
      </w:r>
      <w:r w:rsidRPr="00087A72">
        <w:rPr>
          <w:rStyle w:val="Emphasis"/>
        </w:rPr>
        <w:t xml:space="preserve"> Indigenous </w:t>
      </w:r>
      <w:r w:rsidRPr="00087A72">
        <w:rPr>
          <w:rStyle w:val="Emphasis"/>
          <w:b w:val="0"/>
        </w:rPr>
        <w:t>peoples</w:t>
      </w:r>
      <w:r w:rsidRPr="00087A72">
        <w:rPr>
          <w:rStyle w:val="Emphasis"/>
        </w:rPr>
        <w:t xml:space="preserve"> are not part of ‘the 99%’</w:t>
      </w:r>
      <w:r w:rsidRPr="00087A72">
        <w:rPr>
          <w:sz w:val="8"/>
        </w:rPr>
        <w:t xml:space="preserve"> </w:t>
      </w:r>
      <w:r w:rsidRPr="00087A72">
        <w:rPr>
          <w:rStyle w:val="StyleUnderline"/>
        </w:rPr>
        <w:t>in the way that</w:t>
      </w:r>
      <w:r w:rsidRPr="00087A72">
        <w:rPr>
          <w:sz w:val="8"/>
        </w:rPr>
        <w:t xml:space="preserve"> </w:t>
      </w:r>
      <w:r w:rsidRPr="00087A72">
        <w:rPr>
          <w:rStyle w:val="Emphasis"/>
        </w:rPr>
        <w:t>most Settler people are</w:t>
      </w:r>
      <w:r w:rsidRPr="00087A72">
        <w:rPr>
          <w:sz w:val="8"/>
        </w:rPr>
        <w:t xml:space="preserve"> (Yee, 2011). </w:t>
      </w:r>
      <w:r w:rsidRPr="00087A72">
        <w:rPr>
          <w:rStyle w:val="Emphasis"/>
        </w:rPr>
        <w:t>In order to enter</w:t>
      </w:r>
      <w:r w:rsidRPr="00087A72">
        <w:rPr>
          <w:sz w:val="8"/>
        </w:rPr>
        <w:t xml:space="preserve"> </w:t>
      </w:r>
      <w:r w:rsidRPr="00087A72">
        <w:rPr>
          <w:rStyle w:val="StyleUnderline"/>
        </w:rPr>
        <w:t>the social space of</w:t>
      </w:r>
      <w:r w:rsidRPr="00087A72">
        <w:rPr>
          <w:sz w:val="8"/>
        </w:rPr>
        <w:t xml:space="preserve"> </w:t>
      </w:r>
      <w:r w:rsidRPr="00087A72">
        <w:rPr>
          <w:rStyle w:val="Emphasis"/>
          <w:b w:val="0"/>
        </w:rPr>
        <w:t>the 99%,</w:t>
      </w:r>
      <w:r w:rsidRPr="00087A72">
        <w:rPr>
          <w:rStyle w:val="Emphasis"/>
        </w:rPr>
        <w:t xml:space="preserve"> Indigenous </w:t>
      </w:r>
      <w:r w:rsidRPr="00087A72">
        <w:rPr>
          <w:rStyle w:val="Emphasis"/>
          <w:b w:val="0"/>
        </w:rPr>
        <w:t>peoples</w:t>
      </w:r>
      <w:r w:rsidRPr="00087A72">
        <w:rPr>
          <w:rStyle w:val="Emphasis"/>
        </w:rPr>
        <w:t xml:space="preserve"> must ignore generations of difference making and marginalization by governments </w:t>
      </w:r>
      <w:r w:rsidRPr="00087A72">
        <w:rPr>
          <w:rStyle w:val="Emphasis"/>
          <w:b w:val="0"/>
        </w:rPr>
        <w:t>and Settler communities</w:t>
      </w:r>
      <w:r w:rsidRPr="00087A72">
        <w:rPr>
          <w:sz w:val="8"/>
        </w:rPr>
        <w:t xml:space="preserve">, and </w:t>
      </w:r>
      <w:r w:rsidRPr="00087A72">
        <w:rPr>
          <w:rStyle w:val="Emphasis"/>
        </w:rPr>
        <w:t>assume the role of a politicized ‘minority’ in solidarity with other minority groups making equivalent claims</w:t>
      </w:r>
      <w:r w:rsidRPr="00087A72">
        <w:rPr>
          <w:rStyle w:val="Emphasis"/>
          <w:b w:val="0"/>
        </w:rPr>
        <w:t>.</w:t>
      </w:r>
      <w:r w:rsidRPr="00087A72">
        <w:rPr>
          <w:rStyle w:val="Emphasis"/>
        </w:rPr>
        <w:t xml:space="preserve"> </w:t>
      </w:r>
      <w:r w:rsidRPr="00087A72">
        <w:rPr>
          <w:rStyle w:val="Emphasis"/>
          <w:b w:val="0"/>
        </w:rPr>
        <w:t>Participation is contingent on abandoning fundamental aspects of indigeneity.</w:t>
      </w:r>
      <w:r w:rsidRPr="00087A72">
        <w:rPr>
          <w:rStyle w:val="Emphasis"/>
          <w:b w:val="0"/>
          <w:iCs w:val="0"/>
          <w:sz w:val="8"/>
          <w:u w:val="none"/>
        </w:rPr>
        <w:t xml:space="preserve"> </w:t>
      </w:r>
      <w:r w:rsidRPr="00087A72">
        <w:rPr>
          <w:sz w:val="8"/>
        </w:rPr>
        <w:t xml:space="preserve">Perhaps </w:t>
      </w:r>
      <w:r w:rsidRPr="00087A72">
        <w:rPr>
          <w:rStyle w:val="StyleUnderline"/>
        </w:rPr>
        <w:t>it was inevitable that a movement for economic justice</w:t>
      </w:r>
      <w:r w:rsidRPr="00087A72">
        <w:rPr>
          <w:sz w:val="8"/>
        </w:rPr>
        <w:t>—even framed in social terms—</w:t>
      </w:r>
      <w:r w:rsidRPr="00087A72">
        <w:rPr>
          <w:rStyle w:val="StyleUnderline"/>
        </w:rPr>
        <w:t xml:space="preserve">would not resonate with Indigenous </w:t>
      </w:r>
      <w:r w:rsidRPr="00087A72">
        <w:rPr>
          <w:sz w:val="8"/>
        </w:rPr>
        <w:t xml:space="preserve">activists. Indigenous peoples have contended with colonial power since before the creation of the northern bloc settler states. The severe deprivation and economic marginalization that is a feature of much of Indian Country inspired similar Indigenous-led protests decades ago. In 1972, before anyone thought to Occupy Wall Street, Indigenous activists were already occupying the Bureau of Indian Affairs (BIA) ofﬁces. It is important to remember that </w:t>
      </w:r>
      <w:r w:rsidRPr="00087A72">
        <w:rPr>
          <w:rStyle w:val="StyleUnderline"/>
        </w:rPr>
        <w:t>despite ‘centuries of genocidal policies targeting indigenous lands, belief systems and bodies, indigenous communities have nevertheless repeatedly managed to check the same capitalist system</w:t>
      </w:r>
      <w:r w:rsidRPr="00087A72">
        <w:rPr>
          <w:sz w:val="8"/>
        </w:rPr>
        <w:t xml:space="preserve"> that #occupy is now confronting’ (Kilibarda, 2012, p. 27). I would argue here </w:t>
      </w:r>
      <w:r w:rsidRPr="00087A72">
        <w:rPr>
          <w:rStyle w:val="StyleUnderline"/>
        </w:rPr>
        <w:t>that Indigenous communities have more properly been checking the growth of settler colonial power, manifested as capitalist exploitation and state oppression.</w:t>
      </w:r>
      <w:r w:rsidRPr="00087A72">
        <w:rPr>
          <w:sz w:val="8"/>
        </w:rPr>
        <w:t xml:space="preserve"> These power dynamics have been identiﬁed and engaged by Occupy movements as well; yet, there seems to be little understanding of how Indigenous peoples’ experiences in resistance have informed evolving goals, strategies and tactics, including that of occupation. There is a certain frustration that undoubtedly arises for Indigenous peoples observing Occupy movements trying to deﬁne themselves. In the early days of Occupy Wall Street</w:t>
      </w:r>
      <w:r w:rsidRPr="00087A72">
        <w:rPr>
          <w:rStyle w:val="StyleUnderline"/>
        </w:rPr>
        <w:t>, discussions about economics and policy were quickly subsumed into discourses about the practice of experimental and direct democracy.</w:t>
      </w:r>
      <w:r w:rsidRPr="00087A72">
        <w:rPr>
          <w:sz w:val="8"/>
        </w:rPr>
        <w:t xml:space="preserve"> </w:t>
      </w:r>
      <w:r w:rsidRPr="00087A72">
        <w:rPr>
          <w:rStyle w:val="StyleUnderline"/>
        </w:rPr>
        <w:t>For Indigenous</w:t>
      </w:r>
      <w:r w:rsidRPr="00087A72">
        <w:rPr>
          <w:sz w:val="8"/>
        </w:rPr>
        <w:t xml:space="preserve"> peoples, </w:t>
      </w:r>
      <w:r w:rsidRPr="00087A72">
        <w:rPr>
          <w:rStyle w:val="StyleUnderline"/>
        </w:rPr>
        <w:t>these discourses must seem at turns ironic and absurd</w:t>
      </w:r>
      <w:r w:rsidRPr="00087A72">
        <w:rPr>
          <w:sz w:val="8"/>
        </w:rPr>
        <w:t xml:space="preserve">: </w:t>
      </w:r>
      <w:r w:rsidRPr="00087A72">
        <w:rPr>
          <w:rStyle w:val="StyleUnderline"/>
        </w:rPr>
        <w:t>privileged Settler people play-acting at freedom while Indigenous peoples’ own fully functioning, traditional and tested forms of governance have been derided and attacked for centuries</w:t>
      </w:r>
      <w:r w:rsidRPr="00087A72">
        <w:rPr>
          <w:sz w:val="8"/>
        </w:rPr>
        <w:t xml:space="preserve">. And while the </w:t>
      </w:r>
      <w:r w:rsidRPr="00087A72">
        <w:rPr>
          <w:rStyle w:val="StyleUnderline"/>
        </w:rPr>
        <w:t>protesters would likely suggest that they are not the problem—instead citing government, military or corporate structures—in the context of settler colonialism, this position is untenable. It is too easy to point ﬁngers at these large institutions of power and privilege. Indigenous activists are aware of this. There are many signs of shifts in Indigenous praxis away from contending with governments and institutions of power, and towards asserting differential relationships to place in spite of (rather than against) colonial power structures (Alfred, 2005; Alfred &amp; Corntassel, 2005).</w:t>
      </w:r>
      <w:r w:rsidRPr="00087A72">
        <w:rPr>
          <w:sz w:val="8"/>
        </w:rPr>
        <w:t xml:space="preserve"> Although, as noted, Indigenous struggles in the northern bloc have long been characterized by tactical occupations, the motivations, goals and methods of occupying have changed over time. </w:t>
      </w:r>
      <w:r w:rsidRPr="00087A72">
        <w:rPr>
          <w:rStyle w:val="StyleUnderline"/>
        </w:rPr>
        <w:t>Occupations of Alcatraz and the BIA Ofﬁce in the 1960s and 1970s were intended to defy government dictates—asserting autonomy—and to raise public awareness.</w:t>
      </w:r>
      <w:r w:rsidRPr="00087A72">
        <w:rPr>
          <w:sz w:val="8"/>
        </w:rPr>
        <w:t xml:space="preserve"> Later occupations, such as those in Tla-o-qui-aht (Clayoquot Sound) or Burnt Church, brought more speciﬁc demands to bear, asserting control of particular resources desirable to Settler society.</w:t>
      </w:r>
    </w:p>
    <w:p w:rsidR="00BF6777" w:rsidRPr="00087A72" w:rsidRDefault="00BF6777" w:rsidP="00BF6777">
      <w:pPr>
        <w:pStyle w:val="Heading3"/>
      </w:pPr>
      <w:r w:rsidRPr="00087A72">
        <w:t>A2: Reformism – Court Cases</w:t>
      </w:r>
    </w:p>
    <w:p w:rsidR="00BF6777" w:rsidRPr="00087A72" w:rsidRDefault="00BF6777" w:rsidP="00BF6777">
      <w:pPr>
        <w:pStyle w:val="Heading4"/>
        <w:rPr>
          <w:rStyle w:val="Style13ptBold"/>
          <w:b/>
        </w:rPr>
      </w:pPr>
      <w:r w:rsidRPr="00087A72">
        <w:rPr>
          <w:rStyle w:val="Style13ptBold"/>
          <w:b/>
        </w:rPr>
        <w:t xml:space="preserve">Attempts at reformism and court action are haunted by the native </w:t>
      </w:r>
    </w:p>
    <w:p w:rsidR="00BF6777" w:rsidRPr="00087A72" w:rsidRDefault="00BF6777" w:rsidP="00BF6777">
      <w:r w:rsidRPr="00087A72">
        <w:rPr>
          <w:rStyle w:val="Style13ptBold"/>
        </w:rPr>
        <w:t>Bruyneel 15</w:t>
      </w:r>
      <w:r w:rsidRPr="00087A72">
        <w:t xml:space="preserve"> (Kevin, Professor of Politics at Babson College. He wrote The Third Space of Sovereignty: The Postcolonial Politics of U.S.-Indigenous Relations, “Codename Geronimo: settler memory and the production of American statism,” </w:t>
      </w:r>
      <w:r w:rsidRPr="00087A72">
        <w:rPr>
          <w:i/>
        </w:rPr>
        <w:t>Settler Colonial Studies</w:t>
      </w:r>
      <w:r w:rsidRPr="00087A72">
        <w:t>, Issue Number, No.4, pp. 8-10)//vikas</w:t>
      </w:r>
    </w:p>
    <w:p w:rsidR="00BF6777" w:rsidRPr="00087A72" w:rsidRDefault="00BF6777" w:rsidP="00BF6777">
      <w:pPr>
        <w:rPr>
          <w:sz w:val="16"/>
        </w:rPr>
      </w:pPr>
      <w:r w:rsidRPr="00087A72">
        <w:rPr>
          <w:sz w:val="16"/>
        </w:rPr>
        <w:t xml:space="preserve">In September 1886, after 15 months on the run and with his forces depleted, Geronimo surrendered for the final time, and became a prisoner of war of the US government. It is important to mark the historical moment in US–Indigenous relations to understand what happens next to Geronimo, both in terms of his person and his emerging legend in American political culture. Two statist events help to set the context of the wider importance of the mid to late 1880s in US liberal colonialism, but by no means are they the only two significant events of the period. The first event is the 1886 decision </w:t>
      </w:r>
      <w:r w:rsidRPr="00087A72">
        <w:rPr>
          <w:b/>
          <w:u w:val="single"/>
        </w:rPr>
        <w:t>in US v Kagama, a case that determined the constitutionality of the Major Crimes Act of 1885</w:t>
      </w:r>
      <w:r w:rsidRPr="00087A72">
        <w:rPr>
          <w:sz w:val="16"/>
        </w:rPr>
        <w:t xml:space="preserve">, which </w:t>
      </w:r>
      <w:r w:rsidRPr="00087A72">
        <w:rPr>
          <w:b/>
          <w:u w:val="single"/>
        </w:rPr>
        <w:t>made it a federal offense for Indigenous people to commit one of seven major crimes, including murder and rape.</w:t>
      </w:r>
      <w:r w:rsidRPr="00087A72">
        <w:rPr>
          <w:sz w:val="16"/>
        </w:rPr>
        <w:t xml:space="preserve"> The </w:t>
      </w:r>
      <w:r w:rsidRPr="00087A72">
        <w:rPr>
          <w:b/>
          <w:u w:val="single"/>
        </w:rPr>
        <w:t>Kagama ruling found this act constitutional and in so doing affirmed the plenary power of the Congress over Indigenous nations</w:t>
      </w:r>
      <w:r w:rsidRPr="00087A72">
        <w:rPr>
          <w:sz w:val="16"/>
        </w:rPr>
        <w:t xml:space="preserve">, territories, </w:t>
      </w:r>
      <w:r w:rsidRPr="00087A72">
        <w:rPr>
          <w:b/>
          <w:u w:val="single"/>
        </w:rPr>
        <w:t>and bodies in the form of jurisdiction</w:t>
      </w:r>
      <w:r w:rsidRPr="00087A72">
        <w:rPr>
          <w:sz w:val="16"/>
        </w:rPr>
        <w:t xml:space="preserve">, criminalization and incarceration. The second event was the passage of the </w:t>
      </w:r>
      <w:r w:rsidRPr="00087A72">
        <w:rPr>
          <w:b/>
          <w:u w:val="single"/>
        </w:rPr>
        <w:t>1887 General Allotment Act</w:t>
      </w:r>
      <w:r w:rsidRPr="00087A72">
        <w:rPr>
          <w:sz w:val="16"/>
        </w:rPr>
        <w:t xml:space="preserve">, also </w:t>
      </w:r>
      <w:r w:rsidRPr="00087A72">
        <w:rPr>
          <w:b/>
          <w:u w:val="single"/>
        </w:rPr>
        <w:t>known as the Dawes Act after its main advocate and sponsor</w:t>
      </w:r>
      <w:r w:rsidRPr="00087A72">
        <w:rPr>
          <w:sz w:val="16"/>
        </w:rPr>
        <w:t xml:space="preserve">, Senator Henry Dawes of Massachusetts. The Dawes Act, one of the most infamous acts in the history of US Indian policy, </w:t>
      </w:r>
      <w:r w:rsidRPr="00087A72">
        <w:rPr>
          <w:b/>
          <w:u w:val="single"/>
        </w:rPr>
        <w:t>began the formal process of allotting Indigenous territory into individual parcels that would then be legally appropriated in liberal capitalist terms through state-facilitated, market sale to non-Indigenous Americans</w:t>
      </w:r>
      <w:r w:rsidRPr="00087A72">
        <w:rPr>
          <w:sz w:val="16"/>
        </w:rPr>
        <w:t xml:space="preserve">. As a consequence, from 1887–1934, </w:t>
      </w:r>
      <w:r w:rsidRPr="00087A72">
        <w:rPr>
          <w:rStyle w:val="Emphasis"/>
        </w:rPr>
        <w:t>Indigenous territorial landholdings went from 138 million acres to 48 million acres</w:t>
      </w:r>
      <w:r w:rsidRPr="00087A72">
        <w:rPr>
          <w:sz w:val="16"/>
        </w:rPr>
        <w:t xml:space="preserve">. Each of these events, developments, and policies is a form of settler governmentality that helped constitute modern American statism at the turn of the nineteenth century. </w:t>
      </w:r>
      <w:r w:rsidRPr="00087A72">
        <w:rPr>
          <w:b/>
          <w:u w:val="single"/>
        </w:rPr>
        <w:t>The late nineteenth century is the time period now known for the so-called end of the frontier and the end of the Indian wars, two constructed events that are deeply linked in American settler memory.</w:t>
      </w:r>
      <w:r w:rsidRPr="00087A72">
        <w:rPr>
          <w:sz w:val="16"/>
        </w:rPr>
        <w:t xml:space="preserve"> In the American settler memory, this </w:t>
      </w:r>
      <w:r w:rsidRPr="00087A72">
        <w:rPr>
          <w:b/>
          <w:u w:val="single"/>
        </w:rPr>
        <w:t>end is marked in genocidal terms by the 1890 massacre of around 300 Oglala and Cheyenne River Sioux at Wounded Knee.</w:t>
      </w:r>
      <w:r w:rsidRPr="00087A72">
        <w:rPr>
          <w:sz w:val="16"/>
        </w:rPr>
        <w:t xml:space="preserve"> In legal terms, </w:t>
      </w:r>
      <w:r w:rsidRPr="00087A72">
        <w:rPr>
          <w:b/>
          <w:u w:val="single"/>
        </w:rPr>
        <w:t>US v. Kagama was one of a number of court decisions that gave liberal sanction to colonial statist ruling over Indigenous peoples</w:t>
      </w:r>
      <w:r w:rsidRPr="00087A72">
        <w:rPr>
          <w:sz w:val="16"/>
        </w:rPr>
        <w:t xml:space="preserve"> and territories under the premise that the era of formal nation-to-nation relations with Indigenous nations, such as through treaty-making, was now over. To expand on the example of court decisions, such </w:t>
      </w:r>
      <w:r w:rsidRPr="00087A72">
        <w:rPr>
          <w:rStyle w:val="Emphasis"/>
        </w:rPr>
        <w:t xml:space="preserve">cases have become forms of settler memory that are institutionalized and reproduced through </w:t>
      </w:r>
      <w:r w:rsidRPr="00087A72">
        <w:rPr>
          <w:sz w:val="16"/>
        </w:rPr>
        <w:t xml:space="preserve">the practice of </w:t>
      </w:r>
      <w:r w:rsidRPr="00087A72">
        <w:rPr>
          <w:rStyle w:val="Emphasis"/>
        </w:rPr>
        <w:t>legal precedent</w:t>
      </w:r>
      <w:r w:rsidRPr="00087A72">
        <w:rPr>
          <w:sz w:val="16"/>
        </w:rPr>
        <w:t xml:space="preserve">. Rob Williams has pointed to </w:t>
      </w:r>
      <w:r w:rsidRPr="00087A72">
        <w:rPr>
          <w:b/>
          <w:u w:val="single"/>
        </w:rPr>
        <w:t>this role of the past in the present in his argument about the concept and ‘force of stare decisis’</w:t>
      </w:r>
      <w:r w:rsidRPr="00087A72">
        <w:rPr>
          <w:sz w:val="16"/>
        </w:rPr>
        <w:t xml:space="preserve"> – from the Latin stare decisis et non quieta movere, </w:t>
      </w:r>
      <w:r w:rsidRPr="00087A72">
        <w:rPr>
          <w:b/>
          <w:u w:val="single"/>
        </w:rPr>
        <w:t>meaning to ‘maintain what has been decided and do not alter that which has been established’.</w:t>
      </w:r>
      <w:r w:rsidRPr="00087A72">
        <w:rPr>
          <w:sz w:val="16"/>
        </w:rPr>
        <w:t xml:space="preserve"> Via the</w:t>
      </w:r>
      <w:r w:rsidRPr="00087A72">
        <w:rPr>
          <w:b/>
          <w:u w:val="single"/>
        </w:rPr>
        <w:t xml:space="preserve"> practice of stare decisis the US Supreme Court reproduces within its contemporary decisions</w:t>
      </w:r>
      <w:r w:rsidRPr="00087A72">
        <w:rPr>
          <w:sz w:val="16"/>
        </w:rPr>
        <w:t xml:space="preserve"> the legal, racial, and colonialist rationales of colonialist decisions decided in nineteenth Century, especially the infamous decisions of the John Marshall court of the early nineteenth century that, among other things, </w:t>
      </w:r>
      <w:r w:rsidRPr="00087A72">
        <w:rPr>
          <w:b/>
          <w:u w:val="single"/>
        </w:rPr>
        <w:t>affirmed the doctrine of discovery and conquest to legitimate US authority over dispossessed Indigenous territory and</w:t>
      </w:r>
      <w:r w:rsidRPr="00087A72">
        <w:rPr>
          <w:sz w:val="16"/>
        </w:rPr>
        <w:t xml:space="preserve"> which </w:t>
      </w:r>
      <w:r w:rsidRPr="00087A72">
        <w:rPr>
          <w:b/>
          <w:u w:val="single"/>
        </w:rPr>
        <w:t>defined Indigenous nations as domestic dependent nations in relation to the USA</w:t>
      </w:r>
      <w:r w:rsidRPr="00087A72">
        <w:rPr>
          <w:sz w:val="16"/>
        </w:rPr>
        <w:t xml:space="preserve">.19 Here, </w:t>
      </w:r>
      <w:r w:rsidRPr="00087A72">
        <w:rPr>
          <w:b/>
          <w:u w:val="single"/>
        </w:rPr>
        <w:t>stare decisis is a form of settler memory as statist practice, as it is the institutionalized memory of nineteenth century decisions ranging from</w:t>
      </w:r>
      <w:r w:rsidRPr="00087A72">
        <w:rPr>
          <w:sz w:val="16"/>
        </w:rPr>
        <w:t xml:space="preserve"> the </w:t>
      </w:r>
      <w:r w:rsidRPr="00087A72">
        <w:rPr>
          <w:b/>
          <w:u w:val="single"/>
        </w:rPr>
        <w:t>Marshall decisions to US v Kagama and beyond that undergird</w:t>
      </w:r>
      <w:r w:rsidRPr="00087A72">
        <w:rPr>
          <w:sz w:val="16"/>
        </w:rPr>
        <w:t xml:space="preserve"> the </w:t>
      </w:r>
      <w:r w:rsidRPr="00087A72">
        <w:rPr>
          <w:b/>
          <w:u w:val="single"/>
        </w:rPr>
        <w:t>legitimation of contemporary liberal colonial rule over Indigenous peoples</w:t>
      </w:r>
      <w:r w:rsidRPr="00087A72">
        <w:rPr>
          <w:sz w:val="16"/>
        </w:rPr>
        <w:t xml:space="preserve"> and territories, and do so to this day. To put Williams’ insights in my terms, if you want to find settler memory at work today, look at legal precedents, and there you will find it. These are </w:t>
      </w:r>
      <w:r w:rsidRPr="00087A72">
        <w:rPr>
          <w:b/>
          <w:u w:val="single"/>
        </w:rPr>
        <w:t>legal events</w:t>
      </w:r>
      <w:r w:rsidRPr="00087A72">
        <w:rPr>
          <w:sz w:val="16"/>
        </w:rPr>
        <w:t xml:space="preserve"> that </w:t>
      </w:r>
      <w:r w:rsidRPr="00087A72">
        <w:rPr>
          <w:b/>
          <w:u w:val="single"/>
        </w:rPr>
        <w:t>habitually reinforce American statism as part of the settler colonial assemblage.</w:t>
      </w:r>
      <w:r w:rsidRPr="00087A72">
        <w:rPr>
          <w:sz w:val="16"/>
        </w:rPr>
        <w:t xml:space="preserve"> Similarly, in legislative terms, </w:t>
      </w:r>
      <w:r w:rsidRPr="00087A72">
        <w:rPr>
          <w:b/>
          <w:u w:val="single"/>
        </w:rPr>
        <w:t xml:space="preserve">the Dawes Act is </w:t>
      </w:r>
      <w:r w:rsidRPr="00087A72">
        <w:rPr>
          <w:rStyle w:val="Emphasis"/>
        </w:rPr>
        <w:t>settler memory woven into the land and secured by statism</w:t>
      </w:r>
      <w:r w:rsidRPr="00087A72">
        <w:rPr>
          <w:b/>
          <w:u w:val="single"/>
        </w:rPr>
        <w:t>, where memory, settlement, and state practices shape the relationship of citizens to space</w:t>
      </w:r>
      <w:r w:rsidRPr="00087A72">
        <w:rPr>
          <w:sz w:val="16"/>
        </w:rPr>
        <w:t xml:space="preserve"> – as space defined and divided according to the principles and practices of capitalist property relations, the notion of land as exclusive possession – rendered legitimate according to the principles and practices of liberal colonial territoriality and statism. The settler memory of an individual or individual family’s relationship to space, as a private possession, manifests in US legal discourse into what is referred to as the concept of ‘settled expectations,’ by which the rights of property holders are not to be upset by Indigenous claims, specifically land claims in the contemporary era.20 In all, through legislation (Dawes Act), organized state violence (Wounded Knee) and law (US v. Kagama) we locate three distinct modes for the political development of settler statism of the late nineteenth Century that continue to shape settler colonial assemblage in our time. It was over the course of this late 19th and early twentieth Century context in which American statist power over, and dispossession of, Indigenous people and territory had grown to new heights deemed legitimate in liberal and colonialist statist terms – on liberal premises for colonialist ends – that the image and identity of Geronimo in the American national culture started to change, rather starkly, from that of a so-called ‘savage’ terrorist causing mass fear among the settler population to a popular figure, celebrated for his leadership and warrior savvy. Over the course of a few decades, Geronimo became a national celebrity. He performed in ‘Wild West’ shows, appeared at the World’s Fair in St. Louis in 1904, where he sold memorabilia of himself such as photographs and autographs, and upon invitation rode in President Theodore Roosevelt’s Inaugural parade in 1905. The man that the US government expended one quarter of its Army to find, and that put a state bounty on his head, was now part of the habitual performance of a key American statist ritual; the Presidential inauguration that marked the public, peaceful transition of power of the liberal colonial regime. And during this whole time and through all these public appearances Geronimo’s legal status in the US state system remained that of a prisoner of war</w:t>
      </w:r>
    </w:p>
    <w:p w:rsidR="00E60068" w:rsidRPr="00087A72" w:rsidRDefault="00E60068" w:rsidP="00E60068">
      <w:pPr>
        <w:pStyle w:val="Heading2"/>
      </w:pPr>
      <w:r w:rsidRPr="00087A72">
        <w:t>A2’s</w:t>
      </w:r>
    </w:p>
    <w:p w:rsidR="00032E5A" w:rsidRPr="00087A72" w:rsidRDefault="00032E5A" w:rsidP="00D66B35">
      <w:pPr>
        <w:pStyle w:val="Heading3"/>
      </w:pPr>
      <w:r w:rsidRPr="00087A72">
        <w:t>A2: Andrea Smith Bad</w:t>
      </w:r>
    </w:p>
    <w:p w:rsidR="00032E5A" w:rsidRPr="00087A72" w:rsidRDefault="00032E5A" w:rsidP="00032E5A">
      <w:pPr>
        <w:pStyle w:val="Heading4"/>
      </w:pPr>
      <w:r w:rsidRPr="00087A72">
        <w:t>Criticizing Andrea Smith as a white academic gets you nowhere and undermines indigenous feminist movements.</w:t>
      </w:r>
    </w:p>
    <w:p w:rsidR="00032E5A" w:rsidRPr="00087A72" w:rsidRDefault="00032E5A" w:rsidP="00032E5A">
      <w:pPr>
        <w:rPr>
          <w:rStyle w:val="Style13ptBold"/>
          <w:b w:val="0"/>
          <w:sz w:val="22"/>
        </w:rPr>
      </w:pPr>
      <w:r w:rsidRPr="00087A72">
        <w:rPr>
          <w:rStyle w:val="Style13ptBold"/>
        </w:rPr>
        <w:t xml:space="preserve">Lee 15 </w:t>
      </w:r>
      <w:r w:rsidRPr="00087A72">
        <w:rPr>
          <w:rStyle w:val="Style13ptBold"/>
          <w:b w:val="0"/>
          <w:sz w:val="22"/>
        </w:rPr>
        <w:t>(Violet, “No, Andrea Smith is not the ‘Native American Rachel Dolezal,’” Moontime Warrior, https://moontimewarrior.com/2015/07/01/no-andrea-smith-is-not-the-native-american-rachel-dolezal/ July 1, 2015,)</w:t>
      </w:r>
    </w:p>
    <w:p w:rsidR="00032E5A" w:rsidRPr="00087A72" w:rsidRDefault="00032E5A" w:rsidP="00032E5A">
      <w:pPr>
        <w:rPr>
          <w:rStyle w:val="Emphasis"/>
        </w:rPr>
      </w:pPr>
      <w:r w:rsidRPr="00087A72">
        <w:rPr>
          <w:rStyle w:val="StyleUnderline"/>
        </w:rPr>
        <w:t>The Daily Beast published an article</w:t>
      </w:r>
      <w:r w:rsidRPr="00087A72">
        <w:rPr>
          <w:sz w:val="14"/>
        </w:rPr>
        <w:t xml:space="preserve"> yesterday </w:t>
      </w:r>
      <w:r w:rsidRPr="00087A72">
        <w:rPr>
          <w:rStyle w:val="StyleUnderline"/>
        </w:rPr>
        <w:t xml:space="preserve">where a genealogist “confirms” that Andrea has no Cherokee ancestry. Anyone who has spent time in Indigenous communities knows </w:t>
      </w:r>
      <w:r w:rsidRPr="00087A72">
        <w:rPr>
          <w:sz w:val="14"/>
        </w:rPr>
        <w:t xml:space="preserve">that </w:t>
      </w:r>
      <w:r w:rsidRPr="00087A72">
        <w:rPr>
          <w:rStyle w:val="StyleUnderline"/>
        </w:rPr>
        <w:t xml:space="preserve">real belonging is a lot more complex than government ID, status, blood quantum, skin color, or a DNA test can delineate. Anyone who has studied the history of Indigenous communities knows the devastating impact of colonial membership policies imposed on tribes from the outside. </w:t>
      </w:r>
      <w:r w:rsidRPr="00087A72">
        <w:rPr>
          <w:sz w:val="14"/>
        </w:rPr>
        <w:t xml:space="preserve">Yes, if it is true that Andrea’s claims to heritage were entirely made up, it is a betrayal. Pretending to be Indigenous is not okay, regardless of your intentions. Accepting the astounding number of public engagements she has done over the years (and payments for these events) on the basis that one is a Cherokee scholar is unthinkably harmful and displaces countless Indigenous women scholars. For this reason I support the many Indigenous scholars I know that have worked to bring this particular case to light and demanded accountability; many of them important, senior women scholars who make spaces in the academy for young Indigenous women like me. Anger and betrayal in cases of white settlers who pretend to be Indigenous (affectionately labeled “pretendians”) is a result of the frustration of already being underrepresented, misrepresented, and having so few opportunities to make space for Indigenous voices, and then seeing yet another white person take up what little space should have been ours. Some folks have compared Andrea Smith to the recent Rachel Dolezal scandal, but there are a few key differences; the most glaring of which is that </w:t>
      </w:r>
      <w:r w:rsidRPr="00087A72">
        <w:rPr>
          <w:rStyle w:val="StyleUnderline"/>
        </w:rPr>
        <w:t>Andrea Smith’s work is inextricably foundational to Indigenous Studies, Indigenous activism, and Indigenous feminisms.</w:t>
      </w:r>
      <w:r w:rsidRPr="00087A72">
        <w:rPr>
          <w:sz w:val="14"/>
        </w:rPr>
        <w:t xml:space="preserve"> If you have read anything written in the past decade about Indigenous women, it can likely be tied back to the work of Andrea Smith. And so, when I saw that Andrea’s integrity was once again, being questioned my panicked reaction was, “oh great, another excuse for everyone to discredit Indigenous feminism.” After reflection, I realized this was an overreaction, because there are numerous Indigenous women &amp; Two-Spirits whose work stands on its own, and deserves to come out from behind the shadow cast by any single rockstar scholar. Just off the top of my head: Making Space for Indigenous Feminism – Ed., Joyce Green Feminism for Real – Ed. Jessica Danforth ANYTHING and EVERYTHING by Lee Maracle, Kim Tallbear, Mishuana Goeman, Audra Simpson, Leanne Simpson, Cherrie Moraga, Gloria Anzaldua, Verna St. Denis, Alexandria Wilson, the Native Youth Sexual Health Network, Chelsea Vowel, Patricia Monture, Naomi Sayers, Adrienne Keene. There is a whole lot of unaddressed identity terrain that Indigenous communities are just starting to explore. For example, many, many white settler scholars who write on Indigenous issues, who get hired to speak or teach on Indigenous issues, who get tenure and make exorbitant sums of cash for their work on communities that aren’t theirs. There are many white-passing Indigenous scholars who get hired to speak or teach on Indigenous issues, and do not bother to acknowledge their position or the extreme differences in lived experience between passing and non-passing Indigenous people. There are many Native men who are invited to speak on behalf of Native women and Two-Spirits, as if we are incapable of speaking to our own lives. When a person declares their Indigeneity, why do we still assume a universal lived experience (or universal burden) among those who claim that identity? What things are truly universal (if any) about Indigenous people or our lived experiences? If there is a point of consensus at all on what it means to “be Indigenous”, it’s acceptance by an Indigenous community, rather than simply naming oneself a member. Will Andrea Smith be claimed by an Indigenous community (in whatever form that takes) in the days or years to come? Would it even make a difference now? From what I’ve seen already, </w:t>
      </w:r>
      <w:r w:rsidRPr="00087A72">
        <w:rPr>
          <w:rStyle w:val="StyleUnderline"/>
        </w:rPr>
        <w:t>there are a lot of Indigenous women questioning the motives behind this sudden public “outing”, particularly the personal hostility behind it.</w:t>
      </w:r>
      <w:r w:rsidRPr="00087A72">
        <w:rPr>
          <w:sz w:val="14"/>
        </w:rPr>
        <w:t xml:space="preserve"> As far as I knew, Andrea had stepped back from the spotlight quite a bit in the past couple of years. </w:t>
      </w:r>
      <w:r w:rsidRPr="00087A72">
        <w:rPr>
          <w:rStyle w:val="StyleUnderline"/>
        </w:rPr>
        <w:t xml:space="preserve">This doesn’t mean letting “pretendians” off the hook for the harm they do, but being aware of how often “identity” has been used as a tool of colonialism, namely, colonial gender violence. </w:t>
      </w:r>
      <w:r w:rsidRPr="00087A72">
        <w:rPr>
          <w:sz w:val="14"/>
        </w:rPr>
        <w:t xml:space="preserve">Moving forward, how do we best deal with this situation? Rather than tearing down any one woman, support the already-existing immense body of work of Indigenous scholars, particularly, that of Indigenous feminists and Indigenous women. Support the work of Indigenous feminists whose work is useful for our communities. Support the work of diverse voices on Indigenous experience, and realize that there isn’t any one rockstar scholar who can speak for all of us. Open more spaces for Indigenous scholars, writers, artists, et al. to flourish, rather than demanding we fight for scraps. Allow Indigenous women to lead, guide, and decide when to have discussions about Indigenous women’s identity.* Allow Two-Spirits to lead, guide, and decide when to have discussions about Two-Spirit identity.* Allow Indigenous people to lead, guide, and decide when to have discussions about Indigenous identity.* (* – if you are not privy to said discussions, or just because said discussions are not all over your Twitter feed, don’t assume they’re not happening. And finally: </w:t>
      </w:r>
      <w:r w:rsidRPr="00087A72">
        <w:rPr>
          <w:rStyle w:val="Emphasis"/>
        </w:rPr>
        <w:t>If you are 1) a reporter who has never bothered to do a story on Indigenous issues until today, 2) a white settler, 2) a white scholar of Indigenous studies, or 3) an Indigenous male scholar who has rarely/never engaged with Indigenous feminism</w:t>
      </w:r>
      <w:r w:rsidRPr="00087A72">
        <w:rPr>
          <w:sz w:val="14"/>
        </w:rPr>
        <w:t xml:space="preserve"> except to crap on it, I implore you to </w:t>
      </w:r>
      <w:r w:rsidRPr="00087A72">
        <w:rPr>
          <w:rStyle w:val="Emphasis"/>
        </w:rPr>
        <w:t>go away and do something productive, rather than throwing tomatoes at a woman whose work has likely made more impact in the lives of Indigenous women than yours ever will.</w:t>
      </w:r>
    </w:p>
    <w:p w:rsidR="00D66B35" w:rsidRPr="00087A72" w:rsidRDefault="00D66B35" w:rsidP="00D66B35">
      <w:pPr>
        <w:pStyle w:val="Heading3"/>
      </w:pPr>
      <w:r w:rsidRPr="00087A72">
        <w:t>A2: Pragmatism</w:t>
      </w:r>
    </w:p>
    <w:p w:rsidR="00D66B35" w:rsidRPr="00087A72" w:rsidRDefault="00D66B35" w:rsidP="00D66B35">
      <w:pPr>
        <w:pStyle w:val="Heading4"/>
      </w:pPr>
      <w:r w:rsidRPr="00087A72">
        <w:t>Calls to expose the alterative to __________ are settler calls to educate the feral, native child – complicit in the drive to reform the wrong side of politics</w:t>
      </w:r>
    </w:p>
    <w:p w:rsidR="00D66B35" w:rsidRPr="00087A72" w:rsidRDefault="00D66B35" w:rsidP="00D66B35">
      <w:r w:rsidRPr="00087A72">
        <w:rPr>
          <w:rStyle w:val="Style13ptBold"/>
        </w:rPr>
        <w:t>Rollo 18</w:t>
      </w:r>
      <w:r w:rsidRPr="00087A72">
        <w:t xml:space="preserve"> (Toby, Postdoctoral Fellow in the Department of Political Science at the University of British, “Feral children: settler colonialism, progress, and the figure of the child,” </w:t>
      </w:r>
      <w:r w:rsidRPr="00087A72">
        <w:rPr>
          <w:i/>
        </w:rPr>
        <w:t>Settler Colonial Studies</w:t>
      </w:r>
      <w:r w:rsidRPr="00087A72">
        <w:t>, Issue Number, No.1, pp. 69-71)//vikas</w:t>
      </w:r>
    </w:p>
    <w:p w:rsidR="00D66B35" w:rsidRPr="00087A72" w:rsidRDefault="00D66B35" w:rsidP="00D66B35">
      <w:pPr>
        <w:rPr>
          <w:b/>
          <w:u w:val="single"/>
        </w:rPr>
      </w:pPr>
      <w:r w:rsidRPr="00087A72">
        <w:rPr>
          <w:sz w:val="16"/>
        </w:rPr>
        <w:t xml:space="preserve">In the centuries that followed, the traditional hierarchies constituting medieval social and political order were slowly eroded by the rise of Protestantism, radical interpretations of the Christian ideal of equality under God, the successes of scientific inquiry and the amassing of private fortunes. Education in faith, once posited as the process of Man’s progress and the hallmark of European maturity was increasingly associated with childish superstition. Enlightenment thinkers declared that the light of human reason was poised to vanquish the darkness of childish faith as the proper foundation of political order and the engine of civilization progress. </w:t>
      </w:r>
      <w:r w:rsidRPr="00087A72">
        <w:rPr>
          <w:rStyle w:val="Emphasis"/>
        </w:rPr>
        <w:t>A core idea of the emerging humanism was that intellectual improvement</w:t>
      </w:r>
      <w:r w:rsidRPr="00087A72">
        <w:rPr>
          <w:sz w:val="16"/>
        </w:rPr>
        <w:t xml:space="preserve"> as opposed to spiritual improvement </w:t>
      </w:r>
      <w:r w:rsidRPr="00087A72">
        <w:rPr>
          <w:rStyle w:val="Emphasis"/>
        </w:rPr>
        <w:t>was the main driver of historical progress.</w:t>
      </w:r>
      <w:r w:rsidRPr="00087A72">
        <w:rPr>
          <w:sz w:val="16"/>
        </w:rPr>
        <w:t xml:space="preserve"> As a result, </w:t>
      </w:r>
      <w:r w:rsidRPr="00087A72">
        <w:rPr>
          <w:b/>
          <w:u w:val="single"/>
        </w:rPr>
        <w:t>education</w:t>
      </w:r>
      <w:r w:rsidRPr="00087A72">
        <w:rPr>
          <w:sz w:val="16"/>
        </w:rPr>
        <w:t xml:space="preserve"> in faith </w:t>
      </w:r>
      <w:r w:rsidRPr="00087A72">
        <w:rPr>
          <w:b/>
          <w:u w:val="single"/>
        </w:rPr>
        <w:t>was gradually replaced with a more secular, humanistic, and science-based curriculum.</w:t>
      </w:r>
      <w:r w:rsidRPr="00087A72">
        <w:rPr>
          <w:sz w:val="16"/>
        </w:rPr>
        <w:t xml:space="preserve"> The </w:t>
      </w:r>
      <w:r w:rsidRPr="00087A72">
        <w:rPr>
          <w:b/>
          <w:u w:val="single"/>
        </w:rPr>
        <w:t>self-understanding of settler colonial powers would shift</w:t>
      </w:r>
      <w:r w:rsidRPr="00087A72">
        <w:rPr>
          <w:sz w:val="16"/>
        </w:rPr>
        <w:t xml:space="preserve"> during the era of Enlightenment, most notably in its break with the Roman doctrine of paterfamilias and its Chris- tian manifestation in the divine right of Kings. Still, </w:t>
      </w:r>
      <w:r w:rsidRPr="00087A72">
        <w:rPr>
          <w:b/>
          <w:u w:val="single"/>
        </w:rPr>
        <w:t>there were some notable final attempts to salvage the monarchical vision of sovereignty</w:t>
      </w:r>
      <w:r w:rsidRPr="00087A72">
        <w:rPr>
          <w:sz w:val="16"/>
        </w:rPr>
        <w:t xml:space="preserve">. In </w:t>
      </w:r>
      <w:r w:rsidRPr="00087A72">
        <w:rPr>
          <w:b/>
          <w:u w:val="single"/>
        </w:rPr>
        <w:t>1680, Robert Filmer</w:t>
      </w:r>
      <w:r w:rsidRPr="00087A72">
        <w:rPr>
          <w:sz w:val="16"/>
        </w:rPr>
        <w:t xml:space="preserve"> would </w:t>
      </w:r>
      <w:r w:rsidRPr="00087A72">
        <w:rPr>
          <w:b/>
          <w:u w:val="single"/>
        </w:rPr>
        <w:t>produce one of the last great defences of the medieval homology between adulthood and civilization, asserting that a King’s right to rule his domain and subjects was a direct expression of</w:t>
      </w:r>
      <w:r w:rsidRPr="00087A72">
        <w:rPr>
          <w:sz w:val="16"/>
        </w:rPr>
        <w:t xml:space="preserve"> the </w:t>
      </w:r>
      <w:r w:rsidRPr="00087A72">
        <w:rPr>
          <w:b/>
          <w:u w:val="single"/>
        </w:rPr>
        <w:t>father’s right to rule over the household and child</w:t>
      </w:r>
      <w:r w:rsidRPr="00087A72">
        <w:rPr>
          <w:sz w:val="16"/>
        </w:rPr>
        <w:t xml:space="preserve"> (a premise with which, he Filmer puzzled, no one seemed to have a problem): I see not then how the children of Adam, or of any man else, can be free from subjection to their parents. And </w:t>
      </w:r>
      <w:r w:rsidRPr="00087A72">
        <w:rPr>
          <w:b/>
          <w:u w:val="single"/>
        </w:rPr>
        <w:t>this subjection of children being the fountain of all regal authority, by the ordination of God himself.</w:t>
      </w:r>
      <w:r w:rsidRPr="00087A72">
        <w:rPr>
          <w:sz w:val="16"/>
        </w:rPr>
        <w:t>62</w:t>
      </w:r>
      <w:r w:rsidRPr="00087A72">
        <w:rPr>
          <w:b/>
          <w:bCs/>
          <w:sz w:val="16"/>
        </w:rPr>
        <w:t xml:space="preserve"> </w:t>
      </w:r>
      <w:r w:rsidRPr="00087A72">
        <w:rPr>
          <w:b/>
          <w:u w:val="single"/>
        </w:rPr>
        <w:t>In response, a distinction was devised in political thought between parental authority and political authority</w:t>
      </w:r>
      <w:r w:rsidRPr="00087A72">
        <w:rPr>
          <w:sz w:val="16"/>
        </w:rPr>
        <w:t xml:space="preserve">. In the work of social contract theorists, </w:t>
      </w:r>
      <w:r w:rsidRPr="00087A72">
        <w:rPr>
          <w:b/>
          <w:u w:val="single"/>
        </w:rPr>
        <w:t>the legitimacy of political authority was seen as contingent on reasoned consent.</w:t>
      </w:r>
      <w:r w:rsidRPr="00087A72">
        <w:rPr>
          <w:sz w:val="16"/>
        </w:rPr>
        <w:t xml:space="preserve">63 In an ingenious theoretical move, Thomas </w:t>
      </w:r>
      <w:r w:rsidRPr="00087A72">
        <w:rPr>
          <w:b/>
          <w:u w:val="single"/>
        </w:rPr>
        <w:t>Hobbes argued that the violence of political disorder which results from fractured sovereignty</w:t>
      </w:r>
      <w:r w:rsidRPr="00087A72">
        <w:rPr>
          <w:sz w:val="16"/>
        </w:rPr>
        <w:t xml:space="preserve">, the infamous ‘state of nature’, </w:t>
      </w:r>
      <w:r w:rsidRPr="00087A72">
        <w:rPr>
          <w:b/>
          <w:u w:val="single"/>
        </w:rPr>
        <w:t>is the basis of our reasoned consent to absolute sovereignty.</w:t>
      </w:r>
      <w:r w:rsidRPr="00087A72">
        <w:rPr>
          <w:sz w:val="16"/>
        </w:rPr>
        <w:t xml:space="preserve">64 Likewise with respect to parental authority, reasoned consent may be implied since every family is always ‘a little Monarchy’.65 In the work of Hobbes, </w:t>
      </w:r>
      <w:r w:rsidRPr="00087A72">
        <w:rPr>
          <w:b/>
          <w:u w:val="single"/>
        </w:rPr>
        <w:t>not only does consent establish the legitimacy of political sovereignty, consent can be presumed rather than actual.</w:t>
      </w:r>
      <w:r w:rsidRPr="00087A72">
        <w:rPr>
          <w:sz w:val="16"/>
        </w:rPr>
        <w:t xml:space="preserve"> It is in the work of John Locke that we find the most lasting and influential shift in the civilizational homology between child and native. Locke rejected both Hobbes’ and Filmer’s defences of absolute sovereignty, </w:t>
      </w:r>
      <w:r w:rsidRPr="00087A72">
        <w:rPr>
          <w:b/>
          <w:u w:val="single"/>
        </w:rPr>
        <w:t>arguing</w:t>
      </w:r>
      <w:r w:rsidRPr="00087A72">
        <w:rPr>
          <w:sz w:val="16"/>
        </w:rPr>
        <w:t xml:space="preserve"> in a move reminiscent of Vitoria </w:t>
      </w:r>
      <w:r w:rsidRPr="00087A72">
        <w:rPr>
          <w:b/>
          <w:u w:val="single"/>
        </w:rPr>
        <w:t>that political rule exists to preserve the property rights and commercial institutions</w:t>
      </w:r>
      <w:r w:rsidRPr="00087A72">
        <w:rPr>
          <w:sz w:val="16"/>
        </w:rPr>
        <w:t xml:space="preserve"> already </w:t>
      </w:r>
      <w:r w:rsidRPr="00087A72">
        <w:rPr>
          <w:b/>
          <w:u w:val="single"/>
        </w:rPr>
        <w:t>established by civil society. Citizens consent only insofar as political rule is governed by reason and</w:t>
      </w:r>
      <w:r w:rsidRPr="00087A72">
        <w:rPr>
          <w:sz w:val="16"/>
        </w:rPr>
        <w:t xml:space="preserve"> they </w:t>
      </w:r>
      <w:r w:rsidRPr="00087A72">
        <w:rPr>
          <w:b/>
          <w:u w:val="single"/>
        </w:rPr>
        <w:t>may also reform it whenever it fails to protect civil society. A complication arose</w:t>
      </w:r>
      <w:r w:rsidRPr="00087A72">
        <w:rPr>
          <w:sz w:val="16"/>
        </w:rPr>
        <w:t xml:space="preserve">, however, </w:t>
      </w:r>
      <w:r w:rsidRPr="00087A72">
        <w:rPr>
          <w:b/>
          <w:u w:val="single"/>
        </w:rPr>
        <w:t>as</w:t>
      </w:r>
      <w:r w:rsidRPr="00087A72">
        <w:rPr>
          <w:sz w:val="16"/>
        </w:rPr>
        <w:t xml:space="preserve"> Locke’s </w:t>
      </w:r>
      <w:r w:rsidRPr="00087A72">
        <w:rPr>
          <w:b/>
          <w:u w:val="single"/>
        </w:rPr>
        <w:t>defence of the reasoned consent seemed to imply</w:t>
      </w:r>
      <w:r w:rsidRPr="00087A72">
        <w:rPr>
          <w:sz w:val="16"/>
        </w:rPr>
        <w:t xml:space="preserve"> that </w:t>
      </w:r>
      <w:r w:rsidRPr="00087A72">
        <w:rPr>
          <w:b/>
          <w:u w:val="single"/>
        </w:rPr>
        <w:t>parents did not have a right to govern children who had not</w:t>
      </w:r>
      <w:r w:rsidRPr="00087A72">
        <w:rPr>
          <w:sz w:val="16"/>
        </w:rPr>
        <w:t xml:space="preserve"> (or could not) </w:t>
      </w:r>
      <w:r w:rsidRPr="00087A72">
        <w:rPr>
          <w:b/>
          <w:u w:val="single"/>
        </w:rPr>
        <w:t>consent. Locke follows</w:t>
      </w:r>
      <w:r w:rsidRPr="00087A72">
        <w:rPr>
          <w:sz w:val="16"/>
        </w:rPr>
        <w:t xml:space="preserve"> Hobbes, </w:t>
      </w:r>
      <w:r w:rsidRPr="00087A72">
        <w:rPr>
          <w:b/>
          <w:u w:val="single"/>
        </w:rPr>
        <w:t>arguing that children are born free and rational insofar as they have the potential to exercise capacities</w:t>
      </w:r>
      <w:r w:rsidRPr="00087A72">
        <w:rPr>
          <w:sz w:val="16"/>
        </w:rPr>
        <w:t xml:space="preserve"> for reason.66 Whereas the principle of paterfamilias designated children as the disposable property of parents even into adulthood (as subjects are to Kings), </w:t>
      </w:r>
      <w:r w:rsidRPr="00087A72">
        <w:rPr>
          <w:b/>
          <w:u w:val="single"/>
        </w:rPr>
        <w:t>Locke argued that children are God’s property.</w:t>
      </w:r>
      <w:r w:rsidRPr="00087A72">
        <w:rPr>
          <w:sz w:val="16"/>
        </w:rPr>
        <w:t xml:space="preserve">67 Moreover, </w:t>
      </w:r>
      <w:r w:rsidRPr="00087A72">
        <w:rPr>
          <w:b/>
          <w:u w:val="single"/>
        </w:rPr>
        <w:t>he claimed that parental rule over children was temporary, that parents had a natural duty to educate children in the use of reason and parental authority ended once children became reasoning adults.</w:t>
      </w:r>
      <w:r w:rsidRPr="00087A72">
        <w:rPr>
          <w:sz w:val="16"/>
        </w:rPr>
        <w:t xml:space="preserve"> Locke’s </w:t>
      </w:r>
      <w:r w:rsidRPr="00087A72">
        <w:rPr>
          <w:b/>
          <w:u w:val="single"/>
        </w:rPr>
        <w:t>children are not respected on their own terms but</w:t>
      </w:r>
      <w:r w:rsidRPr="00087A72">
        <w:rPr>
          <w:sz w:val="16"/>
        </w:rPr>
        <w:t xml:space="preserve"> only </w:t>
      </w:r>
      <w:r w:rsidRPr="00087A72">
        <w:rPr>
          <w:b/>
          <w:u w:val="single"/>
        </w:rPr>
        <w:t>insofar as they are becoming something other than children</w:t>
      </w:r>
      <w:r w:rsidRPr="00087A72">
        <w:rPr>
          <w:sz w:val="16"/>
        </w:rPr>
        <w:t xml:space="preserve">. </w:t>
      </w:r>
      <w:r w:rsidRPr="00087A72">
        <w:rPr>
          <w:rStyle w:val="Emphasis"/>
        </w:rPr>
        <w:t>Rights are extended not to children qua children, but to potential adults who exist only temporarily in the imperfect state of childhood.</w:t>
      </w:r>
      <w:r w:rsidRPr="00087A72">
        <w:rPr>
          <w:sz w:val="16"/>
        </w:rPr>
        <w:t xml:space="preserve">68 This new enlightened approach preserved the developmental homology of earlier epochs. Locke’s work reflects a critical shift from classical misopedy, according to which the bestial child is property of the parent, to the Enlightenment misopedy wherein the bestial child is given the status of a ward under the guardianship and protection of the parent. Locke does not appear to attribute naturally defective reason to Indigenous peoples. Rather, </w:t>
      </w:r>
      <w:r w:rsidRPr="00087A72">
        <w:rPr>
          <w:b/>
          <w:u w:val="single"/>
        </w:rPr>
        <w:t>‘Indians’ were depicted as no more or less potentially rational than Eur- opeans.</w:t>
      </w:r>
      <w:r w:rsidRPr="00087A72">
        <w:rPr>
          <w:sz w:val="16"/>
        </w:rPr>
        <w:t xml:space="preserve">69 </w:t>
      </w:r>
      <w:r w:rsidRPr="00087A72">
        <w:rPr>
          <w:rStyle w:val="Emphasis"/>
        </w:rPr>
        <w:t>As children of civilization, Indigenous peoples are not inherently inferior, but</w:t>
      </w:r>
      <w:r w:rsidRPr="00087A72">
        <w:rPr>
          <w:sz w:val="16"/>
        </w:rPr>
        <w:t xml:space="preserve"> rather, </w:t>
      </w:r>
      <w:r w:rsidRPr="00087A72">
        <w:rPr>
          <w:rStyle w:val="Emphasis"/>
        </w:rPr>
        <w:t>temporarily inferior.</w:t>
      </w:r>
      <w:r w:rsidRPr="00087A72">
        <w:rPr>
          <w:sz w:val="16"/>
        </w:rPr>
        <w:t xml:space="preserve"> And herein </w:t>
      </w:r>
      <w:r w:rsidRPr="00087A72">
        <w:rPr>
          <w:rStyle w:val="Emphasis"/>
        </w:rPr>
        <w:t>we can identify the central logic of modern colonial capitalism</w:t>
      </w:r>
      <w:r w:rsidRPr="00087A72">
        <w:rPr>
          <w:sz w:val="16"/>
        </w:rPr>
        <w:t xml:space="preserve">. Not unlike Vitoria, Locke’s concern was to show that God bestowed mankind with the potential for reason and that he granted the world ‘to the Industrious and Rational’.70 </w:t>
      </w:r>
      <w:r w:rsidRPr="00087A72">
        <w:rPr>
          <w:b/>
          <w:u w:val="single"/>
        </w:rPr>
        <w:t xml:space="preserve">As long there was enough land for everyone, no person is entitled to object to or interfere with </w:t>
      </w:r>
      <w:r w:rsidRPr="00087A72">
        <w:rPr>
          <w:sz w:val="16"/>
        </w:rPr>
        <w:t xml:space="preserve">the </w:t>
      </w:r>
      <w:r w:rsidRPr="00087A72">
        <w:rPr>
          <w:b/>
          <w:u w:val="single"/>
        </w:rPr>
        <w:t>property and industry of another</w:t>
      </w:r>
      <w:r w:rsidRPr="00087A72">
        <w:rPr>
          <w:sz w:val="16"/>
        </w:rPr>
        <w:t xml:space="preserve">. No doubt, Locke’s deep </w:t>
      </w:r>
      <w:r w:rsidRPr="00087A72">
        <w:rPr>
          <w:rStyle w:val="Emphasis"/>
        </w:rPr>
        <w:t>commercial interests in European colonies</w:t>
      </w:r>
      <w:r w:rsidRPr="00087A72">
        <w:rPr>
          <w:sz w:val="16"/>
        </w:rPr>
        <w:t xml:space="preserve"> also </w:t>
      </w:r>
      <w:r w:rsidRPr="00087A72">
        <w:rPr>
          <w:rStyle w:val="Emphasis"/>
        </w:rPr>
        <w:t>informed</w:t>
      </w:r>
      <w:r w:rsidRPr="00087A72">
        <w:rPr>
          <w:sz w:val="16"/>
        </w:rPr>
        <w:t xml:space="preserve"> his </w:t>
      </w:r>
      <w:r w:rsidRPr="00087A72">
        <w:rPr>
          <w:rStyle w:val="Emphasis"/>
        </w:rPr>
        <w:t>view that Indigenous peoples who objected to colonial dispossession were intentionally situating themselves on the wrong side of the political</w:t>
      </w:r>
      <w:r w:rsidRPr="00087A72">
        <w:rPr>
          <w:sz w:val="16"/>
        </w:rPr>
        <w:t xml:space="preserve">/childhood </w:t>
      </w:r>
      <w:r w:rsidRPr="00087A72">
        <w:rPr>
          <w:rStyle w:val="Emphasis"/>
        </w:rPr>
        <w:t>binary</w:t>
      </w:r>
      <w:r w:rsidRPr="00087A72">
        <w:rPr>
          <w:sz w:val="16"/>
        </w:rPr>
        <w:t xml:space="preserve">. In most cases, however, </w:t>
      </w:r>
      <w:r w:rsidRPr="00087A72">
        <w:rPr>
          <w:b/>
          <w:u w:val="single"/>
        </w:rPr>
        <w:t>the solution to Indigenous resistance was a more robust commitment to education</w:t>
      </w:r>
      <w:r w:rsidRPr="00087A72">
        <w:rPr>
          <w:sz w:val="16"/>
        </w:rPr>
        <w:t xml:space="preserve">. Colonial political thought in the seventeenth century, as exemplified in the work of Locke, couched the homology of pro- gress from bestial child to rational adult in a more secular terms of consent and education. </w:t>
      </w:r>
      <w:r w:rsidRPr="00087A72">
        <w:rPr>
          <w:b/>
          <w:u w:val="single"/>
        </w:rPr>
        <w:t xml:space="preserve">The link between </w:t>
      </w:r>
      <w:r w:rsidRPr="00087A72">
        <w:rPr>
          <w:rStyle w:val="Emphasis"/>
        </w:rPr>
        <w:t>private property, commerce, political agency, and salvation</w:t>
      </w:r>
      <w:r w:rsidRPr="00087A72">
        <w:rPr>
          <w:b/>
          <w:u w:val="single"/>
        </w:rPr>
        <w:t xml:space="preserve"> that we find in Christian thinkers like Vitoria is gradually associated </w:t>
      </w:r>
      <w:r w:rsidRPr="00087A72">
        <w:rPr>
          <w:rStyle w:val="Emphasis"/>
        </w:rPr>
        <w:t>with education in reason.</w:t>
      </w:r>
      <w:r w:rsidRPr="00087A72">
        <w:rPr>
          <w:sz w:val="16"/>
        </w:rPr>
        <w:t xml:space="preserve"> The conceptual and </w:t>
      </w:r>
      <w:r w:rsidRPr="00087A72">
        <w:rPr>
          <w:b/>
          <w:u w:val="single"/>
        </w:rPr>
        <w:t>institutional hallmarks of modernity take form in the context of the colonial categorization of Indigenous peoples as feral children</w:t>
      </w:r>
      <w:r w:rsidRPr="00087A72">
        <w:rPr>
          <w:sz w:val="16"/>
        </w:rPr>
        <w:t xml:space="preserve"> of the Enlightenment. The Enlightenment had its critics, of course, and given the centrality of childhood to European thought many of these critics sought to reconceptualizing the figure of the child. While it appears on the surface that a sense of dignity was being associated with childhood itself, the figure of the child was not removed from its conceptualization as the tragic antithesis of the emerging modern condition. In general, childhood animality became the object of nostalgia and fetishization rather than overt disdain: ‘Children’s essential animality has sometimes been viewed as problematic; at other times the animal nature of children has been idealized. The equation of child with animal remains.’71 Resisting what they considered a stifling culture of rationalism and a political fixation on a utopian political future based on reason, Romantic writers valorized the child’s free, spontaneous and creative way of being as indicative of humanity’s paradise lost. The inherent superiority of mature modes of modern freedom and agency were not fundamentally challenged. </w:t>
      </w:r>
      <w:r w:rsidRPr="00087A72">
        <w:rPr>
          <w:b/>
          <w:u w:val="single"/>
        </w:rPr>
        <w:t>Modernity is characterized by the loss of childhood innocence, natural freedom, and connection to nature, but</w:t>
      </w:r>
      <w:r w:rsidRPr="00087A72">
        <w:rPr>
          <w:sz w:val="16"/>
        </w:rPr>
        <w:t xml:space="preserve"> the </w:t>
      </w:r>
      <w:r w:rsidRPr="00087A72">
        <w:rPr>
          <w:b/>
          <w:u w:val="single"/>
        </w:rPr>
        <w:t>loss is inevitable and</w:t>
      </w:r>
      <w:r w:rsidRPr="00087A72">
        <w:rPr>
          <w:sz w:val="16"/>
        </w:rPr>
        <w:t xml:space="preserve"> indeed </w:t>
      </w:r>
      <w:r w:rsidRPr="00087A72">
        <w:rPr>
          <w:b/>
          <w:u w:val="single"/>
        </w:rPr>
        <w:t>necessary for moral progress towards</w:t>
      </w:r>
      <w:r w:rsidRPr="00087A72">
        <w:rPr>
          <w:sz w:val="16"/>
        </w:rPr>
        <w:t xml:space="preserve"> the po</w:t>
      </w:r>
      <w:r w:rsidRPr="00087A72">
        <w:rPr>
          <w:b/>
          <w:u w:val="single"/>
        </w:rPr>
        <w:t>litical freedom realized in the constitution of civil and political society.</w:t>
      </w:r>
      <w:r w:rsidRPr="00087A72">
        <w:rPr>
          <w:sz w:val="16"/>
        </w:rPr>
        <w:t xml:space="preserve"> The </w:t>
      </w:r>
      <w:r w:rsidRPr="00087A72">
        <w:rPr>
          <w:rStyle w:val="Emphasis"/>
        </w:rPr>
        <w:t>romanticized child is thus the centre of a tragic story of lost human authenticity and</w:t>
      </w:r>
      <w:r w:rsidRPr="00087A72">
        <w:rPr>
          <w:sz w:val="16"/>
        </w:rPr>
        <w:t xml:space="preserve"> our </w:t>
      </w:r>
      <w:r w:rsidRPr="00087A72">
        <w:rPr>
          <w:rStyle w:val="Emphasis"/>
        </w:rPr>
        <w:t>alienation from the world</w:t>
      </w:r>
      <w:r w:rsidRPr="00087A72">
        <w:rPr>
          <w:sz w:val="16"/>
        </w:rPr>
        <w:t xml:space="preserve">.72 These themes were most famously explored in the work of J.J. Rousseau. In Discourse on the Origins of Inequality, for example, Rousseau claims that children and parents would, in the state of nature, have no relationship of mutual responsibility.73 Accordingly, </w:t>
      </w:r>
      <w:r w:rsidRPr="00087A72">
        <w:rPr>
          <w:b/>
          <w:u w:val="single"/>
        </w:rPr>
        <w:t>we learn</w:t>
      </w:r>
      <w:r w:rsidRPr="00087A72">
        <w:rPr>
          <w:sz w:val="16"/>
        </w:rPr>
        <w:t xml:space="preserve"> in The Social Contract </w:t>
      </w:r>
      <w:r w:rsidRPr="00087A72">
        <w:rPr>
          <w:b/>
          <w:u w:val="single"/>
        </w:rPr>
        <w:t>that despite its flaws, modern society is essential for moral improvement and the highest forms of human freedom and sociality.</w:t>
      </w:r>
      <w:r w:rsidRPr="00087A72">
        <w:rPr>
          <w:sz w:val="16"/>
        </w:rPr>
        <w:t xml:space="preserve">74 Likewise, Rousseau’s cele- brated work on children, Emile, was not intended to be an education manual but rather a lament on the impossibility of raising children to be both free and functional within modern society.75 In civilizational terms, </w:t>
      </w:r>
      <w:r w:rsidRPr="00087A72">
        <w:rPr>
          <w:rStyle w:val="Emphasis"/>
        </w:rPr>
        <w:t>Man’s original freedom – his childhood – must be sacrificed in order to pursue education.</w:t>
      </w:r>
      <w:r w:rsidRPr="00087A72">
        <w:rPr>
          <w:sz w:val="16"/>
        </w:rPr>
        <w:t xml:space="preserve"> The child’s courageous and impulsive state of playful being is simply incongruent with what bourgeois artists and intellectuals saw as constraining yet inevitable strictures of modern civilization.76 If a child somehow goes without education they are left in a feral or natural state of being that is identical in many ways to that of the ‘Indian’. Sankar Muthu observes that Rousseau at times ‘manages to equate savages (understood as the earliest purely natural individuals of his conjectural history), the “Savage Nations” of the New World, and feral children (such as the “little savage of Hanover”) as “natural creatures”’.77 By the eighteenth century, </w:t>
      </w:r>
      <w:r w:rsidRPr="00087A72">
        <w:rPr>
          <w:rStyle w:val="Emphasis"/>
        </w:rPr>
        <w:t>romantic philosophical and literary depictions of childhood were reflected in tropes of native peoples, epitomized in the myth of the ‘noble savage’</w:t>
      </w:r>
      <w:r w:rsidRPr="00087A72">
        <w:rPr>
          <w:sz w:val="16"/>
        </w:rPr>
        <w:t xml:space="preserve">. In their classification as children, following the social contract formulation, the </w:t>
      </w:r>
      <w:r w:rsidRPr="00087A72">
        <w:rPr>
          <w:b/>
          <w:u w:val="single"/>
        </w:rPr>
        <w:t>consent of the native ward was</w:t>
      </w:r>
      <w:r w:rsidRPr="00087A72">
        <w:rPr>
          <w:sz w:val="16"/>
        </w:rPr>
        <w:t xml:space="preserve"> always </w:t>
      </w:r>
      <w:r w:rsidRPr="00087A72">
        <w:rPr>
          <w:b/>
          <w:u w:val="single"/>
        </w:rPr>
        <w:t>regarded as form of</w:t>
      </w:r>
      <w:r w:rsidRPr="00087A72">
        <w:rPr>
          <w:sz w:val="16"/>
        </w:rPr>
        <w:t xml:space="preserve"> hypothetical or implied </w:t>
      </w:r>
      <w:r w:rsidRPr="00087A72">
        <w:rPr>
          <w:b/>
          <w:u w:val="single"/>
        </w:rPr>
        <w:t>consent to the sovereign understood as parent or guardian. Unless the native had</w:t>
      </w:r>
      <w:r w:rsidRPr="00087A72">
        <w:rPr>
          <w:sz w:val="16"/>
        </w:rPr>
        <w:t xml:space="preserve"> demonstrably </w:t>
      </w:r>
      <w:r w:rsidRPr="00087A72">
        <w:rPr>
          <w:b/>
          <w:u w:val="single"/>
        </w:rPr>
        <w:t>matured through education,</w:t>
      </w:r>
      <w:r w:rsidRPr="00087A72">
        <w:rPr>
          <w:sz w:val="16"/>
        </w:rPr>
        <w:t xml:space="preserve"> as </w:t>
      </w:r>
      <w:r w:rsidRPr="00087A72">
        <w:rPr>
          <w:b/>
          <w:u w:val="single"/>
        </w:rPr>
        <w:t>evidenced by their industriousness and enthusiastic embrace of systems of private property, trade, and commerce</w:t>
      </w:r>
      <w:r w:rsidRPr="00087A72">
        <w:rPr>
          <w:sz w:val="16"/>
        </w:rPr>
        <w:t xml:space="preserve">, the explicit </w:t>
      </w:r>
      <w:r w:rsidRPr="00087A72">
        <w:rPr>
          <w:rStyle w:val="Emphasis"/>
        </w:rPr>
        <w:t>consent of native peoples was not required.</w:t>
      </w:r>
      <w:r w:rsidRPr="00087A72">
        <w:rPr>
          <w:sz w:val="16"/>
        </w:rPr>
        <w:t xml:space="preserve"> At best, the sovereign as guardian had a self-imposed duty to consult with underdeveloped native communities and hold their wealth in trust, though in the absence of consultation the sovereign was nevertheless obliged to author decisions that were in the best interests of the native (again, according to the sover- eign). An</w:t>
      </w:r>
      <w:r w:rsidRPr="00087A72">
        <w:rPr>
          <w:b/>
          <w:u w:val="single"/>
        </w:rPr>
        <w:t>y assertion of jurisdiction over land on the part of the ‘Indian’ was interpreted as a failure of colonial education</w:t>
      </w:r>
      <w:r w:rsidRPr="00087A72">
        <w:rPr>
          <w:sz w:val="16"/>
        </w:rPr>
        <w:t xml:space="preserve">, a regression into childhood, </w:t>
      </w:r>
      <w:r w:rsidRPr="00087A72">
        <w:rPr>
          <w:b/>
          <w:u w:val="single"/>
        </w:rPr>
        <w:t>and an affront to standards of civilized governance.</w:t>
      </w:r>
    </w:p>
    <w:p w:rsidR="000314EC" w:rsidRPr="00087A72" w:rsidRDefault="000314EC" w:rsidP="000314EC">
      <w:pPr>
        <w:pStyle w:val="Heading3"/>
      </w:pPr>
      <w:r w:rsidRPr="00087A72">
        <w:t>A2: Psychoanalysis Racist</w:t>
      </w:r>
    </w:p>
    <w:p w:rsidR="000314EC" w:rsidRPr="00087A72" w:rsidRDefault="000314EC" w:rsidP="000314EC">
      <w:pPr>
        <w:pStyle w:val="Heading4"/>
        <w:rPr>
          <w:rStyle w:val="Style13ptBold"/>
          <w:b/>
          <w:bCs w:val="0"/>
        </w:rPr>
      </w:pPr>
      <w:r w:rsidRPr="00087A72">
        <w:rPr>
          <w:rStyle w:val="Style13ptBold"/>
          <w:b/>
          <w:bCs w:val="0"/>
        </w:rPr>
        <w:t>Lacanian analysis has the best explanatory power for racialized violence</w:t>
      </w:r>
    </w:p>
    <w:p w:rsidR="000314EC" w:rsidRPr="00087A72" w:rsidRDefault="000314EC" w:rsidP="000314EC">
      <w:pPr>
        <w:rPr>
          <w:rStyle w:val="Style13ptBold"/>
        </w:rPr>
      </w:pPr>
      <w:r w:rsidRPr="00087A72">
        <w:rPr>
          <w:rStyle w:val="Style13ptBold"/>
        </w:rPr>
        <w:t xml:space="preserve">Fosh 13 </w:t>
      </w:r>
      <w:r w:rsidRPr="00087A72">
        <w:rPr>
          <w:rStyle w:val="Style13ptBold"/>
          <w:b w:val="0"/>
        </w:rPr>
        <w:t>(Stephen</w:t>
      </w:r>
      <w:r w:rsidRPr="00087A72">
        <w:rPr>
          <w:rStyle w:val="Style13ptBold"/>
        </w:rPr>
        <w:t xml:space="preserve">, </w:t>
      </w:r>
      <w:r w:rsidRPr="00087A72">
        <w:rPr>
          <w:color w:val="666666"/>
          <w:sz w:val="18"/>
          <w:szCs w:val="18"/>
        </w:rPr>
        <w:t>Professor of Psychology and Pro-Vice-Master</w:t>
      </w:r>
      <w:r w:rsidRPr="00087A72">
        <w:rPr>
          <w:rStyle w:val="Style13ptBold"/>
        </w:rPr>
        <w:t>,</w:t>
      </w:r>
      <w:r w:rsidRPr="00087A72">
        <w:rPr>
          <w:color w:val="666666"/>
          <w:sz w:val="18"/>
          <w:szCs w:val="18"/>
        </w:rPr>
        <w:t xml:space="preserve"> B.A. (Sussex), M.Phil., Ph.D. (Lond). “Psychoanalysis, Colonialism, Racism” Journal of Theoretical and Philosophical Psychology 2013, Vol. 33, No. 3, 146-148squirms)</w:t>
      </w:r>
    </w:p>
    <w:p w:rsidR="000314EC" w:rsidRPr="00087A72" w:rsidRDefault="000314EC" w:rsidP="000314EC">
      <w:pPr>
        <w:tabs>
          <w:tab w:val="left" w:pos="3180"/>
        </w:tabs>
        <w:rPr>
          <w:u w:val="single"/>
        </w:rPr>
      </w:pPr>
      <w:r w:rsidRPr="00087A72">
        <w:rPr>
          <w:rStyle w:val="StyleUnderline"/>
        </w:rPr>
        <w:t>A central contribution of psychoanalysis to postcolonial work is to provide a vocabulary that facilitates discussion of what might be called the excessive dimension of racist discourse</w:t>
      </w:r>
      <w:r w:rsidRPr="00087A72">
        <w:rPr>
          <w:sz w:val="8"/>
        </w:rPr>
        <w:t xml:space="preserve">. This does not mean that racism is ever not excessive—that it is ever purely rational in, for example, an economic sense (it is never rational in terms of its truth claims). But </w:t>
      </w:r>
      <w:r w:rsidRPr="00087A72">
        <w:rPr>
          <w:rStyle w:val="StyleUnderline"/>
        </w:rPr>
        <w:t>the intensity of the racist imaginary is always over and above anything that can be claimed to be in the interests of the oppressing group—whether colonialism itself, which works to subjugate the colonized society, often through terror, or whether it is the explicit violence of populist anti-Black, Islamophobic, and antisemitic racism.</w:t>
      </w:r>
      <w:r w:rsidRPr="00087A72">
        <w:rPr>
          <w:sz w:val="8"/>
        </w:rPr>
        <w:t xml:space="preserve"> Characteristically, much of this theorizing has been undertaken not by clinical psychoanalysts, but by sociologists and cultural critics deploying psychoanalytic ideas. For Adorno et al. (1950), in their classic postwar investigation of prejudice informed by social psychology, critical theory, and psychoanalysis, </w:t>
      </w:r>
      <w:r w:rsidRPr="00087A72">
        <w:rPr>
          <w:rStyle w:val="StyleUnderline"/>
        </w:rPr>
        <w:t>the source of this racist imaginary lay in a speciﬁc family scenario, in which an authoritarian father and the absence of affection produces a sadomasochistic personality structure unable to deal with the complexity of the world and insistent on the simplifying products of projection. This creates a persecutory environment full of hated beings, thus conﬁrming the subject’s vision of being ensnared in a dangerous situation in which the other has to be wiped out for the self to survive</w:t>
      </w:r>
      <w:r w:rsidRPr="00087A72">
        <w:rPr>
          <w:sz w:val="8"/>
        </w:rPr>
        <w:t xml:space="preserve">. In particular, difference cannot be tolerated because it always constitutes a threat. The extremely prejudiced person tends toward “psychological totalitarianism,” something which seems to be almost a microcosmic image of the totalitarian state at which he aims. Nothing can be left untouched, as it were; everything must be made equal to the ego-ideal of a rigidly conceived and hypostatized ingroup. The outgroup, the chosen foe, represents an eternal challenge. As long as anything different survives, the fascist character feels threatened, no matter how weak the other being may be (pp. 324–325). It is important to grasp the way the psychoanalytic component of Adorno et al.’s work enables them to conceptualize the intensity of affect that racism of this kind involves. Racism is not a “simple belief” and its irrationality is not solely in the area of its truth claims (though of course it is irrational in that sphere). It is precisely the excessive affect added to the systematically prejudiced ideology that makes for a racist imaginary in the sense of an all encompassing fantasy. Adorno et al. enunciated this in relation to the threat felt by the “fascist character” when faced with difference, and there is a lot of other psychoanalytic evidence for this, as in Theweleit’s (1977) famous investigation of the proto-fascists of Weimar Germany. Indeed, </w:t>
      </w:r>
      <w:r w:rsidRPr="00087A72">
        <w:rPr>
          <w:rStyle w:val="StyleUnderline"/>
        </w:rPr>
        <w:t>the general theme that racism becomes constituted through a projective process whereby the subject disowns aspects of the self which she or he then ﬁnds in the outside world and feels persecuted by—and consequently directs violent hatred toward—is rife in the literature. It has its limitations, as all simplifying explanations will have; but it conveys well the way in which a racist subject will both be drawn to and repelled by the object of hatred, and in spite of all evidence to the contrary, will hold a genuine conviction that its very existence is threatening</w:t>
      </w:r>
      <w:r w:rsidRPr="00087A72">
        <w:rPr>
          <w:sz w:val="8"/>
        </w:rPr>
        <w:t>. In Fanon (</w:t>
      </w:r>
      <w:r w:rsidRPr="00087A72">
        <w:rPr>
          <w:rStyle w:val="StyleUnderline"/>
        </w:rPr>
        <w:t>1952), this racist passion is spearheaded by sexual repression: whiteness, supported by an ideology of “purity” and a disavowal of sexuality, needs the Black “other” as a repository of its own discontent if it is to survive. The White man projects his repressed sexuality onto the Black, constructing him in fantasy as a sexual paragon and an object for his homosexual desire. The White’s relationship to the Black is then mediated by this sexuality: The Black man, who contains the projected elements of the White’s sexuality, is a constant threat to the potency of the White man, a stimulus to the desire of the White woman. Racist persecution of the Black is therefore fuelled by sexual hatred, something evidenced by lynchings throughout history. The postulation that the racist imaginary is constituted not by “mistaken beliefs” of the kind hypothesized in psychological theories of prejudice, but rather by splitting and projection, draws together psychoanalysts from a wide variety of different positions</w:t>
      </w:r>
      <w:r w:rsidRPr="00087A72">
        <w:rPr>
          <w:sz w:val="8"/>
        </w:rPr>
        <w:t>. In previous work (Frosh, 2006), I have attended especially to the Kleinian analysis provided by the British sociologist Michael Rustin (1991), and the more classical ego psychological version outlined by the radical American psychoanalyst, Joel Kovel (1995). Summarizing brieﬂy here, it is the irrationality of mental structures organized around a fundamental “lie” that Rustin focuses upon, whereas Kovel is interested in the way in which American anti-Black racism uses the historical ground of slavery as a repository for White sexual fantasy—an account that has much in common with Fanon’s earlier view</w:t>
      </w:r>
      <w:r w:rsidRPr="00087A72">
        <w:rPr>
          <w:rStyle w:val="StyleUnderline"/>
        </w:rPr>
        <w:t>. Rustin saw racism as deploying extreme defenses against psychic fragmentation, defenses that construct a paranoid world view that then reinforces the attack the racist psyche feels itself to be under. Beliefs about race, wrote Rustin, when they are suffused with intense feeling, are akin to psychotic states of mind . . . The mechanisms of psychotic thought ﬁnd in racial categorizations an ideal container. These mechanisms include the paranoid splitting of objects into the loved and hated, the suffusion of thinking processes by intense, unrecognized emotion, confusion between self and object due to the splitting of the self and massive projective identiﬁcation, and hatred of reality and truth</w:t>
      </w:r>
      <w:r w:rsidRPr="00087A72">
        <w:rPr>
          <w:sz w:val="8"/>
        </w:rPr>
        <w:t xml:space="preserve"> (p. 62). Rustin emphasized the paranoid nature of racist thinking, something readily apparent in conspiracy theories and fantasies of being ﬂooded by waves of immigration, or of being infected by immigrant-borne diseases, or poisoned by alien foods and culture. This is paranoid not simply because of its content (“everyone is against us; we are in a battle for survival”) but because of the affective charge attached to the expulsion of intolerable fantasies into the other. The “election” of the racialized other as an object of hate is a way of closing down the thinking that would be necessary in order to deal properly with these unwanted fantasies, to integrate them properly into the subject’s mind and hence make them survivable. Instead, these “unthought” impulses are evacuated into the other. Racial categories are particularly useful repositories for such antior pseudothinking not just because they are socially valorised for political purposes (such as colonialism and economic exploitation), but because they are fundamentally “empty” categories, with very little externally grounded, objective meaning</w:t>
      </w:r>
      <w:r w:rsidRPr="00087A72">
        <w:rPr>
          <w:rStyle w:val="StyleUnderline"/>
        </w:rPr>
        <w:t>. Rustin commented, virtually no differences are caught by “black” or “white” . . . This is paradoxically the source of racism’s power. It is the fact that this category means nothing in itself that makes it able to bear so much meaning—mostly psychologically primitive in character—with so little innate resistance from the conscious mind (p. 63). The racist imaginary is thus constructed out of repudiated elements of the personality that are experienced as deeply threatening. Projecting them into the other means they no longer damage the subject from within, but it also creates a persecutory and threatening outside world which has to be defended against. Racialized others are especially selected as these hated external objects because they are made available to fulﬁll this role by the history and struc ture of racist and colonial societies, and also because, as a fantasy category, racial “otherness” can be used to mean virtually anything</w:t>
      </w:r>
      <w:r w:rsidRPr="00087A72">
        <w:rPr>
          <w:sz w:val="8"/>
        </w:rPr>
        <w:t xml:space="preserve">. The choice of these objects thus derives from the nature of racist societies, but are then perpetuated and accentuated by the way the personality gets distorted through its organization around pseudothinking—that is, around what Rustin (1991) called a lie. This lie, which nominates the other as the cause of trouble as a way of covering over “internal” disturbance, becomes central to the preservation of the individual’s personality and identity. The more strongly it is held, the more it is needed; the subject comes to be in love with the lie and fearful of anything that challenges it. “The ‘lie’ in this system of personality organization becomes positively valued, as carrying for the self an important aspect of its defense against weakness, loss or negative judgment” (Rustin, 1991, p. 69). Racism, socially structured though it may be, is consequently deeply invested in by the individual, distorting and disturbing her or his relations with reality and with truth. It is useful to think of this not as an account of how social and psychological factors “interact,” but rather as a psychosocial theory in which what are usually taken as inside and out are embedded in one another and are inseparable. Racism depends on the structures of racist and colonial societies to survive. The choice of the racialized other as the object to receive unwanted psychic projections is made possible by the fact that such others are already “nominated” as derogated and disempowered, yet also dangerous threats. </w:t>
      </w:r>
      <w:r w:rsidRPr="00087A72">
        <w:rPr>
          <w:rStyle w:val="StyleUnderline"/>
        </w:rPr>
        <w:t>The racist subject experiences her or his antagonism as belonging to the other and so holds to a rigid separation between internal and external. However, the point about projection is that it reveals precisely the permeability of subject boundaries: What is supposedly “inside” does not stay there but leaks out and ﬁnds its place among networks of identiﬁcation and relationality that are organized socially. These are also part of the “self”: racist ideation is intense precisely because it is felt. The meaning of a “social subject” is located here: Each subject is constructed in and by the demands of (colonial) society, of course acting upon it in its own way, but nevertheless riven by it and inconceivable without it. Kovel (1995) provided some more leverage on the way in which racism bleeds into the historical structures of the social in a way that leads back to colonialism, here in the context of slavery.</w:t>
      </w:r>
      <w:r w:rsidRPr="00087A72">
        <w:rPr>
          <w:sz w:val="8"/>
        </w:rPr>
        <w:t xml:space="preserve"> The contrast he used is between a monolithic and rigid mode of thinking and what he termed a “polycentric” mind (which he linked with a now valorized “primitivity”) that is open to otherness and difference, “associated with an openness of the psyche to the world and, in primitive society at least, an openness of society to otherness” (p. 221). In Kovel’s account of history, capitalism suppressed such openness in favor of the rationalist concept of the singular self, the uniﬁed personality. </w:t>
      </w:r>
      <w:r w:rsidRPr="00087A72">
        <w:rPr>
          <w:rStyle w:val="StyleUnderline"/>
        </w:rPr>
        <w:t>Western modernity is built on the renunciation of alternative possibilities of being; the drive for proﬁt swamps the impulses for pleasure and enjoyment. Noting the need for a speciﬁc, socially located explanation of how this renunciation turns into racism as what he called the “peculiarly modern form of repressive exclusionism,” Kovel asked the following question: ”Could it be that as the western mentality began to regard itself as homogeneous and puriﬁed—a cogito—it was also led to assign the negativity inherent in human existence to other peoples, thereby enmeshing them in the web of racism?”</w:t>
      </w:r>
      <w:r w:rsidRPr="00087A72">
        <w:rPr>
          <w:sz w:val="8"/>
        </w:rPr>
        <w:t xml:space="preserve"> (p. 212). The vitality and polymorphism of the world becomes ﬂattened and narrowed into a rigid mode of reasoning and a single narrative of experience; this means that much that is real is excluded, and returns to haunt the subject as a frightening, because potentially uncontrollable, irrationality. Racism enters into the equation because this irrationality is located in the other—the one who, through exclusion and election as the ‘alien,’ comes to embody the supposedly nonhuman. The following passage, redolent of Fanon’s description of the sensuality-denying, sexually repressed foundations of “Whiteness,” powerfully conveys this point of view: A persistent shadow had dogged puritanism, the dominant cultural type of the early capitalist order—a spectre of renunciation and rationalisation, of the loss of sensuousness and the deadening of existence</w:t>
      </w:r>
      <w:r w:rsidRPr="00087A72">
        <w:rPr>
          <w:rStyle w:val="StyleUnderline"/>
        </w:rPr>
        <w:t>. In this context the animality projected onto the black by virtue of his or her role in slavery became suitable to represent the vitality split away from the world in Puritan capitalist asceticism. Sensuousness that had been ﬁltered out of the universe in capitalist exchange was to reappear in those who had been denied human status by the emergent capitalist order. Blacks, who had been treated as animals when enslaved, became animals in their essence, while the darkness of their skin became suitable to represent the dark side of the body, embodying the excremental vision that has played so central a role in the development of western consciousness. In this way Blacks were seen as beneath Whites in reasoning power and above Whites in sexuality and the capacity for violence. (Kovel, 1995, p. 217) Kovel is arguing here that the development of Western modernity, built on slavery and capitalist accumulation, produced a psychological imperative to disown multiplicity and sensuality and to project it into the black other</w:t>
      </w:r>
      <w:r w:rsidRPr="00087A72">
        <w:rPr>
          <w:sz w:val="8"/>
        </w:rPr>
        <w:t xml:space="preserve">. The power of this psychosocial organization is so great that it can “enter into the evolution of the psyche” (Ibid.) denying the possibility of openness to any new experience which is not in the interests of accumulation. Instead, the repressed sensuousness, preserved unconsciously because otherwise the psyche dries up completely and is deadened, is experienced as threatening and subversive, as well as exciting. It is bestial, animal, ﬁt for projection onto those slaves who are designated by the complex social drive of capitalist imperialism as not fully </w:t>
      </w:r>
      <w:r w:rsidRPr="00087A72">
        <w:rPr>
          <w:b/>
          <w:sz w:val="8"/>
        </w:rPr>
        <w:t xml:space="preserve">human. </w:t>
      </w:r>
      <w:r w:rsidRPr="00087A72">
        <w:rPr>
          <w:rStyle w:val="Emphasis"/>
          <w:b w:val="0"/>
        </w:rPr>
        <w:t>Their physical Blackness, marking them as distinct, is merged together with already-existing psychic defenses against what Norman Brown (1959) has called the excremental vision to create the ideal object of repudiation. We are back to the idea of the “primitive” here, as the object into which everything messy and “unsophisticated” is projected; Kovel’s addition is to show how this is linked with the speciﬁc history of slavery to make the black other its representative. There are numerous potential difﬁculties with the kind of psychoanalytic explanation of racism outlined here</w:t>
      </w:r>
      <w:r w:rsidRPr="00087A72">
        <w:rPr>
          <w:rStyle w:val="Emphasis"/>
        </w:rPr>
        <w:t>.</w:t>
      </w:r>
      <w:r w:rsidRPr="00087A72">
        <w:rPr>
          <w:sz w:val="8"/>
        </w:rPr>
        <w:t xml:space="preserve"> Although I have been emphasizing the status of psychoanalysis as a psychosocial theory that breaks down the usual individual-social (and psychology-sociology) binary, there remains a strong temptation when using psychoanalytic concepts to work from the inside out. The social world then becomes populated by projections that emanate from within, without always maintaining consideration of how the opposite effect occurs too—how the apparently “inner world” of the subject is built around the incorporation of messages from the social other—a perspective adopted by some psychoanalysts very strongly (e.g., Laplanche, 1999), but nevertheless one that is not routine in psychoanalytic thinking. Even progressive approaches such as those described here also tend to assume the presence of some fundamental psychic urges that will unavoidably create problems should they fail to be expressed. In Kovel’s account, </w:t>
      </w:r>
      <w:r w:rsidRPr="00087A72">
        <w:rPr>
          <w:rStyle w:val="StyleUnderline"/>
        </w:rPr>
        <w:t>sexuality has this status: because colonialist culture suppresses and narrows it, it leaks out and has to be projected into the body of the Black other. But sexuality itself takes many forms, even within modernity, and although it is a useful shorthand to think of it as something that always seeks to make itself known, this is too mechanistic to do justice to the complexity of constructive processes that produce sexuality in the ﬁrst place. The detailed exposition proposed by Kovel places the racist imaginary in a clear and speciﬁc social context—the rise of bourgeois modernity built on the slave trade and the colonialist election (and derogation) of the Black body as recipient of the excluded and feared elements of the White psyche</w:t>
      </w:r>
      <w:r w:rsidRPr="00087A72">
        <w:rPr>
          <w:sz w:val="8"/>
        </w:rPr>
        <w:t>. This alerts us to the energy of the racist ‘unconscious’, its “excremental vision” and also its elaborate enjoyment, again in the sense of something that goes over-andabove what might be expected, and explicable, on the basis of sociopolitical and economic interests. Perhaps the clearest exponent of this in recent times has been Slavoj Žižek, whose elaborations of the racist dynamic occur within a powerful system constituted in part by Lacanian concepts. Žižek (2006) commented generally that</w:t>
      </w:r>
      <w:r w:rsidRPr="00087A72">
        <w:rPr>
          <w:rStyle w:val="StyleUnderline"/>
        </w:rPr>
        <w:t>, “The ultimate lesson of psychoanalysis is that human life is never ‘just life’: humans are not simply alive, they are possessed by the strange drive to enjoy life in excess, passionately attached to a surplus which sticks out and derails the ordinary run of things” p. 62). In the context of racism, this kind of enjoyment does not mean “having fun”; it means that there is something surplus and unnecessary to which humans are nevertheless passionately attached. J</w:t>
      </w:r>
      <w:r w:rsidRPr="00087A72">
        <w:rPr>
          <w:sz w:val="8"/>
        </w:rPr>
        <w:t>odi Dean (2007) summarized Žižek’s approach here, referring speciﬁcally to his 1993 text, Tarrying with the Negative. Since a community’s enjoyment consists in no positive attribute, it comes to the fore in myths and fantasies, myths that generally explain the ways our enjoyment is threatened by others who want to steal it, who want to ruin our way of life by corrupting it with their own peculiar enjoyment. In turn, we ﬁnd enjoyment in fantasizing about their enjoyment, in positing an enjoyment beyond what we imagine for ourselves. So, we don’t like the excess of others’ ways of life (their music, the way they smell, their relation to their bodies). Their way of life seems immediately intrusive, an assault, like they are ﬂaunting it, daring us, blatantly refusing to sacriﬁce their enjoyment and come under a common symbolic order. Why do their lives seem so authentic, so real? Why are they so much more in tune with their sexuality, able to eat and drink and live while I am hard at work? The very excessiveness of their enjoyment makes them ‘them,’ other, foreign. (p. 22) Yet, as Žižek (1993) noted, it is precisely this excessive element in the other that attracts us, that makes us feel the other has something we do not have—a fuller life, more energy, more intelligence, more passionate sexuality. The ﬁeld of fantasy is obviously what is in operation here. Moreover, once one possesses the idea of the other’s enjoyment as being more than that which is available to the subject, one opens oneself to the logic that proposes that if this is the case, then one’s enjoyment must have been stolen. The Jew has stolen the money, the Black has stolen sexuality</w:t>
      </w:r>
      <w:r w:rsidRPr="00087A72">
        <w:rPr>
          <w:rStyle w:val="StyleUnderline"/>
        </w:rPr>
        <w:t>: This is what drives much racist fantasy, and it is hard to theorize the excesses of racism without recourse to such an idea about how it is fantasised. F</w:t>
      </w:r>
      <w:r w:rsidRPr="00087A72">
        <w:rPr>
          <w:sz w:val="8"/>
        </w:rPr>
        <w:t>or Žižek (1993), in full Lacanian mode</w:t>
      </w:r>
      <w:r w:rsidRPr="00087A72">
        <w:rPr>
          <w:rStyle w:val="StyleUnderline"/>
        </w:rPr>
        <w:t xml:space="preserve">, such an imaginary is premised on the repression of a different awareness, that what has been “lost” or stolen in this way was never part of the subject at all: “What we conceal by imputing to the Other the theft of enjoyment is the traumatic fact that we never possessed what was allegedly stolen from us: the lack (“castration”) is originary, enjoyment constitutes itself as “stolen’” (p. 203). This is part of a larger debate on how fantasies of loss can obscure realities of lack— how the incompleteness of the subject can always be laid at someone else’s door. The key point here, however, is how the theorization of excess in this way can say something about the perpetuation of racist ideology and imaginary states: The other is not only denigrated and hated; the other also has what we want, and this causes a rage that has nothing to do with the real situation. </w:t>
      </w:r>
      <w:r w:rsidRPr="00087A72">
        <w:rPr>
          <w:sz w:val="8"/>
        </w:rPr>
        <w:t xml:space="preserve">Hook (2008) draws together some of these disparate threads by aligning Fanon and Žižek in their accounts of how racism gets ‘under the skin.’ Fanon’s (1952) line of analysis emphasizes the projection of the White’s sexuality onto the Black man, only for the White man to ﬁnd it returning as envied aspects of his own disavowed sexual embodiment. Hook reads this in relation to the Lacanian idea of the surplus of enjoyment that is both needed and yet is feared, because it locates the psychic life of the subject in the body and hence in what is “bestial” and mortal. </w:t>
      </w:r>
      <w:r w:rsidRPr="00087A72">
        <w:rPr>
          <w:rStyle w:val="StyleUnderline"/>
        </w:rPr>
        <w:t>The consequence of this, as noted above, is that the racist subject is obsessed by a lack which she or he translates into a “loss”—implying that it has been stolen by someone else, who now possesses it. Hook (2008) elaborates. One might thus speak of the racist envy of a given “regime of enjoyments”, that is an experience of lack in which the racist subject wishes to take back those surplus enjoyments that they perceive in various “racial others”. The enjoyments in question are properties that the racist subject feels themselves singularly entitled to, but is lacking; these are properties that have as such been stolen away by others, whose possession thereof therefore qualiﬁes these “racial others” as radically blameworthy</w:t>
      </w:r>
      <w:r w:rsidRPr="00087A72">
        <w:rPr>
          <w:sz w:val="8"/>
        </w:rPr>
        <w:t xml:space="preserve">. In such moments the “enjoying other” becomes curiously important to the racist, certainly so inasmuch as they might be said to represent a repository of enjoyments that need be taken back. We return thus to a familiar lesson in the psychoanalysis of racism: the “racial other” is needed, envied, desired far more than the racist subject can ever admit. (p. 146) For Hook, the rendering of Fanon into </w:t>
      </w:r>
      <w:r w:rsidRPr="00087A72">
        <w:rPr>
          <w:rStyle w:val="StyleUnderline"/>
        </w:rPr>
        <w:t>Lacanian territory draws attention to the ways in which racialising embodiment acts within a regime of colonial and racist thought that means that the body, as well as being “a vessel of physical experience and affectivity,” is also subjected to “the ideological imposition of particular frames of value and meaning” (p. 149). The consequence is a kind of eternal tension between the affective and embodied experience of the subject, and its writing over by a symbolic and ideological structure that is intrinsically linked to the colonial. In this tension or “antagonism of the real” lie both the persistent power of colonialist ideology and perhaps the route to its unpicking.</w:t>
      </w:r>
    </w:p>
    <w:p w:rsidR="000314EC" w:rsidRPr="00087A72" w:rsidRDefault="000314EC" w:rsidP="000314EC">
      <w:pPr>
        <w:pStyle w:val="Heading3"/>
      </w:pPr>
      <w:r w:rsidRPr="00087A72">
        <w:t>A2: Reformism</w:t>
      </w:r>
    </w:p>
    <w:p w:rsidR="000314EC" w:rsidRPr="00087A72" w:rsidRDefault="000314EC" w:rsidP="000314EC">
      <w:pPr>
        <w:pStyle w:val="Heading4"/>
      </w:pPr>
      <w:r w:rsidRPr="00087A72">
        <w:t xml:space="preserve">Reform and revolution require separate approaches. Revolutions have become a place for activists to force the state to repair itself through reforms which ignores the limitations of the state and its origins. Because activists fail to address the colonial roots that hold the U.S. in place, political progress is measured by the rate at which people of color convince white people that their lives matter. </w:t>
      </w:r>
    </w:p>
    <w:p w:rsidR="000314EC" w:rsidRPr="00087A72" w:rsidRDefault="000314EC" w:rsidP="000314EC">
      <w:pPr>
        <w:rPr>
          <w:rFonts w:cstheme="minorHAnsi"/>
        </w:rPr>
      </w:pPr>
      <w:r w:rsidRPr="00087A72">
        <w:rPr>
          <w:rFonts w:cstheme="minorHAnsi"/>
          <w:b/>
        </w:rPr>
        <w:t>Marquez and Rana 17</w:t>
      </w:r>
      <w:r w:rsidRPr="00087A72">
        <w:rPr>
          <w:rFonts w:cstheme="minorHAnsi"/>
        </w:rPr>
        <w:t xml:space="preserve"> (Dr. Márquez’s scholarship and teaching peruse the borders of and build bridges between Black Studies, Latin@ Studies, and Native American Studies. His work facilitates conversations around prisons and punishment; critical race theory; racial capitalism; Black politics; Xicanismo; indigeneity; borders and borderlands; post-colonialism; decolonization; settler colonialism; neoliberalism; and social movement theory. Juanaid Rana is an anthropologist who writes about global capitalism, diaspora, racism, and social protest movements. He is an associate professor of Asian American Studies with appointments in the Department of Anthropology, the Center for South Asian and Middle Eastern Studies, and the Unit for Criticism and Interpretive Theory. “Black Radical Possibility and the Decolonial International” </w:t>
      </w:r>
      <w:r w:rsidRPr="00087A72">
        <w:rPr>
          <w:rFonts w:cstheme="minorHAnsi"/>
          <w:i/>
        </w:rPr>
        <w:t>South Atlantic Quarterly</w:t>
      </w:r>
      <w:r w:rsidRPr="00087A72">
        <w:rPr>
          <w:rFonts w:cstheme="minorHAnsi"/>
        </w:rPr>
        <w:t>, Vol. 3, No. 116, pp. 506-527) SR</w:t>
      </w:r>
    </w:p>
    <w:p w:rsidR="000314EC" w:rsidRPr="00087A72" w:rsidRDefault="000314EC" w:rsidP="000314EC">
      <w:pPr>
        <w:rPr>
          <w:rFonts w:cstheme="minorHAnsi"/>
          <w:u w:val="single"/>
        </w:rPr>
      </w:pPr>
      <w:r w:rsidRPr="00087A72">
        <w:rPr>
          <w:rFonts w:cstheme="minorHAnsi"/>
        </w:rPr>
        <w:t>To be sure, there has been some significant debate regarding these connections. Such connections, however, seem tenuous. Again</w:t>
      </w:r>
      <w:r w:rsidRPr="00087A72">
        <w:rPr>
          <w:rFonts w:cstheme="minorHAnsi"/>
          <w:u w:val="single"/>
        </w:rPr>
        <w:t>, many have displayed a willingness to place their own lives at risk to make these connec- tions, and yet there seems to be more intellectual work needed to honor those acts and reinforce the connections that they have made vivid</w:t>
      </w:r>
      <w:r w:rsidRPr="00087A72">
        <w:rPr>
          <w:rFonts w:cstheme="minorHAnsi"/>
        </w:rPr>
        <w:t xml:space="preserve">. The BLM campaign is burdened by a liberal teleology that would have black stand in for a notion of humanity rather than stand for the radical claim it simultaneously purports to be as the possibility of decolonial liberation—and perhaps there is a dialectical politics here that works through the often-heralded pro- cess of reform and revolution that not only Killer Mike but also social move- ment historians such as Barbara Ransby (2015, 2016), Keeanga-Yamahtta Taylor (2016a, 2016b), Martha Biondi (2016), and others have gestured toward. </w:t>
      </w:r>
      <w:r w:rsidRPr="00087A72">
        <w:rPr>
          <w:rFonts w:cstheme="minorHAnsi"/>
          <w:u w:val="single"/>
        </w:rPr>
        <w:t>While these two strategies (reform and revolution or, moreover, the reforms spun by what are often considered to be radical acts) are often at odds with each other and require separate rubrics and approaches,</w:t>
      </w:r>
      <w:r w:rsidRPr="00087A72">
        <w:rPr>
          <w:rFonts w:cstheme="minorHAnsi"/>
        </w:rPr>
        <w:t xml:space="preserve"> in this essay we advance a perspective that comes from thinking through </w:t>
      </w:r>
      <w:r w:rsidRPr="00087A72">
        <w:rPr>
          <w:rFonts w:cstheme="minorHAnsi"/>
          <w:u w:val="single"/>
        </w:rPr>
        <w:t>colonial occupation</w:t>
      </w:r>
      <w:r w:rsidRPr="00087A72">
        <w:rPr>
          <w:rFonts w:cstheme="minorHAnsi"/>
        </w:rPr>
        <w:t xml:space="preserve"> as </w:t>
      </w:r>
      <w:r w:rsidRPr="00087A72">
        <w:rPr>
          <w:rFonts w:cstheme="minorHAnsi"/>
          <w:u w:val="single"/>
        </w:rPr>
        <w:t>a global condition</w:t>
      </w:r>
      <w:r w:rsidRPr="00087A72">
        <w:rPr>
          <w:rFonts w:cstheme="minorHAnsi"/>
        </w:rPr>
        <w:t xml:space="preserve">, </w:t>
      </w:r>
      <w:r w:rsidRPr="00087A72">
        <w:rPr>
          <w:rFonts w:cstheme="minorHAnsi"/>
          <w:u w:val="single"/>
        </w:rPr>
        <w:t>as a condition produced by and through what Denise Ferreira da Silva (2008) describes as the “analytics of raciality,” that is, conditions that refer to the mono-epistemic stranglehold of Western modernity (especially teleological liberalism) on political imaginaries, and the response of the radical and decolonial internationalism that this comprehensive theorization of race and modernity mandates.</w:t>
      </w:r>
    </w:p>
    <w:p w:rsidR="000314EC" w:rsidRPr="00087A72" w:rsidRDefault="000314EC" w:rsidP="000314EC">
      <w:pPr>
        <w:rPr>
          <w:rFonts w:cstheme="minorHAnsi"/>
          <w:u w:val="single"/>
        </w:rPr>
      </w:pPr>
      <w:r w:rsidRPr="00087A72">
        <w:rPr>
          <w:rFonts w:cstheme="minorHAnsi"/>
        </w:rPr>
        <w:t xml:space="preserve">This dialectic of reform and revolution, a pervasively popular topic among social movement historians, tends to reinforce a domestication of black politics, a kind of appropriation that we believe dilutes the radical potential inherent to direct actions. </w:t>
      </w:r>
      <w:r w:rsidRPr="00087A72">
        <w:rPr>
          <w:rFonts w:cstheme="minorHAnsi"/>
          <w:u w:val="single"/>
        </w:rPr>
        <w:t>Rhetorics regarding radical or revolu- tionary change are commonly appropriated and used to describe how activ- ists force the US nation-state to repair itself via internal reforms. What often gets described as radical within the US political culture regarding race—the emphasis on incremental progress made possible by direct actions—can thus also be read as insidious when one considers the settler colonial origins of the US nation-state and its related imperial outreach the world over, the genocidal logic of occupation that we center in our analysis.</w:t>
      </w:r>
      <w:r w:rsidRPr="00087A72">
        <w:rPr>
          <w:rFonts w:cstheme="minorHAnsi"/>
        </w:rPr>
        <w:t xml:space="preserve"> In other words, </w:t>
      </w:r>
      <w:r w:rsidRPr="00087A72">
        <w:rPr>
          <w:rFonts w:cstheme="minorHAnsi"/>
          <w:u w:val="single"/>
        </w:rPr>
        <w:t>the more a narrative of repair or reform is conveyed as a result of our direct actions, the further distracted we are from diagnosing the inherent limita- tions of the US nation-state and especially its origins in conquest and slav- ery. This domestication, moreover, speaks directly to the discontents of neo- liberal adjustments.</w:t>
      </w:r>
    </w:p>
    <w:p w:rsidR="000314EC" w:rsidRPr="00087A72" w:rsidRDefault="000314EC" w:rsidP="000314EC">
      <w:pPr>
        <w:rPr>
          <w:rFonts w:cstheme="minorHAnsi"/>
          <w:u w:val="single"/>
        </w:rPr>
      </w:pPr>
      <w:r w:rsidRPr="00087A72">
        <w:rPr>
          <w:rFonts w:cstheme="minorHAnsi"/>
        </w:rPr>
        <w:t xml:space="preserve">The term neoliberalism often refers to a particular political economic conjuncture and, namely, the advent of a post-Fordist and global capitalism. We refer to neoliberalism also for its ethical contours, for the style or modi- cum of racial governance it signifies, a postcolonial method to deter a more critical dissent via the belated inclusion or mainstreaming of social move- ments and their rhetorics since the civil rights movement of the mid- twentieth century. The advent of what Michelle Alexander (2010) describes as “the new Jim Crow” is not the sole limit of neoliberal adjustment and post–civil rights rhetorics of progress. It also </w:t>
      </w:r>
      <w:r w:rsidRPr="00087A72">
        <w:rPr>
          <w:rFonts w:cstheme="minorHAnsi"/>
          <w:u w:val="single"/>
        </w:rPr>
        <w:t>verifies the limitations of colo- nial recognition and treaty making that Glen Coulthard (2014), Dian Million (2013), and others have exposed as pillars of how racial capitalism has been and is furthered on this continent via genocidal logics, putting an added strain on the impetus and logic of liberal reform.</w:t>
      </w:r>
    </w:p>
    <w:p w:rsidR="000314EC" w:rsidRPr="00087A72" w:rsidRDefault="000314EC" w:rsidP="000314EC">
      <w:pPr>
        <w:rPr>
          <w:rFonts w:cstheme="minorHAnsi"/>
          <w:u w:val="single"/>
        </w:rPr>
      </w:pPr>
      <w:r w:rsidRPr="00087A72">
        <w:rPr>
          <w:rFonts w:cstheme="minorHAnsi"/>
          <w:u w:val="single"/>
        </w:rPr>
        <w:t>Neoliberalism has thus exacerbated the inherent limitations of the US nation-state, a liberal politics of rhetorical racial uplift and incremental reform spun in the wake of what has been narrated as a successful civil rights movement of the mid-twentieth century. This modality of politics that sees the US nation-state as capable of racial justice, and as a stand- alone flagship for equality the world over, presents new infrastructures such as those intertwined with the terror industrial complex that are born out of the logics of prisons and warfare (Rana 2016).</w:t>
      </w:r>
      <w:r w:rsidRPr="00087A72">
        <w:rPr>
          <w:rFonts w:cstheme="minorHAnsi"/>
        </w:rPr>
        <w:t xml:space="preserve"> In the global war on terror, it is precisely this shift to a militarized economy that has fundamen- tally changed the social and cultural relationships of racial capitalism and that has inspired our intellectual project to refine the connections that we witnessed on the ground and in moments of insurgent protest as of late. </w:t>
      </w:r>
      <w:r w:rsidRPr="00087A72">
        <w:rPr>
          <w:rFonts w:cstheme="minorHAnsi"/>
          <w:u w:val="single"/>
        </w:rPr>
        <w:t>The visual and audible archive that we both witnessed and participated in at Ferguson and in Chicago in 2014 gave us a strong indication that important connections were or are being made between the mass suffering in Gaza, the violence created at and by militarized borders separating the United States from the “Third World,” and the antiblack and antibrown violence that has been exacerbated as a result of post–Cold War hypercarceralism in US cities.</w:t>
      </w:r>
    </w:p>
    <w:p w:rsidR="000314EC" w:rsidRPr="00087A72" w:rsidRDefault="000314EC" w:rsidP="000314EC">
      <w:pPr>
        <w:rPr>
          <w:rFonts w:cstheme="minorHAnsi"/>
        </w:rPr>
      </w:pPr>
      <w:r w:rsidRPr="00087A72">
        <w:rPr>
          <w:rFonts w:cstheme="minorHAnsi"/>
        </w:rPr>
        <w:t xml:space="preserve">The surveillance of neighborhoods and programs such as stop and frisk and “broken windows” are inextricable from the drone killings and targeted assassinations of the war on terror, just as they are from the milita- rization of the United States–Mexico border. </w:t>
      </w:r>
      <w:r w:rsidRPr="00087A72">
        <w:rPr>
          <w:rFonts w:cstheme="minorHAnsi"/>
          <w:u w:val="single"/>
        </w:rPr>
        <w:t>This global mapping of white supremacy—the global reach of US and Western European imperialism and its emphasis on security, surveillance, and military threat—is mani- fested and evident in the increasingly blurred line between law enforce- ment and militarism, a blurriness that forces us to discuss Guantánamo as a component of our broader discussions regarding what Angela Davis (1999) has famously dubbed “the prison industrial complex.”</w:t>
      </w:r>
      <w:r w:rsidRPr="00087A72">
        <w:rPr>
          <w:rFonts w:cstheme="minorHAnsi"/>
        </w:rPr>
        <w:t xml:space="preserve"> Again, </w:t>
      </w:r>
      <w:r w:rsidRPr="00087A72">
        <w:rPr>
          <w:rFonts w:cstheme="minorHAnsi"/>
          <w:u w:val="single"/>
        </w:rPr>
        <w:t>these are examples of the systemic and intended expendability that connects Fer- guson, Gaza, Chicago, and the United States–Mexico border</w:t>
      </w:r>
      <w:r w:rsidRPr="00087A72">
        <w:rPr>
          <w:rFonts w:cstheme="minorHAnsi"/>
        </w:rPr>
        <w:t>. While Paul Gilroy (2014) has made gestures to this global arrangement of power via his conceptualization of a post–Cold War and penal “securitocracy,” it is imper- ative to highlight even further precisely which kinds of bodies have always already been amid the racial-colonial architecture of Western modernity in the current conjuncture.</w:t>
      </w:r>
    </w:p>
    <w:p w:rsidR="000314EC" w:rsidRPr="00087A72" w:rsidRDefault="000314EC" w:rsidP="000314EC">
      <w:pPr>
        <w:rPr>
          <w:rFonts w:cstheme="minorHAnsi"/>
        </w:rPr>
      </w:pPr>
      <w:r w:rsidRPr="00087A72">
        <w:rPr>
          <w:rFonts w:cstheme="minorHAnsi"/>
        </w:rPr>
        <w:t xml:space="preserve">The diversity of 2014’s direct actions thus requires a theorization of race not as a socially constructed obstruction to the United States’ liberal telos. Recent and critical theorizations of race are quite useful in this regard. Barnor Hesse (2007) and Ferreira da Silva (2008), for example, offer distinct and yet related conceptualizations of social death. Each illuminates the gene- alogy of this phenomenon not only within the specific historical develop- ments of racialized groups in modern and liberal nation-states (the ascrip- tion of race meanings to bodies) but also within the anthropocentric nature or configuration of European Enlightenment thought and thus the rights- granting or rights-denying characteristics of modern nation-states. </w:t>
      </w:r>
      <w:r w:rsidRPr="00087A72">
        <w:rPr>
          <w:rFonts w:cstheme="minorHAnsi"/>
          <w:u w:val="single"/>
        </w:rPr>
        <w:t>Race, according to these models, is not a mere aberration, an obstruction, or the kind of liberal “dilemma” that Gunnar Myrdal (1944) once called it. Its social salience lies in how it structures what Hesse describes as nothing other than a colonial relationship, a governing protocol through which political prog- ress is mapped by the capacity of nonwhite peoples to convince whites that their lives matter, a framework that we have been unable to reform ourselves out of because it is not designed to live up to its promise of universality</w:t>
      </w:r>
      <w:r w:rsidRPr="00087A72">
        <w:rPr>
          <w:rFonts w:cstheme="minorHAnsi"/>
        </w:rPr>
        <w:t>. Hesse’s and Ferreira da Silva’s models each map the limits of liberal reform, demonstrating how the very concept of modern liberalism is informed by and thus laden with racial meanings. Each lends itself to the acts of disiden- tification we’ve witnessed in insurgent actions as of late and unsettles the dialectic between revolution and reform that we discussed earlier.</w:t>
      </w:r>
    </w:p>
    <w:p w:rsidR="000314EC" w:rsidRPr="00087A72" w:rsidRDefault="000314EC" w:rsidP="000314EC">
      <w:pPr>
        <w:pStyle w:val="Heading4"/>
      </w:pPr>
      <w:r w:rsidRPr="00087A72">
        <w:t xml:space="preserve">New polcies or modes of thinking are stored in conception of sovereignty and operated in the political economy </w:t>
      </w:r>
    </w:p>
    <w:p w:rsidR="000314EC" w:rsidRPr="00087A72" w:rsidRDefault="000314EC" w:rsidP="000314EC">
      <w:pPr>
        <w:rPr>
          <w:sz w:val="16"/>
          <w:szCs w:val="16"/>
        </w:rPr>
      </w:pPr>
      <w:r w:rsidRPr="00087A72">
        <w:rPr>
          <w:rStyle w:val="Style13ptBold"/>
        </w:rPr>
        <w:t xml:space="preserve">Rifkin 2013 </w:t>
      </w:r>
      <w:r w:rsidRPr="00087A72">
        <w:rPr>
          <w:rStyle w:val="Style13ptBold"/>
          <w:b w:val="0"/>
          <w:sz w:val="16"/>
          <w:szCs w:val="16"/>
        </w:rPr>
        <w:t xml:space="preserve">(Mark Rifkin, Professor. US Ethnic Literature University of North Carolina – Greensboro research primarily focuses on Native American writing and politics from the eighteenth century onward, exploring the ways that Indigenous peoples have negotiated U.S. racial and imperial formations.  “Settler common sense” </w:t>
      </w:r>
      <w:r w:rsidRPr="00087A72">
        <w:rPr>
          <w:rStyle w:val="Style13ptBold"/>
          <w:b w:val="0"/>
          <w:i/>
          <w:sz w:val="16"/>
          <w:szCs w:val="16"/>
        </w:rPr>
        <w:t>Settler Colonial Studies</w:t>
      </w:r>
      <w:r w:rsidRPr="00087A72">
        <w:rPr>
          <w:rStyle w:val="Style13ptBold"/>
          <w:b w:val="0"/>
          <w:sz w:val="16"/>
          <w:szCs w:val="16"/>
        </w:rPr>
        <w:t xml:space="preserve">, 2013, Vol. 3, pp. 329-331) [JS] </w:t>
      </w:r>
    </w:p>
    <w:p w:rsidR="000314EC" w:rsidRPr="00087A72" w:rsidRDefault="000314EC" w:rsidP="000314EC">
      <w:pPr>
        <w:rPr>
          <w:sz w:val="16"/>
        </w:rPr>
      </w:pPr>
      <w:r w:rsidRPr="00087A72">
        <w:rPr>
          <w:rStyle w:val="StyleUnderline"/>
        </w:rPr>
        <w:t>More than simply clearing away or containing Native presence and claims, such sovereignty</w:t>
      </w:r>
      <w:r w:rsidRPr="00087A72">
        <w:rPr>
          <w:sz w:val="16"/>
        </w:rPr>
        <w:t xml:space="preserve">- </w:t>
      </w:r>
      <w:r w:rsidRPr="00087A72">
        <w:rPr>
          <w:rStyle w:val="Emphasis"/>
        </w:rPr>
        <w:t>making policies, ideologies, and practices affect the composition of the ensuing/encompassing legal regime</w:t>
      </w:r>
      <w:r w:rsidRPr="00087A72">
        <w:rPr>
          <w:sz w:val="16"/>
        </w:rPr>
        <w:t>. As Ahmed suggests, “</w:t>
      </w:r>
      <w:r w:rsidRPr="00087A72">
        <w:rPr>
          <w:rStyle w:val="Emphasis"/>
        </w:rPr>
        <w:t xml:space="preserve">Histories shape ‘what’ surfaces: </w:t>
      </w:r>
      <w:r w:rsidRPr="00087A72">
        <w:rPr>
          <w:rStyle w:val="StyleUnderline"/>
        </w:rPr>
        <w:t xml:space="preserve">they are behind the arrival of ‘the what’ that surfaces” </w:t>
      </w:r>
      <w:r w:rsidRPr="00087A72">
        <w:rPr>
          <w:sz w:val="16"/>
        </w:rPr>
        <w:t xml:space="preserve">(44). </w:t>
      </w:r>
      <w:r w:rsidRPr="00087A72">
        <w:rPr>
          <w:rStyle w:val="StyleUnderline"/>
        </w:rPr>
        <w:t xml:space="preserve">Conceptions of sovereignty, territoriality, and personal identity </w:t>
      </w:r>
      <w:r w:rsidRPr="00087A72">
        <w:rPr>
          <w:sz w:val="16"/>
        </w:rPr>
        <w:t xml:space="preserve">inherited from shared Anglo-American legal and philosophical traditions, </w:t>
      </w:r>
      <w:r w:rsidRPr="00087A72">
        <w:rPr>
          <w:rStyle w:val="Emphasis"/>
        </w:rPr>
        <w:t>operative within the relatively integrated political economy of the transatlantic</w:t>
      </w:r>
      <w:r w:rsidRPr="00087A72">
        <w:rPr>
          <w:sz w:val="16"/>
        </w:rPr>
        <w:t xml:space="preserve"> British colonial system, and recontextualized in the struggle for independence gain new implications and momentum in its wake.18 </w:t>
      </w:r>
      <w:r w:rsidRPr="00087A72">
        <w:rPr>
          <w:rStyle w:val="StyleUnderline"/>
        </w:rPr>
        <w:t>The American Revolution emerged out of assertions of the authority to govern the space of the colonies not as subordinate entities and subjects of English imperial rule, in which Native peoples often were figured as equivalently dependent entities</w:t>
      </w:r>
      <w:r w:rsidRPr="00087A72">
        <w:rPr>
          <w:sz w:val="16"/>
        </w:rPr>
        <w:t xml:space="preserve"> </w:t>
      </w:r>
      <w:r w:rsidRPr="00087A72">
        <w:rPr>
          <w:rStyle w:val="StyleUnderline"/>
        </w:rPr>
        <w:t>also under the Crown’s protection, but as autonomous polities filiated to the Crown who properly exert preemptive authority over Indian lands “within” their boundaries</w:t>
      </w:r>
      <w:r w:rsidRPr="00087A72">
        <w:rPr>
          <w:sz w:val="16"/>
        </w:rPr>
        <w:t xml:space="preserve">. </w:t>
      </w:r>
      <w:r w:rsidRPr="00087A72">
        <w:rPr>
          <w:rStyle w:val="Emphasis"/>
        </w:rPr>
        <w:t>Such contentions often were legitimated through the citation of Lockean claims, that the colonists collectively had improved the colonies absent substantive aid from England and thus held property rights to their lands and the right to govern themselves as distinct</w:t>
      </w:r>
      <w:r w:rsidRPr="00087A72">
        <w:rPr>
          <w:sz w:val="16"/>
        </w:rPr>
        <w:t xml:space="preserve"> (if not fully independent) polities. </w:t>
      </w:r>
      <w:r w:rsidRPr="00087A72">
        <w:rPr>
          <w:rStyle w:val="StyleUnderline"/>
        </w:rPr>
        <w:t>While arising as part of an argument about which government can exert jurisdiction over the colonies, this assertion of a politically unmediated relation to a place shaped only by one’s own private labor, and of an autonomous pre-political self who labors, deeply affects notions of placemaking and personhood in the wake of the Revo- lution</w:t>
      </w:r>
      <w:r w:rsidRPr="00087A72">
        <w:rPr>
          <w:sz w:val="16"/>
        </w:rPr>
        <w:t xml:space="preserve">, casting both as ultimately extralegal phenomena </w:t>
      </w:r>
      <w:r w:rsidRPr="00087A72">
        <w:rPr>
          <w:rStyle w:val="StyleUnderline"/>
        </w:rPr>
        <w:t>rather than as themselves dependent on extant policy and emerging from debates over competing claims to political sovereignty.</w:t>
      </w:r>
      <w:r w:rsidRPr="00087A72">
        <w:rPr>
          <w:sz w:val="16"/>
        </w:rPr>
        <w:t xml:space="preserve"> The movement for a break with England further was driven by the resistance to taxation that funded efforts to define and defend the boundary between English settlement and Native peoples, an imperial project dating from the Proclamation of 1763 that popularly was understood as thwarting non-Native access to such lands and as penalizing (rather than protecting) existing settlements in the backcountry. Such communities largely were organized around family-based agriculture, and </w:t>
      </w:r>
      <w:r w:rsidRPr="00087A72">
        <w:rPr>
          <w:rStyle w:val="StyleUnderline"/>
        </w:rPr>
        <w:t>given the increasing land crisis in the eas</w:t>
      </w:r>
      <w:r w:rsidRPr="00087A72">
        <w:rPr>
          <w:sz w:val="16"/>
        </w:rPr>
        <w:t xml:space="preserve">t as a result of the exponential growth in population and the organization of land tenure around privately owned and generation- ally transmitted commercial farms, movement to the backcountry (soon to become “the frontier”) </w:t>
      </w:r>
      <w:r w:rsidRPr="00087A72">
        <w:rPr>
          <w:rStyle w:val="StyleUnderline"/>
        </w:rPr>
        <w:t>served as a means of gaining access to enough land for existing modes of agricultural production as well as to the kind of personal independence (for White men</w:t>
      </w:r>
      <w:r w:rsidRPr="00087A72">
        <w:rPr>
          <w:rStyle w:val="Emphasis"/>
        </w:rPr>
        <w:t>) that constituted the basis for pol- itical subjectivity and participation</w:t>
      </w:r>
      <w:r w:rsidRPr="00087A72">
        <w:rPr>
          <w:sz w:val="16"/>
        </w:rPr>
        <w:t xml:space="preserve"> (as opposed to being a slave, servant, or apprentice</w:t>
      </w:r>
      <w:r w:rsidRPr="00087A72">
        <w:rPr>
          <w:rStyle w:val="Emphasis"/>
        </w:rPr>
        <w:t>). The challenge to existing social hierarchies intensified in the early-republic, leading to increased calls for greater access to land as a pre-political</w:t>
      </w:r>
      <w:r w:rsidRPr="00087A72">
        <w:rPr>
          <w:sz w:val="16"/>
        </w:rPr>
        <w:t xml:space="preserve">, </w:t>
      </w:r>
      <w:r w:rsidRPr="00087A72">
        <w:rPr>
          <w:rStyle w:val="Emphasis"/>
        </w:rPr>
        <w:t>human right as well as escalating incursions into Native territories.</w:t>
      </w:r>
      <w:r w:rsidRPr="00087A72">
        <w:rPr>
          <w:sz w:val="16"/>
        </w:rPr>
        <w:t xml:space="preserve"> The desire to satisfy demands for access to Indigenous lands (including extended speculative claims by elites), along with the need to define national boundaries as against Spanish and English claims just beyond the borders, galvanized government claims to exert authority over Native peoples “within” the US. Initially articulated as a right of “conquest”, the government’s exertion of such sovereignty and acquisition of Native territory for non-Native inhabitance soon comes to depend on the treaty-system, its idioms of contract and consent largely (though not entirely) replacing those of invasion and military occupation, and these federal developments did not prevent a parallel process of absorption in the existing states (absent the sense/scene of diplomatic negotiation), with those states in the northeast claiming virtually complete immunity from federal Indian policy. One can see, then, a historical interdependence among the assertion of an ostensibly extra-political form of personal independence through landholding (which also indicated qualification for political participation), </w:t>
      </w:r>
      <w:r w:rsidRPr="00087A72">
        <w:rPr>
          <w:rStyle w:val="StyleUnderline"/>
        </w:rPr>
        <w:t>the assertion of exclusive US sovereignty over “domestic” space</w:t>
      </w:r>
      <w:r w:rsidRPr="00087A72">
        <w:rPr>
          <w:sz w:val="16"/>
        </w:rPr>
        <w:t xml:space="preserve"> (whose boundaries were asserted to be self-evident), </w:t>
      </w:r>
      <w:r w:rsidRPr="00087A72">
        <w:rPr>
          <w:rStyle w:val="Emphasis"/>
        </w:rPr>
        <w:t>and the erosion/displacement/erasure of Indigenous overeignty and landedness</w:t>
      </w:r>
      <w:r w:rsidRPr="00087A72">
        <w:rPr>
          <w:sz w:val="16"/>
        </w:rPr>
        <w:t xml:space="preserve">. </w:t>
      </w:r>
      <w:r w:rsidRPr="00087A72">
        <w:rPr>
          <w:rStyle w:val="Emphasis"/>
        </w:rPr>
        <w:t>That dialectic of individual autonomy and state sovereignty, in which the former mirrors and is made possible by the latter while being narrated as an extra-political quality immanent within personhood itself</w:t>
      </w:r>
      <w:r w:rsidRPr="00087A72">
        <w:rPr>
          <w:sz w:val="16"/>
        </w:rPr>
        <w:t xml:space="preserve"> and </w:t>
      </w:r>
      <w:r w:rsidRPr="00087A72">
        <w:rPr>
          <w:rStyle w:val="Emphasis"/>
        </w:rPr>
        <w:t>as the animating basis for and limit of political authority, further drives assault on and appropriation of Indigenous territory</w:t>
      </w:r>
      <w:r w:rsidRPr="00087A72">
        <w:rPr>
          <w:sz w:val="16"/>
        </w:rPr>
        <w:t xml:space="preserve">. </w:t>
      </w:r>
      <w:r w:rsidRPr="00087A72">
        <w:rPr>
          <w:rStyle w:val="StyleUnderline"/>
        </w:rPr>
        <w:t>While perhaps some- what speculative, one can suggest that the geographic and demographic extension of this nexus in the nineteenth century</w:t>
      </w:r>
      <w:r w:rsidRPr="00087A72">
        <w:rPr>
          <w:sz w:val="16"/>
        </w:rPr>
        <w:t xml:space="preserve"> (through public land laws, the government-organized and funded construction of vast transportation networks, and the management of trade and land transfers with Native peoples) i</w:t>
      </w:r>
      <w:r w:rsidRPr="00087A72">
        <w:rPr>
          <w:rStyle w:val="StyleUnderline"/>
        </w:rPr>
        <w:t xml:space="preserve">nvolves an increasing role for the state in making possible forms of non-Native residence, production, and movement </w:t>
      </w:r>
      <w:r w:rsidRPr="00087A72">
        <w:rPr>
          <w:rStyle w:val="Emphasis"/>
        </w:rPr>
        <w:t>while simultaneously articulating, validating, and implement- ing such policies in ways that proliferate a sense of selfhood and occupancy as preceding/ exceeding the terms or influence of the government</w:t>
      </w:r>
      <w:r w:rsidRPr="00087A72">
        <w:rPr>
          <w:rStyle w:val="StyleUnderline"/>
        </w:rPr>
        <w:t>.</w:t>
      </w:r>
      <w:r w:rsidRPr="00087A72">
        <w:rPr>
          <w:sz w:val="16"/>
        </w:rPr>
        <w:t xml:space="preserve">19 </w:t>
      </w:r>
      <w:r w:rsidRPr="00087A72">
        <w:rPr>
          <w:rStyle w:val="Emphasis"/>
        </w:rPr>
        <w:t>Thus, everyday experiences of dwelling, relation to others, and (non)relation to the state remain anchored in settler sovereignty, in the sense of being dependent on forms of state jurisdiction and policy that themselves subsume and displace Indigenous presence and territoriality.</w:t>
      </w:r>
      <w:r w:rsidRPr="00087A72">
        <w:rPr>
          <w:sz w:val="16"/>
        </w:rPr>
        <w:t xml:space="preserve"> Merleau-Ponty observes, “former experience is present to” current perception “in the form of a horizon which it can reopen” (26), and st</w:t>
      </w:r>
      <w:r w:rsidRPr="00087A72">
        <w:rPr>
          <w:rStyle w:val="StyleUnderline"/>
        </w:rPr>
        <w:t>ate- endorsed geographies, shaped in their initial construction by extant political discourses and press- ures, function as such experience due to the ways they are materialized as given in the contours of everyday occupancy, providing both the background and implicit horizon for present thought, feeling, and action</w:t>
      </w:r>
      <w:r w:rsidRPr="00087A72">
        <w:rPr>
          <w:sz w:val="16"/>
        </w:rPr>
        <w:t xml:space="preserve">. the transmission of such affective orientations </w:t>
      </w:r>
      <w:r w:rsidRPr="00087A72">
        <w:rPr>
          <w:rStyle w:val="StyleUnderline"/>
        </w:rPr>
        <w:t>also exceeds the more immersive sensory con- notations conveyed by terms such as “environment” and “direction”</w:t>
      </w:r>
      <w:r w:rsidRPr="00087A72">
        <w:rPr>
          <w:sz w:val="16"/>
        </w:rPr>
        <w:t xml:space="preserve">. When discussing the absence of an “underlying hidden structure”, Latour observes, “this is not to say that there doesn’t [sic.] exist structuring templates circulating through channels most easily materialized by techniques – paper techniques and, more generally, intellectual technologies being as impor- tant as gears, levers, and chemical bonds” (196), and he describes the effects of such “techniques” on the experience of subjectivity as “plug-ins” (207). </w:t>
      </w:r>
      <w:r w:rsidRPr="00087A72">
        <w:rPr>
          <w:rStyle w:val="StyleUnderline"/>
        </w:rPr>
        <w:t>The intellectual and political technologies for justifying the assertion of jurisdiction over Native peoples and expropriation of their lands do not simply disappear when Indians are (declared to be) no longer there</w:t>
      </w:r>
      <w:r w:rsidRPr="00087A72">
        <w:rPr>
          <w:sz w:val="16"/>
        </w:rPr>
        <w:t>. Rather</w:t>
      </w:r>
      <w:r w:rsidRPr="00087A72">
        <w:rPr>
          <w:rStyle w:val="Emphasis"/>
        </w:rPr>
        <w:t xml:space="preserve">, they remain vital in the ongoing performance of quotidian modes of inhabitance and selfhood, which rely on the reiteration of settler sovereignty and its accompanying legal and normative templates </w:t>
      </w:r>
      <w:r w:rsidRPr="00087A72">
        <w:rPr>
          <w:sz w:val="16"/>
        </w:rPr>
        <w:t>(</w:t>
      </w:r>
      <w:r w:rsidRPr="00087A72">
        <w:rPr>
          <w:rStyle w:val="Emphasis"/>
        </w:rPr>
        <w:t>like the extra-political character of place and personhood</w:t>
      </w:r>
      <w:r w:rsidRPr="00087A72">
        <w:rPr>
          <w:sz w:val="16"/>
        </w:rPr>
        <w:t xml:space="preserve">). Relevant plug-ins might include narrations of national history as progress or expansion into politically empty space, stories of Native disap- pearance, </w:t>
      </w:r>
      <w:r w:rsidRPr="00087A72">
        <w:rPr>
          <w:rStyle w:val="StyleUnderline"/>
        </w:rPr>
        <w:t xml:space="preserve">articulations of the extralegal autonomy of individual agency, the categorization of non- commercial or public land as authentic/pure “nature”, depictions of capitalistic modes of property </w:t>
      </w:r>
      <w:r w:rsidRPr="00087A72">
        <w:rPr>
          <w:sz w:val="16"/>
        </w:rPr>
        <w:t xml:space="preserve">(including with respect to land) </w:t>
      </w:r>
      <w:r w:rsidRPr="00087A72">
        <w:rPr>
          <w:rStyle w:val="StyleUnderline"/>
        </w:rPr>
        <w:t>as necessary for the existence of a polity, characterizations of domestic issues as necessarily distinct from foreign/international ones, equations of political existence and peoplehood with the nation-state form, and calls to increase intimacy with one’s place of inhabitance.</w:t>
      </w:r>
      <w:r w:rsidRPr="00087A72">
        <w:rPr>
          <w:sz w:val="16"/>
        </w:rPr>
        <w:t xml:space="preserve"> These framings reaffirm, normalize, and propel settlement as the “ready- made” against which new information, sensation, experience affectively is managed. Reciprocally, </w:t>
      </w:r>
      <w:r w:rsidRPr="00087A72">
        <w:rPr>
          <w:rStyle w:val="StyleUnderline"/>
        </w:rPr>
        <w:t>the orientations and momentum emerging out of everyday life – including the templates circulating through and actualized in it</w:t>
      </w:r>
      <w:r w:rsidRPr="00087A72">
        <w:rPr>
          <w:sz w:val="16"/>
        </w:rPr>
        <w:t xml:space="preserve"> – give rise to texts (and other forms of cultural production) </w:t>
      </w:r>
      <w:r w:rsidRPr="00087A72">
        <w:rPr>
          <w:rStyle w:val="StyleUnderline"/>
        </w:rPr>
        <w:t>for which US legal and political mappings serve as the unacknowledged frame.</w:t>
      </w:r>
      <w:r w:rsidRPr="00087A72">
        <w:rPr>
          <w:sz w:val="16"/>
        </w:rPr>
        <w:t xml:space="preserve"> Such texts (including Thoreau’s Walden, to which I will turn soon) certainly do not merely reproduce experience, instead engaging in imaginative explorations and reflexive meditations that allow for a reconsideration and refashioning of the everyday (as well as breaks from its contours and nor- malizations), but </w:t>
      </w:r>
      <w:r w:rsidRPr="00087A72">
        <w:rPr>
          <w:rStyle w:val="StyleUnderline"/>
        </w:rPr>
        <w:t>while recognizing the ways writing cannot be understood as merely an extension of phenomenological immersion and processing, it also should not be conceptualized as somehow untethered from quotidian sensation and the fields of possibility, anchorings, trajectories, and modes of constancy that shape the latter.</w:t>
      </w:r>
      <w:r w:rsidRPr="00087A72">
        <w:rPr>
          <w:sz w:val="16"/>
        </w:rPr>
        <w:t xml:space="preserve"> Any act of representation foregrounds some things and not others, highlighting particular persons, objects, events, ideas, relations for consideration while treating others as given, as the background against which the main action occurs. Ahmed suggests that the background can be conceived of as produced by acts of relegation: some things are relegated to the background in order to sustain a certain direction; in other words, in order to keep attention on what is faced. Perception involves acts of relegation which are forgotten in the very preoccupation with what is faced (31),</w:t>
      </w:r>
    </w:p>
    <w:p w:rsidR="000314EC" w:rsidRPr="00087A72" w:rsidRDefault="000314EC" w:rsidP="000314EC">
      <w:pPr>
        <w:pStyle w:val="Heading4"/>
      </w:pPr>
      <w:r w:rsidRPr="00087A72">
        <w:t xml:space="preserve">Reforming older policies or creating a new ones don’t change the larger structure of the sovereign ignoring the harm it has to natives </w:t>
      </w:r>
    </w:p>
    <w:p w:rsidR="000314EC" w:rsidRPr="00087A72" w:rsidRDefault="000314EC" w:rsidP="000314EC">
      <w:pPr>
        <w:rPr>
          <w:sz w:val="16"/>
          <w:szCs w:val="16"/>
        </w:rPr>
      </w:pPr>
      <w:r w:rsidRPr="00087A72">
        <w:rPr>
          <w:rStyle w:val="Style13ptBold"/>
        </w:rPr>
        <w:t xml:space="preserve">Rifkin 2013 </w:t>
      </w:r>
      <w:r w:rsidRPr="00087A72">
        <w:rPr>
          <w:rStyle w:val="Style13ptBold"/>
          <w:b w:val="0"/>
          <w:sz w:val="16"/>
          <w:szCs w:val="16"/>
        </w:rPr>
        <w:t xml:space="preserve">(Mark Rifkin, Professor. US Ethnic Literature University of North Carolina – Greensboro research primarily focuses on Native American writing and politics from the eighteenth century onward, exploring the ways that Indigenous peoples have negotiated U.S. racial and imperial formations.  “Settler common sense” </w:t>
      </w:r>
      <w:r w:rsidRPr="00087A72">
        <w:rPr>
          <w:rStyle w:val="Style13ptBold"/>
          <w:b w:val="0"/>
          <w:i/>
          <w:sz w:val="16"/>
          <w:szCs w:val="16"/>
        </w:rPr>
        <w:t>Settler Colonial Studies</w:t>
      </w:r>
      <w:r w:rsidRPr="00087A72">
        <w:rPr>
          <w:rStyle w:val="Style13ptBold"/>
          <w:b w:val="0"/>
          <w:sz w:val="16"/>
          <w:szCs w:val="16"/>
        </w:rPr>
        <w:t xml:space="preserve">, 2013, Vol. 3, pp. 322-324) [JS] </w:t>
      </w:r>
    </w:p>
    <w:p w:rsidR="000314EC" w:rsidRPr="00087A72" w:rsidRDefault="000314EC" w:rsidP="000314EC">
      <w:pPr>
        <w:rPr>
          <w:sz w:val="16"/>
        </w:rPr>
      </w:pPr>
      <w:r w:rsidRPr="00087A72">
        <w:rPr>
          <w:sz w:val="16"/>
        </w:rPr>
        <w:t xml:space="preserve">In Walden (1854), Henry David Thoreau offers a vision of personhood divorced from the state, characterizing his experience of “Nature” during his time at Walden Pond as providing him with a sense of his own autonomous embodiment and a related set of ethical resources that enable him to reject the demands of contemporary political economy.1 The invocation of “Nature” appears to bracket the question of jurisdiction, opening into a different conceptual and phenomenological register that displaces the problem of locating oneself in relation to the boundaries of the state. However, </w:t>
      </w:r>
      <w:r w:rsidRPr="00087A72">
        <w:rPr>
          <w:rStyle w:val="StyleUnderline"/>
        </w:rPr>
        <w:t>the very feeling that one has moved beyond geopolitics</w:t>
      </w:r>
      <w:r w:rsidRPr="00087A72">
        <w:rPr>
          <w:sz w:val="16"/>
        </w:rPr>
        <w:t xml:space="preserve">, that one </w:t>
      </w:r>
      <w:r w:rsidRPr="00087A72">
        <w:rPr>
          <w:rStyle w:val="StyleUnderline"/>
        </w:rPr>
        <w:t>has entered a kind of space that suspends questions of sovereignty or renders them moot</w:t>
      </w:r>
      <w:r w:rsidRPr="00087A72">
        <w:rPr>
          <w:sz w:val="16"/>
        </w:rPr>
        <w:t xml:space="preserve">, depends on the presence of an encompassing sovereignty that licenses one’s access to that space. If </w:t>
      </w:r>
      <w:r w:rsidRPr="00087A72">
        <w:rPr>
          <w:rStyle w:val="StyleUnderline"/>
        </w:rPr>
        <w:t>the idea of “Nature”</w:t>
      </w:r>
      <w:r w:rsidRPr="00087A72">
        <w:rPr>
          <w:sz w:val="16"/>
        </w:rPr>
        <w:t xml:space="preserve"> holds at bay the question of jurisdiction so as to envision a kind of place for cultivating a selfhood </w:t>
      </w:r>
      <w:r w:rsidRPr="00087A72">
        <w:rPr>
          <w:rStyle w:val="StyleUnderline"/>
        </w:rPr>
        <w:t>that can oppose state logics/politics, it also effaces the ways that experience/vision of personhood itself may arise out of the legal subjectivities put in play by the jurisdictional claiming/clearing of that space as against geopolitical claims by other polities,</w:t>
      </w:r>
      <w:r w:rsidRPr="00087A72">
        <w:rPr>
          <w:sz w:val="16"/>
        </w:rPr>
        <w:t xml:space="preserve"> </w:t>
      </w:r>
      <w:r w:rsidRPr="00087A72">
        <w:rPr>
          <w:rStyle w:val="StyleUnderline"/>
        </w:rPr>
        <w:t>specifically Native peoples.</w:t>
      </w:r>
      <w:r w:rsidRPr="00087A72">
        <w:rPr>
          <w:sz w:val="16"/>
        </w:rPr>
        <w:t xml:space="preserve"> Thoreau offers an example of how settlement – the exertion of control by non-Natives over Native peoples and lands – gives rise to modes of feeling, generating kinds of affect through which </w:t>
      </w:r>
      <w:r w:rsidRPr="00087A72">
        <w:rPr>
          <w:rStyle w:val="StyleUnderline"/>
        </w:rPr>
        <w:t>the terms of law and policy become imbued with a sensation of everyday certainty.</w:t>
      </w:r>
      <w:r w:rsidRPr="00087A72">
        <w:rPr>
          <w:sz w:val="16"/>
        </w:rPr>
        <w:t xml:space="preserve"> This affective experience productively can be characterized as an instantiation of what more broadly may be characterized as settler common sense. The phrase suggests </w:t>
      </w:r>
      <w:r w:rsidRPr="00087A72">
        <w:rPr>
          <w:rStyle w:val="StyleUnderline"/>
        </w:rPr>
        <w:t>the ways the legal and political structures that enable</w:t>
      </w:r>
      <w:r w:rsidRPr="00087A72">
        <w:rPr>
          <w:sz w:val="16"/>
        </w:rPr>
        <w:t xml:space="preserve"> non-Native access to Indigenous territories come to be lived as given, as simply </w:t>
      </w:r>
      <w:r w:rsidRPr="00087A72">
        <w:rPr>
          <w:rStyle w:val="StyleUnderline"/>
        </w:rPr>
        <w:t xml:space="preserve">the unmarked, generic conditions of possibility for occupancy, association, history, and personhood. </w:t>
      </w:r>
      <w:r w:rsidRPr="00087A72">
        <w:rPr>
          <w:sz w:val="16"/>
        </w:rPr>
        <w:t>Addressing whiteness in Australia, Fiona Nicoll argues that “</w:t>
      </w:r>
      <w:r w:rsidRPr="00087A72">
        <w:rPr>
          <w:rStyle w:val="StyleUnderline"/>
        </w:rPr>
        <w:t xml:space="preserve">rather than analysing and evaluating Indigenous sovereignty claims..., </w:t>
      </w:r>
      <w:r w:rsidRPr="00087A72">
        <w:rPr>
          <w:rStyle w:val="Emphasis"/>
        </w:rPr>
        <w:t xml:space="preserve">we have a political and intellectual responsibility to analyse </w:t>
      </w:r>
      <w:r w:rsidRPr="00087A72">
        <w:rPr>
          <w:rStyle w:val="StyleUnderline"/>
        </w:rPr>
        <w:t xml:space="preserve">and evaluate </w:t>
      </w:r>
      <w:r w:rsidRPr="00087A72">
        <w:rPr>
          <w:rStyle w:val="Emphasis"/>
        </w:rPr>
        <w:t>the innumerable ways in which White sovereignty circumscribes and mitigates the exercise of Indigenous sovereignty</w:t>
      </w:r>
      <w:r w:rsidRPr="00087A72">
        <w:rPr>
          <w:sz w:val="16"/>
        </w:rPr>
        <w:t>”, and she suggests that “</w:t>
      </w:r>
      <w:r w:rsidRPr="00087A72">
        <w:rPr>
          <w:rStyle w:val="StyleUnderline"/>
        </w:rPr>
        <w:t>we move towards a less coercive stance of reconciliation with when we fall from perspective into an embodied recognition that we already exist within Indigenous sovereignty</w:t>
      </w:r>
      <w:r w:rsidRPr="00087A72">
        <w:rPr>
          <w:sz w:val="16"/>
        </w:rPr>
        <w:t xml:space="preserve">”.2 </w:t>
      </w:r>
      <w:r w:rsidRPr="00087A72">
        <w:rPr>
          <w:rStyle w:val="Emphasis"/>
        </w:rPr>
        <w:t>Addressing the question of how settlement as a system of coercive incorporation and expropriation comes to be lived as quotidian forms of non-Native being and potential,</w:t>
      </w:r>
      <w:r w:rsidRPr="00087A72">
        <w:rPr>
          <w:sz w:val="16"/>
        </w:rPr>
        <w:t xml:space="preserve"> though, may require tactically shifting </w:t>
      </w:r>
      <w:r w:rsidRPr="00087A72">
        <w:rPr>
          <w:rStyle w:val="StyleUnderline"/>
        </w:rPr>
        <w:t>the analytical focus such that Indigenous sovereignties are not at the center of critical attention, even as they remain crucial in animating the study of settler colonialism and form its ethical horizon</w:t>
      </w:r>
      <w:r w:rsidRPr="00087A72">
        <w:rPr>
          <w:sz w:val="16"/>
        </w:rPr>
        <w:t xml:space="preserve">. “An embodied recognition” of </w:t>
      </w:r>
      <w:r w:rsidRPr="00087A72">
        <w:rPr>
          <w:rStyle w:val="Emphasis"/>
        </w:rPr>
        <w:t>the enduring presence of settler sovereignty</w:t>
      </w:r>
      <w:r w:rsidRPr="00087A72">
        <w:rPr>
          <w:rStyle w:val="StyleUnderline"/>
        </w:rPr>
        <w:t xml:space="preserve">, as well as of quotidian non-Native implication in the dispossession, effacement, and management of indigeneity, </w:t>
      </w:r>
      <w:r w:rsidRPr="00087A72">
        <w:rPr>
          <w:rStyle w:val="Emphasis"/>
        </w:rPr>
        <w:t xml:space="preserve">needs to attend to everyday experiences of non-relation, of a perceptual engagement with place, </w:t>
      </w:r>
      <w:r w:rsidRPr="00087A72">
        <w:rPr>
          <w:rStyle w:val="StyleUnderline"/>
        </w:rPr>
        <w:t xml:space="preserve">various institutions, and other people </w:t>
      </w:r>
      <w:r w:rsidRPr="00087A72">
        <w:rPr>
          <w:rStyle w:val="Emphasis"/>
        </w:rPr>
        <w:t>that takes shape around the policies and legalities of settlement but that do not specifically refer to them as such or their effects on Indigenous peoples</w:t>
      </w:r>
      <w:r w:rsidRPr="00087A72">
        <w:rPr>
          <w:sz w:val="16"/>
        </w:rPr>
        <w:t xml:space="preserve">. In order to conceptualize the mundane dynamics of settler colonialism, the quotidian feelings and tendencies through which it is continually reconstituted and experienced as the horizon of everyday potentiality, </w:t>
      </w:r>
      <w:r w:rsidRPr="00087A72">
        <w:rPr>
          <w:rStyle w:val="StyleUnderline"/>
        </w:rPr>
        <w:t xml:space="preserve">we </w:t>
      </w:r>
      <w:r w:rsidRPr="00087A72">
        <w:rPr>
          <w:sz w:val="16"/>
        </w:rPr>
        <w:t>may n</w:t>
      </w:r>
      <w:r w:rsidRPr="00087A72">
        <w:rPr>
          <w:rStyle w:val="StyleUnderline"/>
        </w:rPr>
        <w:t>eed to shift from an explicit attention to articulations of Native sovereignty and toward an exploration of the processes through which settler geographies are lived as ordinary, non-reflexive conditions of possibility</w:t>
      </w:r>
      <w:r w:rsidRPr="00087A72">
        <w:rPr>
          <w:sz w:val="16"/>
        </w:rPr>
        <w:t>. In Marxism and Literature, Raymond Williams argues for the necessity of approaching “relations of domination and subordination” as “practical consciousness” that saturat[es] ... the whole substance of lived identities and relationships, to such a depth that</w:t>
      </w:r>
      <w:r w:rsidRPr="00087A72">
        <w:rPr>
          <w:rStyle w:val="StyleUnderline"/>
        </w:rPr>
        <w:t xml:space="preserve"> the pressures and limits of what can ultimately be seen as a specific economic, political, and cultural system seem to most of us the pressures and limits of simple experience and common sense.</w:t>
      </w:r>
      <w:r w:rsidRPr="00087A72">
        <w:rPr>
          <w:sz w:val="16"/>
        </w:rPr>
        <w:t xml:space="preserve">3 </w:t>
      </w:r>
      <w:r w:rsidRPr="00087A72">
        <w:rPr>
          <w:rStyle w:val="StyleUnderline"/>
        </w:rPr>
        <w:t>Understanding settlement as</w:t>
      </w:r>
      <w:r w:rsidRPr="00087A72">
        <w:rPr>
          <w:sz w:val="16"/>
        </w:rPr>
        <w:t xml:space="preserve">, in Williams’s terms, such </w:t>
      </w:r>
      <w:r w:rsidRPr="00087A72">
        <w:rPr>
          <w:rStyle w:val="StyleUnderline"/>
        </w:rPr>
        <w:t>a “structure of feeling” entails asking how emotions, sensations, psychic life take part in the (ongoing) process of realizing the exertion of non-Native authority over Indigenous peoples, governance, and territoriality in ways that saturate quotidian life but are not necessarily present to settlers as a set of political propositions or as a specifically imperial project of dispossession.</w:t>
      </w:r>
      <w:r w:rsidRPr="00087A72">
        <w:rPr>
          <w:sz w:val="16"/>
        </w:rPr>
        <w:t xml:space="preserve"> In the current scholarly </w:t>
      </w:r>
      <w:r w:rsidRPr="00087A72">
        <w:rPr>
          <w:rStyle w:val="Emphasis"/>
        </w:rPr>
        <w:t>efforts to characterize settler colonialism, the contours of settlement often appear analytically as clear and coherent from the start</w:t>
      </w:r>
      <w:r w:rsidRPr="00087A72">
        <w:rPr>
          <w:sz w:val="16"/>
        </w:rPr>
        <w:t xml:space="preserve">, as a virtual totality, and </w:t>
      </w:r>
      <w:r w:rsidRPr="00087A72">
        <w:rPr>
          <w:rStyle w:val="Emphasis"/>
        </w:rPr>
        <w:t>in this way, the ongoing processes by which settler dominance actively is reconstituted as a set of actions, occupations, deferrals, and potentials slide from view</w:t>
      </w:r>
      <w:r w:rsidRPr="00087A72">
        <w:rPr>
          <w:sz w:val="16"/>
        </w:rPr>
        <w:t xml:space="preserve">. </w:t>
      </w:r>
      <w:r w:rsidRPr="00087A72">
        <w:rPr>
          <w:rStyle w:val="StyleUnderline"/>
        </w:rPr>
        <w:t>We need to ask how the regularities of settler colonialism are materialized in and through quotidian non-Native sensations, inclinations, and trajectories.</w:t>
      </w:r>
      <w:r w:rsidRPr="00087A72">
        <w:rPr>
          <w:sz w:val="16"/>
        </w:rPr>
        <w:t xml:space="preserve"> Moreover, administrative initiatives and legalities become part of everyday normalizations of state aims and mappings but in ways that also allow for an exceeding of state interests that potentially can be turned back against the state, giving rise to oppositional projects still given shape and momentum by the framings that emerge out of the ongoing work of settler occupation – such as in Walden. The essay will close with a brief reading of Thoreau’s text that illustrates </w:t>
      </w:r>
      <w:r w:rsidRPr="00087A72">
        <w:rPr>
          <w:rStyle w:val="StyleUnderline"/>
        </w:rPr>
        <w:t>how its ethical framing emerges out of, and indexes, everyday forms of settler feeling shaped by state policy but not directly continuous with it</w:t>
      </w:r>
      <w:r w:rsidRPr="00087A72">
        <w:rPr>
          <w:sz w:val="16"/>
        </w:rPr>
        <w:t xml:space="preserve">. </w:t>
      </w:r>
      <w:r w:rsidRPr="00087A72">
        <w:rPr>
          <w:rStyle w:val="StyleUnderline"/>
        </w:rPr>
        <w:t>The figure of the vanishing Indian still remains prominent within US popular and scholarly dis- courses, both explicitly and implicitly</w:t>
      </w:r>
      <w:r w:rsidRPr="00087A72">
        <w:rPr>
          <w:sz w:val="16"/>
        </w:rPr>
        <w:t>. Within this narrative, Native peoples may have had prior claims to the land, but they, perhaps tragically, were removed from the area, or died out, or ceased to be “really” Indian, or simply disappeared at some point between the appearance of the “last” one and the current moment, whenever that may be.4 As against this tendency, scholars who seek to track the workings of settler colonialism face an entrenched inattention to the ways non-Native conceptions and articulations of personhood, place, property, and political belonging coalesce around and through the dispossession of Native peoples and normalization of (the) settler (-state’s) presence on Native lands</w:t>
      </w:r>
      <w:r w:rsidRPr="00087A72">
        <w:rPr>
          <w:rStyle w:val="StyleUnderline"/>
        </w:rPr>
        <w:t>. Insistence on the systemic quality of such settler seizures, dis- placements, identifications responds to this relative absence of acknowledgment by emphasizing its centrality and regularity, arguing that the claiming of a naturalized right to Indigenous place lies at the heart of non-Native modes of governance, association, and identity</w:t>
      </w:r>
      <w:r w:rsidRPr="00087A72">
        <w:rPr>
          <w:sz w:val="16"/>
        </w:rPr>
        <w:t xml:space="preserve">. </w:t>
      </w:r>
      <w:r w:rsidRPr="00087A72">
        <w:rPr>
          <w:rStyle w:val="StyleUnderline"/>
        </w:rPr>
        <w:t>However, such figurations of the pervasive and enduring quality of settler colonialism may shorthand its workings, producing accounts in which it appears as a fully integrated whole operating in smooth, consistent, and intentional ways across the socio-spatial terrain it encompasses</w:t>
      </w:r>
      <w:r w:rsidRPr="00087A72">
        <w:rPr>
          <w:sz w:val="16"/>
        </w:rPr>
        <w:t>. Doing so, particularly in considering the exchange between the domains of formal policy and of everyday life, may dis- place how settlement’s histories, brutalities, effacements, and interests become quotidian and common-sensical. Looking at three different models, I want to sketch varied efforts to systemize settler colonialism, highlighting some questions that emerge when they are read in light of issues of process and affect.</w:t>
      </w:r>
    </w:p>
    <w:p w:rsidR="000314EC" w:rsidRPr="00087A72" w:rsidRDefault="000314EC" w:rsidP="000314EC">
      <w:pPr>
        <w:pStyle w:val="Heading4"/>
      </w:pPr>
      <w:r w:rsidRPr="00087A72">
        <w:t xml:space="preserve">Reformism cannot create Indigenous self-determination – “working within the system” prevents radical visions of decolonization locking in acceptance of decolonization </w:t>
      </w:r>
    </w:p>
    <w:p w:rsidR="000314EC" w:rsidRPr="00087A72" w:rsidRDefault="000314EC" w:rsidP="000314EC">
      <w:r w:rsidRPr="00087A72">
        <w:rPr>
          <w:rStyle w:val="Style13ptBold"/>
        </w:rPr>
        <w:t>Waziyatawin 9</w:t>
      </w:r>
      <w:r w:rsidRPr="00087A72">
        <w:t xml:space="preserve"> </w:t>
      </w:r>
    </w:p>
    <w:p w:rsidR="000314EC" w:rsidRPr="00087A72" w:rsidRDefault="000314EC" w:rsidP="000314EC">
      <w:r w:rsidRPr="00087A72">
        <w:t xml:space="preserve">(Waziyatawin, double major in history and American Indian studies at the University of Minnesota, then completed masters and doctoral degrees in history at Cornell University. </w:t>
      </w:r>
      <w:r w:rsidRPr="00087A72">
        <w:rPr>
          <w:i/>
          <w:iCs/>
        </w:rPr>
        <w:t>Colonialism on the Ground</w:t>
      </w:r>
      <w:r w:rsidRPr="00087A72">
        <w:t>, Unsettling Ourselves: Reflections and Resources for Deconstructing Colonial Mentality)</w:t>
      </w:r>
    </w:p>
    <w:p w:rsidR="000314EC" w:rsidRPr="00087A72" w:rsidRDefault="000314EC" w:rsidP="000314EC"/>
    <w:p w:rsidR="000314EC" w:rsidRPr="00087A72" w:rsidRDefault="000314EC" w:rsidP="000314EC">
      <w:pPr>
        <w:rPr>
          <w:rStyle w:val="StyleUnderline"/>
        </w:rPr>
      </w:pPr>
      <w:r w:rsidRPr="00087A72">
        <w:rPr>
          <w:rStyle w:val="StyleUnderline"/>
        </w:rPr>
        <w:t xml:space="preserve">Thus, Indigenous projects and activities that have come to symbolize “progress” in some academic circles may only be seen as such by examining ourselves </w:t>
      </w:r>
      <w:r w:rsidRPr="00087A72">
        <w:rPr>
          <w:rStyle w:val="Emphasis"/>
        </w:rPr>
        <w:t>through a</w:t>
      </w:r>
      <w:r w:rsidRPr="00087A72">
        <w:t>n</w:t>
      </w:r>
      <w:r w:rsidRPr="00087A72">
        <w:rPr>
          <w:rStyle w:val="Emphasis"/>
        </w:rPr>
        <w:t xml:space="preserve"> elitist and very narrow scope of history.</w:t>
      </w:r>
      <w:r w:rsidRPr="00087A72">
        <w:rPr>
          <w:rStyle w:val="StyleUnderline"/>
        </w:rPr>
        <w:t xml:space="preserve">  If we take a broad view of history, the argument of any notion of progress, agency or resiliency becomes impossible because we ultimately have to account for the loss of Indigenous self-determination and the violent, unremitting assaults on our bodies, lands, and spirits.  It is not acceptable for colonialism’s apologists</w:t>
      </w:r>
      <w:r w:rsidRPr="00087A72">
        <w:t>, both Indigenous and non-Indigenous,</w:t>
      </w:r>
      <w:r w:rsidRPr="00087A72">
        <w:rPr>
          <w:rStyle w:val="StyleUnderline"/>
        </w:rPr>
        <w:t xml:space="preserve"> to high-jack the framing of our experiences.</w:t>
      </w:r>
      <w:r w:rsidRPr="00087A72">
        <w:t xml:space="preserve"> Ah, but some might argue that Indigenous Peoples in the United States are sovereign nations and are already self-determined.  By what standards?  </w:t>
      </w:r>
      <w:r w:rsidRPr="00087A72">
        <w:rPr>
          <w:rStyle w:val="StyleUnderline"/>
        </w:rPr>
        <w:t>Every system and institution that we bump up against on a daily basis is not of our making, but has been imposed under colonial rule.  The economic system, land tenure system, education</w:t>
      </w:r>
      <w:r w:rsidRPr="00087A72">
        <w:t xml:space="preserve">al </w:t>
      </w:r>
      <w:r w:rsidRPr="00087A72">
        <w:rPr>
          <w:rStyle w:val="StyleUnderline"/>
        </w:rPr>
        <w:t>system, social welfare system, governmental structure, religious institutions are all colonial institutions that continue to oppress Indigenous Peoples and deny Indigenous liberation.</w:t>
      </w:r>
      <w:r w:rsidRPr="00087A72">
        <w:t xml:space="preserve">    Even freedoms that theoretically apply to all American citizens, such as religious freedom, are routinely denied to Indigenous Peoples.  We do not even have control over the protection of our ancestors’ remains.  Certainly, the fundamental freedoms that are necessary for Indigenous ways of being, such as access to homeland, clean air and water, are not part of our reality.  What, in our lives, do we have complete control over?  While we, along with other anti-statist communities, occasionally experience what Hakim Bey identifies as Temporary Autonomous Zones (created as an alternative to the existing hegemonic order), </w:t>
      </w:r>
      <w:r w:rsidRPr="00087A72">
        <w:rPr>
          <w:rStyle w:val="StyleUnderline"/>
        </w:rPr>
        <w:t xml:space="preserve">we have yet to produce lasting Indigenous communities in the U.S. that operate fully outside of a colonial existence.  </w:t>
      </w:r>
      <w:r w:rsidRPr="00087A72">
        <w:t xml:space="preserve">Instead, we create spaces where our ways of being are practiced and nurtured, where we attempt to liberate ourselves from the oppression that surrounds our daily existence, where it is good to be Indigenous.  We make them last as long as we can, but because they, as of yet, cannot be sustained, we are forced to return to the “real world” that smothers with an oppressive weight not all of us can bear to carry.  </w:t>
      </w:r>
      <w:r w:rsidRPr="00087A72">
        <w:rPr>
          <w:rStyle w:val="Emphasis"/>
        </w:rPr>
        <w:t xml:space="preserve">Self-determination is an impossibility under colonial rule. </w:t>
      </w:r>
      <w:r w:rsidRPr="00087A72">
        <w:rPr>
          <w:rStyle w:val="StyleUnderline"/>
        </w:rPr>
        <w:t xml:space="preserve">Meaningful change will require dramatic action on our part that can move us beyond colonial interference.  If we as Indigenous Peoples in the United States ever want a liberated future for our future generations or ourselves, </w:t>
      </w:r>
      <w:r w:rsidRPr="00087A72">
        <w:rPr>
          <w:rStyle w:val="Emphasis"/>
        </w:rPr>
        <w:t>we have to work toward decolonization.</w:t>
      </w:r>
      <w:r w:rsidRPr="00087A72">
        <w:t xml:space="preserve">  Decolonization is “the intelligent, calculated, and active resistance to the forces of colonialism that perpetuate the subjugation and/or exploitation of our minds, bodies, and lands, and it is engaged for the ultimate purpose of overturning the colonial structure and realizing Indigenous liberation.” A growing awareness of colonialism inexorably leads to a simultaneous dissatisfaction with the situation and a growing unrest.  This, in turn, has the potential to lead to revolutionary praxis.  Thus, recognition of this colonial reality is the first step toward our liberation.  We cannot resist what we cannot identify and name.  Then</w:t>
      </w:r>
      <w:r w:rsidRPr="00087A72">
        <w:rPr>
          <w:rStyle w:val="StyleUnderline"/>
        </w:rPr>
        <w:t xml:space="preserve"> we need to begin to imagine an alternative reality.  Our colonizers have told us that we must accept the way things are because we cannot change them.  That is, we must accept our own subjugation and their domination as a natural and inevitable state.  Decolonization is a rejection of that logic.  It therefore requires opening up the mind to new visions of what is possible.</w:t>
      </w:r>
      <w:r w:rsidRPr="00087A72">
        <w:t xml:space="preserve">  If we were not subject to the authority or presence of the United States government and its citizens what would we want our lives to look like?  The struggle for decolonization requires us to identify clearly our objectives as Indigenous Peoples and to critically question whether those objectives are constrained by the parameters of thought set by colonialism, or whether they traverse those parameters and reflect our desires as free, Indigenous Peoples of the land.  If this critical interrogation of our own vision does not occur, even upon overturning colonialism we would run the risk of replicating colonial institutions and systems among our own populations. </w:t>
      </w:r>
      <w:r w:rsidRPr="00087A72">
        <w:rPr>
          <w:rStyle w:val="StyleUnderline"/>
        </w:rPr>
        <w:t xml:space="preserve">Predictably, those who most fiercely deny the effects of colonialism are often the ones who advocate the most strongly for working within the existing system.  They reject dreams of liberation and defeatist rhetoric characterizes their position.  It includes such sentiments as “The world is not going to change,” or “We have to accept the way things are and do what we can within the existing system.”  Ironically, this position denies the profound nature and propensity of human agency and relegates the results of human activity to negligible proportions.  This is what decolonization advocates </w:t>
      </w:r>
      <w:r w:rsidRPr="00087A72">
        <w:rPr>
          <w:rStyle w:val="Emphasis"/>
        </w:rPr>
        <w:t>cannot accept.</w:t>
      </w:r>
      <w:r w:rsidRPr="00087A72">
        <w:rPr>
          <w:rStyle w:val="StyleUnderline"/>
        </w:rPr>
        <w:t xml:space="preserve">  Instead, we put our faith and actions toward making revolutionary change, looking to the highest potential of human agency. There was a time when my ancestors did not need to have strategies to resist forces of colonialism.  </w:t>
      </w:r>
      <w:r w:rsidRPr="00087A72">
        <w:t xml:space="preserve">When they did, the processes of invasion, military conquest and subjugation were unleashed so abruptly, impromptu strategies were courageously, but unsuccessfully attempted.  </w:t>
      </w:r>
      <w:r w:rsidRPr="00087A72">
        <w:rPr>
          <w:rStyle w:val="StyleUnderline"/>
        </w:rPr>
        <w:t xml:space="preserve">None of them prevented the total onslaught of colonial violence that ensued.  Through time and processes of complete and humiliating subjugation that affected every aspect of the lives of subsequent generations, resistance weakened into complacency.  Of course, not all Indigenous people chose this path and instead stayed the course of spirited resistance, but today they represent the exceptions rather than the rule.  The vast majority found it easier to attempt to negotiate petty benefits from the colonial system while maintaining low visibility and small dreams.   Today, however, we have reached an era in which the existing system </w:t>
      </w:r>
      <w:r w:rsidRPr="00087A72">
        <w:rPr>
          <w:rStyle w:val="Emphasis"/>
        </w:rPr>
        <w:t xml:space="preserve">is on the verge of collapse, </w:t>
      </w:r>
      <w:r w:rsidRPr="00087A72">
        <w:rPr>
          <w:rStyle w:val="StyleUnderline"/>
        </w:rPr>
        <w:t>with colonizer and colonized alike resting near a precipitous edge.  We can either succumb to the ongoing discourse of complacency propagated by the colonizing government, or we can mobilize for revolutionary change</w:t>
      </w:r>
    </w:p>
    <w:p w:rsidR="000314EC" w:rsidRPr="00087A72" w:rsidRDefault="000314EC" w:rsidP="000314EC">
      <w:pPr>
        <w:pStyle w:val="Heading4"/>
      </w:pPr>
      <w:bookmarkStart w:id="48" w:name="_Hlk518637509"/>
      <w:r w:rsidRPr="00087A72">
        <w:t>The idea that the State is the sole protector of indigenous peoples is exactly what the neg is criticizing. Viewing them as the “noble savage” is only a scapegoat the US uses to reassert its power of the dominant state power</w:t>
      </w:r>
    </w:p>
    <w:p w:rsidR="000314EC" w:rsidRPr="00087A72" w:rsidRDefault="000314EC" w:rsidP="000314EC">
      <w:pPr>
        <w:rPr>
          <w:rStyle w:val="Style13ptBold"/>
          <w:i/>
        </w:rPr>
      </w:pPr>
      <w:r w:rsidRPr="00087A72">
        <w:rPr>
          <w:rStyle w:val="Style13ptBold"/>
        </w:rPr>
        <w:t xml:space="preserve">Rifken 2009(Mark, </w:t>
      </w:r>
      <w:r w:rsidRPr="00087A72">
        <w:rPr>
          <w:rFonts w:cstheme="minorHAnsi"/>
          <w:b/>
          <w:sz w:val="26"/>
          <w:szCs w:val="26"/>
          <w:shd w:val="clear" w:color="auto" w:fill="FFFFFF"/>
        </w:rPr>
        <w:t>Director of the Women's and Gender Studies Program and Professor of English at the University of North Carolina, Greensboro</w:t>
      </w:r>
      <w:r w:rsidRPr="00087A72">
        <w:rPr>
          <w:rStyle w:val="Style13ptBold"/>
        </w:rPr>
        <w:t xml:space="preserve"> “Indigenizing Agamben: Rethinking Sovereignty in Light of the "Peculiar" Status of Native Peoples”</w:t>
      </w:r>
      <w:r w:rsidRPr="00087A72">
        <w:rPr>
          <w:rStyle w:val="Style13ptBold"/>
          <w:i/>
        </w:rPr>
        <w:t xml:space="preserve"> University of Minnesota Press, Cultural Critique, No. 73 </w:t>
      </w:r>
      <w:r w:rsidRPr="00087A72">
        <w:rPr>
          <w:rStyle w:val="Style13ptBold"/>
        </w:rPr>
        <w:t>pp.99-106)</w:t>
      </w:r>
    </w:p>
    <w:p w:rsidR="000314EC" w:rsidRPr="00087A72" w:rsidRDefault="000314EC" w:rsidP="000314EC"/>
    <w:p w:rsidR="000314EC" w:rsidRPr="00087A72" w:rsidRDefault="000314EC" w:rsidP="000314EC">
      <w:pPr>
        <w:rPr>
          <w:sz w:val="8"/>
        </w:rPr>
      </w:pPr>
      <w:r w:rsidRPr="00087A72">
        <w:rPr>
          <w:rStyle w:val="StyleUnderline"/>
        </w:rPr>
        <w:t>Representing Native</w:t>
      </w:r>
      <w:r w:rsidRPr="00087A72">
        <w:rPr>
          <w:sz w:val="8"/>
        </w:rPr>
        <w:t xml:space="preserve"> populations and lands as occupying an </w:t>
      </w:r>
      <w:r w:rsidRPr="00087A72">
        <w:rPr>
          <w:rStyle w:val="StyleUnderline"/>
        </w:rPr>
        <w:t xml:space="preserve">"anomalous" position allows the U.S. government to validate its </w:t>
      </w:r>
      <w:r w:rsidRPr="00087A72">
        <w:rPr>
          <w:sz w:val="8"/>
        </w:rPr>
        <w:t xml:space="preserve">extension of theoretically </w:t>
      </w:r>
      <w:r w:rsidRPr="00087A72">
        <w:rPr>
          <w:rStyle w:val="StyleUnderline"/>
        </w:rPr>
        <w:t>unlimited authority over them</w:t>
      </w:r>
      <w:r w:rsidRPr="00087A72">
        <w:rPr>
          <w:sz w:val="8"/>
        </w:rPr>
        <w:t xml:space="preserve">, </w:t>
      </w:r>
      <w:r w:rsidRPr="00087A72">
        <w:rPr>
          <w:rStyle w:val="StyleUnderline"/>
        </w:rPr>
        <w:t xml:space="preserve">rendering them external to the normal functioning of the law </w:t>
      </w:r>
      <w:r w:rsidRPr="00087A72">
        <w:rPr>
          <w:sz w:val="8"/>
        </w:rPr>
        <w:t>but yet internal to the space of the nation. The dominance perpetuated through the ongoing recreation of this state of exception, though, inheres not merely in the exercise of unhampered jurisdiction over Native peoples but in the ways that jurisdiction enables a metapolitical scripting of the terms of collectivity itself. More than circumscribing or disciplining the autonomy of Native peoples, Indian policy recodes their identities, defining and redefining the threshold of political identity and legitimacy and determining how Native peoples will enter that field, including what (kinds of) concepts and categories they will inhabit</w:t>
      </w:r>
      <w:r w:rsidRPr="00087A72">
        <w:rPr>
          <w:rStyle w:val="StyleUnderline"/>
        </w:rPr>
        <w:t>.</w:t>
      </w:r>
      <w:r w:rsidRPr="00087A72">
        <w:rPr>
          <w:sz w:val="8"/>
        </w:rPr>
        <w:t>17 The representation of Native peoples as an exception makes possible their incorporation into U.S. administrative discourses in any number of ways along a wide spectrum ranging from polity to bare life. In that process of inscription, the biopolitical and the geopolitical dynamics of nation-statehood discussed above enter into a dialectical relay, the former serving as a way of resolving the threatened incoherence of the latter by providing a set of tactics through which to recast Native peoples as people.18 In seeking to cope with the presence of preexisting polities on what it seeks to portray as domestic space, the United States often translates autochthonous, self-governing Native polities as populations, as either collections of bodies in need of restraint/ protection or cultural aggregations</w:t>
      </w:r>
      <w:r w:rsidRPr="00087A72">
        <w:rPr>
          <w:rStyle w:val="StyleUnderline"/>
        </w:rPr>
        <w:t xml:space="preserve">. In being interpellated into U.S. political discourses in this way, they are managed as residents-as a kind of racialized, endangered, or enculturated body-on land that self-evidently constitutes part of the nation. </w:t>
      </w:r>
      <w:r w:rsidRPr="00087A72">
        <w:rPr>
          <w:sz w:val="8"/>
        </w:rPr>
        <w:t xml:space="preserve">Turning again to the Supreme Court cases with which I began, this dynamic can be seen in the mobilization of the figure of dependence. The decision in Cherokee Nation v. Georgia invents </w:t>
      </w:r>
      <w:r w:rsidRPr="00087A72">
        <w:rPr>
          <w:rStyle w:val="StyleUnderline"/>
        </w:rPr>
        <w:t>the notion of "domestic dependent nation,</w:t>
      </w:r>
      <w:r w:rsidRPr="00087A72">
        <w:rPr>
          <w:sz w:val="8"/>
        </w:rPr>
        <w:t xml:space="preserve">" and in justifying the fabrication of this unheard-of status, the court articulates what would become a (if not the) central trope of federal Indian law, saying of </w:t>
      </w:r>
      <w:r w:rsidRPr="00087A72">
        <w:rPr>
          <w:rStyle w:val="StyleUnderline"/>
        </w:rPr>
        <w:t>Native peoples that "</w:t>
      </w:r>
      <w:r w:rsidRPr="00087A72">
        <w:rPr>
          <w:sz w:val="8"/>
        </w:rPr>
        <w:t>[t]heir relation to the United States resembles that of a ward to his guardian." The opinion adds, "</w:t>
      </w:r>
      <w:r w:rsidRPr="00087A72">
        <w:rPr>
          <w:rStyle w:val="StyleUnderline"/>
        </w:rPr>
        <w:t>They look to our government for protection; rely upon its kindness and its power; appeal to it for relief to their wants; and address the president as their great father</w:t>
      </w:r>
      <w:r w:rsidRPr="00087A72">
        <w:rPr>
          <w:sz w:val="8"/>
        </w:rPr>
        <w:t xml:space="preserve">" (17). That vision of superintendence depends upon infantilization, casting the same group referred to earlier in the decision as a "distinct political society" as a child in need of guidance and safeguarding. </w:t>
      </w:r>
      <w:r w:rsidRPr="00087A72">
        <w:rPr>
          <w:rStyle w:val="StyleUnderline"/>
        </w:rPr>
        <w:t>This description, though, appears just in the wake of the court's insistence that "those tribes which reside within the acknowledged boundaries of the United States" cannot, "with strict accuracy, be denominated foreign nations</w:t>
      </w:r>
      <w:r w:rsidRPr="00087A72">
        <w:rPr>
          <w:sz w:val="8"/>
        </w:rPr>
        <w:t>" (17). The image of Native nations as hapless minors, "ward[s]," appears retroactively to justify their status as "domestic," but their apparent dependency follows from their location "within the acknowledged boundaries" of the nation-state, "dependent" providing a content for "domestic" belonging other than simply the absence/ disavowal of "foreign"-ness. A particular jurisdictional mapping, "within," then, comes to appear through the prism of dependence as a qualitatively different kind of relation; Native polities' call for the acknowledgment of their boundaries and autonomy is transfigured instead as a mass of "wants"-a term suggestive of persistent bodily need. This discursive transmutation of Indigenous peoplehood into bare life is even more pronounced in U.S. v. Kagama. Rehearsing the language of "wardship, the decision expands the scope and deepens the sense of the dependency cited in the earlier opinion: "Th</w:t>
      </w:r>
      <w:r w:rsidRPr="00087A72">
        <w:rPr>
          <w:rStyle w:val="StyleUnderline"/>
        </w:rPr>
        <w:t>ese Indian tribes are the wards of the nation. They are communities dependent on the United States. Dependent largely for their daily food. Dependent for their political rights"</w:t>
      </w:r>
      <w:r w:rsidRPr="00087A72">
        <w:rPr>
          <w:sz w:val="8"/>
        </w:rPr>
        <w:t xml:space="preserve"> (383-84). Dispensing with the rhetoric of nationhood from the previous decision, the court here envisions "Indian tribes" as groups whose continued existence is utterly contingent on federal care. </w:t>
      </w:r>
      <w:r w:rsidRPr="00087A72">
        <w:rPr>
          <w:rStyle w:val="StyleUnderline"/>
        </w:rPr>
        <w:t>They are an undifferentiated mass of flesh with no "political" existence apart from whatever "rights" may happen to be granted (or withheld) by the United States.</w:t>
      </w:r>
      <w:r w:rsidRPr="00087A72">
        <w:rPr>
          <w:sz w:val="8"/>
        </w:rPr>
        <w:t xml:space="preserve"> Once again, though, this corporealization of Indians is brought back to the problems they potentially pose for national spatiality: The power of the General Government over these remnants of a race once powerful, now weak and diminished in numbers, is necessary to their protection, as well as to the safety of those among whom they dwell. It must exist in that government, because it never has existed anywhere else, because the theatre of its exercise is within the geographical limits of the United States, because it has never been denied, and because it alone can enforce its laws on all the tribes. (384-85) </w:t>
      </w:r>
      <w:r w:rsidRPr="00087A72">
        <w:rPr>
          <w:rStyle w:val="StyleUnderline"/>
        </w:rPr>
        <w:t>While reinforcing the impression of an assemblage of exposed and endangered bodies, "remnants" whose frailty leaves them on the verge of extinction, the passage ends up justifying U.S. "power" by reference to the supremacy that is understood to be a necessary corollary of the coherence of "the geographical limits of the United State</w:t>
      </w:r>
      <w:r w:rsidRPr="00087A72">
        <w:rPr>
          <w:sz w:val="8"/>
        </w:rPr>
        <w:t xml:space="preserve">s." The sheer vehemence of the statement that control over </w:t>
      </w:r>
      <w:r w:rsidRPr="00087A72">
        <w:rPr>
          <w:rStyle w:val="StyleUnderline"/>
        </w:rPr>
        <w:t>Indians "must exist in that government" intimates a profound anxiety, the phrase "any where else" suggesting a fear that the space of the nation might some how be(come) alien to itself, an elsewhere to which U.S. jurisdiction explicitly is "denied" by the Indigenous inhabitants.</w:t>
      </w:r>
      <w:r w:rsidRPr="00087A72">
        <w:rPr>
          <w:sz w:val="8"/>
        </w:rPr>
        <w:t xml:space="preserve"> </w:t>
      </w:r>
      <w:r w:rsidRPr="00087A72">
        <w:rPr>
          <w:rStyle w:val="StyleUnderline"/>
        </w:rPr>
        <w:t>The categorization of Indians as "weak and diminished" bodies or a murderous threat to "the safety" of neighboring white communities (a savage "race") appears to provide a reason, in a biopolitical key, for the exertion of authority over them,</w:t>
      </w:r>
      <w:r w:rsidRPr="00087A72">
        <w:rPr>
          <w:sz w:val="8"/>
        </w:rPr>
        <w:t xml:space="preserve"> but it occupies the space of the exception already produced by the encompassing insistence that Native peoples fall within the "theatre" of U.S. governance. </w:t>
      </w:r>
      <w:r w:rsidRPr="00087A72">
        <w:rPr>
          <w:rStyle w:val="StyleUnderline"/>
        </w:rPr>
        <w:t xml:space="preserve">Presenting Indians as bare life-dying "remnants/' helpless children, and/or vicious savages-addresses their status within the regime of U.S. policy as if it were a function of natural facts, pre-political or apolitical conditions to which U.S. institutions respond,19 but the bio political figure of dependence presumes a vision of geopolitical incorporation that precedes it, the latter appearing as merely background for the former. </w:t>
      </w:r>
      <w:r w:rsidRPr="00087A72">
        <w:rPr>
          <w:sz w:val="8"/>
        </w:rPr>
        <w:t xml:space="preserve">But the background keeps coming to the fore, invested in the decisions with a force that rhetorically exceeds and logically disjoints its apparent role as simply setting as opposed to focus or aim. Viewed in this way, the critique of Indian policy as racist only addresses biopolitical tactics without dislodging the geopolitical structure of exception. In Like a Loaded Weapon: The Rehnquist Court, Indian Rights, and the Legal History of Racism in America, Robert A. Williams takes such an approach, arguing that the vision of Indians as "uncivilized, unsophisticated, and lawless savages" enshrined in numerous nineteenth century Supreme Court opinions continues to serve as the basis for Indian law, given the ongoing citation of those cases as precedent: "The stereotypes or images that the Court has thus legitimated and expanded can now be used to legally justify a rights-denying, jurispathic form of racism against those groups" (xxviii, 21). Through the term "jurispathic," Williams, following the legal theorist Robert Cover, refers to the power of the court to make one tradition of law or legal interpretation the exclusive, authoritative one, thereby eliminating alternatives or denying them institutional validity by refusing to sanction them as legally/politically viable options. However, casting that dynamic in Indian policy as primarily one of a "racism" that denies access to "rights" leaves aside not only the question of territoriality but also of Native peoples' status as independent polities. According to Williams, the Supreme Court refuses to apply the "egalitarian principles of racial equality normally applied to all other groups and individuals in post-Brown America," instead "deciding . . . Indian rights case[s] according to an overarching metaprinciple of Indian racial inferiority" (127),20 but if such "egalitarian principles" were applied so that Indians were deemed no different than any other "groups and individuals" in "America," that disposition in and of itself still would not reverse the linked dynamics of internalization and individualization through which Indians are understood as subjects of U.S. domestic law and policy, as firmly within the nation and thus subjected to its metapolitical authority. </w:t>
      </w:r>
      <w:r w:rsidRPr="00087A72">
        <w:rPr>
          <w:rStyle w:val="StyleUnderline"/>
        </w:rPr>
        <w:t>While no longer positioned as savages or "de pendent" children, cast as fully rights-bearing individuals rather than bare life, Native peoples still would signify as collections of persons within the ambit of U.S. jurisdiction rather than as autonomous political collectivities whose identity and status cannot be managed by U.S. institutions</w:t>
      </w:r>
      <w:r w:rsidRPr="00087A72">
        <w:rPr>
          <w:sz w:val="8"/>
        </w:rPr>
        <w:t xml:space="preserve">. Thus, although Williams recognizes the difference between Native peoples and those minorities whose horizon of legal aspiration largely is full inclusion in the nation as citizens, offering what he describes as a "singularity thesis" that acknowledges "the unique types of autochthonous rights that tribal Indians want protected under U.S. law" (xxv), his indictment of U.S. modes of racialization cannot fully capture the political work performed by sovereignty, or rather the work that the citation of sovereignty performs in (re)defining and regulating the terms of "political" identity. Inasmuch as </w:t>
      </w:r>
      <w:r w:rsidRPr="00087A72">
        <w:rPr>
          <w:rStyle w:val="StyleUnderline"/>
        </w:rPr>
        <w:t>the biopolitical discourse of race helps dissimulate the violence at play in the domestication of Native peoples by depicting the terms of U.S. rule as due to the "natural" qualities of Indians, the kind of anti-racist challenge Williams suggests can help disqualify the bodily as a basis for Indian law, thereby clearing conceptual and discursive ground so as to draw attention back to the issue of territoriality</w:t>
      </w:r>
      <w:r w:rsidRPr="00087A72">
        <w:rPr>
          <w:sz w:val="8"/>
        </w:rPr>
        <w:t>.21 Having done so, though, one still needs to contest not so much the "metaprinciple of Indian racial inferiority" as that of the jurisdictional coherence of national space. In his interpretation of Oliphant v. Suquamish, for example, Williams claims that the court's denial of the defendant's authority to prosecute non-Indians depends on little more than a rehearsal of de meaning nineteenth-century stereotypes of Indians from previous decisions, including Cherokee Nation and Kagama, that have been sanitized by the removal of most of the overtly denigrating language. Yet Oliphant asserts, "</w:t>
      </w:r>
      <w:r w:rsidRPr="00087A72">
        <w:rPr>
          <w:rStyle w:val="StyleUnderline"/>
        </w:rPr>
        <w:t>Upon incorporation into the territory of the United States, the Indian tribes thereby come under the territorial sovereignty of the United States and their exercise of separate power is constrained so as not to conflict with the interests of this overriding sovereignty</w:t>
      </w:r>
      <w:r w:rsidRPr="00087A72">
        <w:rPr>
          <w:sz w:val="8"/>
        </w:rPr>
        <w:t>" (209). Even if the Indian/non-Indian distinction were eliminated as a vestige of a noxious regime of racial hierarchy, the "territorial sovereignty of the United States" would remain, along with the dangerously amorphous, infinitely expansive, and uncontestable "interests" that are said to follow from it and that provide the means of "overriding" any initiative by Native populations to represent and assert themselves as autonomous collectivities. If anti-racist resistance remains urgent but still insufficient to the task of breaking the stranglehold on the "political" held by the United States as a result of its exceptionalization of Indigenous polities, might the notion of "culture" better serve to challenge settler-state authority? Agamben's argument inadvertently signals the limit of such a strategy. In sketching the notion of bare life, he offers the example of "homosacer," a status from Roman law for a person who has been convicted of a crime and as such may be killed without prosecution for homicide but who also cannot be sacrificed as an offering to the gods. Agamben asks, "In what, then, does the sacredness of this sacred man consist," and he answers that the "sacred" is the life that has been abandoned "outside both human and divine law" (72-73), further suggesting that "homosacer presents the originary figure of life taken into the sovereign ban" (83). What particularly interests me in his formulation is that in connecting the sacred to sovereignty, Agamben rails against the ways "the ethnological notion of taboo" works "to dissolve the specificity of homosacer" (74), suggesting that the "ambivalence" surrounding the "ethnographic concept of taboo" (as that which generates both awe and horror) cannot explain the juridico-political phenomenon to which the most ancient meaning of the term sacer refers. On the contrary, only an attentive and unprejudiced delimitation of the respective fields of the political and the religious will make it possible to understand the history of their intersection and complex relations. (80) The clear distinction between social "fields" is blurred by the tendency of "ethnological"/ "ethnographic" analysis to smuggle in alien ideas and categories into discussion of the "political." Yet if homosacer, freed from the confusion of "taboo," is exemplary of the political work of sovereignty, what defines the field of politics? It appears as that which is left once one has stripped away "ethnographic" excess, creating a threshold between "the political and the religious" in which the former emerges through the exception of the latter. The "specificity" of "the juridico-political" as a kind of "phenomenon," then, rests on an open ended process of exclusion itself cast as self-evident, as an obvious difference between "fields" rather than an act based on the kind of sovereign violence Agamben critiques. The fact that the "ethnographic concept" of "taboo" is taken to mark the (failure to note the) discrepancy between political and other phenomena is of particular significance in light of the above analysis of the metapolitical invention of statuses for Indigenous peoples. Taken from Polynesian societies, with which European explorers came into contact in the late eighteenth century, the term taboo, or kapu, refers to a power of prohibition managed by rulers on the basis of spiritual ideals.22 A complex phenomenon to which I here cannot devote the consideration it is due, it certainly challenges the notion that in those systems of governance "the political and the religious" were readily differentiable "fields." In other words, Agamben produces a pure vision of politics by disowning the introduction of concepts from other modes of governance as a category mistake, as an intrusion into or deformation of that which is authentically "political." From that perspective, any practice or principle can be dismissed or displaced as an "ethno graphic" error, as the inappropriate transposition of one kind of thing into the domain properly occupied by another. In this way, one can see how "the cultural" categorically may be contradistinguished from "the political," producing a threshold of differentiation which the state can deploy in ways that both subordinate the former to the latter and preserve the exclusive power of the state to determine what constitutes the "field" of politics. The threshold between culture and politics, then, reactivates the same logic of exception through which Native peoples are incorporated into the geopolitical imaginary of the settler-state. This dynamic can be seen in James Tully's influential effort to rethink sovereignty. In Strange Multiplicity: Constitutionalism in an Age of Diversity, he de scribes the "struggles of Aboriginal peoples" as "demands for cultural recognition" that "are aspirations for appropriate forms of self government," and he further notes that "forms of self rule appropriate to the recognition of any culture vary" and that "[t]he language employed in assessing claims to recognition continues to stifle cultural differences and impose a dominant culture, while masquerading as culturally neutral, comprehensive or unavoidably ethnocentric" (4, 35). In Tully's account, "</w:t>
      </w:r>
      <w:r w:rsidRPr="00087A72">
        <w:rPr>
          <w:rStyle w:val="StyleUnderline"/>
        </w:rPr>
        <w:t xml:space="preserve">culture" provides an idiom through which to index the ways Native forms of governance may not conform to those "dominant" within the settler-state while also highlighting how the adjudication of Native claims by the state relies on an unnecessarily homogenizing vision of national culture that forecloses "recognition" of the multiplicity of political formations existing within national space. </w:t>
      </w:r>
      <w:r w:rsidRPr="00087A72">
        <w:rPr>
          <w:sz w:val="8"/>
        </w:rPr>
        <w:t>As Elizabeth Povinelli has illustrated, though, the recognition of Indigenous cultural difference within liberal multiculturalist governance tends to reaffirm the coherence of the nation-state, fetishize an anachronizing vision of Native identity, and exonerate continuing forms of imperial superintendence. Focusing on Australia, she argues that "</w:t>
      </w:r>
      <w:r w:rsidRPr="00087A72">
        <w:rPr>
          <w:rStyle w:val="StyleUnderline"/>
        </w:rPr>
        <w:t>national pageants of shameful repentance and celebrations of a new recognition of subaltern worth remain inflected by the conditional (as long as they are not repugnant; that is, as long as they are not, at heart, not us and as long as real economic resources are not at stake)"</w:t>
      </w:r>
      <w:r w:rsidRPr="00087A72">
        <w:rPr>
          <w:sz w:val="8"/>
        </w:rPr>
        <w:t xml:space="preserve"> (17).23 The state's performance of its redemption from a violent colonial past de pends on the embrace, or more accurately invention, of a version of aboriginality that is consistent with the moral norms of settler-state law yet still strange enough to generate the frisson of diversity/dis crepancy, creating the thrill of Indigenous authenticity while not validating acts or ideas "repugnant" to the sensibilities of non-native citizens. The effort to locate and outline Native cultures occurs against the background of unquestioned settler-state jurisdiction, continuing to code Native populations as both exceptional and as collections of individual domestic subjects. Tully himself repeatedly makes such a move. Characterizing the state's "accommodation" of Indigenous peoples' struggle for self-determination as "an intercultural dialogue in which culturally diverse sovereign citizens of contemporary societies negotiate agreements," he further indicates that "each citizen is a member of more than one culture," taking the nation-state as axiomatic, understanding belonging to it as the precondition for such dialogue, and thus predicating conversation on the subordination of "culture" to "citizen"-ship in the state (184, 207). As I have been suggesting, then, the topos of sovereignty designates less a content that can be replaced (a racist vision of Indian savagery, a Eurocentric resistance to Native customs) than a process of compulsory relation, one predicated on the supposedly unquestionable fact of national territorial boundaries. While contesting the various discourses that reaffirm the validity of assorted elements of settler state jurisdiction certainly can do powerful work in challenging and changing particular policies, creating greater tactical room for maneuver in a range of struggles, such an approach cannot fully address the structuring force of sovereignty, the ways the exceptionalization of Native peoples works to legitimize the unconstrained metapolitical power of the United States to invent, enforce, and alter the statuses/ categories/concepts in which Native peoples are made to signify. </w:t>
      </w:r>
    </w:p>
    <w:bookmarkEnd w:id="48"/>
    <w:p w:rsidR="000314EC" w:rsidRPr="00087A72" w:rsidRDefault="000314EC" w:rsidP="000314EC"/>
    <w:p w:rsidR="000314EC" w:rsidRPr="00087A72" w:rsidRDefault="000314EC" w:rsidP="000314EC">
      <w:pPr>
        <w:pStyle w:val="Heading3"/>
      </w:pPr>
      <w:r w:rsidRPr="00087A72">
        <w:t>A2: Reformism – Criminalization DA</w:t>
      </w:r>
    </w:p>
    <w:p w:rsidR="000314EC" w:rsidRPr="00087A72" w:rsidRDefault="000314EC" w:rsidP="000314EC">
      <w:pPr>
        <w:pStyle w:val="Heading4"/>
      </w:pPr>
      <w:r w:rsidRPr="00087A72">
        <w:t xml:space="preserve">How we analyze decolonization matters – only admitting that there were “injustices” continues to perpetrate black and indigenous bodies as enemies of the state and reaffirms pillars of white supremacy. We must break down the relationship between indigenous/black bodies and the state to acknowledge the violences of white supremacy </w:t>
      </w:r>
    </w:p>
    <w:p w:rsidR="000314EC" w:rsidRPr="00087A72" w:rsidRDefault="000314EC" w:rsidP="000314EC">
      <w:pPr>
        <w:rPr>
          <w:rFonts w:cstheme="minorHAnsi"/>
        </w:rPr>
      </w:pPr>
      <w:r w:rsidRPr="00087A72">
        <w:rPr>
          <w:rFonts w:cstheme="minorHAnsi"/>
          <w:b/>
        </w:rPr>
        <w:t>Marquez and Rana 17</w:t>
      </w:r>
      <w:r w:rsidRPr="00087A72">
        <w:rPr>
          <w:rFonts w:cstheme="minorHAnsi"/>
        </w:rPr>
        <w:t xml:space="preserve"> (Dr. Márquez’s scholarship and teaching peruse the borders of and build bridges between Black Studies, Latin@ Studies, and Native American Studies. His work facilitates conversations around prisons and punishment; critical race theory; racial capitalism; Black politics; Xicanismo; indigeneity; borders and borderlands; post-colonialism; decolonization; settler colonialism; neoliberalism; and social movement theory. Juanaid Rana is an anthropologist who writes about global capitalism, diaspora, racism, and social protest movements. He is an associate professor of Asian American Studies with appointments in the Department of Anthropology, the Center for South Asian and Middle Eastern Studies, and the Unit for Criticism and Interpretive Theory. “Black Radical Possibility and the Decolonial International” </w:t>
      </w:r>
      <w:r w:rsidRPr="00087A72">
        <w:rPr>
          <w:rFonts w:cstheme="minorHAnsi"/>
          <w:i/>
        </w:rPr>
        <w:t>South Atlantic Quarterly</w:t>
      </w:r>
      <w:r w:rsidRPr="00087A72">
        <w:rPr>
          <w:rFonts w:cstheme="minorHAnsi"/>
        </w:rPr>
        <w:t>, Vol. 3, No. 116, pp. 506-527) SR</w:t>
      </w:r>
    </w:p>
    <w:p w:rsidR="000314EC" w:rsidRPr="00087A72" w:rsidRDefault="000314EC" w:rsidP="000314EC">
      <w:pPr>
        <w:rPr>
          <w:rFonts w:cstheme="minorHAnsi"/>
          <w:sz w:val="16"/>
          <w:szCs w:val="16"/>
        </w:rPr>
      </w:pPr>
      <w:r w:rsidRPr="00087A72">
        <w:rPr>
          <w:rFonts w:cstheme="minorHAnsi"/>
        </w:rPr>
        <w:t xml:space="preserve">Under the race-as-blackness approach, the notion of a repair or reform of black-white tensions and the mainstreaming of African American social movements in particular are thus often envisioned as political progress in the United States, lauded as pragmatic or incremental outcomes by liberal scholars who try to make sense of or rationalize insurgent acts in their wake. Thus in </w:t>
      </w:r>
      <w:r w:rsidRPr="00087A72">
        <w:rPr>
          <w:rFonts w:cstheme="minorHAnsi"/>
          <w:u w:val="single"/>
        </w:rPr>
        <w:t>this post–civil rights conjuncture, what might be viewed as a radical change within historically white institutions or as changes within white liberal minds, made evident by the belated inclusion of African Americans into positions of power or influence, are not necessarily equivalent to the radical critiques of power that we have mapped on the streets of Ferguson and Chicago and that identify the US nation-state as the arbiter of racial/colonial violence, not its potential remedy</w:t>
      </w:r>
      <w:r w:rsidRPr="00087A72">
        <w:rPr>
          <w:rFonts w:cstheme="minorHAnsi"/>
        </w:rPr>
        <w:t xml:space="preserve">. </w:t>
      </w:r>
      <w:r w:rsidRPr="00087A72">
        <w:rPr>
          <w:rFonts w:cstheme="minorHAnsi"/>
          <w:sz w:val="16"/>
          <w:szCs w:val="16"/>
        </w:rPr>
        <w:t>On the other hand, such distinctions are important for the analysis of dissent in terms of political possibility and the idea of insurgent transformation and what Robin D. G. Kelley (2016), in fol- lowing Harney and Moten (2013), calls black study and black struggle, per- spectives that we feel better capture the generative elements of black politics and that, in fact, make the black-white binary quite useful for fomenting a more dynamic, extranational, and critical challenge to white supremacy. This is what we refer to as the prismatic effect of black politics. A return to political education—to how we unpack, sustain, and reinforce the energy of our direct actions—is a place from which we locate ourselves in the neolib- eral university, and we join in this call for a rethinking of strategy and the premise and breadth of our theoretical concepts outside of or beyond colonial institutions and their therapeutic protocols.</w:t>
      </w:r>
    </w:p>
    <w:p w:rsidR="000314EC" w:rsidRPr="00087A72" w:rsidRDefault="000314EC" w:rsidP="000314EC">
      <w:pPr>
        <w:rPr>
          <w:rFonts w:cstheme="minorHAnsi"/>
          <w:sz w:val="16"/>
          <w:szCs w:val="16"/>
        </w:rPr>
      </w:pPr>
      <w:r w:rsidRPr="00087A72">
        <w:rPr>
          <w:rFonts w:cstheme="minorHAnsi"/>
          <w:u w:val="single"/>
        </w:rPr>
        <w:t>The notion of blackness as a signifier for other forms of raciality and imperial domination through white supremacy raises a number of theoretical and practical questions.</w:t>
      </w:r>
      <w:r w:rsidRPr="00087A72">
        <w:rPr>
          <w:rFonts w:cstheme="minorHAnsi"/>
        </w:rPr>
        <w:t xml:space="preserve"> </w:t>
      </w:r>
      <w:r w:rsidRPr="00087A72">
        <w:rPr>
          <w:rFonts w:cstheme="minorHAnsi"/>
          <w:sz w:val="16"/>
          <w:szCs w:val="16"/>
        </w:rPr>
        <w:t>If, for example, antiblackness is a particular for- mation of necessary social death for the system of liberal modernity to con- tinue (Roberts 2015), and if white supremacy is understood as a colonial relation that confers antagonism through genealogy and analogy, how are we to understand the mystification of black suffering in relationship to, say, Muslim suffering or, through an imposed secularity, that of Palestinian suf- fering, immigrant suffering, or indigenous suffering? This is to say not that all suffering should be visible in a particular way but rather that some forms of suffering are made invisible as part of the machinery of racial capitalism and white supremacy.</w:t>
      </w:r>
      <w:r w:rsidRPr="00087A72">
        <w:rPr>
          <w:rFonts w:cstheme="minorHAnsi"/>
        </w:rPr>
        <w:t xml:space="preserve"> </w:t>
      </w:r>
      <w:r w:rsidRPr="00087A72">
        <w:rPr>
          <w:rFonts w:cstheme="minorHAnsi"/>
          <w:u w:val="single"/>
        </w:rPr>
        <w:t>These are particularly global terms that shift and pivot in meaning yet share a vocabulary and logic of domination. They are also not the same form of suffering, nor can they be simply analogized for compre- hension in what marks a definitive limit of comparative ethnic studies as a field. Rather, analogy is what gives such terms their theoretical force and, at times, reveals the layers from which they operate.</w:t>
      </w:r>
      <w:r w:rsidRPr="00087A72">
        <w:rPr>
          <w:rFonts w:cstheme="minorHAnsi"/>
        </w:rPr>
        <w:t xml:space="preserve"> It is in this sense that we push against the notion of antiblackness as foundational and primary to white supremacy. The primacy of antiblackness in relation to racial capitalism should signal a range of questions regarding such a narrative of suffer- ing, the first of which we might borrow from Stuart Hall (1993): What is this black in antiblackness?</w:t>
      </w:r>
    </w:p>
    <w:p w:rsidR="000314EC" w:rsidRPr="00087A72" w:rsidRDefault="000314EC" w:rsidP="000314EC">
      <w:pPr>
        <w:rPr>
          <w:rFonts w:cstheme="minorHAnsi"/>
          <w:u w:val="single"/>
        </w:rPr>
      </w:pPr>
      <w:r w:rsidRPr="00087A72">
        <w:rPr>
          <w:rFonts w:cstheme="minorHAnsi"/>
          <w:u w:val="single"/>
        </w:rPr>
        <w:t>The risk in this strategy is that the ongoing and concurrent persecution of Muslims or Mexicans as natural enemies of the state or as figures of racialization who are deemed to be deserving of violent and militarized repression is implied as an afterthought to what is determined to be radical critique rather than as pillars that help frame and sustain white supremacy. The fact that indigenous genocide is so often acknowledged only as an injustice of the past rather than as a foundational logic from which such white supremacy has been instantiated exacerbates this limitation, a limitation that made it intriguing (to say the least) to chant “Black lives matter” as we marched passed the Battle of Fort Dearborn Park.</w:t>
      </w:r>
    </w:p>
    <w:p w:rsidR="000314EC" w:rsidRPr="00087A72" w:rsidRDefault="000314EC" w:rsidP="000314EC">
      <w:pPr>
        <w:rPr>
          <w:rFonts w:cstheme="minorHAnsi"/>
        </w:rPr>
      </w:pPr>
      <w:r w:rsidRPr="00087A72">
        <w:rPr>
          <w:rFonts w:cstheme="minorHAnsi"/>
          <w:sz w:val="16"/>
          <w:szCs w:val="16"/>
        </w:rPr>
        <w:t>It is unreasonable to say, therefore, that antiblackness, which has been drawn from a lineage to slavery and the entirety of its apparatus, is the con- ceptual base from which white supremacy sublimates anti-Muslim, anti- immigrant, and anti-indigenous racial hierarchies (Spillers 2003). We say that despite the prismatic effect of black politics that we’ve witnessed in moments of direct action. This, we believe, represents an often underinter- rogated gap between solidarities expressed in moments of crisis and the intellectual work needed to make sense of and thus strengthen those bonds, making them more immune from the imperatives of domestic and neolib- eral reform.</w:t>
      </w:r>
      <w:r w:rsidRPr="00087A72">
        <w:rPr>
          <w:rFonts w:cstheme="minorHAnsi"/>
        </w:rPr>
        <w:t xml:space="preserve"> </w:t>
      </w:r>
      <w:r w:rsidRPr="00087A72">
        <w:rPr>
          <w:rFonts w:cstheme="minorHAnsi"/>
          <w:u w:val="single"/>
        </w:rPr>
        <w:t xml:space="preserve">Given how the depth of destruction and mass death concurred with a growing list of black and brown lives destroyed by police terror in the United States, a radical intellectual project requires us to interrogate the relationship between, say, BLM activism and settler colonialism. To do so shifts the frame from which activism and politics emerge and even the point of foundational violence in the ongoing colonial experience. It thus also requires us to imagine an insurgent critique of white supremacy in the contemporary war on terror, which has used the racial figure of the Muslim to obscure the reach and destruction of US empire, a power/knowledge interface that also produces the United States–Mexico border as a space deserving of heightened surveillance and militarization, exacerbating the expendability of Mex- icans and native peoples of that region. </w:t>
      </w:r>
      <w:r w:rsidRPr="00087A72">
        <w:rPr>
          <w:rFonts w:cstheme="minorHAnsi"/>
        </w:rPr>
        <w:t>This is also to point out that the rhet- oric and violence of anti-Muslim racism is not simply a fact of a political consolidation against Islam and Muslims but is an invigoration of white supremacy and the violences of racial capitalism as a whole.</w:t>
      </w:r>
    </w:p>
    <w:p w:rsidR="000314EC" w:rsidRPr="00087A72" w:rsidRDefault="000314EC" w:rsidP="000314EC">
      <w:pPr>
        <w:pStyle w:val="Heading3"/>
      </w:pPr>
      <w:r w:rsidRPr="00087A72">
        <w:t>A2: State Engagement Key</w:t>
      </w:r>
    </w:p>
    <w:p w:rsidR="000314EC" w:rsidRPr="00087A72" w:rsidRDefault="000314EC" w:rsidP="000314EC">
      <w:pPr>
        <w:pStyle w:val="Heading4"/>
      </w:pPr>
      <w:r w:rsidRPr="00087A72">
        <w:t xml:space="preserve">State engagement is inefficient in the status quo-any kind of state engagement leads to a patchwork of inconsistent implementations of civil rights </w:t>
      </w:r>
    </w:p>
    <w:p w:rsidR="000314EC" w:rsidRPr="00087A72" w:rsidRDefault="000314EC" w:rsidP="000314EC">
      <w:r w:rsidRPr="00087A72">
        <w:rPr>
          <w:rStyle w:val="Style13ptBold"/>
        </w:rPr>
        <w:t>Kauanui 08</w:t>
      </w:r>
      <w:r w:rsidRPr="00087A72">
        <w:t xml:space="preserve"> (J. Kēhaulan, Professor of American Studies and Anthropology at Wesleyan University “Colonialism in Equality:  Hawaiian Sovereignty and the Question of U.S. Civil Rights” South Atlantic Quarterly vol. 4 pp 635-636*^) </w:t>
      </w:r>
    </w:p>
    <w:p w:rsidR="000314EC" w:rsidRPr="00087A72" w:rsidRDefault="000314EC" w:rsidP="000314EC">
      <w:r w:rsidRPr="00087A72">
        <w:rPr>
          <w:u w:val="single"/>
        </w:rPr>
        <w:t>For indigenous peoples in the United States, in addition to indigenous and nonindigenous peoples in the U.S. territories, the political project of civil rights throughout the last forty years has been burdened, due to the history of U.S. settler colonialism, with distinctly different relationships to the nation-state</w:t>
      </w:r>
      <w:r w:rsidRPr="00087A72">
        <w:t xml:space="preserve">. </w:t>
      </w:r>
      <w:r w:rsidRPr="00087A72">
        <w:rPr>
          <w:u w:val="single"/>
        </w:rPr>
        <w:t xml:space="preserve">Additionally, there are different types of citizenship, given the history of forced inclusion within the United States as the American republic appropriated indigenous territory in the service of imperialist expansion. Issues relating to territory, sovereignty, and nationhood structure colonized peoples’ relationship to the nation-state and can make for radically different goals than those that emerge from the project of civil rights. Civil rights are, by definition, fundamentally about equality under the law: equal protection, equal access, and equal opportunity. Despite the expansive and changing notion of civil rights, as a political project it is insufficient for indigenous and other colonized peoples and the ongoing and often pressing questions of sovereignty and nationhood. </w:t>
      </w:r>
      <w:r w:rsidRPr="00087A72">
        <w:rPr>
          <w:sz w:val="18"/>
        </w:rPr>
        <w:t xml:space="preserve">This is not to say that indigenous and other colonized peoples are not or should not be concerned with education, health, housing, and employment and the right to live free from the structures of white supremacy, racial oppression, male domination, and homophobia, all of which are integral to the civil rights project. Of course, </w:t>
      </w:r>
      <w:r w:rsidRPr="00087A72">
        <w:rPr>
          <w:u w:val="single"/>
        </w:rPr>
        <w:t>many are concerned with all these elements of livelihood and citizenship. However, because of its very origins, the concept of U.S. civil rights is, by definition, inadequate. It cannot address the nation-to-nation governance and land issues as they affect American Indians and Alaska Native villages, as well as those from the U.S. territories in the Pacific Islands and the Caribbean</w:t>
      </w:r>
      <w:r w:rsidRPr="00087A72">
        <w:t xml:space="preserve">. </w:t>
      </w:r>
      <w:r w:rsidRPr="00087A72">
        <w:rPr>
          <w:sz w:val="18"/>
        </w:rPr>
        <w:t>Additionally</w:t>
      </w:r>
      <w:r w:rsidRPr="00087A72">
        <w:t>,</w:t>
      </w:r>
      <w:r w:rsidRPr="00087A72">
        <w:rPr>
          <w:u w:val="single"/>
        </w:rPr>
        <w:t xml:space="preserve"> the conflation of race and indigeneity poses a persistent problem for this predicament regarding civil rights. For example, one of the most persistent setbacks for indigenous Pacific Islanders in the United States is related to miscategorization within terms such as Asian-Pacific American or Asian Pacific Islander, </w:t>
      </w:r>
      <w:r w:rsidRPr="00087A72">
        <w:rPr>
          <w:sz w:val="18"/>
        </w:rPr>
        <w:t>where there is no recognition that Pacific Islanders already constitute a panethnic group that is distinct from Asian Americans</w:t>
      </w:r>
      <w:r w:rsidRPr="00087A72">
        <w:t xml:space="preserve">. </w:t>
      </w:r>
      <w:r w:rsidRPr="00087A72">
        <w:rPr>
          <w:u w:val="single"/>
        </w:rPr>
        <w:t>Within this Pacific grouping, indigenous Pacific Islanders who have ties to islands that were forcibly incorporated into the United States have outstanding sovereignty and land claims, based on international principles of self-determination, which are erased by the “Asian Pacific” conflation</w:t>
      </w:r>
      <w:r w:rsidRPr="00087A72">
        <w:t xml:space="preserve">. </w:t>
      </w:r>
      <w:r w:rsidRPr="00087A72">
        <w:rPr>
          <w:sz w:val="18"/>
        </w:rPr>
        <w:t>Asian-Pacific American emerged as a term used by social agencies for their administrative convenience.1 Historically, this has posed difficulty especially for Kānaka Maoli (Native Hawaiians), who have been included in dozens of legislative acts along with American Indians since 1906 and were included in the Native American Programs Act of 1974.</w:t>
      </w:r>
    </w:p>
    <w:p w:rsidR="00D005A2" w:rsidRPr="00087A72" w:rsidRDefault="00496C79" w:rsidP="00496C79">
      <w:pPr>
        <w:pStyle w:val="Heading1"/>
      </w:pPr>
      <w:r w:rsidRPr="00087A72">
        <w:t>Affirmative</w:t>
      </w:r>
    </w:p>
    <w:p w:rsidR="00CD7A9B" w:rsidRPr="00087A72" w:rsidRDefault="00CD7A9B" w:rsidP="00496C79">
      <w:pPr>
        <w:pStyle w:val="Heading2"/>
      </w:pPr>
      <w:r w:rsidRPr="00087A72">
        <w:t>Generic</w:t>
      </w:r>
    </w:p>
    <w:p w:rsidR="000314EC" w:rsidRPr="00087A72" w:rsidRDefault="000314EC" w:rsidP="000314EC">
      <w:pPr>
        <w:pStyle w:val="Heading3"/>
      </w:pPr>
      <w:r w:rsidRPr="00087A72">
        <w:t>Andrea Smith Bad</w:t>
      </w:r>
    </w:p>
    <w:p w:rsidR="000314EC" w:rsidRPr="00087A72" w:rsidRDefault="000314EC" w:rsidP="000314EC">
      <w:pPr>
        <w:pStyle w:val="Heading4"/>
      </w:pPr>
      <w:r w:rsidRPr="00087A72">
        <w:t xml:space="preserve">Andrea Smith has made fraudulent claims of being of Cherokee descent for many years-her work being read in this round purely perpetuates the epidemic of a colonizer “playing Indian” in the status quo                 </w:t>
      </w:r>
    </w:p>
    <w:p w:rsidR="000314EC" w:rsidRPr="00087A72" w:rsidRDefault="000314EC" w:rsidP="000314EC">
      <w:r w:rsidRPr="00087A72">
        <w:rPr>
          <w:rStyle w:val="Style13ptBold"/>
        </w:rPr>
        <w:t>Allen 15</w:t>
      </w:r>
      <w:r w:rsidRPr="00087A72">
        <w:t xml:space="preserve"> (Samantha, a senior reporter for The Daily Beast and holds a Ph.D. in Women’s, Gender, and Sexuality Studies from Emory University “Tribes Blast ‘Wannabe’ Native American Professor” Daily Beast)</w:t>
      </w:r>
    </w:p>
    <w:p w:rsidR="000314EC" w:rsidRPr="00087A72" w:rsidRDefault="000314EC" w:rsidP="000314EC">
      <w:pPr>
        <w:rPr>
          <w:sz w:val="18"/>
        </w:rPr>
      </w:pPr>
      <w:r w:rsidRPr="00087A72">
        <w:rPr>
          <w:sz w:val="18"/>
        </w:rPr>
        <w:t>On June 30</w:t>
      </w:r>
      <w:r w:rsidRPr="00087A72">
        <w:rPr>
          <w:sz w:val="18"/>
          <w:u w:val="single"/>
        </w:rPr>
        <w:t xml:space="preserve">, </w:t>
      </w:r>
      <w:r w:rsidRPr="00087A72">
        <w:rPr>
          <w:u w:val="single"/>
        </w:rPr>
        <w:t>research analyst and Cherokee genealogist David Cornsilk confirmed to The Daily Beast that he analyzed Smith’s genealogy at her request twice in the 1990s, finding no evidence of Cherokee ancestry either time</w:t>
      </w:r>
      <w:r w:rsidRPr="00087A72">
        <w:t xml:space="preserve">. </w:t>
      </w:r>
      <w:r w:rsidRPr="00087A72">
        <w:rPr>
          <w:sz w:val="18"/>
        </w:rPr>
        <w:t>In response to Smith’s latest claim, Cornsilk again told The Daily Beast that</w:t>
      </w:r>
      <w:r w:rsidRPr="00087A72">
        <w:rPr>
          <w:sz w:val="18"/>
          <w:u w:val="single"/>
        </w:rPr>
        <w:t xml:space="preserve"> </w:t>
      </w:r>
      <w:r w:rsidRPr="00087A72">
        <w:rPr>
          <w:u w:val="single"/>
        </w:rPr>
        <w:t xml:space="preserve">she is not Cherokee and challenged her to share her ancestry publicly if she continues to label herself as Cherokee. </w:t>
      </w:r>
      <w:r w:rsidRPr="00087A72">
        <w:rPr>
          <w:sz w:val="18"/>
        </w:rPr>
        <w:t xml:space="preserve">In her statement, Smith did not list any specific media statements that she feels are false nor did she offer evidence to refute the claims that she is not Cherokee. As was the case with The Daily Beast’s original report, Smith did not respond to request for comment. </w:t>
      </w:r>
      <w:r w:rsidRPr="00087A72">
        <w:rPr>
          <w:u w:val="single"/>
        </w:rPr>
        <w:t>Smith’s continued identification as Cherokee has been widely compared to the case of Rachel Dolezal, a white woman who became the center of a media firestorm last month for posing as black while serving as an NAACP chapter president</w:t>
      </w:r>
      <w:r w:rsidRPr="00087A72">
        <w:t xml:space="preserve">. </w:t>
      </w:r>
      <w:r w:rsidRPr="00087A72">
        <w:rPr>
          <w:sz w:val="18"/>
        </w:rPr>
        <w:t xml:space="preserve">Since The Daily Beast article on Smith was published, </w:t>
      </w:r>
      <w:r w:rsidRPr="00087A72">
        <w:rPr>
          <w:u w:val="single"/>
        </w:rPr>
        <w:t xml:space="preserve">several media outlets including Inside Higher Education, Salon, and Indian Country Today have amplified the allegations that Smith, like Dolezal, has a lengthy history of “ethnic fraud.” </w:t>
      </w:r>
      <w:r w:rsidRPr="00087A72">
        <w:rPr>
          <w:sz w:val="18"/>
        </w:rPr>
        <w:t xml:space="preserve">The coverage culminated Tuesday in an open letter from twelve female Native American scholars who wrote that “[Smith] has demonstrated no accountability, and undermines the integrity and vibrancy of Cherokee cultural and political survival.” </w:t>
      </w:r>
      <w:r w:rsidRPr="00087A72">
        <w:rPr>
          <w:u w:val="single"/>
        </w:rPr>
        <w:t xml:space="preserve">But Smith largely dodged this call for accountability in her first public response to the allegations, positioning herself instead as the victim of “social media attacks.” </w:t>
      </w:r>
      <w:r w:rsidRPr="00087A72">
        <w:rPr>
          <w:sz w:val="18"/>
        </w:rPr>
        <w:t>“It is my hope that more Indigenous peoples will answer the call to work for social justice without fear of being subjected to violent identity-policing,” she wrote. Smith will be able to continue her own work with the support of University of California, Riverside. Earlier this week, the school issued a statement to The Daily Caller saying that: “Professor Smith is a teacher and research [sic] of high merit who, on that basis, earned a tenured faculty position at UC Riverside.” They further noted that the school is prohibited, by law, from considering ethnicity as a factor in hiring decisions</w:t>
      </w:r>
      <w:r w:rsidRPr="00087A72">
        <w:t xml:space="preserve">. </w:t>
      </w:r>
      <w:r w:rsidRPr="00087A72">
        <w:rPr>
          <w:u w:val="single"/>
        </w:rPr>
        <w:t xml:space="preserve">But whether or not the Cherokee community and the field of Native American studies will welcome Smith back is another matter. </w:t>
      </w:r>
      <w:r w:rsidRPr="00087A72">
        <w:rPr>
          <w:sz w:val="18"/>
        </w:rPr>
        <w:t xml:space="preserve">Smith’s apparent ethnic fraud has sent shockwaves through academia that run far deeper than the case of Rachel Dolezal, despite drawing less public attention. As Scott Jaschik wrote on Inside Higher Education, the widespread coverage of Dolezal’s fraud was disproportionate to her overall scholarly importance—she was “not a major player in African-American studies.” </w:t>
      </w:r>
      <w:r w:rsidRPr="00087A72">
        <w:rPr>
          <w:u w:val="single"/>
        </w:rPr>
        <w:t xml:space="preserve">Smith, on the other hand, has enjoyed a prominent position in Native American studies for decades. Her 2005 book Conquest: Sexual Violence and American Indian Genocide continues to be a staple on Native American studies syllabi. </w:t>
      </w:r>
      <w:r w:rsidRPr="00087A72">
        <w:rPr>
          <w:sz w:val="18"/>
        </w:rPr>
        <w:t xml:space="preserve">Some of Smith’s supporters have contributed statements to an anonymously curated blog entitled “Against a Politics of Disposability” but, aside from this, Native American scholars and activists have largely been critical of her claims. On Indian Country Today, </w:t>
      </w:r>
      <w:r w:rsidRPr="00087A72">
        <w:rPr>
          <w:u w:val="single"/>
        </w:rPr>
        <w:t>Steve Russell, a Cherokee writer and emeritus professor at Indiana University Bloomington</w:t>
      </w:r>
      <w:r w:rsidRPr="00087A72">
        <w:rPr>
          <w:sz w:val="18"/>
        </w:rPr>
        <w:t xml:space="preserve">, </w:t>
      </w:r>
      <w:r w:rsidRPr="00087A72">
        <w:rPr>
          <w:sz w:val="18"/>
          <w:szCs w:val="18"/>
        </w:rPr>
        <w:t xml:space="preserve">asked, “How can you be an Indian without knowing which of your relatives is Indian? How can you be an Indian with no ties to an Indian community?” According to a keynote Russell delivered in 2008, he received an unwanted phone call from Smith after writing about her claims of Cherokee ancestry online. In the address, Russell </w:t>
      </w:r>
      <w:r w:rsidRPr="00087A72">
        <w:rPr>
          <w:u w:val="single"/>
        </w:rPr>
        <w:t>described a “bizarre” conversation in which Smith claimed that she “thought” that she was Cherokee but could not name a single Cherokee ancestor when asked</w:t>
      </w:r>
      <w:r w:rsidRPr="00087A72">
        <w:rPr>
          <w:sz w:val="18"/>
          <w:szCs w:val="18"/>
          <w:u w:val="single"/>
        </w:rPr>
        <w:t>.</w:t>
      </w:r>
      <w:r w:rsidRPr="00087A72">
        <w:rPr>
          <w:sz w:val="18"/>
          <w:szCs w:val="18"/>
        </w:rPr>
        <w:t xml:space="preserve">“When I had personal contact with Andrea Smith, I came away with the same impression many people have had after personal contact with Rachel Dolezal: this is a deeply disturbed person,” Russell wrote in his recent column. </w:t>
      </w:r>
      <w:r w:rsidRPr="00087A72">
        <w:rPr>
          <w:sz w:val="18"/>
        </w:rPr>
        <w:t xml:space="preserve">For Russell and many other Native Americans, Smith is less directly analogous to Dolezal than she is to a long tradition of people who falsely claiming Native American descent or enrollment, people sometimes jokingly referred to as “pretendians” or members of the “Wannabe tribe.” Author and activist Ward Churchill, for example, claimed to be an enrolled member of the United Keetowah Band of Cherokee Indians in the 2000s although he had only been awarded an honorary associate membership at the time. </w:t>
      </w:r>
      <w:r w:rsidRPr="00087A72">
        <w:rPr>
          <w:u w:val="single"/>
        </w:rPr>
        <w:t xml:space="preserve">Native Americans refer to this appropriation of their culture as “playing Indian,” which is, ironically, a phenomenon that Smith herself critiqued in 1991. </w:t>
      </w:r>
      <w:r w:rsidRPr="00087A72">
        <w:rPr>
          <w:sz w:val="18"/>
        </w:rPr>
        <w:t xml:space="preserve">Around the same time as Russell’s “bizarre” interaction with Smith, Joanne Barker, a professor of American Indian Studies at San Francisco University who attended graduate school with Smith, had her own encounter with Smith’s denial. Last week, Barker wrote on her blog that she and “about a dozen Native feminist scholars” participated in a conference call with Smith back in 2008 to talk about her lack of Cherokee descent, which Smith had reportedly acknowledged to a colleague. “When we all got on the conference call together, Smith refused to talk with the rest of us about it,” Barker wrote. “She got on the call, bursted into tears, said, ‘I can’t do this,’ and hung up.” Knowledge of Smith’s fraud appears to have been widespread in academic circles but discussed more or less in private until now. As Kim TallBear, an associate professor of Anthropology and Native American and Indigenous Studies at the University of Texas at Austin, noted in a radio interview, “Within the field, we’ve known about it for years, many of us, and we’ve anguished over this because many of us know Andrea and her work has been valuable. Smith’s defenders have criticized the current focus on her identity as a painful replication of the logic behind blood quantum laws, which were used first by the colonial and then by the federal government in the U.S. to classify Native Americans based on their degree of ancestry by blood. But the Cherokee Nation “does not require a specific blood quantum” for citizenship—it only requires “at least one direct Cherokee ancestor listed on the Dawes Final Rolls,” a late-19th and early 20th-century federal census of five Native American tribes. Even by this low bar, </w:t>
      </w:r>
      <w:r w:rsidRPr="00087A72">
        <w:rPr>
          <w:u w:val="single"/>
        </w:rPr>
        <w:t>David Cornsilk could not verify Smith’s supposed Cherokee ancestry</w:t>
      </w:r>
      <w:r w:rsidRPr="00087A72">
        <w:t xml:space="preserve">. </w:t>
      </w:r>
      <w:r w:rsidRPr="00087A72">
        <w:rPr>
          <w:sz w:val="18"/>
        </w:rPr>
        <w:t>Cornsilk explained to The Daily Beast that his process involves crosschecking names on the rolls with members of the individual’s extended family including aunts, uncles, siblings, grandparents, and cousins. “</w:t>
      </w:r>
      <w:r w:rsidRPr="00087A72">
        <w:rPr>
          <w:u w:val="single"/>
        </w:rPr>
        <w:t>Andrea Smith isn’t just missing from the tribe, but [in] every generation back to the genesis of America, all of those relatives I mentioned are also missing,”</w:t>
      </w:r>
      <w:r w:rsidRPr="00087A72">
        <w:t xml:space="preserve"> </w:t>
      </w:r>
      <w:r w:rsidRPr="00087A72">
        <w:rPr>
          <w:sz w:val="18"/>
        </w:rPr>
        <w:t>he said. The Cherokee Nation also independently told The Daily Beast that “Andrea Lee Smith” is not in their system. In her public statement</w:t>
      </w:r>
      <w:r w:rsidRPr="00087A72">
        <w:t xml:space="preserve">, </w:t>
      </w:r>
      <w:r w:rsidRPr="00087A72">
        <w:rPr>
          <w:u w:val="single"/>
        </w:rPr>
        <w:t xml:space="preserve">Smith downplayed the fact that she is not enrolled in the Cherokee Nation: “My enrollment status does not impact my Cherokee identity or my continued commitment to organizing for justice for Native communities.” </w:t>
      </w:r>
      <w:r w:rsidRPr="00087A72">
        <w:rPr>
          <w:sz w:val="18"/>
        </w:rPr>
        <w:t xml:space="preserve">But according to </w:t>
      </w:r>
      <w:r w:rsidRPr="00087A72">
        <w:rPr>
          <w:u w:val="single"/>
        </w:rPr>
        <w:t>Patti Jo King, a Cherokee historian and Interim Chair of American Indian Studies at Bacone College</w:t>
      </w:r>
      <w:r w:rsidRPr="00087A72">
        <w:t xml:space="preserve"> </w:t>
      </w:r>
      <w:r w:rsidRPr="00087A72">
        <w:rPr>
          <w:sz w:val="18"/>
        </w:rPr>
        <w:t xml:space="preserve">who says she privately conversed with Smith about her claims of Cherokee identity in 2007, it is Smith’s deception—not her enrollment status and not her advocacy—that constitutes the central issue. “She’s trying to switch the argument around here,” King told The Daily Beast in a phone interview. “We are not talking about her scholarship here. We are not talking about her commitment to Indian people.” King also shared more details about the 2007 conversation in which she and Richard Allen, a Cherokee policy analyst, met with Smith to discuss her claims of Cherokee identity. During that conversation, Smith told King and Allen that her mother had told her that she was Cherokee. According to Cornsilk’s timetable, however, Smith would have already received confirmation that she was not Cherokee twice by that time. ing added that Smith was “very humble” during that meeting but now seems determined to continue claiming Cherokee identity in spite of the criticism she has received in the past week. </w:t>
      </w:r>
      <w:r w:rsidRPr="00087A72">
        <w:t>“</w:t>
      </w:r>
      <w:r w:rsidRPr="00087A72">
        <w:rPr>
          <w:u w:val="single"/>
        </w:rPr>
        <w:t xml:space="preserve">This infringes on our rights of self-determination, self-identity, and sovereignty,” King said. “We are the best experts of our own culture and we have the sovereign right to decide who our members are, just like any nation.” </w:t>
      </w:r>
      <w:r w:rsidRPr="00087A72">
        <w:rPr>
          <w:sz w:val="18"/>
          <w:u w:val="single"/>
        </w:rPr>
        <w:t>i</w:t>
      </w:r>
      <w:r w:rsidRPr="00087A72">
        <w:rPr>
          <w:sz w:val="18"/>
        </w:rPr>
        <w:t>n a final strange development in Smith’s story, there are also emerging indications that her sister, Justine, may have also made false claims of Cherokee ancestry. Justine Smith has a lower public profile than her sister but has still established a career as a pastor and theologian in Native American communities.</w:t>
      </w:r>
      <w:r w:rsidRPr="00087A72">
        <w:rPr>
          <w:sz w:val="14"/>
        </w:rPr>
        <w:t xml:space="preserve"> </w:t>
      </w:r>
      <w:r w:rsidRPr="00087A72">
        <w:rPr>
          <w:sz w:val="18"/>
        </w:rPr>
        <w:t xml:space="preserve">In his Indian Country Today column, Steve Russell relayed a story about Justine Smith submitting “a Cherokee Registry card with her name and somebody else’s number on it to a prospective academic employer.” The anonymous Tumblr that has been leaking information about Andrea Smith for the past several weeks includes a similar allegation—attributed to King’s colleague Richard Allen, who could not be reached for comment because he is on medical leave—about Justine Smith’s 2010 hiring at the Saint Paul School of Theology in Oklahoma, namely that she was hired using fraudulent Cherokee identification and then quickly left the position when confronted. A 2010 hiring announcement from Saint Paul School of Theology does indeed list Justine Smith as “a member of the Cherokee Nation” and refers to her “the first full-time Native American woman to serve in any full-time faculty position in theological education in North America.” Dean Elaine Robinson of the Saint Paul School of Theology was not willing to address the specifics of Justine Smith’s identity but she did note in a statement to The Daily Beast that Smith began work on July 1, 2010, that the Cherokee Nation of Oklahoma made “accusations related to [her] Native identity,” and that Smith “has not been associated with Saint Paul School of Theology since October 2010, just three months after her hire date. “I’ve had no contact with her since then,” Robinson said. </w:t>
      </w:r>
      <w:r w:rsidRPr="00087A72">
        <w:rPr>
          <w:u w:val="single"/>
        </w:rPr>
        <w:t xml:space="preserve">Despite the fact that the Cherokee Nation seems to have disputed Smith’s identity in 2010, she is still listed as Cherokee on the website for the North American Institute for Indigenous Theological Studies and a 2013 interview referred to her as “Native American.” </w:t>
      </w:r>
      <w:r w:rsidRPr="00087A72">
        <w:rPr>
          <w:sz w:val="18"/>
        </w:rPr>
        <w:t>She is currently a pastor at Norman First American United Methodist Church in Oklahoma and, on July 2—days after the allegations about her sister had already come to light—the church’s Facebook page shared a photo of Justine Smith “discuss[ing] history of the Cherokee, including a large display of Cherokee baskets, carrvings [sic], children’s books, New Testment [sic] in Cherokee, and Cherokee ‘Tear’ dresses.”Justine Smith did not respond to questions about her position at the Saint Paul School of Theology and her identification as Cherokee. The Norman First American United Methodist Church also did not reply to questions about whether or not Smith identifies as a Native American pastor.</w:t>
      </w:r>
    </w:p>
    <w:p w:rsidR="000314EC" w:rsidRPr="00087A72" w:rsidRDefault="000314EC" w:rsidP="000314EC">
      <w:pPr>
        <w:pStyle w:val="Heading4"/>
      </w:pPr>
      <w:r w:rsidRPr="00087A72">
        <w:t xml:space="preserve">Andrea Smith’s claims of “being Native” reinforces the ongoing trend of a white settler appropriating every aspect of indigenous life, creating their own complicity with continued dispossession of both indigenous territory and existence- leaving a system of heteropatriarchal racist colonialism. Smith’s work being read in this debate round entrenches the normalization of white people’s complicity                                                     </w:t>
      </w:r>
    </w:p>
    <w:p w:rsidR="000314EC" w:rsidRPr="00087A72" w:rsidRDefault="000314EC" w:rsidP="000314EC">
      <w:r w:rsidRPr="00087A72">
        <w:rPr>
          <w:rStyle w:val="Style13ptBold"/>
        </w:rPr>
        <w:t>Indian Country Today 15</w:t>
      </w:r>
      <w:r w:rsidRPr="00087A72">
        <w:t xml:space="preserve"> (Indian Country Today, a website and formerly weekly online newsletter that is a national news source for and about Native American people in North America “Open Letter From Indigenous Women Scholars Regarding Discussions of Andrea Smith” Indian Country Today^*)</w:t>
      </w:r>
    </w:p>
    <w:p w:rsidR="000314EC" w:rsidRPr="00087A72" w:rsidRDefault="000314EC" w:rsidP="000314EC"/>
    <w:p w:rsidR="000314EC" w:rsidRPr="00087A72" w:rsidRDefault="000314EC" w:rsidP="000314EC">
      <w:pPr>
        <w:rPr>
          <w:u w:val="single"/>
        </w:rPr>
      </w:pPr>
      <w:r w:rsidRPr="00087A72">
        <w:rPr>
          <w:u w:val="single"/>
        </w:rPr>
        <w:t>We write to respond to widespread public discussion of well-known scholar-activist Andrea Smith’s history of contradictory claims to Cherokee identity through both enrollment and lineal descent. While concerns about her claims have been known and discussed within various indigenous women’s circles for years, many people are hearing details about them for the first time</w:t>
      </w:r>
      <w:r w:rsidRPr="00087A72">
        <w:rPr>
          <w:sz w:val="18"/>
        </w:rPr>
        <w:t xml:space="preserve">. The news has provoked a variety of responses from those committed to antiracist, antisexist, and anticolonial analyses and actions, including shock, incredulity, fear, anger, denial, and great sadness. Thus, differing and sometimes conflicting assumptions about the meanings and intentions of this discussion are circulating on social media. </w:t>
      </w:r>
      <w:r w:rsidRPr="00087A72">
        <w:rPr>
          <w:u w:val="single"/>
        </w:rPr>
        <w:t>A prominent fear is that the discussion is motivated by a desire to undermine, police or ostracize an individual; another is that the work people find important in developing their understandings of colonization and sexual violence might now have to be jettisoned</w:t>
      </w:r>
      <w:r w:rsidRPr="00087A72">
        <w:rPr>
          <w:sz w:val="18"/>
        </w:rPr>
        <w:t>. We hope to reframe this discussion and to collectively clarify what we believe to be core issues at stake</w:t>
      </w:r>
      <w:r w:rsidRPr="00087A72">
        <w:rPr>
          <w:u w:val="single"/>
        </w:rPr>
        <w:t>. We are indigenous women scholars from a number of different indigenous nations, communities, academic disciplines, and geographies who are committed to working for gender, sexual, and racial justice in the context of decolonization. We write with the intention to open up discussion. We hope to elicit productive dialogues about deeply fraught and painful issues, and to suggest paths forward for continued and complex analysis of the roles identity plays in the work we do</w:t>
      </w:r>
      <w:r w:rsidRPr="00087A72">
        <w:rPr>
          <w:sz w:val="18"/>
        </w:rPr>
        <w:t xml:space="preserve">. We do not claim to represent all indigenous women in Native American and Indigenous Studies (NAIS) or a monolithic indigenous feminism. There is diverse work within NAIS and Native/Indigenous gender, sexuality, and feminist studies, and also diverse perspectives within Native/Indigenous academic and activist communities about feminism. We respect that diversity. Additionally, we want to acknowledge the kinds of professional vulnerabilities that NAIS scholars are subject to, especially intergenerationally, through the politics of race, gender, and sexuality. Therefore, we did not invite untenured or adjunct faculty to sign this statement. We call first and foremost for accountability to the communities in which we claim membership. This is not a call for the punitive or the exclusionary. </w:t>
      </w:r>
      <w:r w:rsidRPr="00087A72">
        <w:rPr>
          <w:u w:val="single"/>
        </w:rPr>
        <w:t>This case evokes people’s fears and vulnerabilities about very real histories of disenfranchisement, expulsion, discrimination, and normative policing in Indian Country and beyond. Thus it bears repeating: our concerns about Andrea Smith do not emerge from statist forms of enrollment or non-enrollment, federal recognition or lack thereof. They are not about blood quantum or other biologically essentialist notions of identity. Nor are they about cultural purity or authenticity, or imposing standards of identification that those who would work for or with indigenous communities must meet. Rather, our concerns are about the profound need for transparency and responsibility in light of the traumatic histories of colonization, slavery, and genocide that shape the present. Andrea Smith has a decades-long history of self-contradictory stories of identity and affiliation testified to by numerous scholars and activists, including her admission to four separate parties that she has no claim to Cherokee ancestry at all</w:t>
      </w:r>
      <w:r w:rsidRPr="00087A72">
        <w:rPr>
          <w:sz w:val="18"/>
        </w:rPr>
        <w:t xml:space="preserve">. She purportedly promised to no longer identify as Cherokee, and yet in her subsequent appearances and publications she continues to assert herself as a non-specific “Native woman” or a “woman of color” scholar to antiracist activist communities in ways that we believe have destructive intellectual and political consequences. Presenting herself as generically indigenous, and allowing others to represent her as Cherokee, Andrea Smith allows herself to stand in as the representative of collectivities to which she has demonstrated no accountability, and undermines the integrity and vibrancy of Cherokee cultural and political survival. </w:t>
      </w:r>
      <w:r w:rsidRPr="00087A72">
        <w:rPr>
          <w:u w:val="single"/>
        </w:rPr>
        <w:t xml:space="preserve">Her lack of clarity and consistency in her self-presentation adds to the vulnerability of the communities and constituents she purports to represent, including students and activists she mentors and who cite and engage her work. This concerns us as indigenous women committed to opening spaces for scholars and activists with whom we work and who come after us. </w:t>
      </w:r>
      <w:r w:rsidRPr="00087A72">
        <w:rPr>
          <w:sz w:val="18"/>
        </w:rPr>
        <w:t xml:space="preserve">Asking for accountability to our communities and collectivities is not limited to Andrea Smith. Asking for transparency, self-reflexivity, and honesty about our complex histories and scholarly investments is motivated by the desire to strengthen ethical indigenous scholarship by both indigenous and non-indigenous scholars. This is one of the core guiding values of indigenous feminisms, and we believe that the long history of indigenous feminisms cannot and should not be reduced to Smith’s work as representative or originary, even as we recognize that her work on sexual violence and colonialism has had a profound impact on a wide range of constituencies. </w:t>
      </w:r>
      <w:r w:rsidRPr="00087A72">
        <w:rPr>
          <w:u w:val="single"/>
        </w:rPr>
        <w:t>Though some express fear that the power of indigenous feminist critique might be undermined by raising these concerns, such fear is a reflection of the urgent need for scholars in and beyond indigenous studies to extend their reading and citational practices to include the length and breadth of indigenous women’s writings and activism over the years. Indigenous women have always been at the forefront of their communities in naming and combatting colonization, genocide, and gendered violence</w:t>
      </w:r>
      <w:r w:rsidRPr="00087A72">
        <w:rPr>
          <w:sz w:val="18"/>
        </w:rPr>
        <w:t>. Looking at the US and Canada alone, work by Paula Gunn Allen, Kim Anderson, Beth Brant, Chrystos, Sarah Deer, Ella Deloria, Jennifer Denetdale, Mishuana Goeman, Joy Harjo, Sarah Hunt, E. Pauline Johnson, Winona LaDuke, Emma LaRoque, Lee Maracle, Bea Medicine, Dian Millon, Deborah Miranda, Dory Nason, Melissa K. Nelson, Jessica Bissett-Perea, Kimberly Robertson, Luana Ross, Priscilla Settee, Audra Simpson, Leanne Simpson, Lina Sunseri, Elle-Maija Tailfeathers, and Melanie Yazzie to name only some, demonstrates the vitality and richness of indigenous women’s voices that speak against the racial, gendered, and sexualized violences of colonialism. Given the intellectual and emotional labor that Andrea Smith’s silence and lack of accountability has required us all—supporter or critic—to undertake, we would like to also ask for reflection and care in the stories generated to make sense of her contradictions and her silences</w:t>
      </w:r>
      <w:r w:rsidRPr="00087A72">
        <w:rPr>
          <w:u w:val="single"/>
        </w:rPr>
        <w:t>. The history of Cherokee removal and dispossession is deeply woven into the same southeastern landscapes shaped by slavery and anti-black racism, and the Cherokee Nation’s disenfranchisement of the Freedmen must continue to be ethically addressed and challenged. So too must efforts to expunge the rolls of entire families in indigenous nations across this continent. At the same time, we recognize that histories of “playing Indian” have gone hand in hand with dispossession of land in Indian Territory during allotment. Playing Indian is enabled by and supports the dominant narrative that indigenous peoples are vanishing or already vanished. The material consequences of that narrative includes ongoing claims by the state, by science, and by non-indigenous individuals to indigenous lands, sacred sites, remains, and both individual and group representations of us. Our concerns are grounded in these histories, and we challenge both individual and structural forms of indigenous erasure</w:t>
      </w:r>
      <w:r w:rsidRPr="00087A72">
        <w:rPr>
          <w:sz w:val="18"/>
        </w:rPr>
        <w:t xml:space="preserve">. Smith’s self-acknowledged false claims and lack of clarity on her own identity perpetuate deeply ingrained notions of race—black, white, and Indian—that run counter to indigenous modes of kinship, family, and community connection. </w:t>
      </w:r>
      <w:r w:rsidRPr="00087A72">
        <w:rPr>
          <w:u w:val="single"/>
        </w:rPr>
        <w:t xml:space="preserve">When she and others continue to produce her as Cherokee, indigenous, and/or as a woman of color by default, they reinforce a history in which settlers have sought to appropriate every aspect of indigenous life and absolve themselves of their own complicity with continued dispossession of both indigenous territory and existence. </w:t>
      </w:r>
      <w:r w:rsidRPr="00087A72">
        <w:rPr>
          <w:sz w:val="18"/>
        </w:rPr>
        <w:t xml:space="preserve">The stories we tell have consequences, and the harm that some stories produce goes beyond their individual context. </w:t>
      </w:r>
      <w:r w:rsidRPr="00087A72">
        <w:rPr>
          <w:u w:val="single"/>
        </w:rPr>
        <w:t>One of the devastating consequences of Smith having served as the often singular representative of indigeneity in a variety of academic and activist social justice contexts is damage to strategic alliance building, especially between indigenous and non-indigenous women of color.</w:t>
      </w:r>
      <w:r w:rsidRPr="00087A72">
        <w:rPr>
          <w:sz w:val="18"/>
        </w:rPr>
        <w:t xml:space="preserve"> </w:t>
      </w:r>
      <w:r w:rsidRPr="00087A72">
        <w:rPr>
          <w:u w:val="single"/>
        </w:rPr>
        <w:t xml:space="preserve">Accountability to communities, kinship networks and multiple histories is part of the difficult work scholars of indigenous and critical race studies must be willing to undertake to ensure that our work combats rather than reinforces or leaves untouched the intricate dynamics of heteropatriarchal racist colonialism. </w:t>
      </w:r>
      <w:r w:rsidRPr="00087A72">
        <w:rPr>
          <w:sz w:val="18"/>
        </w:rPr>
        <w:t xml:space="preserve">Our desire here is to help move forward productive conversations surrounding the specific case of Andrea Smith and to also contextualize them within larger discussions long held in NAIS, a crucial field of inquiry. We hope that this current moment can provide scholars and activists involved with NAIS, critical ethnic studies, gender, sexuality and queer studies, and multiple activist communities an opportunity to expand their methodologies, citational practices, pedagogies, curriculum, advising/mentoring, and political organizing. We hope to foster collaboration across our fields and communities that builds our solidarity with LGBTQ, women of color, and all progressive anti-racist and decolonial scholars and activists, and that contributes to our ethical, integral, and accountable relations with one another. </w:t>
      </w:r>
      <w:r w:rsidRPr="00087A72">
        <w:rPr>
          <w:u w:val="single"/>
        </w:rPr>
        <w:t>We do not ask anyone to step back from dialogue and disagreement, only that all proceed thoughtfully, with awareness of the often conflictual histories of dispossession, oppression and loss that underpin these conversations.</w:t>
      </w:r>
    </w:p>
    <w:p w:rsidR="000314EC" w:rsidRPr="00087A72" w:rsidRDefault="000314EC" w:rsidP="000314EC">
      <w:pPr>
        <w:pStyle w:val="Heading3"/>
      </w:pPr>
      <w:r w:rsidRPr="00087A72">
        <w:t>Death Drive Theory Bad</w:t>
      </w:r>
    </w:p>
    <w:p w:rsidR="000314EC" w:rsidRPr="00087A72" w:rsidRDefault="000314EC" w:rsidP="000314EC">
      <w:pPr>
        <w:pStyle w:val="Heading4"/>
      </w:pPr>
      <w:r w:rsidRPr="00087A72">
        <w:t>The death drive fails as an explanatory power because it cannot account for differences in behavior</w:t>
      </w:r>
    </w:p>
    <w:p w:rsidR="000314EC" w:rsidRPr="00087A72" w:rsidRDefault="000314EC" w:rsidP="000314EC">
      <w:pPr>
        <w:tabs>
          <w:tab w:val="left" w:pos="2370"/>
        </w:tabs>
        <w:rPr>
          <w:rStyle w:val="Style13ptBold"/>
        </w:rPr>
      </w:pPr>
      <w:r w:rsidRPr="00087A72">
        <w:rPr>
          <w:rStyle w:val="Style13ptBold"/>
        </w:rPr>
        <w:t>Carel 2006</w:t>
      </w:r>
      <w:r w:rsidRPr="00087A72">
        <w:rPr>
          <w:rStyle w:val="Style13ptBold"/>
        </w:rPr>
        <w:tab/>
      </w:r>
    </w:p>
    <w:p w:rsidR="000314EC" w:rsidRPr="00087A72" w:rsidRDefault="000314EC" w:rsidP="000314EC">
      <w:pPr>
        <w:rPr>
          <w:rStyle w:val="Style13ptBold"/>
          <w:b w:val="0"/>
        </w:rPr>
      </w:pPr>
      <w:r w:rsidRPr="00087A72">
        <w:rPr>
          <w:rStyle w:val="Style13ptBold"/>
          <w:b w:val="0"/>
        </w:rPr>
        <w:t>(</w:t>
      </w:r>
      <w:r w:rsidRPr="00087A72">
        <w:rPr>
          <w:rStyle w:val="Style13ptBold"/>
          <w:b w:val="0"/>
          <w:sz w:val="16"/>
          <w:szCs w:val="16"/>
        </w:rPr>
        <w:t xml:space="preserve">Havi, Professor of Philosophy at the University of Bristol, Also teaches at the Bristol Medical School and on the intercalated BA in Medical Humanities at Bristol, PhD from Essex, MA from Tel-Aviv, BA from Tel-Aviv, Author of “Illness”,  “Life and Death in Freud and Heidegger” </w:t>
      </w:r>
      <w:hyperlink r:id="rId25" w:history="1">
        <w:r w:rsidRPr="00087A72">
          <w:rPr>
            <w:rStyle w:val="Style13ptBold"/>
            <w:b w:val="0"/>
            <w:sz w:val="16"/>
            <w:szCs w:val="16"/>
          </w:rPr>
          <w:t>http://www.counsellingeastlondon.org/wp-content/uploads/2012/07/Life-Death-in-Freud-Heidegger-Havi-Carel.pdf</w:t>
        </w:r>
      </w:hyperlink>
      <w:r w:rsidRPr="00087A72">
        <w:rPr>
          <w:rStyle w:val="Style13ptBold"/>
          <w:b w:val="0"/>
          <w:sz w:val="16"/>
          <w:szCs w:val="16"/>
        </w:rPr>
        <w:t xml:space="preserve"> - KSA)</w:t>
      </w:r>
    </w:p>
    <w:p w:rsidR="000314EC" w:rsidRPr="00087A72" w:rsidRDefault="000314EC" w:rsidP="000314EC">
      <w:r w:rsidRPr="00087A72">
        <w:rPr>
          <w:rStyle w:val="StyleUnderline"/>
        </w:rPr>
        <w:t xml:space="preserve">The notion of the death drive is </w:t>
      </w:r>
      <w:r w:rsidRPr="00087A72">
        <w:t xml:space="preserve">on the one hand </w:t>
      </w:r>
      <w:r w:rsidRPr="00087A72">
        <w:rPr>
          <w:rStyle w:val="StyleUnderline"/>
        </w:rPr>
        <w:t xml:space="preserve">too wide, </w:t>
      </w:r>
      <w:r w:rsidRPr="00087A72">
        <w:t xml:space="preserve">explaining all types of aggression as well as the putative urge towards complete rest. </w:t>
      </w:r>
      <w:r w:rsidRPr="00087A72">
        <w:rPr>
          <w:rStyle w:val="StyleUnderline"/>
        </w:rPr>
        <w:t>This leads the notion to be economically incoherent,</w:t>
      </w:r>
      <w:r w:rsidRPr="00087A72">
        <w:t xml:space="preserve"> as will be discussed in the next section. But a prior point must be examined: </w:t>
      </w:r>
      <w:r w:rsidRPr="00087A72">
        <w:rPr>
          <w:rStyle w:val="StyleUnderline"/>
        </w:rPr>
        <w:t>are all types of aggression the same?</w:t>
      </w:r>
      <w:r w:rsidRPr="00087A72">
        <w:t xml:space="preserve"> Freud suggests a positive answer, but as a psychological taxonomy this approach seems to erase important differences. For example, if both sadism and masochism stem from the same aggressive source, should they be classified as belonging to the same group? </w:t>
      </w:r>
      <w:r w:rsidRPr="00087A72">
        <w:rPr>
          <w:rStyle w:val="StyleUnderline"/>
        </w:rPr>
        <w:t xml:space="preserve">Should they be clinically approached in a similar fashion? The answer </w:t>
      </w:r>
      <w:r w:rsidRPr="00087A72">
        <w:t xml:space="preserve">to both these questions </w:t>
      </w:r>
      <w:r w:rsidRPr="00087A72">
        <w:rPr>
          <w:rStyle w:val="StyleUnderline"/>
        </w:rPr>
        <w:t>seems to be no.</w:t>
      </w:r>
      <w:r w:rsidRPr="00087A72">
        <w:t xml:space="preserve"> The problems and symptoms characterising sadism are very different from the ones characterising masochism, as is their treatment. Another example, </w:t>
      </w:r>
      <w:r w:rsidRPr="00087A72">
        <w:rPr>
          <w:rStyle w:val="StyleUnderline"/>
        </w:rPr>
        <w:t>group aggression and individual aggression: should we attempt to describe or treat the two as belonging to the same cluster</w:t>
      </w:r>
      <w:r w:rsidRPr="00087A72">
        <w:t xml:space="preserve">? Again, the answer seems to be negative. As to the second point, one could justifiably ask: </w:t>
      </w:r>
      <w:r w:rsidRPr="00087A72">
        <w:rPr>
          <w:rStyle w:val="StyleUnderline"/>
        </w:rPr>
        <w:t>what does the death drive mean</w:t>
      </w:r>
      <w:r w:rsidRPr="00087A72">
        <w:t xml:space="preserve">? Because </w:t>
      </w:r>
      <w:r w:rsidRPr="00087A72">
        <w:rPr>
          <w:rStyle w:val="StyleUnderline"/>
        </w:rPr>
        <w:t>it is so general,</w:t>
      </w:r>
      <w:r w:rsidRPr="00087A72">
        <w:t xml:space="preserve"> the notion of the death drive is </w:t>
      </w:r>
      <w:r w:rsidRPr="00087A72">
        <w:rPr>
          <w:rStyle w:val="StyleUnderline"/>
        </w:rPr>
        <w:t>vague</w:t>
      </w:r>
      <w:r w:rsidRPr="00087A72">
        <w:t xml:space="preserve">. </w:t>
      </w:r>
      <w:r w:rsidRPr="00087A72">
        <w:rPr>
          <w:rStyle w:val="StyleUnderline"/>
        </w:rPr>
        <w:t>The death drive cannot explain a given situation because it itself becomes meaningful only as a collection of situations</w:t>
      </w:r>
      <w:r w:rsidRPr="00087A72">
        <w:t xml:space="preserve">. On Freud’s account, any behaviour meriting the adjective ‘aggressive’ arises from the death drive. If we take a certain set of aggressive behaviours, say, sadistic ones, the death drive would come to signify this set. If we take another set of masochistic behaviours, the death drive would mean this set. </w:t>
      </w:r>
      <w:r w:rsidRPr="00087A72">
        <w:rPr>
          <w:rStyle w:val="StyleUnderline"/>
        </w:rPr>
        <w:t>As it stands, the significance of the notion seems entirely dependent on the observed phenomenon</w:t>
      </w:r>
      <w:r w:rsidRPr="00087A72">
        <w:t xml:space="preserve">. If Freud were never to meet any masochists, would his notion of the death drive exclude masochism? </w:t>
      </w:r>
      <w:r w:rsidRPr="00087A72">
        <w:rPr>
          <w:rStyle w:val="StyleUnderline"/>
        </w:rPr>
        <w:t>Any science relying on observation and empirical data relies on this data and should be willing, in principle, to modify and update its concepts in accordance with new empirical observatio</w:t>
      </w:r>
      <w:r w:rsidRPr="00087A72">
        <w:t xml:space="preserve">ns. The opening paragraph of Instincts and Their Vicissitudes describes this process. We have often heard it maintained that sciences should be built up on clear and sharply defined basic concepts. In actual fact no science, not even the most exact, begins with such definitions. The true beginning of scientific activity consists rather in describing phenomena and then in proceeding to group, classify and correlate them. Even at the stage of description it is not possible to avoid applying certain abstract ideas to the material in hand, ideas derived from somewhere or other but certainly not from the new observations alone […]. They must at first necessarily possess some degree of indefiniteness; there can be no 34 LIFE AND DEATH IN FREUD AND HEIDEGGER question of any clear delimitation of their content. So long as they remain in this condition, we come to an understanding about their meaning by making repeated references to the material of observation from which they appear to have been derived, but upon which, in fact, they have been imposed (SE 14:111; GW 10:210). This seems to be a sophisticated, fruitfully flexible approach. But </w:t>
      </w:r>
      <w:r w:rsidRPr="00087A72">
        <w:rPr>
          <w:rStyle w:val="StyleUnderline"/>
        </w:rPr>
        <w:t>in the case of the death drive, it seems to be too flexible. There is no initial restriction on the type of behaviour that could be classified as aggressive or as lowering tension. Hence we find sadism and masochism, passive-aggressive and substance-induced aggression, aggression displayed in group situation and aggressive fantasy, all tied to the death drive as their source. By analogy, any behaviour that leads to discharge of energ</w:t>
      </w:r>
      <w:r w:rsidRPr="00087A72">
        <w:t xml:space="preserve">y or lowering of tension </w:t>
      </w:r>
      <w:r w:rsidRPr="00087A72">
        <w:rPr>
          <w:rStyle w:val="StyleUnderline"/>
        </w:rPr>
        <w:t>would be in accordance with the Nirvana principle</w:t>
      </w:r>
      <w:r w:rsidRPr="00087A72">
        <w:t xml:space="preserve">. One way of responding to this issue is by applying the term ‘aggression’ purely descriptively. Karli, for example, proposes the following definition: aggression means, “threatening or striking at the physical or psychic integrity of another living being” (Karli, 1991, p.10). He sees the danger in the shift from using aggression descriptively to attributing to it an explanatory and causal role. When accorded a causal role, aggression is reified and becomes a natural entity, a danger that can be avoided by using the term strictly descriptively. This suggestion makes a lot of sense, but it would be unacceptable for Freud. For </w:t>
      </w:r>
      <w:r w:rsidRPr="00087A72">
        <w:rPr>
          <w:rStyle w:val="StyleUnderline"/>
        </w:rPr>
        <w:t>he is proposing a metaphysical view, which cannot be taken to be purely descriptive, because it is embedded in a physicalist view of the drives as elements connecting body and psyche, and is meant to have an explanatory and causal role in the explanation of behaviour</w:t>
      </w:r>
      <w:r w:rsidRPr="00087A72">
        <w:t xml:space="preserve">. Although Freud would reject the purely descriptive use of the concept of aggression, this suggestion will be useful when we discuss the reconstruction of the death drive. As to the third point, it seems that </w:t>
      </w:r>
      <w:r w:rsidRPr="00087A72">
        <w:rPr>
          <w:rStyle w:val="StyleUnderline"/>
        </w:rPr>
        <w:t>the explanatory value of the death drive is not satisfactory.</w:t>
      </w:r>
      <w:r w:rsidRPr="00087A72">
        <w:t xml:space="preserve"> Because of the two problems set out above – </w:t>
      </w:r>
      <w:r w:rsidRPr="00087A72">
        <w:rPr>
          <w:rStyle w:val="StyleUnderline"/>
        </w:rPr>
        <w:t>the excessive promiscuity of the notion of aggression and the fact that it irons significant differences between the various phenomena</w:t>
      </w:r>
      <w:r w:rsidRPr="00087A72">
        <w:t xml:space="preserve"> – its explanatory value is limited. </w:t>
      </w:r>
      <w:r w:rsidRPr="00087A72">
        <w:rPr>
          <w:rStyle w:val="StyleUnderline"/>
        </w:rPr>
        <w:t>The concept</w:t>
      </w:r>
      <w:r w:rsidRPr="00087A72">
        <w:t xml:space="preserve"> as presented by Freud does allow too much in and </w:t>
      </w:r>
      <w:r w:rsidRPr="00087A72">
        <w:rPr>
          <w:rStyle w:val="StyleUnderline"/>
        </w:rPr>
        <w:t>lumps together behaviours and tendencies whose differences are significa</w:t>
      </w:r>
      <w:r w:rsidRPr="00087A72">
        <w:t xml:space="preserve">nt. In this sense, </w:t>
      </w:r>
      <w:r w:rsidRPr="00087A72">
        <w:rPr>
          <w:rStyle w:val="StyleUnderline"/>
        </w:rPr>
        <w:t>those rejecting the death drive as an unhelpful speculation are justified in their criticism</w:t>
      </w:r>
      <w:r w:rsidRPr="00087A72">
        <w:t>.</w:t>
      </w:r>
    </w:p>
    <w:p w:rsidR="00032E5A" w:rsidRPr="00087A72" w:rsidRDefault="00032E5A" w:rsidP="00CD7A9B">
      <w:pPr>
        <w:pStyle w:val="Heading3"/>
      </w:pPr>
      <w:r w:rsidRPr="00087A72">
        <w:t>Future Good</w:t>
      </w:r>
    </w:p>
    <w:p w:rsidR="00032E5A" w:rsidRPr="00087A72" w:rsidRDefault="00032E5A" w:rsidP="00032E5A">
      <w:pPr>
        <w:pStyle w:val="Heading4"/>
      </w:pPr>
      <w:r w:rsidRPr="00087A72">
        <w:t>Futurity is key to challenge oppressive structures – focus on reproductive futurism allows us to be reflect changes of humanity</w:t>
      </w:r>
    </w:p>
    <w:p w:rsidR="00032E5A" w:rsidRPr="00087A72" w:rsidRDefault="00032E5A" w:rsidP="00032E5A">
      <w:pPr>
        <w:rPr>
          <w:rFonts w:asciiTheme="minorHAnsi" w:hAnsiTheme="minorHAnsi" w:cstheme="minorHAnsi"/>
        </w:rPr>
      </w:pPr>
      <w:r w:rsidRPr="00087A72">
        <w:rPr>
          <w:rStyle w:val="Style13ptBold"/>
        </w:rPr>
        <w:t>Unger 7</w:t>
      </w:r>
      <w:r w:rsidRPr="00087A72">
        <w:rPr>
          <w:rStyle w:val="Author-Date"/>
          <w:rFonts w:asciiTheme="minorHAnsi" w:eastAsiaTheme="majorEastAsia" w:hAnsiTheme="minorHAnsi" w:cstheme="minorHAnsi"/>
        </w:rPr>
        <w:t xml:space="preserve"> </w:t>
      </w:r>
      <w:r w:rsidRPr="00087A72">
        <w:rPr>
          <w:rFonts w:asciiTheme="minorHAnsi" w:hAnsiTheme="minorHAnsi" w:cstheme="minorHAnsi"/>
        </w:rPr>
        <w:t xml:space="preserve">(Robert Mangabeira, Professor of Law Harvard, “The Self Awakened: Pragmatism Unbound,” </w:t>
      </w:r>
      <w:hyperlink r:id="rId26" w:history="1">
        <w:r w:rsidRPr="00087A72">
          <w:rPr>
            <w:rFonts w:asciiTheme="minorHAnsi" w:hAnsiTheme="minorHAnsi" w:cstheme="minorHAnsi"/>
          </w:rPr>
          <w:t>http://www.law.harvard.edu/unger/english/docs/pragmatism.doc</w:t>
        </w:r>
      </w:hyperlink>
      <w:r w:rsidRPr="00087A72">
        <w:rPr>
          <w:rFonts w:asciiTheme="minorHAnsi" w:hAnsiTheme="minorHAnsi" w:cstheme="minorHAnsi"/>
        </w:rPr>
        <w:t>)</w:t>
      </w:r>
    </w:p>
    <w:p w:rsidR="00032E5A" w:rsidRPr="00087A72" w:rsidRDefault="00032E5A" w:rsidP="00032E5A">
      <w:r w:rsidRPr="00087A72">
        <w:t xml:space="preserve">The third theme is Futurity. </w:t>
      </w:r>
      <w:r w:rsidRPr="00087A72">
        <w:rPr>
          <w:rStyle w:val="StyleUnderline"/>
        </w:rPr>
        <w:t>Whether or not time is for real in the vast world of nature, of which our knowledge always remains at once remote and contradictory, is a subject that will always continue to arouse controversy</w:t>
      </w:r>
      <w:r w:rsidRPr="00087A72">
        <w:t xml:space="preserve">. That time is for real in human </w:t>
      </w:r>
      <w:r w:rsidRPr="00087A72">
        <w:rPr>
          <w:rStyle w:val="Emphasis"/>
        </w:rPr>
        <w:t xml:space="preserve">existence is not, however, a speculative thesis; it is a pressure we face with mounting force, so long as we remain conscious and not deluded, in our passage from birth to death. The temporal character of our existence is the consequence of our embodiment, the stigma of our finitude, and the condition that gives transcendence its point. We are not exhausted by the social and cultural worlds we inhabit and build. They are finite. </w:t>
      </w:r>
      <w:r w:rsidRPr="00087A72">
        <w:t xml:space="preserve">We, in comparison to them, are not. We can see, think, feel, build, and connect in more ways than they can allow. That is why we are required to rebel against them: to advance our interests and ideals as we now understand them, but also to become ourselves, affirming the polarity that constitutes the law-breaking law of our being.       To seek what </w:t>
      </w:r>
      <w:r w:rsidRPr="00087A72">
        <w:rPr>
          <w:rStyle w:val="Emphasis"/>
        </w:rPr>
        <w:t>goes beyond the established structure and represents, for that very reason, the possible beginning of another structure, even of a structure that organizes its own remaking, is to live for the future.</w:t>
      </w:r>
      <w:r w:rsidRPr="00087A72">
        <w:t xml:space="preserve"> Living for the future is a way of living in the present as a being not wholly </w:t>
      </w:r>
      <w:r w:rsidRPr="00087A72">
        <w:rPr>
          <w:rStyle w:val="StyleUnderline"/>
        </w:rPr>
        <w:t>determined by the present conditions of its existence. We never completely surrender. We go about our business of passive submission, of voiceless despair</w:t>
      </w:r>
      <w:r w:rsidRPr="00087A72">
        <w:t>, as if we knew that the established order were not for keeps, and had no final claim to our allegiance</w:t>
      </w:r>
      <w:r w:rsidRPr="00087A72">
        <w:rPr>
          <w:rStyle w:val="StyleUnderline"/>
        </w:rPr>
        <w:t>. Orientation to the future -- futurity -- is a defining condition of personality.       So fundamental is this feature of our existence that it also shapes the experience of thinking, even when our thoughts are directed away from ourselves to nature. Ceaselessly reorganizing our experience of particulars under general headings, constantly breaking up and remaking the headings to master the experience, intuiting in one set of known relations the existence of another, next to it or hidden under it, finding out one thing when we had set out to find out another, and discovering indeed what our assumptions and methods may have ruled out as paradoxical, contradictory, or impossible, we come to see the next steps of thought</w:t>
      </w:r>
      <w:r w:rsidRPr="00087A72">
        <w:t xml:space="preserve"> -- its possibilities, its future -- as the point of the whole past of thought. Futurity should cease to be a predicament and should become a program: we should radicalize it to empower ourselves. That is the reason to take an interest in ways of organizing thought and society that diminish the influence of what happened before on what can happen next. Such </w:t>
      </w:r>
      <w:r w:rsidRPr="00087A72">
        <w:rPr>
          <w:rStyle w:val="StyleUnderline"/>
        </w:rPr>
        <w:t>intellectual and institutional innovations make change in thought less dependent on the pressure of unmastered anomalies and change in society less dependent on the blows of unexpected trauma. In any given historical situation, the effort to live for the future has consequences for how we order our ideas and for how we order our societies</w:t>
      </w:r>
      <w:r w:rsidRPr="00087A72">
        <w:t>. There is a structure to the organized revision of structures. Its constituents, however, are not timeless. We paste them together with the time-soaked materials at hand.</w:t>
      </w:r>
    </w:p>
    <w:p w:rsidR="00792F86" w:rsidRPr="00087A72" w:rsidRDefault="00792F86" w:rsidP="00CD7A9B">
      <w:pPr>
        <w:pStyle w:val="Heading3"/>
      </w:pPr>
      <w:r w:rsidRPr="00087A72">
        <w:t>Psychoanalysis is Racist/Colonialist</w:t>
      </w:r>
    </w:p>
    <w:p w:rsidR="00792F86" w:rsidRPr="00087A72" w:rsidRDefault="00792F86" w:rsidP="00792F86">
      <w:pPr>
        <w:pStyle w:val="Heading4"/>
      </w:pPr>
      <w:r w:rsidRPr="00087A72">
        <w:t>Freud, the founder of psychoanalysis, was racist and ignorant towards native bodies. Freud referred to natives as “noble savages” and race generally wasn’t included in Freud’s concept of psychoanalysis. Thus, this ideology has been soaked into any attempt at psychoanalysis</w:t>
      </w:r>
    </w:p>
    <w:p w:rsidR="00792F86" w:rsidRPr="00087A72" w:rsidRDefault="00792F86" w:rsidP="00792F86">
      <w:r w:rsidRPr="00087A72">
        <w:rPr>
          <w:rStyle w:val="Style13ptBold"/>
        </w:rPr>
        <w:t>Gordon 1</w:t>
      </w:r>
      <w:r w:rsidRPr="00087A72">
        <w:t>—(Paul, researcher in civil liberties, is a psychotherapist that is anti-racism, “Psychoanalysis and racism: Psychoanalysis and racism: the politics of defeat”, pp19 [E.W.])</w:t>
      </w:r>
    </w:p>
    <w:p w:rsidR="00792F86" w:rsidRPr="00087A72" w:rsidRDefault="00792F86" w:rsidP="00792F86">
      <w:pPr>
        <w:rPr>
          <w:sz w:val="16"/>
        </w:rPr>
      </w:pPr>
      <w:r w:rsidRPr="00087A72">
        <w:rPr>
          <w:u w:val="single"/>
        </w:rPr>
        <w:t>Freud himself had nothing of substance to say on the subject of racism,</w:t>
      </w:r>
      <w:r w:rsidRPr="00087A72">
        <w:rPr>
          <w:sz w:val="16"/>
        </w:rPr>
        <w:t xml:space="preserve"> even though he knew at ®rst hand of the persecution of the Jews in central Europe. Moreover, </w:t>
      </w:r>
      <w:r w:rsidRPr="00087A72">
        <w:rPr>
          <w:u w:val="single"/>
        </w:rPr>
        <w:t>his own framework resorts at times to racial prejudice, ignorance and condescension. Frequently, Freud compares the adult `neurotic' not only to a child but to `primitive people'.</w:t>
      </w:r>
      <w:r w:rsidRPr="00087A72">
        <w:rPr>
          <w:sz w:val="16"/>
        </w:rPr>
        <w:t xml:space="preserve"> Indeed, what is regarded as his major `anthropological' work, Totem and Taboo, published in 1913, is sub-titled `</w:t>
      </w:r>
      <w:r w:rsidRPr="00087A72">
        <w:rPr>
          <w:u w:val="single"/>
        </w:rPr>
        <w:t>Some points of agreement between the mental lives of savages and neurotics</w:t>
      </w:r>
      <w:r w:rsidRPr="00087A72">
        <w:rPr>
          <w:sz w:val="16"/>
        </w:rPr>
        <w:t xml:space="preserve">'. Both groups, Freud claimed, believed in the `omnipotence of thoughts' and in magic,4 while in his `general theory of neuroses' he writes of `modern primitive peoples' who, as a result of their ignorance and helplessness, are afraid of `every novelty and of many familiar things which no longer cause us any anxiety today'.5 Similarly, </w:t>
      </w:r>
      <w:r w:rsidRPr="00087A72">
        <w:rPr>
          <w:u w:val="single"/>
        </w:rPr>
        <w:t>writing on the notion of some supposed `herd instinct', involving `a lack of emotional restraint, an incapacity for moderation and the inclination to exceed every limit in the expression of emotion', Freud declared himself `not surprised' to ®nd evidence for this among `savages'.6 At the same time, Freud would frequently employ the stereotype of the `noble savage'</w:t>
      </w:r>
      <w:r w:rsidRPr="00087A72">
        <w:rPr>
          <w:sz w:val="16"/>
        </w:rPr>
        <w:t xml:space="preserve">. Thus he claims ± one wonders on what basis he does so, for he had no ®rst-hand experience of other cultures or peoples whatsoever and </w:t>
      </w:r>
      <w:r w:rsidRPr="00087A72">
        <w:rPr>
          <w:u w:val="single"/>
        </w:rPr>
        <w:t>his anthropological `knowledge' was second-hand at best ± that sexual inhibitions are less among `races at a low level of civilisation . . . the lower strata of civilised races', with the result that there are fewer neuroses</w:t>
      </w:r>
      <w:r w:rsidRPr="00087A72">
        <w:rPr>
          <w:sz w:val="16"/>
        </w:rPr>
        <w:t>. But what is given with one hand is more than taken away with the other, since the cost is `an extraordinary loss of the aptitude for cultural achievement'.7 One should note the dates of publication in each of these instances. Freud is writing all this well into the twentieth century. While the people at `higher levels of civilisation' were slaughtering each other on the battle®elds of Europe</w:t>
      </w:r>
      <w:r w:rsidRPr="00087A72">
        <w:rPr>
          <w:u w:val="single"/>
        </w:rPr>
        <w:t>, Freud was still writing about the supposed sexual inhibitions of those he called `savages'.8 In other words, Freud, the founder of psychoanalysis, despite his great claims to be a man of science, shared many of the unthinking prejudices of his time. All of this, it should be emphasised, goes largely unremarked in the discourse of psychoanalysis.</w:t>
      </w:r>
      <w:r w:rsidRPr="00087A72">
        <w:rPr>
          <w:sz w:val="16"/>
        </w:rPr>
        <w:t xml:space="preserve"> It is not that such prejudices and stupidities vitiate the Freudian project as such: Freud's `racism' is not that of Jung whose beliefs in a racial hierarchy and the superiority of western Europeans are far more central to his schema (as Farhad Dalal has shown in his seminal article, `The racism of Jung'9). Nevertheless, one wishes that it be acknowledged, and one must note that it has not been.</w:t>
      </w:r>
    </w:p>
    <w:p w:rsidR="00792F86" w:rsidRPr="00087A72" w:rsidRDefault="00792F86" w:rsidP="00792F86"/>
    <w:p w:rsidR="00792F86" w:rsidRPr="00087A72" w:rsidRDefault="00792F86" w:rsidP="00792F86">
      <w:pPr>
        <w:pStyle w:val="Heading4"/>
      </w:pPr>
      <w:r w:rsidRPr="00087A72">
        <w:t>Researches of psychoanalysis are wrong, and all ‘evidence’ is based off of presuppositions and not off of fact or anything that is at all probable. The very Oedipus neurosis of psychoanalysis is based off of false suppositions of society by the researcher.</w:t>
      </w:r>
    </w:p>
    <w:p w:rsidR="00792F86" w:rsidRPr="00087A72" w:rsidRDefault="00792F86" w:rsidP="00792F86">
      <w:r w:rsidRPr="00087A72">
        <w:rPr>
          <w:rStyle w:val="Style13ptBold"/>
        </w:rPr>
        <w:t>Gordon 1</w:t>
      </w:r>
      <w:r w:rsidRPr="00087A72">
        <w:t>—(Paul, researcher in civil liberties, is a psychotherapist that is anti-racism, “Psychoanalysis and racism: Psychoanalysis and racism: the politics of defeat”, pp20-22 [E.W.])</w:t>
      </w:r>
    </w:p>
    <w:p w:rsidR="00792F86" w:rsidRPr="00087A72" w:rsidRDefault="00792F86" w:rsidP="00792F86">
      <w:pPr>
        <w:rPr>
          <w:sz w:val="16"/>
        </w:rPr>
      </w:pPr>
      <w:r w:rsidRPr="00087A72">
        <w:rPr>
          <w:sz w:val="16"/>
        </w:rPr>
        <w:t>In one of his major works on culture and anthropology, Civilisation and its Discontents, published in 1930, Freud expressed the hope that someone might one day `venture to embark upon a pathology of cultural communities'.</w:t>
      </w:r>
      <w:r w:rsidRPr="00087A72">
        <w:rPr>
          <w:u w:val="single"/>
        </w:rPr>
        <w:t>10 There is now a considerable literature on this. However, as the Indian psychoanalyst Sudhir Kakar has written, most of it is vitiated by the use of inappropriate (i.e., western and middleclass) standards to judge people from vastly different cultures and histories and by what seems to be the `paramount concern' of those involved to protect psychoanalysis by gathering evidence that supports its tenets and presuppositions</w:t>
      </w:r>
      <w:r w:rsidRPr="00087A72">
        <w:rPr>
          <w:sz w:val="16"/>
        </w:rPr>
        <w:t xml:space="preserve">.11 One exemplar of this psychoanalytically-informed anthropology is Geza Roheim who, in his 1950 book Psychoanalysis and Anthropology: culture, personality and the unconscious, dismisses anthropology as such at the outset and asserts the primacy of the psychoanalytic approach.12 Roheim goes on to claim as proof the statement that `dreams have the same latent meaning in all cultures'.13 Analysing the dream of a Navaho informant, Roheim notes at one point that it would be possible to proceed with the dream on the basis of the dreamer's own associations ± something one would expect any analyst to do ± but that `that would be irrelevant'. </w:t>
      </w:r>
      <w:r w:rsidRPr="00087A72">
        <w:rPr>
          <w:u w:val="single"/>
        </w:rPr>
        <w:t>For Roheim, the point is that `the urethral symbolism in the dream of the Navaho is exactly the same as in the dreams of any European or American patient'</w:t>
      </w:r>
      <w:r w:rsidRPr="00087A72">
        <w:rPr>
          <w:sz w:val="16"/>
        </w:rPr>
        <w:t xml:space="preserve">.14 Culture and context are therefore dismissed in favour of an asserted, not proven, universal symbolic language. Psychoanalysis emerges triumphant: `psychoanalytic interpretation is not culture bound, its methods are of universal validity. There can be many types of personality but only one Unconscious.'15 In the same year that Roheim's Psychoanalysis and Anthropology was published, Octave Mannoni, </w:t>
      </w:r>
      <w:r w:rsidRPr="00087A72">
        <w:rPr>
          <w:u w:val="single"/>
        </w:rPr>
        <w:t>a French psychoanalyst who had been a colonial administrator in Madagascar, published his Psychologie de la Colonisation, later translated into English as Prospero and Caliban: the psychology of colonization.16 Writing after an anti-colonial uprising in Madagascar in 1947 which was suppressed by the French at the cost of over 100,000 lives, Mannoni put forward the idea of a `dependency complex' among colonised peoples. Mannoni claimed that the revolt of the people of Madagascar was the result of motivations which were illogical and inexplicable in rational terms and had been led by sorcerers who duped their followers into believing that magic made them invincible</w:t>
      </w:r>
      <w:r w:rsidRPr="00087A72">
        <w:rPr>
          <w:sz w:val="16"/>
        </w:rPr>
        <w:t xml:space="preserve">. Mannoni's argument, if such it can be called, was that </w:t>
      </w:r>
      <w:r w:rsidRPr="00087A72">
        <w:rPr>
          <w:u w:val="single"/>
        </w:rPr>
        <w:t>colonised peoples were akin to children (here there are echoes of Freud) in that they were dependent on their masters/ parents</w:t>
      </w:r>
      <w:r w:rsidRPr="00087A72">
        <w:rPr>
          <w:sz w:val="16"/>
        </w:rPr>
        <w:t>. Mannoni even went so far as to say that colonisation required the existence of the need for dependence. Only those who had such a need for dependence could be colonised. Not surprisingly, Mannoni offered little evidence for his claims. What evidence could there possibly be? Despite its interest in the psychology of the coloniser as well as that of the colonised ± Mannoni did remark with some insight that `The Negro is the white man's fear of himself' ± the book is little more than a work of self-serving ideology, a work that uses psychoanalytic thinking to support the colonial status quo. As the anthropologist Maurice Bloch writes in his foreword to the 1990 edition: Mannoni knew little either about the Malagasy in general or the causes of the revolt in particular</w:t>
      </w:r>
      <w:r w:rsidRPr="00087A72">
        <w:rPr>
          <w:u w:val="single"/>
        </w:rPr>
        <w:t>. In fact, much of the elaborate theory we are presented with may be little more than an attempt to make up for this lack of comprehension by relying on psychoanalytic theories that supply facile motivational explanations for actions that at ®rst sight are meaningless to the foreign observe</w:t>
      </w:r>
      <w:r w:rsidRPr="00087A72">
        <w:rPr>
          <w:sz w:val="16"/>
        </w:rPr>
        <w:t xml:space="preserve">r . . . these ad hoc explanations can themselves become excuses for not bothering to ®nd more straightforward explanations.17 Mannoni's work may have been uncritically received in psychoanalytic circles, but it was rigorously denounced a few years after publication by the young revolutionary psychiatrist Frantz Fanon. In Peau Noire, Masques Blancs, published in 1952 (translated in 1967 as Black Skin, White Masks), </w:t>
      </w:r>
      <w:r w:rsidRPr="00087A72">
        <w:rPr>
          <w:u w:val="single"/>
        </w:rPr>
        <w:t>Fanon undertook an analysis, psychological and philosophical, of the state of being of the black man and, in the course of it, took issue with the `so called dependency complex' asserted by Mannoni.</w:t>
      </w:r>
      <w:r w:rsidRPr="00087A72">
        <w:rPr>
          <w:sz w:val="16"/>
        </w:rPr>
        <w:t xml:space="preserve">18 Acknowledging Mannoni's contribution to an understanding of colonialism in focusing on its hitherto neglected psychological aspects, Fanon nevertheless found himself not the least convinced by Mannoni. Or, rather, he counter-argued, </w:t>
      </w:r>
      <w:r w:rsidRPr="00087A72">
        <w:rPr>
          <w:u w:val="single"/>
        </w:rPr>
        <w:t>if there was indeed a sense of inferiority or dependency among colonised peoples, this was not something innate but something that had been created in the interaction between the coloniser and the colonised: `The feeling of inferiority of the colonised is the correlative to the European's feeling of superiority.</w:t>
      </w:r>
      <w:r w:rsidRPr="00087A72">
        <w:rPr>
          <w:sz w:val="16"/>
        </w:rPr>
        <w:t xml:space="preserve"> Let us have the courage to say it outright: It is the racist who creates his inferior.'19 Fanon is sometimes held up as an example ± the example perhaps ± of how to approach racism psychoanalytically, of the value of a psychoanalytic `reading' of racism. While it is true that Fanon wrote in the introduction to his classic text that only a psychoanalytic interpretation of `the black problem' could account for the structure of the complex, it has to be stressed that his psychoanalysis is a highly idiosyncratic one.20 It is poetic, informed by philosophy, particularly phenomenology, critically self-re¯exive, turned upon itself. At one point, Fanon dismisses Freud's notion of a universal Oedipus complex, one of the fundamental tenets of psychoanalysis: `</w:t>
      </w:r>
      <w:r w:rsidRPr="00087A72">
        <w:rPr>
          <w:u w:val="single"/>
        </w:rPr>
        <w:t>It would be relatively easy for me to show', he says, `that in the French Antilles 97 per cent of families cannot produce one Oedipal neurosis.'21 Researchers, he comments, are so imbued with the complexes of their own society that they feel compelled to ®nd them duplicated in the people they study. Fanon, in other words, is very far from being an orthodox follower of psychoanalysis. In his hands, psychoanalysis becomes something altogether different from the dogma</w:t>
      </w:r>
      <w:r w:rsidRPr="00087A72">
        <w:rPr>
          <w:sz w:val="16"/>
        </w:rPr>
        <w:t xml:space="preserve"> that prevailed either when he was alive or now. It is somewhat galling, therefore, to witness attempts at the incorporation and accommodation of this radical spirit and revolutionary man into a psychoanalytic canon, even an `alternative' one, or his incarnation as some kind of progenitor of `cultural studies'.22</w:t>
      </w:r>
    </w:p>
    <w:p w:rsidR="000314EC" w:rsidRPr="00087A72" w:rsidRDefault="000314EC" w:rsidP="000314EC">
      <w:pPr>
        <w:pStyle w:val="Heading4"/>
      </w:pPr>
      <w:r w:rsidRPr="00087A72">
        <w:t>Psychoanalytic theory enforces a dichotomy of “primitive” and “civilized” based on the subjective definition of what It means to be capable of rational thought. This characterizes selective groups as incapable of self-rule to justify continued domination of otherized bodies.</w:t>
      </w:r>
    </w:p>
    <w:p w:rsidR="000314EC" w:rsidRPr="00087A72" w:rsidRDefault="000314EC" w:rsidP="000314EC">
      <w:pPr>
        <w:rPr>
          <w:rStyle w:val="Style13ptBold"/>
        </w:rPr>
      </w:pPr>
      <w:r w:rsidRPr="00087A72">
        <w:rPr>
          <w:rStyle w:val="Style13ptBold"/>
        </w:rPr>
        <w:t xml:space="preserve">Fosh 13 </w:t>
      </w:r>
      <w:r w:rsidRPr="00087A72">
        <w:rPr>
          <w:rStyle w:val="Style13ptBold"/>
          <w:b w:val="0"/>
        </w:rPr>
        <w:t>(Stephen</w:t>
      </w:r>
      <w:r w:rsidRPr="00087A72">
        <w:rPr>
          <w:rStyle w:val="Style13ptBold"/>
        </w:rPr>
        <w:t xml:space="preserve">, </w:t>
      </w:r>
      <w:r w:rsidRPr="00087A72">
        <w:rPr>
          <w:color w:val="666666"/>
          <w:sz w:val="18"/>
          <w:szCs w:val="18"/>
        </w:rPr>
        <w:t>Professor of Psychology and Pro-Vice-Master</w:t>
      </w:r>
      <w:r w:rsidRPr="00087A72">
        <w:rPr>
          <w:rStyle w:val="Style13ptBold"/>
        </w:rPr>
        <w:t>,</w:t>
      </w:r>
      <w:r w:rsidRPr="00087A72">
        <w:rPr>
          <w:color w:val="666666"/>
          <w:sz w:val="18"/>
          <w:szCs w:val="18"/>
        </w:rPr>
        <w:t xml:space="preserve"> B.A. (Sussex), M.Phil., Ph.D. (Lond). “Psychoanalysis, Colonialism, Racism” Journal of Theoretical and Philosophical Psychology 2013, Vol. 33, No. 3, 141–146squirms)</w:t>
      </w:r>
    </w:p>
    <w:p w:rsidR="000314EC" w:rsidRPr="00087A72" w:rsidRDefault="000314EC" w:rsidP="000314EC">
      <w:pPr>
        <w:tabs>
          <w:tab w:val="left" w:pos="3180"/>
        </w:tabs>
        <w:rPr>
          <w:sz w:val="8"/>
        </w:rPr>
      </w:pPr>
      <w:r w:rsidRPr="00087A72">
        <w:rPr>
          <w:sz w:val="8"/>
        </w:rPr>
        <w:tab/>
        <w:t xml:space="preserve">Relationships between psychology and postcolonial theory are mediated in a variety of ways, most of them uncomfortable. This discomfort is produced by a mixture of criticism and what one might call a kind of studied blindness that produces a blank, uncomprehending hostility. The general direction of criticism has been from postcolonial theory to psychology; the converse, a psychological engagement with postcolonialism, is relatively rare, given the stance of apolitical naivety that academic psychology commonly adopts. “What has this to do with us?” is perhaps the most predictable response to questions about what psychology might have to say about, and how it might be implicated in, colonialist discourse. This is despite the existence of some contemporary writing from within psychology that shows exactly what it “has to do with us”. </w:t>
      </w:r>
      <w:r w:rsidRPr="00087A72">
        <w:rPr>
          <w:rStyle w:val="StyleUnderline"/>
        </w:rPr>
        <w:t>This writing refers both to the damage psychology perpetrates and the strands within it that might ﬁll out the postcolonial critique of power by articulating the contribution of mental states to the perpetuation of colonial culture and, conversely, the impact of such culture on the construction of the psychological—and hence social—subject</w:t>
      </w:r>
      <w:r w:rsidRPr="00087A72">
        <w:rPr>
          <w:sz w:val="8"/>
        </w:rPr>
        <w:t xml:space="preserve"> (e.g., Hook, 2012). In this regard, it is ironic that one of the founding texts of postcolonial theory, Frantz Fanon’s (1952) Black Skin, White Masks, is explicitly psychological in its interests, centering on how colonialism “enters the skin” of its subjects. Paralleling this, some of the most vituperative disputes in the history of psychology can be seen as struggles reﬂecting the emergence of postcolonial perspectives—notably, the battles over “race and IQ” that split western university campuses in the 1970s and always threaten to recur (e.g., Rose, Kamin, &amp; Lewontin, 1984; Gould, 1996). At a more general level, it can perhaps be claimed that psychology and postcolonial theory need each other. Psychology needs postcolonialism quite patently, because without the challenge of postcolonial thinking it drifts into ahistorical and highly abstracted models of the mind that fail to theorize their temporal and spatial components. Postcolonialism needs psychology more subtly, because without some kind of effective psycho logical input it essentializes the sociohistorical and is left grasping for a theory of the subject that attends to its complex affective and fantasmatic life. This means that the failures of connection between the disciplines impoverishes both; more to the point, it results in a theory of the subject that is either asocial, or that neglects the agentic possibilities for resistance and change. When postcolonial studies and psychological theory have engaged with one another, it has most often been through psychoanalysis (e.g., Khanna, 2004). This is an especially complex situation, because of the controversial position psychoanalysis holds not only within postcolonial thought, but also in psychology. Denounced by most psychologists for the way it takes speculative license with evidence and for its lack of scientiﬁc credentials, it has become attractive to some critical social psychologists and, especially, to those advancing the new “subdiscipline” or transdisciplinary apparatus of psychosocial studies (Frosh &amp; Baraitser, 2008). This is partly because of the status of psychoanalysis as an outsider to, and hence critic of, mainstream academic psychology; </w:t>
      </w:r>
      <w:r w:rsidRPr="00087A72">
        <w:rPr>
          <w:rStyle w:val="StyleUnderline"/>
        </w:rPr>
        <w:t>but it is also more substantively because in focusing on subjectivity and the agency of unconscious life, it creates an opportunity for considering how the human subject is not self-contained but is permeated by forces that it cannot necessarily understand or control. This means that although psychoanalysis has tended to concentrate on “internal” forces, it provides an opportunity to consider the social “saturation” of the subject; or, put another way, it gives leverage to theories that deal with the formation of the human as a social subject.</w:t>
      </w:r>
      <w:r w:rsidRPr="00087A72">
        <w:rPr>
          <w:sz w:val="8"/>
        </w:rPr>
        <w:t xml:space="preserve"> Psychoanalysis has been quite widely deployed in this way in some major social theories and has been advanced by internationalﬁguressuchasJudithButler(2005)and Slavoj Žižek (2006)—the former drawing on Laplanchian ideas about the penetration of the subject by the other; the latter perhaps the prime proselytiser for certain forms (Žižekian ones, we might say) of Lacanianism. Whatever the reasons, the situation remains that psychoanalysis, aberrant relative of psychology that it might be, occupies a productive space in the current panoply of transdisciplinary critical materials for intellectual study (Frosh, 2010) and that this is part of its appeal for postcolonial theorists. This article explores the prospects for a psychological contribution to postcolonial thought through the mediation of psychoanalysis. It does not attempt to deconstruct or historicize postcolonialism itself, at least to any signiﬁcant extent, further than to state the need for a postcolonial theory of the subject that incorporates an understanding of affective and “subjective” issues—precisely the area with which psychoanalysis is primarily concerned. The positioning of psychoanalysis as a progressive, critical approach is not, however, a particularly secure one. </w:t>
      </w:r>
      <w:r w:rsidRPr="00087A72">
        <w:rPr>
          <w:rStyle w:val="StyleUnderline"/>
        </w:rPr>
        <w:t>The central difﬁculty is the way psychoanalysis has frequently aligned itself with conformist and even “repressive” tendencies that reproduce colonial and at times racist tropes, often in the context of psychological individualism, but sometimes in an explicitly political manner</w:t>
      </w:r>
      <w:r w:rsidRPr="00087A72">
        <w:rPr>
          <w:sz w:val="8"/>
        </w:rPr>
        <w:t xml:space="preserve"> (Jacoby, 1983; Frosh, 1999). This is despite the existence of a contrary urge in psychoanalysis, especially reﬂected in the “critical theory” tradition that made use of it in the 1950s and 1960s (e.g., Marcuse, 1955) but also in the work of several followers of Lacan (Stavrakakis, 2007) and some British social reformists (Rustin, 1991). The tendency of American ego psychology to give prominence to “adaptationist” perspectives has been widely noted and has been criticized both by political radicals (e.g., Jacoby, 1975, 1983) and by Lacanians (cf. Roudinesco, 1990, p. 175: “According to [Lacan] such a psychological science had been affected by the ideals of the society in which it was produced”). The adoption of a strong antihomosexual bias by orthodox mid-20th century psychoanalysts has had particularly damaging consequences for the practice and reputation of psychoanalysis as a whole, even though recent attempts to reconcile psychoanalysis and queer theory are beginning to bear fruit (Frosh, 2006; Campbell, 2000). </w:t>
      </w:r>
      <w:r w:rsidRPr="00087A72">
        <w:rPr>
          <w:rStyle w:val="StyleUnderline"/>
        </w:rPr>
        <w:t>Psychoanalytic assumptions about the nature of a civilized mind will be brieﬂy discussed below; but overt forms of racism, notably antisemitism, have also on occasions been evident in its institutional practices</w:t>
      </w:r>
      <w:r w:rsidRPr="00087A72">
        <w:rPr>
          <w:sz w:val="8"/>
        </w:rPr>
        <w:t xml:space="preserve"> (Frosh, 2005, 2012). Most relevantly, </w:t>
      </w:r>
      <w:r w:rsidRPr="00087A72">
        <w:rPr>
          <w:rStyle w:val="StyleUnderline"/>
        </w:rPr>
        <w:t>colonialism is a deeply problematic issue for psychoanalysis, because it is engrained in much psychoanalytic thinking and terminology, and this has effects on contemporary theory and practice in ways that are not always recognized</w:t>
      </w:r>
      <w:r w:rsidRPr="00087A72">
        <w:rPr>
          <w:sz w:val="8"/>
        </w:rPr>
        <w:t>. For example, as discussed further below</w:t>
      </w:r>
      <w:r w:rsidRPr="00087A72">
        <w:rPr>
          <w:rStyle w:val="StyleUnderline"/>
        </w:rPr>
        <w:t>, psychoanalysts often draw on the language of the “primitive” to refer to unreasoning elements of people’s psychic lives. Thus, a notion that someone might be evincing a “primitive fantasy of destruction” is a very familiar one, but what is not acknowledged is that this terminology not only has its roots in a colonial opposition between primitive and civilized, but it also reproduces this division “unconsciously” when it is used.</w:t>
      </w:r>
      <w:r w:rsidRPr="00087A72">
        <w:rPr>
          <w:sz w:val="8"/>
        </w:rPr>
        <w:t xml:space="preserve"> This is to say, </w:t>
      </w:r>
      <w:r w:rsidRPr="00087A72">
        <w:rPr>
          <w:rStyle w:val="StyleUnderline"/>
        </w:rPr>
        <w:t>the terminology is full of associations that position some ideas as civilized and some as primitive, reinforcing a developmental scheme that is heavily inﬂected by assumptions about the relationship between seemingly irrational and rational thought processes— and in particular who might “own” them</w:t>
      </w:r>
      <w:r w:rsidRPr="00087A72">
        <w:rPr>
          <w:sz w:val="8"/>
        </w:rPr>
        <w:t xml:space="preserve">. The history of this stretches back to the beginnings of psychoanalysis, </w:t>
      </w:r>
      <w:r w:rsidRPr="00087A72">
        <w:rPr>
          <w:rStyle w:val="StyleUnderline"/>
        </w:rPr>
        <w:t>reﬂecting the colonial and racist (including antisemitic) assumptions prevalent in the Europe out of which psychoanalysis arose. Freud deployed the idea that the thinking of what he called “savages” was not only contrasted to “civilized” mentality, but also revealed the origins of mental life both for the culture as a whole</w:t>
      </w:r>
      <w:r w:rsidRPr="00087A72">
        <w:rPr>
          <w:sz w:val="8"/>
        </w:rPr>
        <w:t xml:space="preserve"> (the contemporary </w:t>
      </w:r>
      <w:r w:rsidRPr="00087A72">
        <w:rPr>
          <w:rStyle w:val="StyleUnderline"/>
        </w:rPr>
        <w:t>savage being a throwback to the precursors of modern “man”) and for the individual (the savage mind being like that of a child).</w:t>
      </w:r>
      <w:r w:rsidRPr="00087A72">
        <w:rPr>
          <w:sz w:val="8"/>
        </w:rPr>
        <w:t xml:space="preserve"> For example, at the beginning of TotemandTaboo,subtitledSomePointsofAgreement between the Mental Lives of Savages and Neurotics, he wrote, There are men still living who, as we believe, stand very near to primitive man, far nearer than we do, and whom we therefore regard as his direct heirs and representatives. Such is our view of those whom we describe as savages or half-savages; and their mental life must have a peculiar interest for us if we are right in seeing in it a well-preserved picture of an early stage of our own development. (Freud, 1913, pp. 1) The repetitive ﬁrst person plural pronoun is notable here: “we believe,” “we do,” “we regard,” “our view,” “we describe,” “us,” “our own development”. The savage is the other, the not “us”; though as will be outlined brieﬂy below, there is quite a degree of subtlety in what this might mean. Freud also was explicit about how “savages” share attributes with children, both in terms of how they think, and how they are thought about by “we adults”. “It seems to me quite possible,” he wrote (p. 99), </w:t>
      </w:r>
      <w:r w:rsidRPr="00087A72">
        <w:rPr>
          <w:rStyle w:val="StyleUnderline"/>
        </w:rPr>
        <w:t>“that the same may be true of our attitude toward the psychology of those races that have remained at the animistic level as is true of our attitude toward the mental life of children, which we adults no longer understand and whose fullness and delicacy of feeling we have in consequence so greatly underestimated”. The adoption of a binary between savage and civilized is not perhaps intrinsically racist and colonialist, but the assumption that the latter always displaces the former and, more importantly, that the terms can be applied to different people, is</w:t>
      </w:r>
      <w:r w:rsidRPr="00087A72">
        <w:rPr>
          <w:sz w:val="8"/>
        </w:rPr>
        <w:t>. In Freud’s thought, savage societies hold to various types of irrational thinking (concreteness, mystical attitudes to death, etc.), processes reviewed throughout Totem and Taboo (Freud, 1913) and explicitly linked with children in more “civilized” societies. For instance, in writing of wish fulﬁllment (p. 84), Freud commented, If children and primitive men ﬁnd play and imitative representation enough for them, that is not a sign of their being unassuming in our sense or of their resignedly accepting their actual impotence. It is the easily understandable result of the paramount virtue they ascribe to their wishes, of the will that is associated with those wishes and of the methods by which those wishes operate. These ways of thinking make them “primitive” in the developmental sense that they should normatively be overcome by more advanced modes of being—a theme also taken up in the analysis of religion in The Future of an Illusion (Freud, 1927). Although Freud himself does not press for political action that does this—he was interested rather in how science might overcome superstition—</w:t>
      </w:r>
      <w:r w:rsidRPr="00087A72">
        <w:rPr>
          <w:rStyle w:val="StyleUnderline"/>
        </w:rPr>
        <w:t xml:space="preserve">the general approach is consistent with the justiﬁcation of colonialism and even slavery on the grounds of the inherent inferiority of the primitive. There is another subtle turn here, </w:t>
      </w:r>
      <w:r w:rsidRPr="00087A72">
        <w:rPr>
          <w:rStyle w:val="StyleUnderline"/>
          <w:sz w:val="8"/>
          <w:u w:val="none"/>
        </w:rPr>
        <w:t>however, that is speciﬁc to Freud and the early history of psychoanalysis, relating to the intense antisemitism of Freud’s time.</w:t>
      </w:r>
      <w:r w:rsidRPr="00087A72">
        <w:rPr>
          <w:rStyle w:val="StyleUnderline"/>
        </w:rPr>
        <w:t xml:space="preserve"> Gilman (1993) showed how deeply rooted antisemitism was in the beliefs of many Europeans, markedly so in the Viennese among whom psychoanalysis grew up, and how widespread were ideas such as that Jews were castrated (hence, feminine), that they were “oriental” and maybe even “black,” and that they were primitive in the religious sense (Christianity having displaced Judaism) but also psychologically, socially, and racially.</w:t>
      </w:r>
      <w:r w:rsidRPr="00087A72">
        <w:rPr>
          <w:sz w:val="8"/>
        </w:rPr>
        <w:t xml:space="preserve"> Gilman suggested that Freud, consciously or unconsciously, constructed some of the most conspicuously radical elements of his theory in response to this. For instance, Gilman argued that the trope that Jewish men are castrated through circumcision is replaced in psychoanalysis by the idea that the castration complex is universal, so that all people— including the most gentile—follow a model set by the Jews</w:t>
      </w:r>
      <w:r w:rsidRPr="00087A72">
        <w:rPr>
          <w:rStyle w:val="StyleUnderline"/>
        </w:rPr>
        <w:t>. This Freudian impulse to disarm antisemitism by positioning the Jews as the truly civilized people (which was mirrored in the idea that as nationalism took hold in Europe at the end of the 19th century, the Jews might be the only “true Europeans” oriented toward a transnational comity) results in a shifting of the “other” of European society away from the Jew and toward the “savage,” that is, the colonized, Black “primitive” of slavery and the European imagination</w:t>
      </w:r>
      <w:r w:rsidRPr="00087A72">
        <w:rPr>
          <w:sz w:val="8"/>
        </w:rPr>
        <w:t xml:space="preserve">. This theoretical move attempts to relieve Jews from the opprobrium of primitivity (unsuccessfully, as was demonstrated unequivocally just a few years later) by passing it onto the colonized other. There is always a danger with summary accounts such as this one, that the history it sketches simplistically reduces a tension-ﬁlled and ambiguous process to a linear narrative. It is certainly the case, for example, that psychoanalysis was from the start full of impulses that challenged and subverted the assumptions of the societies in which it found itself. Indeed, this is one reason for the mixture of explosive embrace and resistance that characterized the response to psychoanalysis: On the one hand, it fuelled enormous shifts in self-perception, artistic creativity and even political and economic thought (not conﬁned to outspoken radicals— see, e.g., John Maynard Keynes’, 1919, 1936, post-World War 1 use of Freudian ideas to argue for the importance of emotional factors in economics). In many respects, it is precisely in the tension between what Toril Moi (1989, p. 197) called, in relation to the attitude of psychoanalysis to femininity, Freud’s “colonizing impulse” and its contrary acceptance of “the logic of another scene”—the speciﬁc expressiveness of unconscious life—that the creativity of psychoanalysis inheres. Nevertheless, consideration of the rootedness of much psychoanalytic thought in colonial assumptions is important not merely to sweep away the ideological detritus, but also to identify where the investments of psychoanalysis can provide leverage for understanding the place of psychosocial theory in the postcolonial project. A further example of the “detritus” might be found in some work by Celia Brickman (2003), which offers an extensive account of how the language of primitivity infects psychoanalysis. Like Gilman, she notes how </w:t>
      </w:r>
      <w:r w:rsidRPr="00087A72">
        <w:rPr>
          <w:rStyle w:val="StyleUnderline"/>
        </w:rPr>
        <w:t>Freud’s “universalizing reconﬁgurations” (p. 165) turn the despised Jewish body into the model for humanity as a whole. From the perspective of postcolonialism, however, this move, which is subversive in relation to antisemitism, is “made at considerable expense,” because “the modalities of inferiority previously ascribed to the Jews did not simply disappear but were ambivalently displaced onto a series of abjected others: primitives, women and homosexuals”.</w:t>
      </w:r>
      <w:r w:rsidRPr="00087A72">
        <w:rPr>
          <w:sz w:val="8"/>
        </w:rPr>
        <w:t xml:space="preserve"> Brickman elaborated on how the assimilation of the Jewish other to Europeanism positions psychoanalysis as a colonialist discipline and incorporates racism into its fabric of argumentation. Categorized as a member of a primitive race, Freud repudiated primitivity, locating himself and his work within European civilization, with both its scientiﬁc and colonizing enterprises, and replacing the opposition of Aryan/Jew with the opposition of civilized/primitive (p. 167). In relation to psychoanalytic practice, primitive usually means either or both of fundamental and irrational</w:t>
      </w:r>
      <w:r w:rsidRPr="00087A72">
        <w:rPr>
          <w:rStyle w:val="StyleUnderline"/>
        </w:rPr>
        <w:t>. A primitive impulse is never a rational one; it always arises unmediated from the unconscious and hence has not been worked over by the secondary processes of thought. The sleight of hand then is to link this kind of primitivity with the irrationality of the colonized other and then to make rationality itself the marker of civilized human society—or even of what it means to be human at all</w:t>
      </w:r>
      <w:r w:rsidRPr="00087A72">
        <w:rPr>
          <w:sz w:val="8"/>
        </w:rPr>
        <w:t xml:space="preserve">. After all, when one loses one’s power of reason, one ceases to be able to function as human at least to the degree that equal citizenship is at risk. </w:t>
      </w:r>
      <w:r w:rsidRPr="00087A72">
        <w:rPr>
          <w:rStyle w:val="StyleUnderline"/>
        </w:rPr>
        <w:t>In the colonial context, this justiﬁes colonization: irrational primitives cannot be trusted to run their own affairs; the civilized European is justiﬁably superior, for everyone’s good</w:t>
      </w:r>
      <w:r w:rsidRPr="00087A72">
        <w:rPr>
          <w:sz w:val="8"/>
        </w:rPr>
        <w:t xml:space="preserve">. Commenting on Freud’s anthropological speculation, Brickman (2003) noted how the psyche comes to be envisaged as a representation of colonialism and hence how Freud explicitly parallels the structure of the mind with that of (colonial) society: </w:t>
      </w:r>
      <w:r w:rsidRPr="00087A72">
        <w:rPr>
          <w:rStyle w:val="StyleUnderline"/>
        </w:rPr>
        <w:t>[By] correlating the progression of narcissism, the oedipal stage, and maturity with animism (savagery), religion (barbarianism), and science (civilisation), Totem and Taboo transposed the racial assumptions of the cultural evolutionary scale onto the modern psyche . . . The psychoanalytically conceived norm of mature subjectivity was, by virtue of the correlation of libidinal development with the cultural evolutionary scale, a rationalism whose unstated color was white, just as its unstated gender was male</w:t>
      </w:r>
      <w:r w:rsidRPr="00087A72">
        <w:rPr>
          <w:sz w:val="8"/>
        </w:rPr>
        <w:t>. (p. 72) Even though these Freudian assumptions are mainly unstated, the terminology and the conceptual baggage of the savage” and the barbarian remained with psychoanalysis for some time and is still lying only just-dormant in those references to “primitive feelings” that often can be found in clinical psychoanalytic discussions. A certain mode of rationality is given priority here, which is attached to masculine “reason” as it has developed over the period of industrial modernity (Frosh, 1994). That which falls short of it—</w:t>
      </w:r>
      <w:r w:rsidRPr="00087A72">
        <w:rPr>
          <w:rStyle w:val="StyleUnderline"/>
        </w:rPr>
        <w:t>the “unreason” attributed to women, children, and primitive cultures—is derogated and made subject to reason’s imperialism</w:t>
      </w:r>
      <w:r w:rsidRPr="00087A72">
        <w:rPr>
          <w:sz w:val="8"/>
        </w:rPr>
        <w:t xml:space="preserve">. This is not, of course, to imply that one should fully afﬁrm unreason as a simple alternative to colonial reason; it is rather to claim that </w:t>
      </w:r>
      <w:r w:rsidRPr="00087A72">
        <w:rPr>
          <w:rStyle w:val="StyleUnderline"/>
        </w:rPr>
        <w:t>the reason– unreason opposition is itself rooted in a colonial mentality that supports it and narrows the range of what is culturally validated.</w:t>
      </w:r>
      <w:r w:rsidRPr="00087A72">
        <w:rPr>
          <w:sz w:val="8"/>
        </w:rPr>
        <w:t xml:space="preserve"> In a similar vein, Neil Altman (2000, p. 591) commented, “</w:t>
      </w:r>
      <w:r w:rsidRPr="00087A72">
        <w:rPr>
          <w:rStyle w:val="StyleUnderline"/>
        </w:rPr>
        <w:t>When Freud the ego psychologist said, ‘Where id was, there ego shall be,’ he deﬁned the goals of psychoanalysis in terms reminiscent of the colonial mentality. In this sense, the structure of racism is built into structural psychoanalytic theory, particularly in its ego-psychological form”</w:t>
      </w:r>
      <w:r w:rsidRPr="00087A72">
        <w:rPr>
          <w:sz w:val="8"/>
        </w:rPr>
        <w:t>. This claim is itself resonant of the critique of ego psychology mentioned earlier. The argument runs that because this form of psychoanalysis assumes reason to be superior to unreason</w:t>
      </w:r>
      <w:r w:rsidRPr="00087A72">
        <w:rPr>
          <w:rStyle w:val="StyleUnderline"/>
        </w:rPr>
        <w:t>, its concurrent assumption that unreason is characteristic of “primitives” means that it is promoting a colonizing process (reason trumping unreason; civilized displacing primitive) that is embedded in a racist paradig</w:t>
      </w:r>
      <w:r w:rsidRPr="00087A72">
        <w:rPr>
          <w:sz w:val="8"/>
        </w:rPr>
        <w:t xml:space="preserve">m. As an instructive aside, it is perhaps worth noting that ego psychology itself has a complex set of origins, one of which regularly gets lost when its notions of adaptation are pronounced solely conformist and colonialist. The occlusion here is of the personal history of most of the post Second World War American ego psychologists as migrants or refugees from Nazi Europe. Their concerns were indeed to ﬁnd creative ways to adapt to a new society; in addition, they were exercised by the explosion of irrationality that had overwhelmed their lost homelands, and their impulse to ﬁnd ways to fend this off and protect future societies from its recurrence was perhaps understandable. </w:t>
      </w:r>
      <w:r w:rsidRPr="00087A72">
        <w:rPr>
          <w:rStyle w:val="StyleUnderline"/>
        </w:rPr>
        <w:t>The argument so far is that psychoanalysis has some of its roots in colonialist assumptions that continue to resonate in contemporary theory and clinical practice. Even though this is counterposed with a more complicated investment in a “seditious” mode of critique, the extent to which psychoanalysis is implicated in a colonialist frame makes it a problematic candidate for postcolonial and antiracist adoption.</w:t>
      </w:r>
      <w:r w:rsidRPr="00087A72">
        <w:rPr>
          <w:sz w:val="8"/>
        </w:rPr>
        <w:t xml:space="preserve"> Nevertheless, it is the case that psychoanalysis also inﬂuences contemporary postcolonial theory. This is mainly for two related reasons, one shared with many other disciplines (including psychology) and the other perhaps speciﬁc to psychoanalysis. </w:t>
      </w:r>
      <w:r w:rsidRPr="00087A72">
        <w:rPr>
          <w:rStyle w:val="StyleUnderline"/>
        </w:rPr>
        <w:t>First, the tortured history of psychoanalysis reveals how colonialism infects even disciplines that also have subversive possibilities. Psychoanalysis is a key instance of an attempt to speak “from the margins” about Western culture, and indeed to reveal explicitly how the claim of the west to progress and rationality is underpinned by violence and irrationality</w:t>
      </w:r>
      <w:r w:rsidRPr="00087A72">
        <w:rPr>
          <w:sz w:val="8"/>
        </w:rPr>
        <w:t>. In his theory of culture, Freud proposed that the murder of the primal father was the basis for all civilization, including (in his 1939 text, Moses and Monotheism) monotheistic religion. In relation to individual psychology</w:t>
      </w:r>
      <w:r w:rsidRPr="00087A72">
        <w:rPr>
          <w:rStyle w:val="StyleUnderline"/>
        </w:rPr>
        <w:t>, the notion of the dynamic unconscious is such that it places the supposedly primitive at the core of even the most civilized subject. The unconscious is universal, no one is exempt from it; even the most reﬁned person has lust and aggression within. Psychoanalysis reveals this and is consequently a radical opponent of the primitive/civilized distinction. Yet, psychoanalysis carries within it a history of racism and antisemitism that is still visible, not only in the fascination with the “primitive” mentioned above, but even in quite recent outbursts of antisemitism</w:t>
      </w:r>
      <w:r w:rsidRPr="00087A72">
        <w:rPr>
          <w:sz w:val="8"/>
        </w:rPr>
        <w:t xml:space="preserve"> (Frosh, 2012). Psychoanalysis is thus an exemplary incidence of a disciplinary practice that both draws on colonialism and disrupts its categories at the same time, and exploring how this happens can teach us a great deal about the tentacles of colonialism and racism in intellectual life. Second, perhaps because it does speak from the heart of colonialism, psychoanalysis offers a route toward explicating the workings of the colonial mind and its legacy in the postcolonial world. Ranging from Fanon’s (1952) seminal alytic ideas to the identity construction of the colonized mind (as well as to the explanation of racism), to more recent uses of Freudian theory in explorations of the “melancholic” aspects of the postcolonial state (Khanna, 2004), psychoanalysis has offered a vocabulary and set of conceptual tools for articulating the subtle manner in which sociocultural processes construct, and are in turn supported by, psychic conﬁgurations. Edward Said (2003) provided one summary of this in his presentation of Freud’s late work, speciﬁcally Moses and Monotheism (1939), as a critique of personal and national identity. This is constituted in “Freud”s profound exempliﬁcation of the insight that even for the most deﬁnable, the most identiﬁable, the most stubborn communal identity—for him, this was the Jewish identity—there are inherent limits that prevent it from being fully incorporated into one, and only one, Identity” (Said, 2003, p. 53). Freud’s proposition that Moses was an Egyptian emphasizes how a nation is never homogeneous, either “genetically” (i.e., “racially”) or culturally. The most important founding ﬁgure of Jewish culture is, according to Freud, an outsider, which is a speciﬁc instance of a general rule that can be applied everywhere—that identities are always heterogeneous and fractured. </w:t>
      </w:r>
      <w:r w:rsidRPr="00087A72">
        <w:rPr>
          <w:rStyle w:val="StyleUnderline"/>
        </w:rPr>
        <w:t>This emphasis on the “outsider” at the heart of the nation also undermines claims for the ﬁxedness and superiority of European colonial culture, pointing to the reality that at its source is a hidden otherness</w:t>
      </w:r>
      <w:r w:rsidRPr="00087A72">
        <w:rPr>
          <w:sz w:val="8"/>
        </w:rPr>
        <w:t xml:space="preserve">. There is no single identity, it is always open to the other, and claims for its univocality depend on drowning out the voices of the others that have given it shape. </w:t>
      </w:r>
      <w:r w:rsidRPr="00087A72">
        <w:rPr>
          <w:rStyle w:val="StyleUnderline"/>
        </w:rPr>
        <w:t>The European is thus infected from the start with the disruptive presence of the colonized, and psychoanalysis shows how this occurs.</w:t>
      </w:r>
    </w:p>
    <w:p w:rsidR="000314EC" w:rsidRPr="00087A72" w:rsidRDefault="000314EC" w:rsidP="000314EC">
      <w:pPr>
        <w:tabs>
          <w:tab w:val="left" w:pos="3180"/>
        </w:tabs>
      </w:pPr>
    </w:p>
    <w:p w:rsidR="000314EC" w:rsidRPr="00087A72" w:rsidRDefault="000314EC" w:rsidP="000314EC">
      <w:pPr>
        <w:pStyle w:val="Heading4"/>
      </w:pPr>
      <w:r w:rsidRPr="00087A72">
        <w:t>Lacanian analysis fails to account for the way blackness and other dominated subject positions are constructed through colonial domination. The concept of subject formation is an inherently white structure that allows it to categorize the otherized body under its own colonial gaze.</w:t>
      </w:r>
    </w:p>
    <w:p w:rsidR="000314EC" w:rsidRPr="00087A72" w:rsidRDefault="000314EC" w:rsidP="000314EC">
      <w:pPr>
        <w:rPr>
          <w:rStyle w:val="Style13ptBold"/>
        </w:rPr>
      </w:pPr>
      <w:r w:rsidRPr="00087A72">
        <w:rPr>
          <w:rStyle w:val="Style13ptBold"/>
        </w:rPr>
        <w:t xml:space="preserve">Fosh 13 </w:t>
      </w:r>
      <w:r w:rsidRPr="00087A72">
        <w:rPr>
          <w:rStyle w:val="Style13ptBold"/>
          <w:b w:val="0"/>
        </w:rPr>
        <w:t>(Stephen</w:t>
      </w:r>
      <w:r w:rsidRPr="00087A72">
        <w:rPr>
          <w:rStyle w:val="Style13ptBold"/>
        </w:rPr>
        <w:t xml:space="preserve">, </w:t>
      </w:r>
      <w:r w:rsidRPr="00087A72">
        <w:rPr>
          <w:color w:val="666666"/>
          <w:sz w:val="18"/>
          <w:szCs w:val="18"/>
        </w:rPr>
        <w:t>Professor of Psychology and Pro-Vice-Master</w:t>
      </w:r>
      <w:r w:rsidRPr="00087A72">
        <w:rPr>
          <w:rStyle w:val="Style13ptBold"/>
        </w:rPr>
        <w:t>,</w:t>
      </w:r>
      <w:r w:rsidRPr="00087A72">
        <w:rPr>
          <w:color w:val="666666"/>
          <w:sz w:val="18"/>
          <w:szCs w:val="18"/>
        </w:rPr>
        <w:t xml:space="preserve"> B.A. (Sussex), M.Phil., Ph.D. (Lond). “Psychoanalysis, Colonialism, Racism” Journal of Theoretical and Philosophical Psychology 2013, Vol. 33, No. 3, 146-148squirms)</w:t>
      </w:r>
    </w:p>
    <w:p w:rsidR="000314EC" w:rsidRPr="00087A72" w:rsidRDefault="000314EC" w:rsidP="000314EC">
      <w:pPr>
        <w:tabs>
          <w:tab w:val="left" w:pos="3180"/>
        </w:tabs>
        <w:rPr>
          <w:b/>
          <w:u w:val="single"/>
        </w:rPr>
      </w:pPr>
      <w:r w:rsidRPr="00087A72">
        <w:rPr>
          <w:sz w:val="8"/>
        </w:rPr>
        <w:t xml:space="preserve">The second part of this article illustrates how psychoanalysis might act on this potential to ﬁll out postcolonial theory. The adoption of psychoanalysis by postcolonial theory has a very speciﬁc origin in Fanon’s (1952) Black Skin, White Masks. The central chapter’s violent opening haunts Fanon’s whole book and everything that has come since, and focuses attention on the impact of a certain kind of alienating gaze. Fanon saw himself observed: “Dirty nigger!”’ or simply, “Look, a Negro!” I came into the world imbued with the will to ﬁnd a meaning in things, my spirit ﬁlled with the desire to attain to the source of the world, and then I found that I was an object in the midst of other objects (pp. 109). And a few pages later, where the observer is explicitly a child: “Look, a Negro!” It was an external stimulus that ﬂicked over me as I passed by. I made a tight smile. “Look, a Negro!” It was true, it amused me. ‘Look, a Negro!’ The circle was drawing a bit tighter. I made no secret of my amusement. “Mama, see the Negro! I’m frightened”. Frightened! Frightened! Now they were beginning to be afraid of me. I made up my mind to laugh myself to tears, but laughter had become impossible (pp. 111–112). This episode is commonly read in the light both of a Sartrean kind of alienation, in which the Black man is denied the reﬂection in the eyes of the other that would constitute him as a subject, and in terms of the Lacanian mirror phase (Lacan, 1949), which Fanon explicitly references later on (p. 161). In the latter, psychoanalytic, case, an important point is the difference between Fanon and Lacan, which is not marked by Fanon himself but is signiﬁcant for comprehending psychoanalysis’ limitations as well as its promise. Fundamentally, the difference is in terms of cultural relativity or speciﬁcity, as against the universalizing tendency of psychoanalytic reductionism. </w:t>
      </w:r>
      <w:r w:rsidRPr="00087A72">
        <w:rPr>
          <w:rStyle w:val="StyleUnderline"/>
          <w:b/>
        </w:rPr>
        <w:t>The culturally undifferentiated Lacanian mirror phase attributes alienation to the adoption of the visual image as the “truth” of the subject, and sees all subjects as similarly constructed by this process. The Lacanian subject looks in the mirror and sees its image reﬂected back to it, and then appropriates that image as a source of comfort and a way of making meaning out of what was previously fragmented experience. In so doing, the subject adopts as “real” the image given back to it from the mirror; for Lacan, this is a description of how the ego functions to cover over the Real.</w:t>
      </w:r>
      <w:r w:rsidRPr="00087A72">
        <w:rPr>
          <w:sz w:val="8"/>
        </w:rPr>
        <w:t xml:space="preserve"> Fanon, however, offers a speciﬁcally racialized version. </w:t>
      </w:r>
      <w:r w:rsidRPr="00087A72">
        <w:rPr>
          <w:b/>
          <w:u w:val="single"/>
        </w:rPr>
        <w:t>The Black subject, subjected to the racist gaze, sees itself in the White mirror that removes the possibility of self-assertion and mastery and instead creates further fragmentation. The Black subject is positioned as an object (“I was an object in the midst of other objects”)and does not appropriate the fantasy of integrated subjectivity. What has happened is that the Black subject has been ﬁxed by an external gaze—the “mirror-as-camera”</w:t>
      </w:r>
      <w:r w:rsidRPr="00087A72">
        <w:rPr>
          <w:sz w:val="8"/>
        </w:rPr>
        <w:t xml:space="preserve"> as Khanna (2004) put it. She went on: The psychoanalytic ambiguities of the mirror stage are, in a sense, then, the ﬂip side of the colonial machinery that renders the colonized subject split, and visible only when refracting a certain form of light. </w:t>
      </w:r>
      <w:r w:rsidRPr="00087A72">
        <w:rPr>
          <w:rStyle w:val="StyleUnderline"/>
          <w:b/>
        </w:rPr>
        <w:t>The modern colonized subject has, then, a different ontological makeup than that of the colonizer rendered through the relationship of looking, and not seeing oneself as a mask, but rather, one’s gestalt as a mask, and one’s mask as a self.</w:t>
      </w:r>
      <w:r w:rsidRPr="00087A72">
        <w:rPr>
          <w:sz w:val="8"/>
        </w:rPr>
        <w:t xml:space="preserve"> (p. 187) Kelly Oliver summarizes the way in which this marks out the Black subject as one who cannot share in the kind of alienation that western theorists posit as essential to human subjecthood. “For Fanon,” she wrote (2004, p. 24), </w:t>
      </w:r>
      <w:r w:rsidRPr="00087A72">
        <w:rPr>
          <w:b/>
          <w:u w:val="single"/>
        </w:rPr>
        <w:t>“if man is alienated because he is thrown into a world not of his own making, the Black man is doubly alienated because he is thrown there as one incapable of making meaning . . . The privilege of autonomy and creative meaning making has been bought at a cost to those othered as inferior, dependent, and incapable of making meaning”.</w:t>
      </w:r>
      <w:r w:rsidRPr="00087A72">
        <w:rPr>
          <w:sz w:val="8"/>
        </w:rPr>
        <w:t xml:space="preserve"> Earlier, she made an important point about the romance of alienation in the west, and the reality of a different kind of alienation forced on the “other” by colonialism. What Fanon identiﬁed as the difference between the Black man and man turns around this difference between originary alienation and its double, or underside, the alienation of colonization and oppression</w:t>
      </w:r>
      <w:r w:rsidRPr="00087A72">
        <w:rPr>
          <w:rStyle w:val="StyleUnderline"/>
          <w:b/>
        </w:rPr>
        <w:t>. Fanon suggested that the Black man is denied the form of alienation so precious to subjectivity according to various European philosophers. Rather, the Black man is the dark, invisible underside of the privilege of subjectivity constituting alienation (p. 3). Alienation of a certain kind—the ‘European notion of an alienation inherent in subjectivity’ (Ibid., p. 1)—is a luxury that allows certain people to deal with guilt and anxiety. Psychoanalysis recognizes it, notably in Lacan’s idea that separation of the subject from some little piece of reality—the “object a”—is essential for the constitution of subjectivity. When this separation collapses, for example when one comes face to face with a “double” in the form of an uncanny reminder of what one has become, the subject is deeply disturbed</w:t>
      </w:r>
      <w:r w:rsidRPr="00087A72">
        <w:rPr>
          <w:sz w:val="8"/>
        </w:rPr>
        <w:t xml:space="preserve">. Mladen Dolar (1996, p. 139) explained that it is here that the Lacanian account of anxiety is distinctive: rather than focusing on anxiety about loss (castration, birth anxiety, death): “it is the anxiety of gaining something too much, of too close a presence of the object. What one loses with anxiety is precisely the loss—the loss that made it possible to deal with a coherent reality”. </w:t>
      </w:r>
      <w:r w:rsidRPr="00087A72">
        <w:rPr>
          <w:rStyle w:val="StyleUnderline"/>
          <w:b/>
        </w:rPr>
        <w:t>The kind of “alienation inherent in subjectivity” that is seen as necessary for the construction of the emancipated subject is blocked by the colonial relationship, which in the Fanonian example forces the Black subject to be constructed in the eyes of the White.</w:t>
      </w:r>
      <w:r w:rsidRPr="00087A72">
        <w:rPr>
          <w:sz w:val="8"/>
        </w:rPr>
        <w:t xml:space="preserve"> The consequence is that the kinds of alienation that construct White and Black subjectivities are radically distinct from each other. The Lacanian frame again helps here</w:t>
      </w:r>
      <w:r w:rsidRPr="00087A72">
        <w:rPr>
          <w:rStyle w:val="StyleUnderline"/>
          <w:b/>
        </w:rPr>
        <w:t>. For the White subject, the mirror phase is characterized by a presentation of visual wholeness (the image in the mirror) that reassures the subject and leads to a sense of agency in the world. For the Black, colonized subject, the reﬂection is not of the image as seen by the subject her or himself (and directed by the gaze of the mother); it is a reﬂection of the colonizer’s gaze, and as such is doubly alienating</w:t>
      </w:r>
      <w:r w:rsidRPr="00087A72">
        <w:rPr>
          <w:sz w:val="8"/>
        </w:rPr>
        <w:t>. Fanon, wrote Oliver (2004, p. 21) “describes the effects of the white mirror as undermining any sense of uniﬁcation and control, and returning the black body and psyche to a state of fragmentation and lack of control”. Put more broadly, the colonized subject is alienated from the possible space of meaning-making; what she or he sees is not a look of recognition coming from the other, but a look of disdain, fear or blank incomprehension</w:t>
      </w:r>
      <w:r w:rsidRPr="00087A72">
        <w:rPr>
          <w:rStyle w:val="StyleUnderline"/>
          <w:b/>
        </w:rPr>
        <w:t>. Colonial power is built on this capacity of the colonizer to remove the source of subjecthood from the colonized; and this power is reﬂected and institutionalized continuously by the gaze, resting on and marking the skin through the process that Fanon called epidermalization. This particular kind of gaze projects the abjected elements of the White onto the skin of the Black. In particular, the Black is positioned as sexual, aggressive, and physical; and this legacy of slavery and colonialism continues to inhabit the dynamic of mastery that poisons the racialized subject</w:t>
      </w:r>
      <w:r w:rsidRPr="00087A72">
        <w:rPr>
          <w:sz w:val="8"/>
        </w:rPr>
        <w:t xml:space="preserve">. “For Fanon,” claimed Oliver (p. 51), “values are secreted, injected, born of the blood, amputated, and hemorrhaging; they are analogous to bodily ﬂuids. As such, they are dynamic and mobile; and more important, they move from body to body and can infect whole populations”. Racism is made viral by this. Fanon himself commented (1952), When one has grasped the mechanism described by Lacan, one can have no further doubt that the real Other for the White man is and will continue to be the Black man. And conversely. Only for the White man the Other is perceived on the level of the body image, absolutely as the not-self—that is, the unidentiﬁable, the unassimilable. (p. 161) The black functions as a necessary repository for the white’s disowned affects and fantasies— notably those of sexuality: </w:t>
      </w:r>
      <w:r w:rsidRPr="00087A72">
        <w:rPr>
          <w:b/>
          <w:u w:val="single"/>
        </w:rPr>
        <w:t>The White man is convinced that the Negro is a beast; if it is not the length of the penis, then it is the sexual potency that impresses him.</w:t>
      </w:r>
      <w:r w:rsidRPr="00087A72">
        <w:rPr>
          <w:sz w:val="8"/>
        </w:rPr>
        <w:t xml:space="preserve"> Face to face with the man who is “different from himself,” he needs to defend himself. In other words, to personify the Other. The Other will become the mainstay of his preoccupation and his desires. (Fanon, 1952, p. 170). </w:t>
      </w:r>
      <w:r w:rsidRPr="00087A72">
        <w:rPr>
          <w:b/>
          <w:u w:val="single"/>
        </w:rPr>
        <w:t>Sexuality in the ﬁeld of racism will be returned to below; but this kind of libidinally inﬂected racialised passion is a necessary component of an account one might try to give of why colonialism and racism are such inﬂamed, so personally felt, structures</w:t>
      </w:r>
      <w:r w:rsidRPr="00087A72">
        <w:rPr>
          <w:sz w:val="8"/>
        </w:rPr>
        <w:t>. Derek Hook (2012) also drew attention to the way Fanon’s notion of epidermalization “prioritizes the visual register, providing an understanding not just of the stark visibility of race but of the effects of the ‘racial gaze’” (p. 114). These authors and others emphasize how the White gaze constructs the Black subject from the outside, through the operations of bodily oppression and the kind of look that pins the denigrated other to the ground</w:t>
      </w:r>
      <w:r w:rsidRPr="00087A72">
        <w:rPr>
          <w:b/>
          <w:u w:val="single"/>
        </w:rPr>
        <w:t>. The gaze is both destructive and admiring; or rather it is full both of hate and of desire, and as such is marked by envy and by a search for a mirror that will reﬂect difference. The White subject needs the Black to deﬁne itself; and it desires the Black as the repository of those necessary things—above all, sexuality—which it has repudiated out of anxiety and self-loathing.</w:t>
      </w:r>
    </w:p>
    <w:p w:rsidR="00091D3F" w:rsidRPr="00087A72" w:rsidRDefault="00091D3F" w:rsidP="00091D3F">
      <w:pPr>
        <w:pStyle w:val="Heading4"/>
        <w:rPr>
          <w:rStyle w:val="Emphasis"/>
          <w:b/>
          <w:sz w:val="26"/>
          <w:u w:val="none"/>
        </w:rPr>
      </w:pPr>
      <w:r w:rsidRPr="00087A72">
        <w:rPr>
          <w:rStyle w:val="Emphasis"/>
          <w:sz w:val="26"/>
          <w:u w:val="none"/>
        </w:rPr>
        <w:t>Colonial psychiatric treatment is violent and a form of surveillance and data gathering. The ability to withstand pain and to amass data from inferior subjects only reifies the colonial hierarchy. The ways in which they use medicine shows how they perceive others, as animals and subjects to be tested on.</w:t>
      </w:r>
    </w:p>
    <w:p w:rsidR="00091D3F" w:rsidRPr="00087A72" w:rsidRDefault="00091D3F" w:rsidP="00091D3F">
      <w:r w:rsidRPr="00087A72">
        <w:rPr>
          <w:rStyle w:val="Style13ptBold"/>
        </w:rPr>
        <w:t>Anderson,2011</w:t>
      </w:r>
      <w:r w:rsidRPr="00087A72">
        <w:rPr>
          <w:rStyle w:val="Style13ptBold"/>
          <w:b w:val="0"/>
        </w:rPr>
        <w:t>(Warwick, Deborah,Jensen, Richard C Keller,</w:t>
      </w:r>
      <w:r w:rsidRPr="00087A72">
        <w:rPr>
          <w:rFonts w:ascii="Arial" w:hAnsi="Arial" w:cs="Arial"/>
          <w:color w:val="333333"/>
          <w:sz w:val="18"/>
          <w:szCs w:val="18"/>
          <w:shd w:val="clear" w:color="auto" w:fill="FFFFFF"/>
        </w:rPr>
        <w:t xml:space="preserve"> Warwick Anderson is Professor of History. From 2012-17 Warwick Anderson was ARC Laureate Fellow in the Department of History and the Center for Values, Ethics and the Law in Medicine. Additionally, he has an affiliation with the Unit for History and Philosophy of Science at Sydney and is a Professorial Fellow of the School of Population Health at the University of Melbourne. In 2018-19 he will be the Gough Whitlam and Malcolm Fraser Chair of Australian Studies at Harvard University. </w:t>
      </w:r>
      <w:r w:rsidRPr="00087A72">
        <w:rPr>
          <w:color w:val="333333"/>
          <w:shd w:val="clear" w:color="auto" w:fill="FFFFFF"/>
        </w:rPr>
        <w:t>Unconcious Dominions pg 211-214)(Tsar Adam)</w:t>
      </w:r>
    </w:p>
    <w:p w:rsidR="00091D3F" w:rsidRPr="00087A72" w:rsidRDefault="00091D3F" w:rsidP="00091D3F">
      <w:pPr>
        <w:rPr>
          <w:b/>
          <w:iCs/>
          <w:sz w:val="24"/>
          <w:u w:val="single"/>
        </w:rPr>
      </w:pPr>
      <w:r w:rsidRPr="00087A72">
        <w:rPr>
          <w:rStyle w:val="Emphasis"/>
        </w:rPr>
        <w:t>Yet, despite Yasmina/Ouarda’s suffering, to seek comfort in psychiatric treatment is to perpetuate the cycle of traumatic violence.</w:t>
      </w:r>
      <w:r w:rsidRPr="00087A72">
        <w:rPr>
          <w:rFonts w:ascii="Times New Roman" w:hAnsi="Times New Roman" w:cs="Times New Roman"/>
          <w:sz w:val="20"/>
          <w:szCs w:val="20"/>
        </w:rPr>
        <w:t xml:space="preserve"> In A Dying Colonialism and The Wretched of the Earth , </w:t>
      </w:r>
      <w:r w:rsidRPr="00087A72">
        <w:rPr>
          <w:rStyle w:val="Emphasis"/>
        </w:rPr>
        <w:t>Fanon presents medicine and psychiatry as ideological instruments of colonial power. Psychiatrists, by this account, see their Muslim patients as a data set for testing the limits of invasive therapies, as in the case where a French psychiatrist subjected a pregnant Tunisian woman to electroshock until she spontaneously delivered.</w:t>
      </w:r>
      <w:r w:rsidRPr="00087A72">
        <w:rPr>
          <w:rFonts w:ascii="Times New Roman" w:hAnsi="Times New Roman" w:cs="Times New Roman"/>
          <w:sz w:val="12"/>
          <w:szCs w:val="12"/>
        </w:rPr>
        <w:t xml:space="preserve">∂ Π </w:t>
      </w:r>
      <w:r w:rsidRPr="00087A72">
        <w:rPr>
          <w:rStyle w:val="Emphasis"/>
        </w:rPr>
        <w:t>They appear in the interrogation room both to administer shock treatments as a tool for interrogation as well as to assess the validity of a torture victim’s testimony, while their physician colleagues assess the body’s ability to withstand pain and punishment. The doctor exploits the native’s credulity—itself an invention of colonial psychiatric discourse— by selling useless medicines and performing x-rays with a vacuum canister. During the war, the physician refuses to treat Algerians with suspicious wounds or even inflicts further pain on the wounded</w:t>
      </w:r>
      <w:r w:rsidRPr="00087A72">
        <w:rPr>
          <w:rFonts w:ascii="Times New Roman" w:hAnsi="Times New Roman" w:cs="Times New Roman"/>
          <w:sz w:val="20"/>
          <w:szCs w:val="20"/>
        </w:rPr>
        <w:t xml:space="preserve">. </w:t>
      </w:r>
      <w:r w:rsidRPr="00087A72">
        <w:rPr>
          <w:rStyle w:val="Emphasis"/>
        </w:rPr>
        <w:t>Medicine constitutes a site of colonial surveillance and the clinic a means of amassing useful data in the assistance of domination</w:t>
      </w:r>
      <w:r w:rsidRPr="00087A72">
        <w:rPr>
          <w:rFonts w:ascii="Times New Roman" w:hAnsi="Times New Roman" w:cs="Times New Roman"/>
          <w:sz w:val="20"/>
          <w:szCs w:val="20"/>
        </w:rPr>
        <w:t>.</w:t>
      </w:r>
      <w:r w:rsidRPr="00087A72">
        <w:rPr>
          <w:rFonts w:ascii="Times New Roman" w:hAnsi="Times New Roman" w:cs="Times New Roman"/>
          <w:sz w:val="12"/>
          <w:szCs w:val="12"/>
        </w:rPr>
        <w:t xml:space="preserve">∂π </w:t>
      </w:r>
      <w:r w:rsidRPr="00087A72">
        <w:rPr>
          <w:rFonts w:ascii="Times New Roman" w:hAnsi="Times New Roman" w:cs="Times New Roman"/>
          <w:sz w:val="20"/>
          <w:szCs w:val="20"/>
        </w:rPr>
        <w:t>Even the objective truth of an accurate diagnosis is rejected by the colonized, Fanon notes, as it is always ‘‘vitiated by the lie of the colonial situation.’’</w:t>
      </w:r>
      <w:r w:rsidRPr="00087A72">
        <w:rPr>
          <w:rFonts w:ascii="Times New Roman" w:hAnsi="Times New Roman" w:cs="Times New Roman"/>
          <w:sz w:val="12"/>
          <w:szCs w:val="12"/>
        </w:rPr>
        <w:t xml:space="preserve">∂∫ </w:t>
      </w:r>
      <w:r w:rsidRPr="00087A72">
        <w:rPr>
          <w:rFonts w:ascii="Times New Roman" w:hAnsi="Times New Roman" w:cs="Times New Roman"/>
          <w:sz w:val="20"/>
          <w:szCs w:val="20"/>
        </w:rPr>
        <w:t xml:space="preserve">As with Fanon, </w:t>
      </w:r>
      <w:r w:rsidRPr="00087A72">
        <w:rPr>
          <w:rStyle w:val="Emphasis"/>
        </w:rPr>
        <w:t>psychiatry and medicine are forces of violent social control in Kateb’s work. Le Cadavre provides the clearest example, as it is the presence of psychiatry itself that situates the text in the realm of 212 | RICHARD C. KELLER madness.</w:t>
      </w:r>
      <w:r w:rsidRPr="00087A72">
        <w:rPr>
          <w:rFonts w:ascii="Times New Roman" w:hAnsi="Times New Roman" w:cs="Times New Roman"/>
          <w:sz w:val="20"/>
          <w:szCs w:val="20"/>
        </w:rPr>
        <w:t xml:space="preserve"> The cue that exposes the insanity of Mustapha’s mother is her patient’s gown; it is psychiatry’s trappings as much as her pathological appearance (her erratic ‘‘gaze of searing intensity,’’ her ‘‘hair stand[ing] up on her head’’) that diagnose her condition for the audience. </w:t>
      </w:r>
      <w:r w:rsidRPr="00087A72">
        <w:rPr>
          <w:rStyle w:val="Emphasis"/>
        </w:rPr>
        <w:t>Far from comforting, the hospital is a malicious force. The patient describes herself as ‘‘the escaped madwoman,’’ reinforcing the perception of the institution as a carceral rather than a therapeutic site</w:t>
      </w:r>
      <w:r w:rsidRPr="00087A72">
        <w:rPr>
          <w:rFonts w:ascii="Times New Roman" w:hAnsi="Times New Roman" w:cs="Times New Roman"/>
          <w:sz w:val="20"/>
          <w:szCs w:val="20"/>
        </w:rPr>
        <w:t xml:space="preserve">. In the background, a loudspeaker confirms the hospital’s menacing presence: ‘‘Electroshock! Electroshock! Electroshock!’’ </w:t>
      </w:r>
      <w:r w:rsidRPr="00087A72">
        <w:rPr>
          <w:rStyle w:val="Emphasis"/>
        </w:rPr>
        <w:t>Like Oedipus, the madwoman is a social pariah who bears responsibility for her transgressions through her blindness. She is ‘‘a widow in reprieve,’’ but at the same time a ‘‘mother in quarantine,’’ and a chorus chants in the background</w:t>
      </w:r>
      <w:r w:rsidRPr="00087A72">
        <w:rPr>
          <w:rFonts w:ascii="Times New Roman" w:hAnsi="Times New Roman" w:cs="Times New Roman"/>
          <w:sz w:val="20"/>
          <w:szCs w:val="20"/>
        </w:rPr>
        <w:t xml:space="preserve">, ‘‘Night falls, and our entire Universe leans out the window of nothingness! Do not throw stones at the madwoman, she has arisen to close the window, and that is why her eyes are ruined.’’ With allusions to scripture and Greek tragedy as well as the Algerian revolution, her escape is a form of deliverance from domination. </w:t>
      </w:r>
      <w:r w:rsidRPr="00087A72">
        <w:rPr>
          <w:rStyle w:val="Emphasis"/>
        </w:rPr>
        <w:t>As the patient ‘‘leaps out of the scene,’’ the choir seizes on her escape from Blida as a microcosm of the entrapment of Algerians in the discourses of colonial psychiatry as well as their imprisonment in the colonial system.</w:t>
      </w:r>
      <w:r w:rsidRPr="00087A72">
        <w:rPr>
          <w:rFonts w:ascii="Times New Roman" w:hAnsi="Times New Roman" w:cs="Times New Roman"/>
          <w:sz w:val="20"/>
          <w:szCs w:val="20"/>
        </w:rPr>
        <w:t xml:space="preserve"> Pinning Ouarda’s escape to the national liberation struggle, the chorus narrates her exit from the scene by calling out, ‘‘Nothing resists the exodus.’’</w:t>
      </w:r>
      <w:r w:rsidRPr="00087A72">
        <w:rPr>
          <w:rFonts w:ascii="Times New Roman" w:hAnsi="Times New Roman" w:cs="Times New Roman"/>
          <w:sz w:val="12"/>
          <w:szCs w:val="12"/>
        </w:rPr>
        <w:t xml:space="preserve">∂Ω </w:t>
      </w:r>
      <w:r w:rsidRPr="00087A72">
        <w:rPr>
          <w:rFonts w:ascii="Times New Roman" w:hAnsi="Times New Roman" w:cs="Times New Roman"/>
          <w:sz w:val="20"/>
          <w:szCs w:val="20"/>
        </w:rPr>
        <w:t xml:space="preserve">Central to this representation are the multiple forms of psychiatric confinement in Algeria. </w:t>
      </w:r>
      <w:r w:rsidRPr="00087A72">
        <w:rPr>
          <w:rStyle w:val="Emphasis"/>
        </w:rPr>
        <w:t>The psychiatric hospital in this scenario is less a mechanism of healing than one of powerful repression. It is a factory for the production of knowledge about the mentality of the indigène , manufacturing and processing clinical presentations like the savage impulsivity of the Arab criminal and the primitive superstitions of the sequestered Muslim woman.</w:t>
      </w:r>
      <w:r w:rsidRPr="00087A72">
        <w:rPr>
          <w:rFonts w:ascii="Times New Roman" w:hAnsi="Times New Roman" w:cs="Times New Roman"/>
          <w:sz w:val="20"/>
          <w:szCs w:val="20"/>
        </w:rPr>
        <w:t xml:space="preserve"> Such </w:t>
      </w:r>
      <w:r w:rsidRPr="00087A72">
        <w:rPr>
          <w:rStyle w:val="Emphasis"/>
        </w:rPr>
        <w:t>clinical types</w:t>
      </w:r>
      <w:r w:rsidRPr="00087A72">
        <w:rPr>
          <w:rFonts w:ascii="Times New Roman" w:hAnsi="Times New Roman" w:cs="Times New Roman"/>
          <w:sz w:val="20"/>
          <w:szCs w:val="20"/>
        </w:rPr>
        <w:t>, in the language of the Algiers School</w:t>
      </w:r>
      <w:r w:rsidRPr="00087A72">
        <w:rPr>
          <w:rStyle w:val="Emphasis"/>
        </w:rPr>
        <w:t>, informed increasingly fixed ideas about the modal personality of the colonized in administrative, judicial, and medical circles, constituting a form of judgment that entrapped the Algerian in the bonds of psychological alterit</w:t>
      </w:r>
      <w:r w:rsidRPr="00087A72">
        <w:rPr>
          <w:rFonts w:ascii="Times New Roman" w:hAnsi="Times New Roman" w:cs="Times New Roman"/>
          <w:sz w:val="20"/>
          <w:szCs w:val="20"/>
        </w:rPr>
        <w:t>y.</w:t>
      </w:r>
      <w:r w:rsidRPr="00087A72">
        <w:rPr>
          <w:rFonts w:ascii="Times New Roman" w:hAnsi="Times New Roman" w:cs="Times New Roman"/>
          <w:sz w:val="12"/>
          <w:szCs w:val="12"/>
        </w:rPr>
        <w:t xml:space="preserve">Σ≠ </w:t>
      </w:r>
      <w:r w:rsidRPr="00087A72">
        <w:rPr>
          <w:rFonts w:ascii="Times New Roman" w:hAnsi="Times New Roman" w:cs="Times New Roman"/>
          <w:sz w:val="20"/>
          <w:szCs w:val="20"/>
        </w:rPr>
        <w:t xml:space="preserve">Yet, it is also a site of literal imprisonment and surveillance. </w:t>
      </w:r>
      <w:r w:rsidRPr="00087A72">
        <w:rPr>
          <w:rStyle w:val="Emphasis"/>
        </w:rPr>
        <w:t>Associations of psychiatric confinement with imprisonment were frequent in colonial Algeria</w:t>
      </w:r>
      <w:r w:rsidRPr="00087A72">
        <w:rPr>
          <w:rFonts w:ascii="Times New Roman" w:hAnsi="Times New Roman" w:cs="Times New Roman"/>
          <w:sz w:val="20"/>
          <w:szCs w:val="20"/>
        </w:rPr>
        <w:t xml:space="preserve">. Patients regularly complained of neglect and of the punishing aspects of internment. For M. O., an Algerian male hospitalized at Blida in the 1930s who wrote in his journal, ‘‘If [my confinement] continues, I might lose my sanity or die,’’ or for D. D., an Algerian woman </w:t>
      </w:r>
      <w:r w:rsidRPr="00087A72">
        <w:rPr>
          <w:rFonts w:ascii="Times New Roman" w:hAnsi="Times New Roman" w:cs="Times New Roman"/>
          <w:sz w:val="13"/>
          <w:szCs w:val="13"/>
        </w:rPr>
        <w:t xml:space="preserve">COLONIAL MADNESS AND THE POETICS OF SUFFERING </w:t>
      </w:r>
      <w:r w:rsidRPr="00087A72">
        <w:rPr>
          <w:rFonts w:ascii="Times New Roman" w:hAnsi="Times New Roman" w:cs="Times New Roman"/>
          <w:sz w:val="10"/>
          <w:szCs w:val="10"/>
        </w:rPr>
        <w:t xml:space="preserve">| </w:t>
      </w:r>
      <w:r w:rsidRPr="00087A72">
        <w:rPr>
          <w:rFonts w:ascii="Times New Roman" w:hAnsi="Times New Roman" w:cs="Times New Roman"/>
          <w:sz w:val="13"/>
          <w:szCs w:val="13"/>
        </w:rPr>
        <w:t xml:space="preserve">213 </w:t>
      </w:r>
      <w:r w:rsidRPr="00087A72">
        <w:rPr>
          <w:rFonts w:ascii="Times New Roman" w:hAnsi="Times New Roman" w:cs="Times New Roman"/>
          <w:sz w:val="20"/>
          <w:szCs w:val="20"/>
        </w:rPr>
        <w:t>at Blida who complained that physicians were ‘‘letting [her] die,’’ confinement was incongruous with healing, operating instead as a mechanism for policing deviance.</w:t>
      </w:r>
      <w:r w:rsidRPr="00087A72">
        <w:rPr>
          <w:rFonts w:ascii="Times New Roman" w:hAnsi="Times New Roman" w:cs="Times New Roman"/>
          <w:sz w:val="12"/>
          <w:szCs w:val="12"/>
        </w:rPr>
        <w:t xml:space="preserve">Σ∞ </w:t>
      </w:r>
      <w:r w:rsidRPr="00087A72">
        <w:rPr>
          <w:rFonts w:ascii="Times New Roman" w:hAnsi="Times New Roman" w:cs="Times New Roman"/>
          <w:sz w:val="20"/>
          <w:szCs w:val="20"/>
        </w:rPr>
        <w:t>Le Cadavre ’s theme of psychiatric punition carries over into Nedjma . In the middle of the novel, Rachid, one of the four protagonists, arrives in Constantine and begins wandering through the city. As he stops at a smoking den, he is torn about whether to enter, when he spots an acquaintance: ‘‘</w:t>
      </w:r>
      <w:r w:rsidRPr="00087A72">
        <w:rPr>
          <w:rStyle w:val="Emphasis"/>
        </w:rPr>
        <w:t>The man holding the sachets was sitting there, an Olympian of twenty with a bulging forehead [le front accidenté ]. Rachid had thought he was in the psychiatric hospital. ‘You got away from them again, brother Abdallah!’ ’’Σ≤ Through a range of cues, Kateb offers a searing indictment of psychiatry as a force of imperial incomprehension</w:t>
      </w:r>
      <w:r w:rsidRPr="00087A72">
        <w:rPr>
          <w:rFonts w:ascii="Times New Roman" w:hAnsi="Times New Roman" w:cs="Times New Roman"/>
          <w:sz w:val="20"/>
          <w:szCs w:val="20"/>
        </w:rPr>
        <w:t xml:space="preserve">. It is Abdallah’s physiognomy and his occupation that brand him as an ideal Algerian clinical type. </w:t>
      </w:r>
      <w:r w:rsidRPr="00087A72">
        <w:rPr>
          <w:rStyle w:val="Emphasis"/>
        </w:rPr>
        <w:t>His ‘‘bulging forehead’’ signals his deviance, rendering him the target of an outdated psychiatric paradigm with roots in Cesare Lombroso’s criminal anthropology.</w:t>
      </w:r>
      <w:r w:rsidRPr="00087A72">
        <w:rPr>
          <w:rFonts w:ascii="Times New Roman" w:hAnsi="Times New Roman" w:cs="Times New Roman"/>
          <w:sz w:val="12"/>
          <w:szCs w:val="12"/>
        </w:rPr>
        <w:t xml:space="preserve">Σ≥ </w:t>
      </w:r>
      <w:r w:rsidRPr="00087A72">
        <w:rPr>
          <w:rFonts w:ascii="Times New Roman" w:hAnsi="Times New Roman" w:cs="Times New Roman"/>
          <w:sz w:val="20"/>
          <w:szCs w:val="20"/>
        </w:rPr>
        <w:t xml:space="preserve">Far from a raving lunatic, Abdallah is merely a social reprobate, an addict and proprietor of an illegal hash bar populated by a coterie of degenerates. After Rachid, a lycée dropout, later joins Abdallah as an employee, he ‘‘no longer left the savage collective, the Divan, the intimate reverie of the horde: ten or twenty men of all ages—silent dreamers who scarcely knew each other—dispersed along the balcony, deep in their intoxication, on the edge of the cliff . . . he would probably die on this balcony, in a cloud of the forbidden herb.’’ Rachid ‘‘had long known about the fondouk of which he had just become the master’’: ‘‘He knew, like every child, that the music-lovers at the fondouk smoked something other than tobacco—something that made them madmen, but not like drunkards.’’ This group is Rachid’s new cohort in Constantine—these ‘‘known criminals, the unemployed, the homeless, the sans-papiers , the demi-fous like this Abdallah, always just out of the asylum.’’ </w:t>
      </w:r>
      <w:r w:rsidRPr="00087A72">
        <w:rPr>
          <w:rStyle w:val="Emphasis"/>
        </w:rPr>
        <w:t>For Kateb, psychiatry’s function was the regulation of social deviance through the surveillance of this drug-addled ‘‘horde,’’ this ‘‘savage collective’’ of ‘‘troglodytes.</w:t>
      </w:r>
      <w:r w:rsidRPr="00087A72">
        <w:rPr>
          <w:rFonts w:ascii="Times New Roman" w:hAnsi="Times New Roman" w:cs="Times New Roman"/>
          <w:sz w:val="20"/>
          <w:szCs w:val="20"/>
        </w:rPr>
        <w:t>’’</w:t>
      </w:r>
      <w:r w:rsidRPr="00087A72">
        <w:rPr>
          <w:rFonts w:ascii="Times New Roman" w:hAnsi="Times New Roman" w:cs="Times New Roman"/>
          <w:sz w:val="12"/>
          <w:szCs w:val="12"/>
        </w:rPr>
        <w:t>Σ</w:t>
      </w:r>
      <w:r w:rsidRPr="00087A72">
        <w:rPr>
          <w:rStyle w:val="Emphasis"/>
        </w:rPr>
        <w:t>∂ This version of colonial psychiatry as a disciplinary force is important in Nedjma because the novel is also the site of a range of powerful expressions of mad violenc</w:t>
      </w:r>
      <w:r w:rsidRPr="00087A72">
        <w:rPr>
          <w:rFonts w:ascii="Times New Roman" w:hAnsi="Times New Roman" w:cs="Times New Roman"/>
          <w:sz w:val="20"/>
          <w:szCs w:val="20"/>
        </w:rPr>
        <w:t xml:space="preserve">e. Here, Kateb appropriates and reverses the Algiers School’s stereotypes of the Algerian’s impulsively violent character. Violence is omnipresent in the novel. Nedjma herself, of course—this figure of the new Algeria—is produced through successive rape in the womb of a </w:t>
      </w:r>
      <w:r w:rsidRPr="00087A72">
        <w:rPr>
          <w:rFonts w:ascii="Times New Roman" w:hAnsi="Times New Roman" w:cs="Times New Roman"/>
          <w:sz w:val="13"/>
          <w:szCs w:val="13"/>
        </w:rPr>
        <w:t xml:space="preserve">214 </w:t>
      </w:r>
      <w:r w:rsidRPr="00087A72">
        <w:rPr>
          <w:rFonts w:ascii="Times New Roman" w:hAnsi="Times New Roman" w:cs="Times New Roman"/>
          <w:sz w:val="10"/>
          <w:szCs w:val="10"/>
        </w:rPr>
        <w:t xml:space="preserve">| </w:t>
      </w:r>
      <w:r w:rsidRPr="00087A72">
        <w:rPr>
          <w:rFonts w:ascii="Times New Roman" w:hAnsi="Times New Roman" w:cs="Times New Roman"/>
          <w:sz w:val="13"/>
          <w:szCs w:val="13"/>
        </w:rPr>
        <w:t xml:space="preserve">RICHARD C. KELLER </w:t>
      </w:r>
      <w:r w:rsidRPr="00087A72">
        <w:rPr>
          <w:rFonts w:ascii="Times New Roman" w:hAnsi="Times New Roman" w:cs="Times New Roman"/>
          <w:sz w:val="20"/>
          <w:szCs w:val="20"/>
        </w:rPr>
        <w:t xml:space="preserve">Frenchwoman: she is born of violence and seized from the colonizer. Other instances of violence are linked to this rape—Si Mokhtar’s murder of Rachid’s father, for example—or, more often, to the instigation of the pieds-noirs . </w:t>
      </w:r>
      <w:r w:rsidRPr="00087A72">
        <w:rPr>
          <w:rStyle w:val="Emphasis"/>
        </w:rPr>
        <w:t>Yet, such actions are specifically gendered in Nedjma : clear patterns dictate why Yasmina/Ouarda’s experience of colonial domination drives her to insanity, while the life-world of the Algerian men in Nedjma leads inevitably to murderous outcomes. Just as the structural violence of the colonial situation shapes Yasmina’s insanity, the forces of poverty, brutal labor, and the colonizer’s aggression inform the possibilities of action for male Algerians</w:t>
      </w:r>
      <w:r w:rsidRPr="00087A72">
        <w:rPr>
          <w:rFonts w:ascii="Times New Roman" w:hAnsi="Times New Roman" w:cs="Times New Roman"/>
          <w:sz w:val="20"/>
          <w:szCs w:val="20"/>
        </w:rPr>
        <w:t xml:space="preserve">. As Fanon insisted, it is these forces that ‘‘canalize’’ the Algerians’ rage toward the colonial aggressor, a global force that deranges local social worlds. </w:t>
      </w:r>
      <w:r w:rsidRPr="00087A72">
        <w:rPr>
          <w:rStyle w:val="Emphasis"/>
        </w:rPr>
        <w:t xml:space="preserve">The first of these scenes of masculine violence involves Lakhdar—one of the four young men infatuated with Nedjma—as well as Monsieur Ernest, a French construction foreman, and Suzy, Ernest’s daughter.ΣΣ Other day laborers warn Lakhdar on his first day of work about Ernest’s temper: ‘‘Ameziane unties the string he’s using in place of a belt and shows a festering scrape on his lower back: ‘There’s M. Ernest’s character.’ ’’ Ernest demands to know what the workers are talking about. Without waiting for an answer, he strikes Lakhdar in the head with a stick. Lakhdar watches his own blood flowing as Ernest’s daughter Suzy tells her father, ‘‘He hasn’t had enough, that one . . . He hasn’t gotten what he deserves .’’ Ernest moves closer to Lakhdar to continue the beating, ‘‘his daughter’s heckling having raised him to the peak of heroism.’’ But Lakhdar strikes first, knocking Ernest unconscious with a single blow.ΣΠ Ernest’s violence is a pose, a ritual of the colonizer’s masculinity, like George Orwell’s in ‘‘Shooting an Elephant.’’Σπ Driven on by his daughter, Ernest plays a role of domination. He is at center stage in a drama of colonial violence; he must act decisively or lose face in front of both his daughter and his workers. It is less Lakhdar’s insubordination than the colonial situation itself that shapes this interaction: it is a scenario in which the agency of the central actors is decided in advance. Ernest’s actions and Suzy’s ‘‘heckling’’ are mandatory reiterations of domination, an ordering of the colonial world played out in microcosm. Lakhdar’s preventive strike, although understood as an impulsive criminal violence, is a refusal of submission and a rejection of the violences of everyday colonial life: the poverty, marginalization, and coercive labor forced upon a disenfranchised population. COLONIAL MADNESS AND THE POETICS OF SUFFERING | 215 </w:t>
      </w:r>
    </w:p>
    <w:p w:rsidR="00CD7A9B" w:rsidRPr="00087A72" w:rsidRDefault="00CD7A9B" w:rsidP="00CD7A9B">
      <w:pPr>
        <w:pStyle w:val="Heading3"/>
      </w:pPr>
      <w:r w:rsidRPr="00087A72">
        <w:t>Reformism Good</w:t>
      </w:r>
    </w:p>
    <w:p w:rsidR="00792F86" w:rsidRPr="00087A72" w:rsidRDefault="00792F86" w:rsidP="00792F86">
      <w:pPr>
        <w:pStyle w:val="Heading4"/>
      </w:pPr>
      <w:r w:rsidRPr="00087A72">
        <w:t>Political engagement is possible – tactical alliances have value</w:t>
      </w:r>
    </w:p>
    <w:p w:rsidR="00792F86" w:rsidRPr="00087A72" w:rsidRDefault="00792F86" w:rsidP="00792F86">
      <w:r w:rsidRPr="00087A72">
        <w:rPr>
          <w:rStyle w:val="Style13ptBold"/>
        </w:rPr>
        <w:t>NoiseCat 16</w:t>
      </w:r>
      <w:r w:rsidRPr="00087A72">
        <w:t xml:space="preserve"> (Julian Brave, Enrolled member of the Canim Lake Band Tsq'escen in British Columbia and a graduate of Columbia University and the University of Oxford, “The Indigenous Revolution,” </w:t>
      </w:r>
      <w:r w:rsidRPr="00087A72">
        <w:rPr>
          <w:i/>
        </w:rPr>
        <w:t>Jacobin</w:t>
      </w:r>
      <w:r w:rsidRPr="00087A72">
        <w:t>)//vikas</w:t>
      </w:r>
    </w:p>
    <w:p w:rsidR="00792F86" w:rsidRPr="00087A72" w:rsidRDefault="00792F86" w:rsidP="00792F86">
      <w:r w:rsidRPr="00087A72">
        <w:rPr>
          <w:sz w:val="16"/>
        </w:rPr>
        <w:t xml:space="preserve">Movements working to reshape infrastructure, environmental policy, financial systems, policing, and work will be of particular importance to indigenous people. </w:t>
      </w:r>
      <w:r w:rsidRPr="00087A72">
        <w:rPr>
          <w:rStyle w:val="Emphasis"/>
        </w:rPr>
        <w:t>Fossil fuel divestment and the “Keep It in the Ground” movement can weaken and</w:t>
      </w:r>
      <w:r w:rsidRPr="00087A72">
        <w:rPr>
          <w:sz w:val="16"/>
        </w:rPr>
        <w:t xml:space="preserve"> even </w:t>
      </w:r>
      <w:r w:rsidRPr="00087A72">
        <w:rPr>
          <w:rStyle w:val="Emphasis"/>
        </w:rPr>
        <w:t>undermine companies seeking to exploit fossil fuels on indigenous lands.</w:t>
      </w:r>
      <w:r w:rsidRPr="00087A72">
        <w:rPr>
          <w:sz w:val="16"/>
        </w:rPr>
        <w:t xml:space="preserve"> </w:t>
      </w:r>
      <w:r w:rsidRPr="00087A72">
        <w:rPr>
          <w:b/>
          <w:u w:val="single"/>
        </w:rPr>
        <w:t>Regulations</w:t>
      </w:r>
      <w:r w:rsidRPr="00087A72">
        <w:rPr>
          <w:sz w:val="16"/>
        </w:rPr>
        <w:t xml:space="preserve"> that </w:t>
      </w:r>
      <w:r w:rsidRPr="00087A72">
        <w:rPr>
          <w:b/>
          <w:u w:val="single"/>
        </w:rPr>
        <w:t>dismantle financial instruments and policies that profit from natural resource speculation could divert and damage returns on capital flows.</w:t>
      </w:r>
      <w:r w:rsidRPr="00087A72">
        <w:rPr>
          <w:sz w:val="16"/>
        </w:rPr>
        <w:t xml:space="preserve"> The abolition of mass incarceration would loosen the death grip of prisons and police on indigenous communities. Unions can turn individual workers into collective forces of resistance, helping drive up costs for developers and protect laborers from unsafe working conditions. Long-term efforts to reimagine work through full automation and a universal basic income could prevent laborers from having to seek such dangerous work in the first place. As Standing Rock has shown, </w:t>
      </w:r>
      <w:r w:rsidRPr="00087A72">
        <w:rPr>
          <w:rStyle w:val="StyleUnderline"/>
        </w:rPr>
        <w:t>indigenous nations that use their unique standing to advocate for viable alternatives</w:t>
      </w:r>
      <w:r w:rsidRPr="00087A72">
        <w:rPr>
          <w:sz w:val="16"/>
        </w:rPr>
        <w:t xml:space="preserve"> to unjust systems </w:t>
      </w:r>
      <w:r w:rsidRPr="00087A72">
        <w:rPr>
          <w:rStyle w:val="StyleUnderline"/>
        </w:rPr>
        <w:t>will gain supporters</w:t>
      </w:r>
      <w:r w:rsidRPr="00087A72">
        <w:rPr>
          <w:sz w:val="16"/>
        </w:rPr>
        <w:t xml:space="preserve">. Our traditional territories encompass the rivers, mountains, and forests that capital exploits with abandon. </w:t>
      </w:r>
      <w:r w:rsidRPr="00087A72">
        <w:rPr>
          <w:rStyle w:val="StyleUnderline"/>
        </w:rPr>
        <w:t>Our resistance — to the pipelines</w:t>
      </w:r>
      <w:r w:rsidRPr="00087A72">
        <w:rPr>
          <w:sz w:val="16"/>
        </w:rPr>
        <w:t xml:space="preserve">, bulldozers, </w:t>
      </w:r>
      <w:r w:rsidRPr="00087A72">
        <w:rPr>
          <w:rStyle w:val="StyleUnderline"/>
        </w:rPr>
        <w:t>and mines that cut through our lands</w:t>
      </w:r>
      <w:r w:rsidRPr="00087A72">
        <w:rPr>
          <w:sz w:val="16"/>
        </w:rPr>
        <w:t xml:space="preserve"> and communities — </w:t>
      </w:r>
      <w:r w:rsidRPr="00087A72">
        <w:rPr>
          <w:rStyle w:val="StyleUnderline"/>
        </w:rPr>
        <w:t>has greater potential than yet realized</w:t>
      </w:r>
      <w:r w:rsidRPr="00087A72">
        <w:rPr>
          <w:sz w:val="16"/>
        </w:rPr>
        <w:t xml:space="preserve">. Ours is a powerful voice envisioning a more harmonious and sustainable relationship with the natural world rooted in the resurgence of indigenous sovereignty. </w:t>
      </w:r>
      <w:r w:rsidRPr="00087A72">
        <w:rPr>
          <w:rStyle w:val="StyleUnderline"/>
        </w:rPr>
        <w:t xml:space="preserve">As long as indigenous </w:t>
      </w:r>
      <w:r w:rsidRPr="00087A72">
        <w:rPr>
          <w:b/>
          <w:u w:val="single"/>
        </w:rPr>
        <w:t>people continue to make this</w:t>
      </w:r>
      <w:r w:rsidRPr="00087A72">
        <w:rPr>
          <w:rStyle w:val="StyleUnderline"/>
        </w:rPr>
        <w:t xml:space="preserve"> argument, we are </w:t>
      </w:r>
      <w:r w:rsidRPr="00087A72">
        <w:rPr>
          <w:b/>
          <w:u w:val="single"/>
        </w:rPr>
        <w:t>positioned to win policies</w:t>
      </w:r>
      <w:r w:rsidRPr="00087A72">
        <w:rPr>
          <w:rStyle w:val="StyleUnderline"/>
        </w:rPr>
        <w:t>, court decisions, and international agreements that protect and enlarge our sovereignty</w:t>
      </w:r>
      <w:r w:rsidRPr="00087A72">
        <w:rPr>
          <w:sz w:val="16"/>
        </w:rPr>
        <w:t xml:space="preserve"> and jurisdiction. </w:t>
      </w:r>
      <w:r w:rsidRPr="00087A72">
        <w:rPr>
          <w:rStyle w:val="StyleUnderline"/>
        </w:rPr>
        <w:t>As our jurisdiction</w:t>
      </w:r>
      <w:r w:rsidRPr="00087A72">
        <w:rPr>
          <w:sz w:val="16"/>
        </w:rPr>
        <w:t xml:space="preserve"> and sovereignty </w:t>
      </w:r>
      <w:r w:rsidRPr="00087A72">
        <w:rPr>
          <w:rStyle w:val="StyleUnderline"/>
        </w:rPr>
        <w:t xml:space="preserve">grow, we will have more power to stop, reroute, and </w:t>
      </w:r>
      <w:r w:rsidRPr="00087A72">
        <w:rPr>
          <w:rStyle w:val="Emphasis"/>
        </w:rPr>
        <w:t>transform carbon-based, capitalist, and colonial infrastructure</w:t>
      </w:r>
      <w:r w:rsidRPr="00087A72">
        <w:rPr>
          <w:sz w:val="16"/>
        </w:rPr>
        <w:t xml:space="preserve">. When </w:t>
      </w:r>
      <w:r w:rsidRPr="00087A72">
        <w:rPr>
          <w:rStyle w:val="Emphasis"/>
        </w:rPr>
        <w:t>the Justice Department</w:t>
      </w:r>
      <w:r w:rsidRPr="00087A72">
        <w:rPr>
          <w:sz w:val="16"/>
        </w:rPr>
        <w:t xml:space="preserve"> halted construction of DAPL in October, they </w:t>
      </w:r>
      <w:r w:rsidRPr="00087A72">
        <w:rPr>
          <w:rStyle w:val="Emphasis"/>
        </w:rPr>
        <w:t>also said they would begin looking into Free Prior Informed Consent legislation</w:t>
      </w:r>
      <w:r w:rsidRPr="00087A72">
        <w:rPr>
          <w:sz w:val="16"/>
        </w:rPr>
        <w:t xml:space="preserve">. This is a minimal first step, and we must hold them to it. </w:t>
      </w:r>
      <w:r w:rsidRPr="00087A72">
        <w:rPr>
          <w:rStyle w:val="Emphasis"/>
        </w:rPr>
        <w:t>Longstanding alliances</w:t>
      </w:r>
      <w:r w:rsidRPr="00087A72">
        <w:rPr>
          <w:rStyle w:val="StyleUnderline"/>
        </w:rPr>
        <w:t xml:space="preserve"> with progressive parties and politicians are </w:t>
      </w:r>
      <w:r w:rsidRPr="00087A72">
        <w:rPr>
          <w:rStyle w:val="Emphasis"/>
        </w:rPr>
        <w:t>key to our success</w:t>
      </w:r>
      <w:r w:rsidRPr="00087A72">
        <w:rPr>
          <w:b/>
          <w:u w:val="single"/>
        </w:rPr>
        <w:t xml:space="preserve">. In the United States, </w:t>
      </w:r>
      <w:r w:rsidRPr="00087A72">
        <w:rPr>
          <w:rStyle w:val="Emphasis"/>
        </w:rPr>
        <w:t>Native people have worked</w:t>
      </w:r>
      <w:r w:rsidRPr="00087A72">
        <w:rPr>
          <w:rStyle w:val="StyleUnderline"/>
        </w:rPr>
        <w:t xml:space="preserve"> with Democratic elected officials like</w:t>
      </w:r>
      <w:r w:rsidRPr="00087A72">
        <w:rPr>
          <w:sz w:val="16"/>
        </w:rPr>
        <w:t xml:space="preserve"> Bernie </w:t>
      </w:r>
      <w:r w:rsidRPr="00087A72">
        <w:rPr>
          <w:rStyle w:val="StyleUnderline"/>
        </w:rPr>
        <w:t>Sanders and</w:t>
      </w:r>
      <w:r w:rsidRPr="00087A72">
        <w:rPr>
          <w:sz w:val="16"/>
        </w:rPr>
        <w:t xml:space="preserve"> Raúl </w:t>
      </w:r>
      <w:r w:rsidRPr="00087A72">
        <w:rPr>
          <w:rStyle w:val="StyleUnderline"/>
        </w:rPr>
        <w:t xml:space="preserve">Grijalva </w:t>
      </w:r>
      <w:r w:rsidRPr="00087A72">
        <w:rPr>
          <w:rStyle w:val="Emphasis"/>
        </w:rPr>
        <w:t>to advance bills like the Save Oak Flat Act, which aimed to stop an international mining conglomerate from exploiting an Apache sacred site in Arizona.</w:t>
      </w:r>
      <w:r w:rsidRPr="00087A72">
        <w:rPr>
          <w:rStyle w:val="StyleUnderline"/>
        </w:rPr>
        <w:t xml:space="preserve"> In Canada, </w:t>
      </w:r>
      <w:r w:rsidRPr="00087A72">
        <w:rPr>
          <w:rStyle w:val="Emphasis"/>
        </w:rPr>
        <w:t>First Nations have supported</w:t>
      </w:r>
      <w:r w:rsidRPr="00087A72">
        <w:rPr>
          <w:rStyle w:val="StyleUnderline"/>
        </w:rPr>
        <w:t xml:space="preserve"> the </w:t>
      </w:r>
      <w:r w:rsidRPr="00087A72">
        <w:rPr>
          <w:rStyle w:val="Emphasis"/>
        </w:rPr>
        <w:t>New Democratic Party. In New Zealand</w:t>
      </w:r>
      <w:r w:rsidRPr="00087A72">
        <w:rPr>
          <w:rStyle w:val="StyleUnderline"/>
        </w:rPr>
        <w:t xml:space="preserve">, the </w:t>
      </w:r>
      <w:r w:rsidRPr="00087A72">
        <w:rPr>
          <w:rStyle w:val="Emphasis"/>
        </w:rPr>
        <w:t>Maori Rātana religious and political movement has an alliance with the Labour Party that stretches back to the 1930s</w:t>
      </w:r>
      <w:r w:rsidRPr="00087A72">
        <w:rPr>
          <w:sz w:val="16"/>
        </w:rPr>
        <w:t xml:space="preserve">. Some </w:t>
      </w:r>
      <w:r w:rsidRPr="00087A72">
        <w:rPr>
          <w:rStyle w:val="Emphasis"/>
        </w:rPr>
        <w:t>indigenous leaders, such as</w:t>
      </w:r>
      <w:r w:rsidRPr="00087A72">
        <w:rPr>
          <w:sz w:val="16"/>
        </w:rPr>
        <w:t xml:space="preserve"> outspoken </w:t>
      </w:r>
      <w:r w:rsidRPr="00087A72">
        <w:rPr>
          <w:rStyle w:val="Emphasis"/>
        </w:rPr>
        <w:t>Aboriginal Australian leader Pat Dodson</w:t>
      </w:r>
      <w:r w:rsidRPr="00087A72">
        <w:rPr>
          <w:sz w:val="16"/>
        </w:rPr>
        <w:t xml:space="preserve">, a Labour senator for Western Australia, </w:t>
      </w:r>
      <w:r w:rsidRPr="00087A72">
        <w:rPr>
          <w:rStyle w:val="Emphasis"/>
        </w:rPr>
        <w:t xml:space="preserve">have won prominent positions in these parties. </w:t>
      </w:r>
      <w:r w:rsidRPr="00087A72">
        <w:rPr>
          <w:sz w:val="16"/>
        </w:rPr>
        <w:t xml:space="preserve">This does not mean, of course, that we should pay deference to elected officials. In 2014, Obama became one of the first sitting presidents to visit an Indian reservation when he travelled to Standing Rock. His visit was historically symbolic and emotionally important, but if Obama fails to stop DAPL, indigenous people should renounce him. </w:t>
      </w:r>
      <w:r w:rsidRPr="00087A72">
        <w:rPr>
          <w:rStyle w:val="StyleUnderline"/>
        </w:rPr>
        <w:t>Politicians are helpful when they change policies</w:t>
      </w:r>
      <w:r w:rsidRPr="00087A72">
        <w:rPr>
          <w:sz w:val="16"/>
        </w:rPr>
        <w:t xml:space="preserve"> and outcomes. We cannot and should not settle for symbolic victories. </w:t>
      </w:r>
      <w:r w:rsidRPr="00087A72">
        <w:rPr>
          <w:rStyle w:val="StyleUnderline"/>
        </w:rPr>
        <w:t xml:space="preserve">If there is to be an enduring indigenous-left coalition, </w:t>
      </w:r>
      <w:r w:rsidRPr="00087A72">
        <w:rPr>
          <w:rStyle w:val="Emphasis"/>
        </w:rPr>
        <w:t>the Left must support indigenous demands for land, jurisdiction, and sovereignty</w:t>
      </w:r>
      <w:r w:rsidRPr="00087A72">
        <w:rPr>
          <w:sz w:val="16"/>
        </w:rPr>
        <w:t xml:space="preserve">. At their core, </w:t>
      </w:r>
      <w:r w:rsidRPr="00087A72">
        <w:rPr>
          <w:rStyle w:val="StyleUnderline"/>
        </w:rPr>
        <w:t xml:space="preserve">these </w:t>
      </w:r>
      <w:r w:rsidRPr="00087A72">
        <w:rPr>
          <w:rStyle w:val="Emphasis"/>
        </w:rPr>
        <w:t>demands undermine the imperial cut-and-paste model of the nation-state</w:t>
      </w:r>
      <w:r w:rsidRPr="00087A72">
        <w:rPr>
          <w:sz w:val="16"/>
        </w:rPr>
        <w:t xml:space="preserve">, stretching from Hobbes to the present, which insists that there is room for just one sovereign entity in the state apparatus. Thomas Piketty’s call for a global wealth tax implies an international governance structure to levy such a tax. He pushes us to think beyond the state. </w:t>
      </w:r>
      <w:r w:rsidRPr="00087A72">
        <w:rPr>
          <w:rStyle w:val="Emphasis"/>
        </w:rPr>
        <w:t xml:space="preserve">Similarly, indigenous demands for lands, jurisdiction, and sovereignty imply that we must think beneath it. </w:t>
      </w:r>
      <w:r w:rsidRPr="00087A72">
        <w:rPr>
          <w:sz w:val="16"/>
        </w:rPr>
        <w:t>As the Fourth World continues to push states to recognize our inherent, constitutional, and treaty rights as sovereign nations, the Left cannot remain neutral. To remain neutral is to perpetuate a long history of colonization. To remain neutral is to lose a valuable, organized, and powerful ally.</w:t>
      </w:r>
    </w:p>
    <w:p w:rsidR="00792F86" w:rsidRPr="00087A72" w:rsidRDefault="00792F86" w:rsidP="00792F86"/>
    <w:p w:rsidR="00792F86" w:rsidRPr="00087A72" w:rsidRDefault="00792F86" w:rsidP="00792F86">
      <w:pPr>
        <w:pStyle w:val="Heading4"/>
      </w:pPr>
      <w:r w:rsidRPr="00087A72">
        <w:t xml:space="preserve">Water rights prove – numerous court cases prove </w:t>
      </w:r>
      <w:r w:rsidRPr="00087A72">
        <w:rPr>
          <w:i/>
          <w:u w:val="single"/>
        </w:rPr>
        <w:t>contingent legal reform</w:t>
      </w:r>
      <w:r w:rsidRPr="00087A72">
        <w:t xml:space="preserve"> is possible</w:t>
      </w:r>
    </w:p>
    <w:p w:rsidR="00792F86" w:rsidRPr="00087A72" w:rsidRDefault="00792F86" w:rsidP="00792F86">
      <w:r w:rsidRPr="00087A72">
        <w:rPr>
          <w:rStyle w:val="Style13ptBold"/>
        </w:rPr>
        <w:t>Krakoff 13</w:t>
      </w:r>
      <w:r w:rsidRPr="00087A72">
        <w:t xml:space="preserve"> (Sarah, Professor of Law and Wolf-Nichol Fellow at the University of Colorado, “Settler Colonialism and Reclamation: Where American Indian Law and Natural Resources Law Meet,” </w:t>
      </w:r>
      <w:r w:rsidRPr="00087A72">
        <w:rPr>
          <w:i/>
        </w:rPr>
        <w:t xml:space="preserve">Colo. Nat. Resources, Energy &amp; Envtl. L. Rev, </w:t>
      </w:r>
      <w:r w:rsidRPr="00087A72">
        <w:t>Vol. 24)//vikas</w:t>
      </w:r>
    </w:p>
    <w:p w:rsidR="00792F86" w:rsidRPr="00087A72" w:rsidRDefault="00792F86" w:rsidP="00792F86">
      <w:pPr>
        <w:rPr>
          <w:sz w:val="12"/>
        </w:rPr>
      </w:pPr>
      <w:r w:rsidRPr="00087A72">
        <w:rPr>
          <w:b/>
          <w:u w:val="single"/>
        </w:rPr>
        <w:t>Arizona v. California was decided in 1963</w:t>
      </w:r>
      <w:r w:rsidRPr="00087A72">
        <w:rPr>
          <w:sz w:val="12"/>
        </w:rPr>
        <w:t xml:space="preserve">, at the beginning of the policy period in American Indian law know as the era of Self Determination. 83 </w:t>
      </w:r>
      <w:r w:rsidRPr="00087A72">
        <w:rPr>
          <w:b/>
          <w:u w:val="single"/>
        </w:rPr>
        <w:t>Arizona filed the case in 1952 to settle long-simmering disputes with California about each state's proportionate share of the 7.5 million acre-feet of water apportioned to the lower basin states, which include Arizona, California, and Nevada, under the Colorado River Compact.</w:t>
      </w:r>
      <w:r w:rsidRPr="00087A72">
        <w:rPr>
          <w:sz w:val="12"/>
        </w:rPr>
        <w:t xml:space="preserve"> 84 </w:t>
      </w:r>
      <w:r w:rsidRPr="00087A72">
        <w:rPr>
          <w:b/>
          <w:u w:val="single"/>
        </w:rPr>
        <w:t>The Compact</w:t>
      </w:r>
      <w:r w:rsidRPr="00087A72">
        <w:rPr>
          <w:sz w:val="12"/>
        </w:rPr>
        <w:t xml:space="preserve">, entered into in 1922, </w:t>
      </w:r>
      <w:r w:rsidRPr="00087A72">
        <w:rPr>
          <w:b/>
          <w:u w:val="single"/>
        </w:rPr>
        <w:t>divided the waters of the Colorado River between the upper basin states</w:t>
      </w:r>
      <w:r w:rsidRPr="00087A72">
        <w:rPr>
          <w:sz w:val="12"/>
        </w:rPr>
        <w:t xml:space="preserve"> (Colorado, Utah, Wyoming, New Mexico, and, for a small percentage of their share, Arizona), </w:t>
      </w:r>
      <w:r w:rsidRPr="00087A72">
        <w:rPr>
          <w:b/>
          <w:u w:val="single"/>
        </w:rPr>
        <w:t>and the three lower basin states.</w:t>
      </w:r>
      <w:r w:rsidRPr="00087A72">
        <w:rPr>
          <w:sz w:val="12"/>
        </w:rPr>
        <w:t xml:space="preserve"> The </w:t>
      </w:r>
      <w:r w:rsidRPr="00087A72">
        <w:rPr>
          <w:b/>
          <w:u w:val="single"/>
        </w:rPr>
        <w:t>notion was</w:t>
      </w:r>
      <w:r w:rsidRPr="00087A72">
        <w:rPr>
          <w:sz w:val="12"/>
        </w:rPr>
        <w:t xml:space="preserve"> that the </w:t>
      </w:r>
      <w:r w:rsidRPr="00087A72">
        <w:rPr>
          <w:b/>
          <w:u w:val="single"/>
        </w:rPr>
        <w:t>states would work out, under the Compact's framework, their proportionate share of water within the upper and lower basins.</w:t>
      </w:r>
      <w:r w:rsidRPr="00087A72">
        <w:rPr>
          <w:sz w:val="12"/>
        </w:rPr>
        <w:t xml:space="preserve"> That notion proved overly optimistic. </w:t>
      </w:r>
      <w:r w:rsidRPr="00087A72">
        <w:rPr>
          <w:b/>
          <w:u w:val="single"/>
        </w:rPr>
        <w:t>The Compact</w:t>
      </w:r>
      <w:r w:rsidRPr="00087A72">
        <w:rPr>
          <w:sz w:val="12"/>
        </w:rPr>
        <w:t xml:space="preserve">, which was intended to avert lengthy litigation, </w:t>
      </w:r>
      <w:r w:rsidRPr="00087A72">
        <w:rPr>
          <w:b/>
          <w:u w:val="single"/>
        </w:rPr>
        <w:t>became the object of it</w:t>
      </w:r>
      <w:r w:rsidRPr="00087A72">
        <w:rPr>
          <w:sz w:val="12"/>
        </w:rPr>
        <w:t xml:space="preserve">.86 </w:t>
      </w:r>
      <w:r w:rsidRPr="00087A72">
        <w:rPr>
          <w:b/>
          <w:u w:val="single"/>
        </w:rPr>
        <w:t>Arizona's primary concerns were that California should not</w:t>
      </w:r>
      <w:r w:rsidRPr="00087A72">
        <w:rPr>
          <w:sz w:val="12"/>
        </w:rPr>
        <w:t xml:space="preserve">, by virtue of diverting and using the Colorado River's waters first, </w:t>
      </w:r>
      <w:r w:rsidRPr="00087A72">
        <w:rPr>
          <w:b/>
          <w:u w:val="single"/>
        </w:rPr>
        <w:t>be legally entitled to more than 4.4 million acre-feet, and that Arizona should have</w:t>
      </w:r>
      <w:r w:rsidRPr="00087A72">
        <w:rPr>
          <w:sz w:val="12"/>
        </w:rPr>
        <w:t xml:space="preserve"> the </w:t>
      </w:r>
      <w:r w:rsidRPr="00087A72">
        <w:rPr>
          <w:b/>
          <w:u w:val="single"/>
        </w:rPr>
        <w:t>exclusive beneficial use of its tributaries</w:t>
      </w:r>
      <w:r w:rsidRPr="00087A72">
        <w:rPr>
          <w:sz w:val="12"/>
        </w:rPr>
        <w:t xml:space="preserve">, meaning that these waters would not be counted against Arizona's Colorado River apportionment. 87 </w:t>
      </w:r>
      <w:r w:rsidRPr="00087A72">
        <w:rPr>
          <w:rStyle w:val="Emphasis"/>
        </w:rPr>
        <w:t>The U.S. intervened in the case in order to assert water rights on behalf of twenty-five American Indian tribes in the lower basin and to press for reserved rights for other federal lands.</w:t>
      </w:r>
      <w:r w:rsidRPr="00087A72">
        <w:rPr>
          <w:sz w:val="12"/>
        </w:rPr>
        <w:t xml:space="preserve">88 After the initial pleadings, </w:t>
      </w:r>
      <w:r w:rsidRPr="00087A72">
        <w:rPr>
          <w:rStyle w:val="Emphasis"/>
        </w:rPr>
        <w:t>the Court referred the case to a Special Master</w:t>
      </w:r>
      <w:r w:rsidRPr="00087A72">
        <w:rPr>
          <w:sz w:val="12"/>
        </w:rPr>
        <w:t xml:space="preserve">, who conducted a trial that endured for more than two years, "during which 340 witnesses were heard orally or by deposition, thousands of exhibits were received, and 25 thousand pages of transcript were filed." 89 The Supreme Court largely accepted the Special Master's findings and recommendations, and Arizona was the big winner.90 The Court agreed that California's share was limited to 4.4 million acre-feet, and that each state was entitled to the water from its tributaries.91 With respect to the federal government's claims, the Special Master set aside the federal lands issues as well as any tribal claims that derived from tributaries of the Colorado River. </w:t>
      </w:r>
      <w:r w:rsidRPr="00087A72">
        <w:rPr>
          <w:rStyle w:val="Emphasis"/>
        </w:rPr>
        <w:t>For the five tribes in the lower basin on the main stem of the River</w:t>
      </w:r>
      <w:r w:rsidRPr="00087A72">
        <w:rPr>
          <w:sz w:val="12"/>
        </w:rPr>
        <w:t xml:space="preserve">, including the CRIT, </w:t>
      </w:r>
      <w:r w:rsidRPr="00087A72">
        <w:rPr>
          <w:rStyle w:val="Emphasis"/>
        </w:rPr>
        <w:t>the Special Master ruled in favor of recognizing their senior rights to water, and the Supreme Court affirmed that decision.</w:t>
      </w:r>
      <w:r w:rsidRPr="00087A72">
        <w:rPr>
          <w:sz w:val="12"/>
        </w:rPr>
        <w:t xml:space="preserve"> The Court held that the CRIT, Cocopah, Yuma, Chemehuevi, and Fort Mohave Tribes had senior rights to water, with priority dates the same as those for the designation of their reservations. 92 In coming to that conclusion, </w:t>
      </w:r>
      <w:r w:rsidRPr="00087A72">
        <w:rPr>
          <w:rStyle w:val="Emphasis"/>
        </w:rPr>
        <w:t>the Court embraced the outcome and much of the reasoning of Winters v. United States, a 1908 case that held that a tribe's right to water dates from</w:t>
      </w:r>
      <w:r w:rsidRPr="00087A72">
        <w:rPr>
          <w:sz w:val="12"/>
        </w:rPr>
        <w:t xml:space="preserve"> the </w:t>
      </w:r>
      <w:r w:rsidRPr="00087A72">
        <w:rPr>
          <w:rStyle w:val="Emphasis"/>
        </w:rPr>
        <w:t xml:space="preserve">creation of its reservation, and </w:t>
      </w:r>
      <w:r w:rsidRPr="00087A72">
        <w:rPr>
          <w:sz w:val="12"/>
        </w:rPr>
        <w:t xml:space="preserve">furthermore, that the </w:t>
      </w:r>
      <w:r w:rsidRPr="00087A72">
        <w:rPr>
          <w:rStyle w:val="Emphasis"/>
        </w:rPr>
        <w:t>right exists regardless of whether diversion or irrigation had yet taken place.</w:t>
      </w:r>
      <w:r w:rsidRPr="00087A72">
        <w:rPr>
          <w:sz w:val="12"/>
        </w:rPr>
        <w:t xml:space="preserve"> 93 One of </w:t>
      </w:r>
      <w:r w:rsidRPr="00087A72">
        <w:rPr>
          <w:b/>
          <w:u w:val="single"/>
        </w:rPr>
        <w:t>Arizona's arguments against recognizing the tribes' water rights was</w:t>
      </w:r>
      <w:r w:rsidRPr="00087A72">
        <w:rPr>
          <w:sz w:val="12"/>
        </w:rPr>
        <w:t xml:space="preserve"> that there was "a </w:t>
      </w:r>
      <w:r w:rsidRPr="00087A72">
        <w:rPr>
          <w:b/>
          <w:u w:val="single"/>
        </w:rPr>
        <w:t>lack of evidence showing that the [U.S.] in establishing the reservation intended to reserve water for them.</w:t>
      </w:r>
      <w:r w:rsidRPr="00087A72">
        <w:rPr>
          <w:sz w:val="12"/>
        </w:rPr>
        <w:t xml:space="preserve">" 94 </w:t>
      </w:r>
      <w:r w:rsidRPr="00087A72">
        <w:rPr>
          <w:rStyle w:val="Emphasis"/>
        </w:rPr>
        <w:t>The Court rejected this position, relying in</w:t>
      </w:r>
      <w:r w:rsidRPr="00087A72">
        <w:rPr>
          <w:sz w:val="12"/>
        </w:rPr>
        <w:t xml:space="preserve"> part on Winters' generalized reasoning that </w:t>
      </w:r>
      <w:r w:rsidRPr="00087A72">
        <w:rPr>
          <w:rStyle w:val="Emphasis"/>
        </w:rPr>
        <w:t>the federal government intended to deal fairly with Indians, and therefore would not have recognized their claims to land while denying them the water necessary to support their reservations.</w:t>
      </w:r>
      <w:r w:rsidRPr="00087A72">
        <w:rPr>
          <w:sz w:val="12"/>
        </w:rPr>
        <w:t xml:space="preserve"> 95 The Court also specifically mentioned CRIT's situation, including references in the congressional record to the debate before the first appropriation for CRIT's irrigation canal. 96 As is clear from the history recounted above, the Court could have included much more evidence of the unrelenting series of actions attesting to the federal government's intentions to settle Indians at the CRIT Reservation by turning them into farmers.97 Key to this, of course, was the provision of water, or at least p98 that was the recurring (if unfulfilled) promise. While the Court did not delve into that troubled history as deeply as this Article has, it did observe that [i]t is impossible to believe that when Congress created the great Colorado Indian Reservation and when the Executive Department of this Nation created the other reservations they were unaware that most of the lands were of the desert kind-hot scorching sands-and that water from the river would be essential to the life of the Indian people and to the animals they hunted for and the crops they raised. 99 </w:t>
      </w:r>
      <w:r w:rsidRPr="00087A72">
        <w:rPr>
          <w:rStyle w:val="Emphasis"/>
        </w:rPr>
        <w:t>The Court's affirmation of Winters was a significant victory for</w:t>
      </w:r>
      <w:r w:rsidRPr="00087A72">
        <w:rPr>
          <w:sz w:val="12"/>
        </w:rPr>
        <w:t xml:space="preserve"> the CRIT and </w:t>
      </w:r>
      <w:r w:rsidRPr="00087A72">
        <w:rPr>
          <w:rStyle w:val="Emphasis"/>
        </w:rPr>
        <w:t>the other four tribes whose rights were decreed, but also for tribes in general.</w:t>
      </w:r>
      <w:r w:rsidRPr="00087A72">
        <w:rPr>
          <w:sz w:val="12"/>
        </w:rPr>
        <w:t xml:space="preserve"> </w:t>
      </w:r>
      <w:r w:rsidRPr="00087A72">
        <w:rPr>
          <w:b/>
          <w:u w:val="single"/>
        </w:rPr>
        <w:t>Today, tribal reserved water rights are well established in law</w:t>
      </w:r>
      <w:r w:rsidRPr="00087A72">
        <w:rPr>
          <w:sz w:val="12"/>
        </w:rPr>
        <w:t xml:space="preserve"> (if not warmly embraced in fact). But in 1963, many of the bedrock legal principles of Indian law had yet to be acknowledged by federal courts in the modem era. Williams v. Lee,100 which ousted state court jurisdiction over a claim arising on the Navajo Nation, is often described as the case that heralded the modem era of American Indian law in the federal judiciary. 10 1 Yet Arizona v. California could give Williams a run for that title, and reviving Winters would be reason enough. There is even more to the Arizona v. California opinion, however. In addition to recognizing very senior priority dates for the tribes, </w:t>
      </w:r>
      <w:r w:rsidRPr="00087A72">
        <w:rPr>
          <w:rStyle w:val="Emphasis"/>
        </w:rPr>
        <w:t>the Court affirmed the Special Master's decision concerning the quantity of water reserved.</w:t>
      </w:r>
      <w:r w:rsidRPr="00087A72">
        <w:rPr>
          <w:sz w:val="12"/>
        </w:rPr>
        <w:t xml:space="preserve"> 10 2 The Special Master concluded that "</w:t>
      </w:r>
      <w:r w:rsidRPr="00087A72">
        <w:rPr>
          <w:b/>
          <w:u w:val="single"/>
        </w:rPr>
        <w:t>the water was intended to satisfy the future as well as the present needs of the Indian Reservations and ruled that enough water was reserved to irrigate all the practicably irrigable acreage on the reservations.</w:t>
      </w:r>
      <w:r w:rsidRPr="00087A72">
        <w:rPr>
          <w:sz w:val="12"/>
        </w:rPr>
        <w:t xml:space="preserve">"10 3 The Court embraced the "practically irrigable acreage" ("PIA") standard, which allowed for much greater quantities of water than the approach Arizona urged. Arizona pressed for the tribes' quantities to be determined by their actual population and their " 'reasonably foreseeable needs.' ,104 The Court rejected this argument out of hand, and simply stated, "We have concluded, as did the Master, that the only feasible and fair way by which reserved water for the reservations can be measured is irrigable acreage." 10 5 Since 1963, </w:t>
      </w:r>
      <w:r w:rsidRPr="00087A72">
        <w:rPr>
          <w:rStyle w:val="Emphasis"/>
        </w:rPr>
        <w:t>the PIA standard has been both lauded and criticized</w:t>
      </w:r>
      <w:r w:rsidRPr="00087A72">
        <w:rPr>
          <w:sz w:val="12"/>
        </w:rPr>
        <w:t xml:space="preserve">. 10 6 One thing is certain, </w:t>
      </w:r>
      <w:r w:rsidRPr="00087A72">
        <w:rPr>
          <w:rStyle w:val="Emphasis"/>
        </w:rPr>
        <w:t>however</w:t>
      </w:r>
      <w:r w:rsidRPr="00087A72">
        <w:rPr>
          <w:sz w:val="12"/>
        </w:rPr>
        <w:t xml:space="preserve">, </w:t>
      </w:r>
      <w:r w:rsidRPr="00087A72">
        <w:rPr>
          <w:rStyle w:val="Emphasis"/>
        </w:rPr>
        <w:t>and that is that the standard gives tribes much more leverage than they would have had if Arizona's rule had been adopted.</w:t>
      </w:r>
      <w:r w:rsidRPr="00087A72">
        <w:rPr>
          <w:sz w:val="12"/>
        </w:rPr>
        <w:t xml:space="preserve">l17 In addition, seen in light of the CRIT's history, there is some justice in the Supreme Court's ready adoption of a standard that the federal government relied on in principle, yet resisted in reality for decades. In other words, </w:t>
      </w:r>
      <w:r w:rsidRPr="00087A72">
        <w:rPr>
          <w:b/>
          <w:u w:val="single"/>
        </w:rPr>
        <w:t>while the notion of turning those "hot scorching sands" into rolling green fields of alfalfa may seem bizarre today, it was the official policy</w:t>
      </w:r>
      <w:r w:rsidRPr="00087A72">
        <w:rPr>
          <w:sz w:val="12"/>
        </w:rPr>
        <w:t>, including Indian policy, of the federal government throughout the late nineteenth and much of the twentieth centuries. To quantify a tribe's right to water according to that notion at least has the benefit of making the federal government reap what it sowed.</w:t>
      </w:r>
    </w:p>
    <w:p w:rsidR="00792F86" w:rsidRPr="00087A72" w:rsidRDefault="00792F86" w:rsidP="00792F86"/>
    <w:p w:rsidR="00792F86" w:rsidRPr="00087A72" w:rsidRDefault="00792F86" w:rsidP="00792F86">
      <w:pPr>
        <w:pStyle w:val="Heading4"/>
      </w:pPr>
      <w:r w:rsidRPr="00087A72">
        <w:t>Indigenous groups can and have shaped legal engagements</w:t>
      </w:r>
    </w:p>
    <w:p w:rsidR="00792F86" w:rsidRPr="00087A72" w:rsidRDefault="00792F86" w:rsidP="00792F86">
      <w:r w:rsidRPr="00087A72">
        <w:rPr>
          <w:rStyle w:val="Style13ptBold"/>
        </w:rPr>
        <w:t>Buchanan and Smith 11</w:t>
      </w:r>
      <w:r w:rsidRPr="00087A72">
        <w:t xml:space="preserve"> (Nicholas and Eve-Darian, PhD from the Program in Science, Technology, and Society at the Massachusetts Institute of Technology and was Robert O. Hetlage Doctoral Fellow at the American Bar Foundation while this symposium was in progress &amp; Professor of Global and International Studies at the University of California, Santa Barbara, “Introduction: Law and the Problematics of Indigenous Authenticities,” </w:t>
      </w:r>
      <w:r w:rsidRPr="00087A72">
        <w:rPr>
          <w:i/>
        </w:rPr>
        <w:t>Law and Social Inquiry</w:t>
      </w:r>
      <w:r w:rsidRPr="00087A72">
        <w:t>, Vo. 36, pp. 115-117)//vikas</w:t>
      </w:r>
    </w:p>
    <w:p w:rsidR="00792F86" w:rsidRPr="00087A72" w:rsidRDefault="00792F86" w:rsidP="00792F86">
      <w:pPr>
        <w:rPr>
          <w:sz w:val="16"/>
        </w:rPr>
      </w:pPr>
      <w:r w:rsidRPr="00087A72">
        <w:rPr>
          <w:b/>
          <w:u w:val="single"/>
        </w:rPr>
        <w:t>While law has long played a role in forging and perpetuating hierarchies between colonizers and colonized</w:t>
      </w:r>
      <w:r w:rsidRPr="00087A72">
        <w:rPr>
          <w:sz w:val="16"/>
        </w:rPr>
        <w:t xml:space="preserve">, not only in the past but also in the present day, this </w:t>
      </w:r>
      <w:r w:rsidRPr="00087A72">
        <w:rPr>
          <w:rStyle w:val="Emphasis"/>
        </w:rPr>
        <w:t>long-standing asymmetry of power is increasingly being challenged by Native peoples, who are employing law as a technology of empowerment.</w:t>
      </w:r>
      <w:r w:rsidRPr="00087A72">
        <w:rPr>
          <w:sz w:val="16"/>
        </w:rPr>
        <w:t xml:space="preserve"> And increasingly, indigenous groups are making claims not only under Western law, but also under indigenously based systems of legality. The legal pluralism that has resulted has not only been fraught with tensions, but also makes widespread assumptions about the totality of the colonial process untenable. It is against this background of shifting power dynamics between non- </w:t>
      </w:r>
      <w:r w:rsidRPr="00087A72">
        <w:rPr>
          <w:b/>
          <w:u w:val="single"/>
        </w:rPr>
        <w:t>Native and Native peoples that more and more sociolegal scholars have become engaged with issues of law and indigeneity</w:t>
      </w:r>
      <w:r w:rsidRPr="00087A72">
        <w:rPr>
          <w:sz w:val="16"/>
        </w:rPr>
        <w:t xml:space="preserve">. This growing </w:t>
      </w:r>
      <w:r w:rsidRPr="00087A72">
        <w:rPr>
          <w:rStyle w:val="Emphasis"/>
        </w:rPr>
        <w:t>interest reflects a new awareness and sensitivity to the continued presence of indigenous peoples within</w:t>
      </w:r>
      <w:r w:rsidRPr="00087A72">
        <w:rPr>
          <w:sz w:val="16"/>
        </w:rPr>
        <w:t xml:space="preserve"> former </w:t>
      </w:r>
      <w:r w:rsidRPr="00087A72">
        <w:rPr>
          <w:rStyle w:val="Emphasis"/>
        </w:rPr>
        <w:t>colonial societies</w:t>
      </w:r>
      <w:r w:rsidRPr="00087A72">
        <w:rPr>
          <w:sz w:val="16"/>
        </w:rPr>
        <w:t xml:space="preserve">. And </w:t>
      </w:r>
      <w:r w:rsidRPr="00087A72">
        <w:rPr>
          <w:b/>
          <w:u w:val="single"/>
        </w:rPr>
        <w:t>it</w:t>
      </w:r>
      <w:r w:rsidRPr="00087A72">
        <w:rPr>
          <w:sz w:val="16"/>
        </w:rPr>
        <w:t xml:space="preserve"> also </w:t>
      </w:r>
      <w:r w:rsidRPr="00087A72">
        <w:rPr>
          <w:b/>
          <w:u w:val="single"/>
        </w:rPr>
        <w:t>reflects an increasing prominence of Native issues within public institutions and</w:t>
      </w:r>
      <w:r w:rsidRPr="00087A72">
        <w:rPr>
          <w:sz w:val="16"/>
        </w:rPr>
        <w:t xml:space="preserve"> across </w:t>
      </w:r>
      <w:r w:rsidRPr="00087A72">
        <w:rPr>
          <w:b/>
          <w:u w:val="single"/>
        </w:rPr>
        <w:t>political landscapes.</w:t>
      </w:r>
      <w:r w:rsidRPr="00087A72">
        <w:rPr>
          <w:sz w:val="16"/>
        </w:rPr>
        <w:t xml:space="preserve"> </w:t>
      </w:r>
      <w:r w:rsidRPr="00087A72">
        <w:rPr>
          <w:rStyle w:val="Emphasis"/>
        </w:rPr>
        <w:t>Scholars are</w:t>
      </w:r>
      <w:r w:rsidRPr="00087A72">
        <w:rPr>
          <w:sz w:val="16"/>
        </w:rPr>
        <w:t xml:space="preserve"> now </w:t>
      </w:r>
      <w:r w:rsidRPr="00087A72">
        <w:rPr>
          <w:rStyle w:val="Emphasis"/>
        </w:rPr>
        <w:t>appreciating</w:t>
      </w:r>
      <w:r w:rsidRPr="00087A72">
        <w:rPr>
          <w:sz w:val="16"/>
        </w:rPr>
        <w:t xml:space="preserve"> that issues r</w:t>
      </w:r>
      <w:r w:rsidRPr="00087A72">
        <w:rPr>
          <w:rStyle w:val="Emphasis"/>
        </w:rPr>
        <w:t>elating to indigenous peoples are not marginal to other questions</w:t>
      </w:r>
      <w:r w:rsidRPr="00087A72">
        <w:rPr>
          <w:sz w:val="16"/>
        </w:rPr>
        <w:t xml:space="preserve"> of power, race, and status. More- over, </w:t>
      </w:r>
      <w:r w:rsidRPr="00087A72">
        <w:rPr>
          <w:b/>
          <w:u w:val="single"/>
        </w:rPr>
        <w:t>questions of Native sovereignty have become topics of mainstream political discussions</w:t>
      </w:r>
      <w:r w:rsidRPr="00087A72">
        <w:rPr>
          <w:sz w:val="16"/>
        </w:rPr>
        <w:t xml:space="preserve">, </w:t>
      </w:r>
      <w:r w:rsidRPr="00087A72">
        <w:rPr>
          <w:b/>
          <w:u w:val="single"/>
        </w:rPr>
        <w:t>no longer relegated to specialized forums.</w:t>
      </w:r>
      <w:r w:rsidRPr="00087A72">
        <w:rPr>
          <w:sz w:val="16"/>
        </w:rPr>
        <w:t xml:space="preserve"> Take, </w:t>
      </w:r>
      <w:r w:rsidRPr="00087A72">
        <w:rPr>
          <w:rStyle w:val="Emphasis"/>
        </w:rPr>
        <w:t>for instance, the amount of attention and money directed at ballot measures on Indian gaming in California in 2008, or the interrelated implications of the federal recognition of the Long Island Shinnecock Indian Tribe in 2010</w:t>
      </w:r>
      <w:r w:rsidRPr="00087A72">
        <w:rPr>
          <w:sz w:val="16"/>
        </w:rPr>
        <w:t xml:space="preserve">, plans for the establishment of a casino in or near New York City, and New York State’s gaping budget deficit (Hakim 2010). In this symposium, we hope to push the discussion of the multifaceted relationships among Native peoples and contemporary formal and informal legal institutions in productive directions. In sociolegal scholarship, discussion with respect to Native peoples and law has long focused on discourses of human rights and resistance to colonial/postcolonial legal orders. These dis- courses are obviously important in highlighting how Native groups engage with the law as well as illustrating the ongoing struggles of indigenous peoples. At the same time, we believe that their predominance can also be constraining in a number of ways. First, we are concerned that </w:t>
      </w:r>
      <w:r w:rsidRPr="00087A72">
        <w:rPr>
          <w:rStyle w:val="Emphasis"/>
        </w:rPr>
        <w:t>discussions centered on resistance to dominant power structures place indigenous peoples in the role of respondent</w:t>
      </w:r>
      <w:r w:rsidRPr="00087A72">
        <w:rPr>
          <w:sz w:val="16"/>
        </w:rPr>
        <w:t xml:space="preserve">. By focusing primarily on resistance, </w:t>
      </w:r>
      <w:r w:rsidRPr="00087A72">
        <w:rPr>
          <w:b/>
          <w:u w:val="single"/>
        </w:rPr>
        <w:t>scholars</w:t>
      </w:r>
      <w:r w:rsidRPr="00087A72">
        <w:rPr>
          <w:sz w:val="16"/>
        </w:rPr>
        <w:t xml:space="preserve">, on the one hand, </w:t>
      </w:r>
      <w:r w:rsidRPr="00087A72">
        <w:rPr>
          <w:b/>
          <w:u w:val="single"/>
        </w:rPr>
        <w:t>empower indigenous peoples but</w:t>
      </w:r>
      <w:r w:rsidRPr="00087A72">
        <w:rPr>
          <w:sz w:val="16"/>
        </w:rPr>
        <w:t xml:space="preserve">, on the other hand, </w:t>
      </w:r>
      <w:r w:rsidRPr="00087A72">
        <w:rPr>
          <w:b/>
          <w:u w:val="single"/>
        </w:rPr>
        <w:t>tend to underscore the ways that they react to changes effected from outside their sphere of direct control.</w:t>
      </w:r>
      <w:r w:rsidRPr="00087A72">
        <w:rPr>
          <w:sz w:val="16"/>
        </w:rPr>
        <w:t xml:space="preserve"> In the process, </w:t>
      </w:r>
      <w:r w:rsidRPr="00087A72">
        <w:rPr>
          <w:rStyle w:val="Emphasis"/>
        </w:rPr>
        <w:t>we risk overlooking ways in which indigenous groups actively initiate and shape legal engagements and social and political change.</w:t>
      </w:r>
      <w:r w:rsidRPr="00087A72">
        <w:rPr>
          <w:sz w:val="16"/>
        </w:rPr>
        <w:t xml:space="preserve"> In other words, even as they focus on the subversion of hegemonic orders, discourses of resistance can inadvertently reproduce the power rela- tions and hierarchies that constitute and characterize those orders in the first place. </w:t>
      </w:r>
    </w:p>
    <w:p w:rsidR="00792F86" w:rsidRPr="00087A72" w:rsidRDefault="00792F86" w:rsidP="00792F86"/>
    <w:p w:rsidR="00792F86" w:rsidRPr="00087A72" w:rsidRDefault="00792F86" w:rsidP="00792F86">
      <w:pPr>
        <w:pStyle w:val="Heading4"/>
      </w:pPr>
      <w:r w:rsidRPr="00087A72">
        <w:t>Disrupting settler technologies is a necessary part of combatting settler colonialism</w:t>
      </w:r>
    </w:p>
    <w:p w:rsidR="00792F86" w:rsidRPr="00087A72" w:rsidRDefault="00792F86" w:rsidP="00792F86">
      <w:r w:rsidRPr="00087A72">
        <w:rPr>
          <w:rStyle w:val="Style13ptBold"/>
        </w:rPr>
        <w:t>Paperson 17</w:t>
      </w:r>
      <w:r w:rsidRPr="00087A72">
        <w:t xml:space="preserve"> (Wayne Yang, Associate Professor of Ethnic Studies @ UC San Diego and PhD Social and Cultural Studies @ Berkeley, “A Third University Is Possible,” </w:t>
      </w:r>
      <w:r w:rsidRPr="00087A72">
        <w:rPr>
          <w:i/>
        </w:rPr>
        <w:t>University Of Minnesota Press</w:t>
      </w:r>
      <w:r w:rsidRPr="00087A72">
        <w:t>)//vikas</w:t>
      </w:r>
    </w:p>
    <w:p w:rsidR="00792F86" w:rsidRPr="00087A72" w:rsidRDefault="00792F86" w:rsidP="00792F86">
      <w:pPr>
        <w:rPr>
          <w:rStyle w:val="Emphasis"/>
        </w:rPr>
      </w:pPr>
      <w:r w:rsidRPr="00087A72">
        <w:rPr>
          <w:sz w:val="16"/>
        </w:rPr>
        <w:t xml:space="preserve">Everywhere land resists and refuses—whales that destroy ships, bees that refuse to work, bombed islands that reconstitute themselves. </w:t>
      </w:r>
      <w:r w:rsidRPr="00087A72">
        <w:rPr>
          <w:b/>
          <w:u w:val="single"/>
        </w:rPr>
        <w:t>The land also resists in the form of people; Indigenous peoples’ resistance is</w:t>
      </w:r>
      <w:r w:rsidRPr="00087A72">
        <w:rPr>
          <w:sz w:val="16"/>
        </w:rPr>
        <w:t xml:space="preserve"> the </w:t>
      </w:r>
      <w:r w:rsidRPr="00087A72">
        <w:rPr>
          <w:b/>
          <w:u w:val="single"/>
        </w:rPr>
        <w:t>land’s resistance. Indigenous people continue to subvert legal and capitalist technologies as part of</w:t>
      </w:r>
      <w:r w:rsidRPr="00087A72">
        <w:rPr>
          <w:sz w:val="16"/>
        </w:rPr>
        <w:t xml:space="preserve"> that </w:t>
      </w:r>
      <w:r w:rsidRPr="00087A72">
        <w:rPr>
          <w:b/>
          <w:u w:val="single"/>
        </w:rPr>
        <w:t>resistance</w:t>
      </w:r>
      <w:r w:rsidRPr="00087A72">
        <w:rPr>
          <w:sz w:val="16"/>
        </w:rPr>
        <w:t xml:space="preserve">. And technologies and technological beings resist too. </w:t>
      </w:r>
      <w:r w:rsidRPr="00087A72">
        <w:rPr>
          <w:b/>
          <w:u w:val="single"/>
        </w:rPr>
        <w:t>Patent law is patently designed to favor corporations, a legal technology whose colonizing functions are</w:t>
      </w:r>
      <w:r w:rsidRPr="00087A72">
        <w:rPr>
          <w:sz w:val="16"/>
        </w:rPr>
        <w:t xml:space="preserve"> particularly </w:t>
      </w:r>
      <w:r w:rsidRPr="00087A72">
        <w:rPr>
          <w:b/>
          <w:u w:val="single"/>
        </w:rPr>
        <w:t>evident when considering how Monsanto and other GMO producing giants are patenting seeds and genes they “find” throughout the world.</w:t>
      </w:r>
      <w:r w:rsidRPr="00087A72">
        <w:rPr>
          <w:sz w:val="16"/>
        </w:rPr>
        <w:t xml:space="preserve"> Yet </w:t>
      </w:r>
      <w:r w:rsidRPr="00087A72">
        <w:rPr>
          <w:rStyle w:val="Emphasis"/>
        </w:rPr>
        <w:t>Indigenous communities are fighting this biopiracy by refusing</w:t>
      </w:r>
      <w:r w:rsidRPr="00087A72">
        <w:rPr>
          <w:sz w:val="16"/>
        </w:rPr>
        <w:t xml:space="preserve"> the </w:t>
      </w:r>
      <w:r w:rsidRPr="00087A72">
        <w:rPr>
          <w:rStyle w:val="Emphasis"/>
        </w:rPr>
        <w:t>systems that permit corporations to patent life and that document knowledge for expropriation in the first place</w:t>
      </w:r>
      <w:r w:rsidRPr="00087A72">
        <w:rPr>
          <w:sz w:val="16"/>
        </w:rPr>
        <w:t xml:space="preserve">, by </w:t>
      </w:r>
      <w:r w:rsidRPr="00087A72">
        <w:rPr>
          <w:rStyle w:val="Emphasis"/>
        </w:rPr>
        <w:t>creating digital libraries of traditional knowledges</w:t>
      </w:r>
      <w:r w:rsidRPr="00087A72">
        <w:rPr>
          <w:sz w:val="16"/>
        </w:rPr>
        <w:t xml:space="preserve">, and sometimes by </w:t>
      </w:r>
      <w:r w:rsidRPr="00087A72">
        <w:rPr>
          <w:rStyle w:val="Emphasis"/>
        </w:rPr>
        <w:t>subverting patent law to claim rights to their own life worlds and knowledges.</w:t>
      </w:r>
      <w:r w:rsidRPr="00087A72">
        <w:rPr>
          <w:sz w:val="16"/>
        </w:rPr>
        <w:t xml:space="preserve">[35] </w:t>
      </w:r>
      <w:r w:rsidRPr="00087A72">
        <w:rPr>
          <w:rStyle w:val="Emphasis"/>
        </w:rPr>
        <w:t>Treaties are technologies of</w:t>
      </w:r>
      <w:r w:rsidRPr="00087A72">
        <w:rPr>
          <w:b/>
          <w:u w:val="single"/>
        </w:rPr>
        <w:t xml:space="preserve"> colonial coercion and yet also of </w:t>
      </w:r>
      <w:r w:rsidRPr="00087A72">
        <w:rPr>
          <w:rStyle w:val="Emphasis"/>
        </w:rPr>
        <w:t>Indigenous survivance.</w:t>
      </w:r>
      <w:r w:rsidRPr="00087A72">
        <w:rPr>
          <w:sz w:val="16"/>
        </w:rPr>
        <w:t xml:space="preserve"> As Scott Lyon says, an x-mark that signs the treaty “is a sign of consent in a context of coercion. . . . And yet </w:t>
      </w:r>
      <w:r w:rsidRPr="00087A72">
        <w:rPr>
          <w:rStyle w:val="Emphasis"/>
        </w:rPr>
        <w:t>there is always the possibility of slippage, indeterminacy, unforeseen consequences, or unintended results</w:t>
      </w:r>
      <w:r w:rsidRPr="00087A72">
        <w:rPr>
          <w:sz w:val="16"/>
        </w:rPr>
        <w:t xml:space="preserve">; it is always possible, that is, that </w:t>
      </w:r>
      <w:r w:rsidRPr="00087A72">
        <w:rPr>
          <w:rStyle w:val="Emphasis"/>
        </w:rPr>
        <w:t>an x-mark could result in something good.</w:t>
      </w:r>
      <w:r w:rsidRPr="00087A72">
        <w:rPr>
          <w:sz w:val="16"/>
        </w:rPr>
        <w:t xml:space="preserve"> </w:t>
      </w:r>
      <w:r w:rsidRPr="00087A72">
        <w:rPr>
          <w:b/>
          <w:u w:val="single"/>
        </w:rPr>
        <w:t>Why else</w:t>
      </w:r>
      <w:r w:rsidRPr="00087A72">
        <w:rPr>
          <w:sz w:val="16"/>
        </w:rPr>
        <w:t xml:space="preserve">, we must ask, </w:t>
      </w:r>
      <w:r w:rsidRPr="00087A72">
        <w:rPr>
          <w:b/>
          <w:u w:val="single"/>
        </w:rPr>
        <w:t>would someone bother to make it?</w:t>
      </w:r>
      <w:r w:rsidRPr="00087A72">
        <w:rPr>
          <w:sz w:val="16"/>
        </w:rPr>
        <w:t xml:space="preserve">”[36] Since 1948, </w:t>
      </w:r>
      <w:r w:rsidRPr="00087A72">
        <w:rPr>
          <w:rStyle w:val="Emphasis"/>
        </w:rPr>
        <w:t>the Oneida Indian Nation has pursued restoration of sovereignty over historical reservation lands via a</w:t>
      </w:r>
      <w:r w:rsidRPr="00087A72">
        <w:rPr>
          <w:sz w:val="16"/>
        </w:rPr>
        <w:t xml:space="preserve"> complex set of </w:t>
      </w:r>
      <w:r w:rsidRPr="00087A72">
        <w:rPr>
          <w:rStyle w:val="Emphasis"/>
        </w:rPr>
        <w:t>avenues involving treaty law, U.S. courts, casinos, and excise taxes, resulting in a landmark 13,004 acres of land taken into trust</w:t>
      </w:r>
      <w:r w:rsidRPr="00087A72">
        <w:rPr>
          <w:sz w:val="16"/>
        </w:rPr>
        <w:t xml:space="preserve"> by the Department of the Interior in 2014.[37] </w:t>
      </w:r>
      <w:r w:rsidRPr="00087A72">
        <w:rPr>
          <w:b/>
          <w:u w:val="single"/>
        </w:rPr>
        <w:t>Sometimes settlers return land to Indigenous tribes and nations</w:t>
      </w:r>
      <w:r w:rsidRPr="00087A72">
        <w:rPr>
          <w:sz w:val="16"/>
        </w:rPr>
        <w:t xml:space="preserve">. Hopefully, they/we might do so without conditions. As I write, </w:t>
      </w:r>
      <w:r w:rsidRPr="00087A72">
        <w:rPr>
          <w:rStyle w:val="Emphasis"/>
        </w:rPr>
        <w:t>the Kashia Band of Pomo Indians are getting back 688 acres of coastal lands in California.</w:t>
      </w:r>
      <w:r w:rsidRPr="00087A72">
        <w:rPr>
          <w:sz w:val="16"/>
        </w:rPr>
        <w:t xml:space="preserve">[38] I am not saying wealthy settlers who return land are decolonizing. I am saying that </w:t>
      </w:r>
      <w:r w:rsidRPr="00087A72">
        <w:rPr>
          <w:rStyle w:val="Emphasis"/>
        </w:rPr>
        <w:t xml:space="preserve">some colonizing technology has been hotwired; something scyborg is happening. </w:t>
      </w:r>
      <w:r w:rsidRPr="00087A72">
        <w:rPr>
          <w:sz w:val="16"/>
        </w:rPr>
        <w:t xml:space="preserve">The truth is that any return of land is not just due to the good graces and benevolence of wealthy settlers; it is a scyborg possibility foretold by an x-mark. About Hollywood star Johnny Depp’s purported promise to buy land for Comanche, Sonny Skyhawk, a Sicangu Lakota actor and founder of American Indians in Film and Television, said, “If it’s from the heart, we accept it. If it’s not from the heart, we’ll accept it anyways.”[39] </w:t>
      </w:r>
      <w:r w:rsidRPr="00087A72">
        <w:rPr>
          <w:b/>
          <w:u w:val="single"/>
        </w:rPr>
        <w:t>Developed as weapons of surveillance and assassination, drones are hard to imagine as decolonizing instruments</w:t>
      </w:r>
      <w:r w:rsidRPr="00087A72">
        <w:rPr>
          <w:sz w:val="16"/>
        </w:rPr>
        <w:t xml:space="preserve">; yet these </w:t>
      </w:r>
      <w:r w:rsidRPr="00087A72">
        <w:rPr>
          <w:rStyle w:val="Emphasis"/>
        </w:rPr>
        <w:t>machines we hate may serve a function before we discard them.</w:t>
      </w:r>
      <w:r w:rsidRPr="00087A72">
        <w:rPr>
          <w:sz w:val="16"/>
        </w:rPr>
        <w:t xml:space="preserve"> Originally a wind-powered device similar to the childhood wind toys of its Afghani creator Massoud Hassani, </w:t>
      </w:r>
      <w:r w:rsidRPr="00087A72">
        <w:rPr>
          <w:rStyle w:val="Emphasis"/>
        </w:rPr>
        <w:t>the Mine Kafon drone</w:t>
      </w:r>
      <w:r w:rsidRPr="00087A72">
        <w:rPr>
          <w:sz w:val="16"/>
        </w:rPr>
        <w:t xml:space="preserve"> “</w:t>
      </w:r>
      <w:r w:rsidRPr="00087A72">
        <w:rPr>
          <w:rStyle w:val="Emphasis"/>
        </w:rPr>
        <w:t>can autonomously map, detect, and detonate land mines</w:t>
      </w:r>
      <w:r w:rsidRPr="00087A72">
        <w:rPr>
          <w:sz w:val="16"/>
        </w:rPr>
        <w:t xml:space="preserve">” </w:t>
      </w:r>
      <w:r w:rsidRPr="00087A72">
        <w:rPr>
          <w:rStyle w:val="Emphasis"/>
        </w:rPr>
        <w:t>and</w:t>
      </w:r>
      <w:r w:rsidRPr="00087A72">
        <w:rPr>
          <w:sz w:val="16"/>
        </w:rPr>
        <w:t xml:space="preserve"> could </w:t>
      </w:r>
      <w:r w:rsidRPr="00087A72">
        <w:rPr>
          <w:rStyle w:val="Emphasis"/>
        </w:rPr>
        <w:t>contribute to demilitarizing mine-filled lands within a generation.</w:t>
      </w:r>
      <w:r w:rsidRPr="00087A72">
        <w:rPr>
          <w:sz w:val="16"/>
        </w:rPr>
        <w:t xml:space="preserve">[40] </w:t>
      </w:r>
      <w:r w:rsidRPr="00087A72">
        <w:rPr>
          <w:b/>
          <w:u w:val="single"/>
        </w:rPr>
        <w:t>Dynamite</w:t>
      </w:r>
      <w:r w:rsidRPr="00087A72">
        <w:rPr>
          <w:sz w:val="16"/>
        </w:rPr>
        <w:t xml:space="preserve">, which left Alfred Nobel rich and many dead, and </w:t>
      </w:r>
      <w:r w:rsidRPr="00087A72">
        <w:rPr>
          <w:b/>
          <w:u w:val="single"/>
        </w:rPr>
        <w:t>which abetted in U.S. westward imperial expansion, blew up the Elwha and Glines Canyon dams and restored the Elwha River.</w:t>
      </w:r>
      <w:r w:rsidRPr="00087A72">
        <w:rPr>
          <w:sz w:val="16"/>
        </w:rPr>
        <w:t xml:space="preserve">[41] A giant, autonomous artificial coastline could assist the ocean to clean herself of the great Pacific Garbage Patch.[42] Oysters made “plantable” by farming technologies detoxify the Hudson and so become too poisonous to eat, but because of them, the frogs will return.[43] Wind-powered strandbeests—originally devised to restore Dutch beaches—now roam almost autonomous, almost free.[44] Toxic and explosive and wind-willed machine animals, you, scyborg, might read about and feel some odd sense of recognition. Figure out how technologies operate. </w:t>
      </w:r>
      <w:r w:rsidRPr="00087A72">
        <w:rPr>
          <w:rStyle w:val="Emphasis"/>
        </w:rPr>
        <w:t>Use a wrench. Technologies can be disrupted and reorganized</w:t>
      </w:r>
      <w:r w:rsidRPr="00087A72">
        <w:rPr>
          <w:sz w:val="16"/>
        </w:rPr>
        <w:t xml:space="preserve">—at least for a machine cycle. Rather than thinking of ourselves as just subjects of those technologies, think about how we are the drones, the explosives, the toxified, the operative parts of those technologies—and ideally, how we might operate on ourselves and other technologies and turn these gears into decolonizing operations. If this sounds easy and obvious, then my writing has failed you. Listen: you will need to remember this when you are accused of destruction. Attach a pacemaker to the heart of those machines you hate; make it pump for your decolonizing enterprise; let it tick its own countdown. </w:t>
      </w:r>
      <w:r w:rsidRPr="00087A72">
        <w:rPr>
          <w:rStyle w:val="Emphasis"/>
        </w:rPr>
        <w:t>Ask how</w:t>
      </w:r>
      <w:r w:rsidRPr="00087A72">
        <w:rPr>
          <w:sz w:val="16"/>
        </w:rPr>
        <w:t xml:space="preserve">, and how otherwise, </w:t>
      </w:r>
      <w:r w:rsidRPr="00087A72">
        <w:rPr>
          <w:rStyle w:val="Emphasis"/>
        </w:rPr>
        <w:t>of the colonizing machines. Even when they are dangerous.</w:t>
      </w:r>
    </w:p>
    <w:p w:rsidR="00792F86" w:rsidRPr="00087A72" w:rsidRDefault="00792F86" w:rsidP="00792F86">
      <w:pPr>
        <w:rPr>
          <w:rStyle w:val="Emphasis"/>
        </w:rPr>
      </w:pPr>
    </w:p>
    <w:p w:rsidR="00792F86" w:rsidRPr="00087A72" w:rsidRDefault="00792F86" w:rsidP="00792F86">
      <w:pPr>
        <w:pStyle w:val="Heading4"/>
      </w:pPr>
      <w:r w:rsidRPr="00087A72">
        <w:t>Engaging institutions is the only way to establish settler accountability and prioritize indigenous resistance without re-inscribing settler, academic authority</w:t>
      </w:r>
    </w:p>
    <w:p w:rsidR="00792F86" w:rsidRPr="00087A72" w:rsidRDefault="00792F86" w:rsidP="00792F86">
      <w:r w:rsidRPr="00087A72">
        <w:rPr>
          <w:rStyle w:val="Style13ptBold"/>
        </w:rPr>
        <w:t>Sinclair et al 16</w:t>
      </w:r>
      <w:r w:rsidRPr="00087A72">
        <w:t xml:space="preserve"> (Lynne Davis, Jeff Denis &amp; Raven Sinclair, Associate Professor, Indigenous Studies, Trent University, Canada; Associate Professor, Sociology McMaster University, Canada; Associate Professor, Social Work University of Regina, Canada, “Pathways of settler decolonization,” </w:t>
      </w:r>
      <w:r w:rsidRPr="00087A72">
        <w:rPr>
          <w:i/>
        </w:rPr>
        <w:t>Settler Colonial Studies</w:t>
      </w:r>
      <w:r w:rsidRPr="00087A72">
        <w:t>)//vikas</w:t>
      </w:r>
    </w:p>
    <w:p w:rsidR="00792F86" w:rsidRPr="00087A72" w:rsidRDefault="00792F86" w:rsidP="00792F86">
      <w:pPr>
        <w:rPr>
          <w:sz w:val="16"/>
        </w:rPr>
      </w:pPr>
      <w:r w:rsidRPr="00087A72">
        <w:rPr>
          <w:sz w:val="16"/>
        </w:rPr>
        <w:t>This special issue of Settler Colonial Studies collects papers presented on the theme of ‘Pathways of Settler Decolonization’ at Canada’s 2015 Congress of Humanities and Social Sciences. The panel was co-sponsored by the Canadian Sociological Association (CSA/SCS) and the Canadian Association for Social Work Education (CASWE/ACFTS). The upsurge of intertwining scholarship in this field illuminates the present historical moment where scholars in multiple disciplines are turning to settler colonial studies in search of relevant conceptual tools. The authors in this volume write from different disciplines in exploring topics of decolonization, settler learning and solidarities. What they share in common is their engagement with the analysis of settler colonialism as the coherent logic of the state</w:t>
      </w:r>
      <w:r w:rsidRPr="00087A72">
        <w:rPr>
          <w:b/>
          <w:u w:val="single"/>
        </w:rPr>
        <w:t>. This understanding provides a unified theme</w:t>
      </w:r>
      <w:r w:rsidRPr="00087A72">
        <w:rPr>
          <w:b/>
          <w:sz w:val="16"/>
        </w:rPr>
        <w:t xml:space="preserve"> </w:t>
      </w:r>
      <w:r w:rsidRPr="00087A72">
        <w:rPr>
          <w:sz w:val="16"/>
        </w:rPr>
        <w:t xml:space="preserve">to scholarship that draws upon other disciplinary lenses In addition to interdisciplinarity, the papers also share a concern to move </w:t>
      </w:r>
      <w:r w:rsidRPr="00087A72">
        <w:rPr>
          <w:b/>
          <w:u w:val="single"/>
        </w:rPr>
        <w:t xml:space="preserve">from analysis toward action. </w:t>
      </w:r>
      <w:r w:rsidRPr="00087A72">
        <w:rPr>
          <w:rStyle w:val="Emphasis"/>
        </w:rPr>
        <w:t>Scholars</w:t>
      </w:r>
      <w:r w:rsidRPr="00087A72">
        <w:rPr>
          <w:sz w:val="16"/>
        </w:rPr>
        <w:t xml:space="preserve"> such as Macoun and Strakosch,1 and Snelgrove, Dhamoon and Corntassel2 </w:t>
      </w:r>
      <w:r w:rsidRPr="00087A72">
        <w:rPr>
          <w:rStyle w:val="Emphasis"/>
        </w:rPr>
        <w:t>have warned against an abdication of responsibility by settler activists because the structural nature of settler colonialism would seem to defy a transformed future.</w:t>
      </w:r>
      <w:r w:rsidRPr="00087A72">
        <w:rPr>
          <w:b/>
          <w:u w:val="single"/>
        </w:rPr>
        <w:t xml:space="preserve"> In assessing the strengths and limitations of settler colonial theory</w:t>
      </w:r>
      <w:r w:rsidRPr="00087A72">
        <w:rPr>
          <w:sz w:val="16"/>
        </w:rPr>
        <w:t xml:space="preserve">, Macoun and Strakosch </w:t>
      </w:r>
      <w:r w:rsidRPr="00087A72">
        <w:rPr>
          <w:b/>
          <w:u w:val="single"/>
        </w:rPr>
        <w:t>challenge those who use settler colonial theory</w:t>
      </w:r>
      <w:r w:rsidRPr="00087A72">
        <w:rPr>
          <w:sz w:val="16"/>
        </w:rPr>
        <w:t xml:space="preserve"> (SCT) </w:t>
      </w:r>
      <w:r w:rsidRPr="00087A72">
        <w:rPr>
          <w:b/>
          <w:u w:val="single"/>
        </w:rPr>
        <w:t>to realize its transformative opportunities while acting consciously to counter limitations identified by various critics.</w:t>
      </w:r>
      <w:r w:rsidRPr="00087A72">
        <w:rPr>
          <w:sz w:val="16"/>
        </w:rPr>
        <w:t xml:space="preserve"> They caution against </w:t>
      </w:r>
      <w:r w:rsidRPr="00087A72">
        <w:rPr>
          <w:b/>
          <w:u w:val="single"/>
        </w:rPr>
        <w:t xml:space="preserve">a stance of </w:t>
      </w:r>
      <w:r w:rsidRPr="00087A72">
        <w:rPr>
          <w:rStyle w:val="Emphasis"/>
        </w:rPr>
        <w:t>inevitability of settler colonialism</w:t>
      </w:r>
      <w:r w:rsidRPr="00087A72">
        <w:rPr>
          <w:sz w:val="16"/>
        </w:rPr>
        <w:t xml:space="preserve"> that </w:t>
      </w:r>
      <w:r w:rsidRPr="00087A72">
        <w:rPr>
          <w:rStyle w:val="Emphasis"/>
        </w:rPr>
        <w:t>would risk delegitimizing Indigenous resistance, and they worry</w:t>
      </w:r>
      <w:r w:rsidRPr="00087A72">
        <w:rPr>
          <w:sz w:val="16"/>
        </w:rPr>
        <w:t xml:space="preserve"> about </w:t>
      </w:r>
      <w:r w:rsidRPr="00087A72">
        <w:rPr>
          <w:rStyle w:val="Emphasis"/>
        </w:rPr>
        <w:t>re-inscribing settler academics’ political and intellectual authority to the detriment of Indigenous voices.</w:t>
      </w:r>
      <w:r w:rsidRPr="00087A72">
        <w:rPr>
          <w:sz w:val="16"/>
        </w:rPr>
        <w:t xml:space="preserve"> At the same time, they note the contribution of SCT in providing a theoretical language to understand colonialism as a continuing force in the present, including an analysis of how both conservative and progressive settler movements may detract from Indigenous political challenges to the state, thus problematizing settler efforts at reconciliation and decolonization. They identify as one of its strengths the ability of SCT to provide non-Indigenous people with ‘a better account of ourselves’, 3 and to generate new conversations and alliances between Indigenous and non-Indigenous peoples. Snelgrove, Dhamoon and Corntassel warn that SCT’s rapid ascendancy in the academy could overshadow Indigenous Studies and the voices of Indigenous peoples. They argue that: without centering Indigenous peoples’ articulations, without deploying a relational approach to settler colonial power, and without paying attention to the conditions and contingencies of settler colonialism, studies of settler colonialism and practices of solidarity run the risk of reifying (and possibly replicating) settler colonial as well as other modes of domination.4 In their view, </w:t>
      </w:r>
      <w:r w:rsidRPr="00087A72">
        <w:rPr>
          <w:rStyle w:val="Emphasis"/>
        </w:rPr>
        <w:t>Indigenous resistance and resurgence must remain central in discussions of changing relationships</w:t>
      </w:r>
      <w:r w:rsidRPr="00087A72">
        <w:rPr>
          <w:sz w:val="16"/>
        </w:rPr>
        <w:t xml:space="preserve">: Theorists of Indigenous resurgence, such as Taiaiake Alfred and Leanne Simpson, among others, also express the possibility for settler society listening, learning, and acting […] in accordance with and for what is being articulated [by Indigenous people]; </w:t>
      </w:r>
      <w:r w:rsidRPr="00087A72">
        <w:rPr>
          <w:b/>
          <w:u w:val="single"/>
        </w:rPr>
        <w:t>Indigenous resurgence is ultimately about reframing the conversation around decolonization in order to re-center and reinvigorate Indigenous nationhood.</w:t>
      </w:r>
      <w:r w:rsidRPr="00087A72">
        <w:rPr>
          <w:sz w:val="16"/>
        </w:rPr>
        <w:t xml:space="preserve"> Macoun and Strakosch, and Snelgrove, Dhamoon and Corntassel </w:t>
      </w:r>
      <w:r w:rsidRPr="00087A72">
        <w:rPr>
          <w:rStyle w:val="Emphasis"/>
        </w:rPr>
        <w:t>gesture towards action by settler society to follow the lead of resurgence theorists in transforming settler colonialism, despite</w:t>
      </w:r>
      <w:r w:rsidRPr="00087A72">
        <w:rPr>
          <w:sz w:val="16"/>
        </w:rPr>
        <w:t xml:space="preserve"> the </w:t>
      </w:r>
      <w:r w:rsidRPr="00087A72">
        <w:rPr>
          <w:rStyle w:val="Emphasis"/>
        </w:rPr>
        <w:t>structural</w:t>
      </w:r>
      <w:r w:rsidRPr="00087A72">
        <w:rPr>
          <w:sz w:val="16"/>
        </w:rPr>
        <w:t xml:space="preserve">, relational </w:t>
      </w:r>
      <w:r w:rsidRPr="00087A72">
        <w:rPr>
          <w:rStyle w:val="Emphasis"/>
        </w:rPr>
        <w:t>and affective challenges of anti-colonial struggle, in order to ‘reinvigorate Indigenous nationhood’</w:t>
      </w:r>
      <w:r w:rsidRPr="00087A72">
        <w:rPr>
          <w:sz w:val="16"/>
        </w:rPr>
        <w:t xml:space="preserve"> The authors in this volume examine pathways to settler decolonization, analyzing the uneven terrain of settler efforts and experiences through the lenses of SCT, Indigenous scholars and grassroots communities, and specific disciplinary analyses. While SCT has been criticized for its inability to theorize a decolonial future, this volume interrogates what happens when settlers engage with and seek to transform the system. What does such action look like? What challenges, complexities and barriers are faced? What are the stumbling blocks? And what opportunities and possibilities emerge? The articles in this volume all note the need for settlers to transform our/their relations with the land and with Indigenous peoples, while recognizing the structural and psychological challenges of applying these principles in practice. It is one thing to care about the environment, and quite another to reorient one’s lifestyle around sustainable practices and the health of local ecosystems. It is one thing to feel a connection to a place, and another to accept the notion of ‘non-human agency’. 6 Likewise, it is easier for settlers to advocate for the return of land to Indigenous peoples ‘over there’ rather than right where settlers and settler states and corporations (claim to) own property.7 </w:t>
      </w:r>
      <w:r w:rsidRPr="00087A72">
        <w:rPr>
          <w:b/>
          <w:u w:val="single"/>
        </w:rPr>
        <w:t>Transforming social relations is not just a matter of befriending Indigenous people; it means developing long-term relations of accountability, engaging in meaningful dialogue, and respecting</w:t>
      </w:r>
      <w:r w:rsidRPr="00087A72">
        <w:rPr>
          <w:sz w:val="16"/>
        </w:rPr>
        <w:t xml:space="preserve"> Indigenous laws and </w:t>
      </w:r>
      <w:r w:rsidRPr="00087A72">
        <w:rPr>
          <w:b/>
          <w:u w:val="single"/>
        </w:rPr>
        <w:t>jurisdiction</w:t>
      </w:r>
      <w:r w:rsidRPr="00087A72">
        <w:rPr>
          <w:sz w:val="16"/>
        </w:rPr>
        <w:t xml:space="preserve">. Learning to </w:t>
      </w:r>
      <w:r w:rsidRPr="00087A72">
        <w:rPr>
          <w:rStyle w:val="Emphasis"/>
        </w:rPr>
        <w:t>transform relationships</w:t>
      </w:r>
      <w:r w:rsidRPr="00087A72">
        <w:rPr>
          <w:sz w:val="16"/>
        </w:rPr>
        <w:t xml:space="preserve"> in these ways – and </w:t>
      </w:r>
      <w:r w:rsidRPr="00087A72">
        <w:rPr>
          <w:rStyle w:val="Emphasis"/>
        </w:rPr>
        <w:t>to transform self-understandings and thinking and feeling patterns or ‘settler common sense’</w:t>
      </w:r>
      <w:r w:rsidRPr="00087A72">
        <w:rPr>
          <w:sz w:val="16"/>
        </w:rPr>
        <w:t xml:space="preserve"> 8 – </w:t>
      </w:r>
      <w:r w:rsidRPr="00087A72">
        <w:rPr>
          <w:rStyle w:val="Emphasis"/>
        </w:rPr>
        <w:t>is an ongoing process; it is not linear, but rather iterative</w:t>
      </w:r>
      <w:r w:rsidRPr="00087A72">
        <w:rPr>
          <w:sz w:val="16"/>
        </w:rPr>
        <w:t xml:space="preserve">, occurring in what Hiller in this volume calls ‘upward and downward spirals’. </w:t>
      </w:r>
      <w:r w:rsidRPr="00087A72">
        <w:rPr>
          <w:b/>
          <w:u w:val="single"/>
        </w:rPr>
        <w:t>Moreover, settlers’ anti-colonial learning</w:t>
      </w:r>
      <w:r w:rsidRPr="00087A72">
        <w:rPr>
          <w:sz w:val="16"/>
        </w:rPr>
        <w:t xml:space="preserve"> (and unlearning) does not simply precede action; it occurs </w:t>
      </w:r>
      <w:r w:rsidRPr="00087A72">
        <w:rPr>
          <w:b/>
          <w:u w:val="single"/>
        </w:rPr>
        <w:t>through action</w:t>
      </w:r>
      <w:r w:rsidRPr="00087A72">
        <w:rPr>
          <w:sz w:val="16"/>
        </w:rPr>
        <w:t xml:space="preserve">, through meaningful relationships with Indigenous peoples and with other engaged settlers, </w:t>
      </w:r>
      <w:r w:rsidRPr="00087A72">
        <w:rPr>
          <w:rStyle w:val="Emphasis"/>
        </w:rPr>
        <w:t>and</w:t>
      </w:r>
      <w:r w:rsidRPr="00087A72">
        <w:rPr>
          <w:sz w:val="16"/>
        </w:rPr>
        <w:t xml:space="preserve"> through </w:t>
      </w:r>
      <w:r w:rsidRPr="00087A72">
        <w:rPr>
          <w:rStyle w:val="Emphasis"/>
        </w:rPr>
        <w:t>experimentation with activism of various sorts.</w:t>
      </w:r>
      <w:r w:rsidRPr="00087A72">
        <w:rPr>
          <w:sz w:val="16"/>
        </w:rPr>
        <w:t xml:space="preserve"> The Nehiyawak (Cree) refer to this relational and iterative social justice-focused process as kisāhkīwewin: love in action. Several papers in this volume also address the role of emotions in settler decolonization. While critical self-reflection is essential to this process, and while emotions such as guilt, shame and indignation can help motivate settlers to change their ways and support Indigenous resurgence (as Bacon shows in one of the articles collected here), it is equally important not to treat ‘unsettling the settler within’ 9 as an end in itself; rather than dwelling in discomfort, </w:t>
      </w:r>
      <w:r w:rsidRPr="00087A72">
        <w:rPr>
          <w:rStyle w:val="Emphasis"/>
        </w:rPr>
        <w:t>the point of unsettlement is to be a springboard to action that benefits Indigenous peoples</w:t>
      </w:r>
      <w:r w:rsidRPr="00087A72">
        <w:rPr>
          <w:sz w:val="16"/>
        </w:rPr>
        <w:t xml:space="preserve">..11 </w:t>
      </w:r>
    </w:p>
    <w:p w:rsidR="009F0BAC" w:rsidRPr="00087A72" w:rsidRDefault="009F0BAC" w:rsidP="009F0BAC">
      <w:pPr>
        <w:pStyle w:val="Heading4"/>
      </w:pPr>
      <w:r w:rsidRPr="00087A72">
        <w:t xml:space="preserve">Only the state can solve- history proves.  The neg’s rejection of the state means that violence against native women will only be further perpetuated. </w:t>
      </w:r>
    </w:p>
    <w:p w:rsidR="009F0BAC" w:rsidRPr="00087A72" w:rsidRDefault="009F0BAC" w:rsidP="009F0BAC">
      <w:pPr>
        <w:rPr>
          <w:rStyle w:val="Style13ptBold"/>
          <w:b w:val="0"/>
          <w:bCs w:val="0"/>
          <w:sz w:val="22"/>
        </w:rPr>
      </w:pPr>
      <w:r w:rsidRPr="00087A72">
        <w:rPr>
          <w:rStyle w:val="Style13ptBold"/>
        </w:rPr>
        <w:t xml:space="preserve">Walker No Date </w:t>
      </w:r>
      <w:r w:rsidRPr="00087A72">
        <w:t xml:space="preserve">(Jana, Senior Attorney Cherokee, Loyal Shawnee, and Delaware Admitted only in MT, AZ, DC, NM, “Ending Violence Against Native Women” Indian Law Resource Center pp 1) &gt;CJC </w:t>
      </w:r>
    </w:p>
    <w:p w:rsidR="009F0BAC" w:rsidRPr="00087A72" w:rsidRDefault="009F0BAC" w:rsidP="009F0BAC">
      <w:pPr>
        <w:rPr>
          <w:sz w:val="14"/>
        </w:rPr>
      </w:pPr>
      <w:r w:rsidRPr="00087A72">
        <w:rPr>
          <w:sz w:val="14"/>
        </w:rPr>
        <w:t xml:space="preserve">In the United States, </w:t>
      </w:r>
      <w:r w:rsidRPr="00087A72">
        <w:rPr>
          <w:rStyle w:val="StyleUnderline"/>
        </w:rPr>
        <w:t>violence against indigenous women has reached unprecedented levels</w:t>
      </w:r>
      <w:r w:rsidRPr="00087A72">
        <w:rPr>
          <w:sz w:val="14"/>
        </w:rPr>
        <w:t xml:space="preserve"> on tribal lands and in Alaska Native villages. </w:t>
      </w:r>
      <w:r w:rsidRPr="00087A72">
        <w:rPr>
          <w:rStyle w:val="StyleUnderline"/>
        </w:rPr>
        <w:t>More than 4 in 5 American Indian and Alaska Native women have experienced violence, and more than 1 in 2 have experienced sexual violence</w:t>
      </w:r>
      <w:r w:rsidRPr="00087A72">
        <w:rPr>
          <w:sz w:val="14"/>
        </w:rPr>
        <w:t xml:space="preserve">. Alaska Native women continue to suffer the highest rate of forcible sexual assault and have reported rates of domestic violence up to 10 times higher than in the rest of the United States. Though available data is limited, </w:t>
      </w:r>
      <w:r w:rsidRPr="00087A72">
        <w:rPr>
          <w:rStyle w:val="StyleUnderline"/>
        </w:rPr>
        <w:t>the number of missing and murdered American Indian and Alaska Native women and the lack of a diligent and adequate federal response is extremely alarming to indigenous women, tribal governments, and communities. On some reservations, indigenous women are murdered at more than ten times the national average.</w:t>
      </w:r>
      <w:r w:rsidRPr="00087A72">
        <w:rPr>
          <w:sz w:val="14"/>
        </w:rPr>
        <w:t xml:space="preserve"> Statistics define the scale of the problem, but do nothing to convey the experience of the epidemic. They tell part of the story, but fail to account for the devastating impacts this violence has on the survivors, Indian families, Native communities, and Indian nations themselves. </w:t>
      </w:r>
      <w:r w:rsidRPr="00087A72">
        <w:rPr>
          <w:rStyle w:val="StyleUnderline"/>
        </w:rPr>
        <w:t>Native children exposed to violence suffer rates of PTSD three times higher than the rest of the general population.</w:t>
      </w:r>
      <w:r w:rsidRPr="00087A72">
        <w:rPr>
          <w:sz w:val="14"/>
        </w:rPr>
        <w:t xml:space="preserve"> Nevertheless, the statistics make absolutely clear that </w:t>
      </w:r>
      <w:r w:rsidRPr="00087A72">
        <w:rPr>
          <w:rStyle w:val="StyleUnderline"/>
        </w:rPr>
        <w:t>violence against Native women is a crisis that cannot wait</w:t>
      </w:r>
      <w:r w:rsidRPr="00087A72">
        <w:rPr>
          <w:sz w:val="14"/>
        </w:rPr>
        <w:t xml:space="preserve"> to be addressed. The Center’s Safe Women, Strong Nations project partners with Native women’s organizations and Indian and Alaska Native nations to end violence against Native women and girls. Our project raises awareness to gain strong federal action to end violence against Native women; provides legal advice to national Native women’s organizations and Indian nations on ways to restore tribal criminal authority; and helps Indian nations increase their capacity to prevent violence and punish offenders on their lands. RACIAL DISCRIMINATION AND DENIAL OF EQUALITY UNDER THE LAW It is outrageous that </w:t>
      </w:r>
      <w:r w:rsidRPr="00087A72">
        <w:rPr>
          <w:rStyle w:val="StyleUnderline"/>
        </w:rPr>
        <w:t>the vast majority of these women never see their abusers or rapists brought to justice.</w:t>
      </w:r>
      <w:r w:rsidRPr="00087A72">
        <w:rPr>
          <w:sz w:val="14"/>
        </w:rPr>
        <w:t xml:space="preserve"> </w:t>
      </w:r>
      <w:r w:rsidRPr="00087A72">
        <w:rPr>
          <w:rStyle w:val="StyleUnderline"/>
        </w:rPr>
        <w:t>An unworkable, race-based criminal jurisdictional scheme created by the United States has limited the ability of Indian nations to protect Native women from violence and to provide them with meaningful remedies. For more than 35 years, United States law has stripped Indian nations of all criminal authority over non-Indians. As a result, Indian nations are unable to prosecute non-Indians, who reportedly commit 88% of the violent crimes against Native women on trib” al lands.</w:t>
      </w:r>
      <w:r w:rsidRPr="00087A72">
        <w:rPr>
          <w:sz w:val="14"/>
        </w:rPr>
        <w:t xml:space="preserve"> The Census Bureau reports that non-Indians now comprise 76% of the population on tribal lands and 68% of the population in Alaska Native villages. Many Native women have married non-Indians. However, it is unacceptable that a non-Indian who chooses to marry a Native woman, live on her reservation, and commit acts of domestic violence against her, cannot be criminally prosecuted by an Indian nation and more often than not will never be prosecuted by any government. </w:t>
      </w:r>
      <w:r w:rsidRPr="00087A72">
        <w:rPr>
          <w:rStyle w:val="StyleUnderline"/>
        </w:rPr>
        <w:t>Federal and state officials having authority to protect Native women and girls are failing to do so at alarming rates.</w:t>
      </w:r>
      <w:r w:rsidRPr="00087A72">
        <w:rPr>
          <w:sz w:val="14"/>
        </w:rPr>
        <w:t xml:space="preserve"> By their own account, </w:t>
      </w:r>
      <w:r w:rsidRPr="00087A72">
        <w:rPr>
          <w:rStyle w:val="StyleUnderline"/>
        </w:rPr>
        <w:t>between 2005 and 2009, U.S. attorneys declined to prosecute 67% of the Indian country matters referred to them involving sexual abuse and related matters. Even grimmer, due to the lack of law enforcement, many of these crimes in Native communities are not even investigated.</w:t>
      </w:r>
      <w:r w:rsidRPr="00087A72">
        <w:rPr>
          <w:sz w:val="14"/>
        </w:rPr>
        <w:t xml:space="preserve"> United States law creates a discriminatory system for administering justice in Native communities−−a system that allows criminals to act with impunity in Indian country, threatens the lives and violates the human rights of Native women and girls daily, and perpetuates an escalating cycle of violence in Native communities. </w:t>
      </w:r>
      <w:r w:rsidRPr="00087A72">
        <w:rPr>
          <w:rStyle w:val="StyleUnderline"/>
        </w:rPr>
        <w:t>Women who are subjected to violence should not be treated differently and discriminated against just because they are Native and were assaulted on an Indian reservation or in an Alaska Native village!</w:t>
      </w:r>
      <w:r w:rsidRPr="00087A72">
        <w:rPr>
          <w:sz w:val="14"/>
        </w:rPr>
        <w:t xml:space="preserve"> VIOLATION OF HUMAN RIGHTS All </w:t>
      </w:r>
      <w:r w:rsidRPr="00087A72">
        <w:rPr>
          <w:rStyle w:val="Emphasis"/>
        </w:rPr>
        <w:t xml:space="preserve">this highlights the United States’ failure not only under its own law, including the trust responsibility to Indian nations, but also its obligations under international human rights </w:t>
      </w:r>
      <w:r w:rsidRPr="00087A72">
        <w:rPr>
          <w:rStyle w:val="StyleUnderline"/>
        </w:rPr>
        <w:t>law such as the United Nations Declaration on the Rights of Indigenous Peoples. Perhaps the most basic human right recognized under international law is the right to be free of violence</w:t>
      </w:r>
      <w:r w:rsidRPr="00087A72">
        <w:rPr>
          <w:sz w:val="14"/>
        </w:rPr>
        <w:t xml:space="preserve">. Through international advocacy, the Center and its partners not only educate, but also add world pressure on the United States regarding its obligations to end the epidemic of violence against Native women. Toward that end, the Center and its partners have raised awareness about violence against Native women in the United States within the United Nations through its Committee on the Elimination of Racial Discrimination (2007), Special Rapporteur on Contemporary Forms of Racism (2008), Special Rapporteur on Violence Against Women (2011), Special Rapporteur on the Rights of Indigenous Peoples (2012), and Permanent Forum on Indigenous Issues (2012). The Center and its partners also have brought regional international attention to violence against Native women within the Organization of American States (OAS). In 2008, on behalf of numerous nonprofit organizations and tribal governments, the Center and Sacred Circle National Resource Center to End Violence Against Native Women submitted an amicus brief in support of Jessica Gonzales Lenahan, who filed the first human rights case involving domestic violence in any international body against the United States. The case, which involved the deliberate failure of local police to enforce a domestic violence protection order, did not arise in Indian country. However, it has major implications for Native women who rarely see their abusers brought to justice. In 2011, the Center and its partners, the NCAI Task Force on Violence Against Native Women and the National Indigenous Women’s Resource Center, participated in the first ever thematic hearing on violence against Native women in the United States before the Inter-American Commission on Human Rights. The Commission has since expressed concern about </w:t>
      </w:r>
      <w:r w:rsidRPr="00087A72">
        <w:rPr>
          <w:rStyle w:val="StyleUnderline"/>
        </w:rPr>
        <w:t xml:space="preserve">violence against indigenous women in the United States, noting that such situations tend to be accompanied by impunity and urging the United States to address this violence through laws, policies, and programs. </w:t>
      </w:r>
      <w:r w:rsidRPr="00087A72">
        <w:rPr>
          <w:sz w:val="14"/>
        </w:rPr>
        <w:t xml:space="preserve">REFORMING FEDERAL LAW TO RESTORE SAFETY TO NATIVE WOMEN The Center collaborates with Native women’s organizations and Indian nations to change and improve United States law that unjustly restricts Indian nations from adequately investigating, prosecuting, and punishing these crimes against all perpetrators. The Center supports efforts to strengthen Indian nations in restoring safety to Native women. </w:t>
      </w:r>
      <w:r w:rsidRPr="00087A72">
        <w:rPr>
          <w:rStyle w:val="StyleUnderline"/>
        </w:rPr>
        <w:t>Our project recognizes that protection of Native women must involve strengthening the ability of Indian nations to effectively police their lands and prosecute and punish criminal offenders</w:t>
      </w:r>
      <w:r w:rsidRPr="00087A72">
        <w:rPr>
          <w:sz w:val="14"/>
        </w:rPr>
        <w:t xml:space="preserve">. A center piece of our work with partner organizations has concerned the reauthorization of the Violence Against Women Act (VAWA), which expired in 2011. The Indian Law Resource Center, the National Congress for American Indians Task Force on Violence Against Women, Clan Star, Inc., and the National Indigenous Women’s Resource Center have been working both domestically and internationally to restore safety to native women and to protect their most basic human right, the right to be free of violence. We supported efforts to add provisions to VAWA that would restore tribal criminal authority to address violence against Native women by non-Natives in Indian country. In 2012, </w:t>
      </w:r>
      <w:r w:rsidRPr="00087A72">
        <w:rPr>
          <w:rStyle w:val="StyleUnderline"/>
        </w:rPr>
        <w:t xml:space="preserve">the Senate passed such a bill by a strong bipartisan vote, however, the House stripped out protections for the most vulnerable, including Native women. Then, time simply ran out for the 112th Congress, leaving the lives of Native women threatened daily and tribes as the only governments in the United States without authority to protect women from domestic and sexual violence in their communities. The 113th Congress acted quickly, passing a bipartisan VAWA with tribal provisions intact. On March 7, 2013, </w:t>
      </w:r>
      <w:r w:rsidRPr="00087A72">
        <w:rPr>
          <w:rStyle w:val="Emphasis"/>
        </w:rPr>
        <w:t>President Obama signed the Violence Against Women Reauthorization Act of 2013 (VAWA 2013) into law, an historic step forward that reflects not only the United States’ commitment to protect Native women from domestic violence, dating violence, and violations of protective orders, but also its restoration and reaffirmation of inherent tribal sovereignty to protect their citizens from violence.</w:t>
      </w:r>
      <w:r w:rsidRPr="00087A72">
        <w:rPr>
          <w:sz w:val="14"/>
        </w:rPr>
        <w:t xml:space="preserve"> Tribal participation in the new jurisdictional provisions is voluntary. Though tribes can issue and enforce civil protection orders, under VAWA 2013 tribes generally cannot criminally prosecute non-Indian abusers until at least March 7, 2015. However, under a pilot project, a tribe can start prosecuting non-Indians sooner if the tribe’s criminal justice system fully protects defendants’ rights under federal law; the tribe asks to participate in the pilot project; and the Department of Justice grants the request and sets a start date. TRAINING NATIVE COMMUNITIES Restoring tribal criminal authority will only end violence against Native women if Indian nations have the institutional capacity and readiness to exercise such jurisdiction. Many </w:t>
      </w:r>
      <w:r w:rsidRPr="00087A72">
        <w:rPr>
          <w:rStyle w:val="StyleUnderline"/>
        </w:rPr>
        <w:t xml:space="preserve">Indian nations are developing the infrastructure for tribal justice systems to provide safety to Native women and girls within their territories, including tribal police departments, codes, and courts. Many have domestic violence codes; training for tribal law enforcement, tribal courts, prosecutors, and probation officers; and various programs for domestic violence offenders. </w:t>
      </w:r>
      <w:r w:rsidRPr="00087A72">
        <w:rPr>
          <w:rStyle w:val="Emphasis"/>
        </w:rPr>
        <w:t>The Safe Women, Strong Nations project contributes to these efforts</w:t>
      </w:r>
      <w:r w:rsidRPr="00087A72">
        <w:rPr>
          <w:rStyle w:val="StyleUnderline"/>
        </w:rPr>
        <w:t xml:space="preserve"> by providing Indian nations and Native women’s organizations with assistance to build the capacity of Indian nations to investigate, prosecute, and punish those who commit violence against Native women and restore safety to Native women. This includes assisting Native women’s organizations and Indian nations in better understanding criminal jurisdiction in Indian country and implementing provisions in the Tribal Law and Order Act and VAWA 2013.</w:t>
      </w:r>
      <w:r w:rsidRPr="00087A72">
        <w:rPr>
          <w:sz w:val="14"/>
        </w:rPr>
        <w:t xml:space="preserve"> The Center also assists and prepares Native women’s organizations and Indian nations in using international advocacy to end violence against Native women. </w:t>
      </w:r>
    </w:p>
    <w:p w:rsidR="00CD7A9B" w:rsidRPr="00087A72" w:rsidRDefault="00CD7A9B" w:rsidP="00CD7A9B">
      <w:pPr>
        <w:pStyle w:val="Heading4"/>
      </w:pPr>
      <w:r w:rsidRPr="00087A72">
        <w:t xml:space="preserve">Only through policies we are able to engage in material actions that provide future stability. Through the permutation we are able to engage in policy focus and enact the alt as a first step to change the larger structure of white supremacy </w:t>
      </w:r>
    </w:p>
    <w:p w:rsidR="00CD7A9B" w:rsidRPr="00087A72" w:rsidRDefault="00CD7A9B" w:rsidP="00CD7A9B">
      <w:pPr>
        <w:rPr>
          <w:sz w:val="16"/>
          <w:szCs w:val="16"/>
        </w:rPr>
      </w:pPr>
      <w:r w:rsidRPr="00087A72">
        <w:rPr>
          <w:rStyle w:val="Style13ptBold"/>
        </w:rPr>
        <w:t xml:space="preserve">Rifkin 2013 </w:t>
      </w:r>
      <w:r w:rsidRPr="00087A72">
        <w:rPr>
          <w:rStyle w:val="Style13ptBold"/>
          <w:b w:val="0"/>
          <w:sz w:val="16"/>
          <w:szCs w:val="16"/>
        </w:rPr>
        <w:t xml:space="preserve">(Mark Rifkin, Professor. US Ethnic Literature University of North Carolina – Greensboro research primarily focuses on Native American writing and politics from the eighteenth century onward, exploring the ways that Indigenous peoples have negotiated U.S. racial and imperial formations.  “Settler common sense” </w:t>
      </w:r>
      <w:r w:rsidRPr="00087A72">
        <w:rPr>
          <w:rStyle w:val="Style13ptBold"/>
          <w:b w:val="0"/>
          <w:i/>
          <w:sz w:val="16"/>
          <w:szCs w:val="16"/>
        </w:rPr>
        <w:t>Settler Colonial Studies</w:t>
      </w:r>
      <w:r w:rsidRPr="00087A72">
        <w:rPr>
          <w:rStyle w:val="Style13ptBold"/>
          <w:b w:val="0"/>
          <w:sz w:val="16"/>
          <w:szCs w:val="16"/>
        </w:rPr>
        <w:t xml:space="preserve">, 2013, Vol. 3, pp. 327-329) [JS] </w:t>
      </w:r>
    </w:p>
    <w:p w:rsidR="00CD7A9B" w:rsidRPr="00087A72" w:rsidRDefault="00CD7A9B" w:rsidP="00CD7A9B">
      <w:pPr>
        <w:rPr>
          <w:sz w:val="16"/>
        </w:rPr>
      </w:pPr>
      <w:r w:rsidRPr="00087A72">
        <w:rPr>
          <w:sz w:val="16"/>
        </w:rPr>
        <w:t>Attending to the ways settler law operates as a historically dense field of everyday possibility enables a consideration of what precedes non-Native subjects in their individual inhabitance, how state policies engender inclinations and tendencies. In Queer Phenomenology, Sara Ahmed suggests, Familiarity is shaped by the ‘feel’ of space or by how spaces “impress” upon bodies....The familiar is an effect of inhabitance; we are not simply in the familiar, but rather the familiar is shaped by actions that reach out toward objects that are already within reach, and she adds, “</w:t>
      </w:r>
      <w:r w:rsidRPr="00087A72">
        <w:rPr>
          <w:rStyle w:val="StyleUnderline"/>
        </w:rPr>
        <w:t>The work of inhabitance involves orientation devices; ways of extending bodies into spaces that create new folds, or new contours of what we could call livable or inhabitable space</w:t>
      </w:r>
      <w:r w:rsidRPr="00087A72">
        <w:rPr>
          <w:sz w:val="16"/>
        </w:rPr>
        <w:t>.”15 “</w:t>
      </w:r>
      <w:r w:rsidRPr="00087A72">
        <w:rPr>
          <w:rStyle w:val="StyleUnderline"/>
        </w:rPr>
        <w:t>Orientation” suggests a positioning with respect to other bodies and things, but it also implies a direction, a disposition toward a particular trajectory through which to navigate that space</w:t>
      </w:r>
      <w:r w:rsidRPr="00087A72">
        <w:rPr>
          <w:sz w:val="16"/>
        </w:rPr>
        <w:t xml:space="preserve">. If the familiarity of inhabitance depends less on the inherent character of the place one inhabits than the iterability and duration of occupancy itself, the sensation of belonging – of properly extending into the place one occupies – arises out of an “impress” </w:t>
      </w:r>
      <w:r w:rsidRPr="00087A72">
        <w:rPr>
          <w:rStyle w:val="StyleUnderline"/>
        </w:rPr>
        <w:t xml:space="preserve">that also orients, directing attention to some things and not others while providing a working map of extant relations and potentials in the space of inhabitance as well as an animating impetus in traversing it. </w:t>
      </w:r>
      <w:r w:rsidRPr="00087A72">
        <w:rPr>
          <w:rStyle w:val="Emphasis"/>
        </w:rPr>
        <w:t xml:space="preserve">Governmental acts and agencies can be understood as providing such orientation through mechanisms like property-law, zoning ordinances, rules of inheritance, regulation of commerce, police presence, and the construction and maintenance of infrastructure. </w:t>
      </w:r>
      <w:r w:rsidRPr="00087A72">
        <w:rPr>
          <w:sz w:val="16"/>
        </w:rPr>
        <w:t xml:space="preserve">While them- selves arising out of processes of contestation, negotiation, and compromise, such state-enacted geographies in their (albeit mutable) </w:t>
      </w:r>
      <w:r w:rsidRPr="00087A72">
        <w:rPr>
          <w:rStyle w:val="Emphasis"/>
        </w:rPr>
        <w:t>implementation help provide shape and structure to the quotidian networks that individuals engage, and the sense of relative stability they generate facilitates the normalization and becoming-given of the ways they contour place, association, and belonging as well as the particular kinds of actions, connections, and dispositions they incite and incentivize</w:t>
      </w:r>
      <w:r w:rsidRPr="00087A72">
        <w:rPr>
          <w:sz w:val="16"/>
        </w:rPr>
        <w:t xml:space="preserve">.16 </w:t>
      </w:r>
      <w:r w:rsidRPr="00087A72">
        <w:rPr>
          <w:rStyle w:val="Emphasis"/>
        </w:rPr>
        <w:t>Reciprocally, everyday practice realizes and projects those geographies, materializing them by drawing on them as a guide in processing and responding to affective and sensory input and thus (re)constituting them as given in ordinary modes of meaning-making, feeling, and movement</w:t>
      </w:r>
      <w:r w:rsidRPr="00087A72">
        <w:rPr>
          <w:sz w:val="16"/>
        </w:rPr>
        <w:t>. Ahmed notes, “</w:t>
      </w:r>
      <w:r w:rsidRPr="00087A72">
        <w:rPr>
          <w:rStyle w:val="StyleUnderline"/>
        </w:rPr>
        <w:t>we do not have to consciously exclude those things that are not ‘on line.’ The direction we take excludes things for us, before we even get there</w:t>
      </w:r>
      <w:r w:rsidRPr="00087A72">
        <w:rPr>
          <w:sz w:val="16"/>
        </w:rPr>
        <w:t>” (15</w:t>
      </w:r>
      <w:r w:rsidRPr="00087A72">
        <w:rPr>
          <w:rStyle w:val="StyleUnderline"/>
        </w:rPr>
        <w:t xml:space="preserve">). The legalities in and through which placemaking occurs bear a propulsive force, not simply installing something like a social cartography or diagram but endowing it with a dynamic character that incites kinds of engagement, practice, and subjectivity. </w:t>
      </w:r>
      <w:r w:rsidRPr="00087A72">
        <w:rPr>
          <w:sz w:val="16"/>
        </w:rPr>
        <w:t xml:space="preserve">Merleau-Ponty suggests that “the normal person reckons with the possible, which thus, without shifting from its position as a possibility, acquires a sort of actuality” (125), and that </w:t>
      </w:r>
      <w:r w:rsidRPr="00087A72">
        <w:rPr>
          <w:rStyle w:val="StyleUnderline"/>
        </w:rPr>
        <w:t>ongoing process of actualization illustrates the “momentum of existence</w:t>
      </w:r>
      <w:r w:rsidRPr="00087A72">
        <w:rPr>
          <w:sz w:val="16"/>
        </w:rPr>
        <w:t xml:space="preserve">” (159). </w:t>
      </w:r>
      <w:r w:rsidRPr="00087A72">
        <w:rPr>
          <w:rStyle w:val="Emphasis"/>
        </w:rPr>
        <w:t>Inasmuch as law and policy help define and delimit the horizon of the possible, providing a nonconscious frame that informs and guides the phenomen- ological experience of selfhood, situatedness</w:t>
      </w:r>
      <w:r w:rsidRPr="00087A72">
        <w:rPr>
          <w:sz w:val="16"/>
        </w:rPr>
        <w:t xml:space="preserve">, and connection to others, they bear a “momentum” that contributes to their material (re)actualization. </w:t>
      </w:r>
      <w:r w:rsidRPr="00087A72">
        <w:rPr>
          <w:rStyle w:val="StyleUnderline"/>
        </w:rPr>
        <w:t>To be oriented, then, involves not simply facing a particular direction but being impelled toward it.</w:t>
      </w:r>
      <w:r w:rsidRPr="00087A72">
        <w:rPr>
          <w:sz w:val="16"/>
        </w:rPr>
        <w:t xml:space="preserve">17 </w:t>
      </w:r>
      <w:r w:rsidRPr="00087A72">
        <w:rPr>
          <w:rStyle w:val="StyleUnderline"/>
        </w:rPr>
        <w:t xml:space="preserve">The legal and political mappings that influence everyday life in the US remain predicated on the assertion of an underlying and incontestable national sovereignty that itself animates the work of law and policy-making in putatively domestic space. </w:t>
      </w:r>
      <w:r w:rsidRPr="00087A72">
        <w:rPr>
          <w:sz w:val="16"/>
        </w:rPr>
        <w:t xml:space="preserve">The routine actualization of state-licensed mappings depends upon reactivating the jurisdiction-setting procedures that establish settler presence and governance as given, as a necessary context through which commonplace sense-making occurs. Merleau-Ponty observes, it </w:t>
      </w:r>
      <w:r w:rsidRPr="00087A72">
        <w:rPr>
          <w:rStyle w:val="StyleUnderline"/>
        </w:rPr>
        <w:t>is essential to the alleged fixed points underlying motion that they should not be posited in present knowledge and that they should always be ‘already there.’ They do not present themselves directly to perception, they circumvent it and encompass it by a preconscious process, the results of which strike us as ready made</w:t>
      </w:r>
      <w:r w:rsidRPr="00087A72">
        <w:rPr>
          <w:sz w:val="16"/>
        </w:rPr>
        <w:t xml:space="preserve"> (326), and in this way they provide “anchorage” </w:t>
      </w:r>
      <w:r w:rsidRPr="00087A72">
        <w:rPr>
          <w:rStyle w:val="StyleUnderline"/>
        </w:rPr>
        <w:t>in nonconsciously composing varied affective impressions into a sense of locatedness and possible movement, of the potential for engagement with the world</w:t>
      </w:r>
      <w:r w:rsidRPr="00087A72">
        <w:rPr>
          <w:sz w:val="16"/>
        </w:rPr>
        <w:t xml:space="preserve"> (326–7). The apparent absence of struggle among incommensurate claims to sovereignty over one’s space of occupancy, and an attendant’s impression of one’s dwelling in that place as itself having no inherent political dimension or as not conditioned on state action, provides non-Natives with a “ready-made” background against which to register opportunities for agency and for interaction with their surroundings.</w:t>
      </w:r>
    </w:p>
    <w:p w:rsidR="00CD7A9B" w:rsidRPr="00087A72" w:rsidRDefault="00CD7A9B" w:rsidP="00CD7A9B">
      <w:pPr>
        <w:rPr>
          <w:sz w:val="16"/>
        </w:rPr>
      </w:pPr>
    </w:p>
    <w:p w:rsidR="00CD7A9B" w:rsidRPr="00087A72" w:rsidRDefault="00CD7A9B" w:rsidP="00CD7A9B">
      <w:pPr>
        <w:pStyle w:val="Heading4"/>
      </w:pPr>
      <w:r w:rsidRPr="00087A72">
        <w:t xml:space="preserve">Affirmative action is need to change future engagements  </w:t>
      </w:r>
    </w:p>
    <w:p w:rsidR="00CD7A9B" w:rsidRPr="00087A72" w:rsidRDefault="00CD7A9B" w:rsidP="00CD7A9B">
      <w:pPr>
        <w:rPr>
          <w:sz w:val="16"/>
          <w:szCs w:val="16"/>
        </w:rPr>
      </w:pPr>
      <w:r w:rsidRPr="00087A72">
        <w:rPr>
          <w:rStyle w:val="Style13ptBold"/>
        </w:rPr>
        <w:t xml:space="preserve">Rifkin 2013 </w:t>
      </w:r>
      <w:r w:rsidRPr="00087A72">
        <w:rPr>
          <w:rStyle w:val="Style13ptBold"/>
          <w:b w:val="0"/>
          <w:sz w:val="16"/>
          <w:szCs w:val="16"/>
        </w:rPr>
        <w:t xml:space="preserve">(Mark Rifkin, Professor. US Ethnic Literature University of North Carolina – Greensboro research primarily focuses on Native American writing and politics from the eighteenth century onward, exploring the ways that Indigenous peoples have negotiated U.S. racial and imperial formations.  “Settler common sense” </w:t>
      </w:r>
      <w:r w:rsidRPr="00087A72">
        <w:rPr>
          <w:rStyle w:val="Style13ptBold"/>
          <w:b w:val="0"/>
          <w:i/>
          <w:sz w:val="16"/>
          <w:szCs w:val="16"/>
        </w:rPr>
        <w:t>Settler Colonial Studies</w:t>
      </w:r>
      <w:r w:rsidRPr="00087A72">
        <w:rPr>
          <w:rStyle w:val="Style13ptBold"/>
          <w:b w:val="0"/>
          <w:sz w:val="16"/>
          <w:szCs w:val="16"/>
        </w:rPr>
        <w:t xml:space="preserve">, 2013, Vol. 3, pp. 331-333) [JS] </w:t>
      </w:r>
    </w:p>
    <w:p w:rsidR="00CD7A9B" w:rsidRPr="00087A72" w:rsidRDefault="00CD7A9B" w:rsidP="00CD7A9B">
      <w:pPr>
        <w:rPr>
          <w:sz w:val="16"/>
        </w:rPr>
      </w:pPr>
      <w:r w:rsidRPr="00087A72">
        <w:rPr>
          <w:sz w:val="16"/>
        </w:rPr>
        <w:t xml:space="preserve">The background [can] be understood as that which must take place in order for some- thing to appear,” as “what explains the conditions of emergence or an arrival of something as the thing it appears to be in the present” (37–8). Characterizing settlement as operating as a form of embodied “common sense” suggests that the normalized legalities and geographies of settler policy – its displacement, containment, and erasure of Indigenous landedness and implementation and routinization of modes of non-Native dwelling – function largely as background, as unacknow- ledged conditions of emergence for textual representations in which other issues occupy the fore- ground. Such texts then themselves circulate as possible templates, potentially influencing ordinary experience by providing part of the “perceptual tradition” through which sense data are processed. The kinds of influence I have been sketching, though, suggest less the immanent unfolding of a coherent program than the work performed by a range of cross-referencing legal and administrative agendas, mappings, and projects in constructing the “field of possibility” of daily settler feeling, perception, and agency in moments, relations, and locations in which Native peoples are not (or at least are not perceived by non-Natives as) central objects of action or participants. In this sense, </w:t>
      </w:r>
      <w:r w:rsidRPr="00087A72">
        <w:rPr>
          <w:rStyle w:val="StyleUnderline"/>
        </w:rPr>
        <w:t>non-Natives need not function as agents of the state or as conscious purveyors of state aims in order to rematerialize state-effects by drawing on extant geographies, discourses, and normative frames as an anchor in processes of affective sense-making and “reckon[ing] with [their] environment”</w:t>
      </w:r>
      <w:r w:rsidRPr="00087A72">
        <w:rPr>
          <w:sz w:val="16"/>
        </w:rPr>
        <w:t xml:space="preserve">. Moreover, </w:t>
      </w:r>
      <w:r w:rsidRPr="00087A72">
        <w:rPr>
          <w:rStyle w:val="Emphasis"/>
        </w:rPr>
        <w:t>such reinvestments in processes of settlement need not appear, or be experienced as, affirmations of the state, instead operating as the unreflexive, generic, given conditions of personhood, occupancy, and belonging, and these actualizations, enactments of “familiarity</w:t>
      </w:r>
      <w:r w:rsidRPr="00087A72">
        <w:rPr>
          <w:sz w:val="16"/>
        </w:rPr>
        <w:t xml:space="preserve">”, </w:t>
      </w:r>
      <w:r w:rsidRPr="00087A72">
        <w:rPr>
          <w:rStyle w:val="StyleUnderline"/>
        </w:rPr>
        <w:t xml:space="preserve">may not be identical or congruent with each other, inasmuch as mul- tiple histories of state action that inhabit, orient, and stimulate the present “impress” in ways </w:t>
      </w:r>
      <w:r w:rsidRPr="00087A72">
        <w:rPr>
          <w:rStyle w:val="Emphasis"/>
        </w:rPr>
        <w:t>that might produce different (even incommensurate) forms of engagement</w:t>
      </w:r>
      <w:r w:rsidRPr="00087A72">
        <w:rPr>
          <w:sz w:val="16"/>
        </w:rPr>
        <w:t xml:space="preserve">. A Thoreauvian inclination </w:t>
      </w:r>
      <w:r w:rsidRPr="00087A72">
        <w:rPr>
          <w:rStyle w:val="StyleUnderline"/>
        </w:rPr>
        <w:t>toward “nature” as a space of escape from the extant regime of property ownership, comfort in the (Lockean) privatized autonomy of one’s home(stead), and immersion in the obscure anonymities of urban dwelling do not resemble each other and arise out of disparate affective – and perhaps ethical – commitments, but all iterate, to varied effects, the geopolitical self-evidence and security of the state whose unquestioned endurance anchors and animates them.</w:t>
      </w:r>
      <w:r w:rsidRPr="00087A72">
        <w:rPr>
          <w:sz w:val="16"/>
        </w:rPr>
        <w:t xml:space="preserve"> Yet, inasmuch as they all continue to depend on treating the “historical density” of the settler-state – including its territorial coherence and overriding sovereignty in that space – as the “already there”, </w:t>
      </w:r>
      <w:r w:rsidRPr="00087A72">
        <w:rPr>
          <w:rStyle w:val="StyleUnderline"/>
        </w:rPr>
        <w:t>they participate in the regularization and becoming obvious of the settler colonial occupation of Native lands.</w:t>
      </w:r>
      <w:r w:rsidRPr="00087A72">
        <w:rPr>
          <w:sz w:val="16"/>
        </w:rPr>
        <w:t xml:space="preserve"> </w:t>
      </w:r>
      <w:r w:rsidRPr="00087A72">
        <w:rPr>
          <w:rStyle w:val="StyleUnderline"/>
        </w:rPr>
        <w:t>In addition, that very (re)production of the nation as self-evident, or of its political geography as ethically neutral, may serve as a shared frame/experience through which to mediate, negotiate, and reconcile conflicts over land tenure, access to political and economic resources, personal identity, and membership in the polis</w:t>
      </w:r>
      <w:r w:rsidRPr="00087A72">
        <w:rPr>
          <w:sz w:val="16"/>
        </w:rPr>
        <w:t xml:space="preserve">. The continuing assertion and </w:t>
      </w:r>
      <w:r w:rsidRPr="00087A72">
        <w:rPr>
          <w:rStyle w:val="StyleUnderline"/>
        </w:rPr>
        <w:t>exertion of settler sovereignty</w:t>
      </w:r>
      <w:r w:rsidRPr="00087A72">
        <w:rPr>
          <w:sz w:val="16"/>
        </w:rPr>
        <w:t xml:space="preserve"> may be described, returning to Williams’s formulation addressed earlier, </w:t>
      </w:r>
      <w:r w:rsidRPr="00087A72">
        <w:rPr>
          <w:rStyle w:val="Emphasis"/>
        </w:rPr>
        <w:t>as saturating rather than determining, as exerting pressures on the everyday life of non-Natives in ways that are formative and that influence “practical consciousness” without taking a singular form and without producing an inherent and unchanging alignment of “relationships, institutions, and formations”</w:t>
      </w:r>
      <w:r w:rsidRPr="00087A72">
        <w:rPr>
          <w:sz w:val="16"/>
        </w:rPr>
        <w:t xml:space="preserve">. Given the continued presence of Native peoples, including in areas from which they putatively have “vanished”, the question remains as to how the endurance of indigeneity and non- Natives’ encounters with Natives intersect with the kinds of settler orientation and momentum I have been addressing.20 In describing how sensation gets resolved into a coherent perceptual field, Merleau-Ponty observes, Our perception in its entirety is animated by a logic which assigns to each object its determinate features in virtue of those of the rest, and which ‘cancel out’ as unreal all stray data; it is entirely sustained by the certainty of the world, </w:t>
      </w:r>
      <w:r w:rsidRPr="00087A72">
        <w:rPr>
          <w:rStyle w:val="StyleUnderline"/>
        </w:rPr>
        <w:t>providing a sense of “the primordial constancy of the world as the horizon of all our experiences”</w:t>
      </w:r>
      <w:r w:rsidRPr="00087A72">
        <w:rPr>
          <w:sz w:val="16"/>
        </w:rPr>
        <w:t xml:space="preserve"> (365),21 and he later notes, “My thought, my self-evident truth is not one fact among others, but a value-fact which envelops and conditions every possible one,” such that the various phenomena apprehended “must figure in my universe without completely disrupting it” (463). </w:t>
      </w:r>
      <w:r w:rsidRPr="00087A72">
        <w:rPr>
          <w:rStyle w:val="StyleUnderline"/>
        </w:rPr>
        <w:t>To the extent that the legal geography of the settler-state engenders ordinary modes of personhood, placemak- ing, and belonging, it provides “fixed points” through which one “reckons with the possible”, and from that perspective, Indigenous landedness, sovereignty, collectivity appear as “stray data” that function as “unreal”, challenging the apparent “constancy of the world” in non-Native experience.</w:t>
      </w:r>
      <w:r w:rsidRPr="00087A72">
        <w:rPr>
          <w:sz w:val="16"/>
        </w:rPr>
        <w:t xml:space="preserve"> In this way, discourses and accounts of </w:t>
      </w:r>
      <w:r w:rsidRPr="00087A72">
        <w:rPr>
          <w:rStyle w:val="StyleUnderline"/>
        </w:rPr>
        <w:t xml:space="preserve">Native disappearance may function as the conscious trans- lation of disturbances to the perceptual “self-evident truth” of the US jurisdiction and attendant geographies of everyday life. </w:t>
      </w:r>
      <w:r w:rsidRPr="00087A72">
        <w:rPr>
          <w:sz w:val="16"/>
        </w:rPr>
        <w:t xml:space="preserve">Furthermore, following this line of thought, tropes of Indianness may be understood as a kind of plug-in in Latour’s sense that allows Native presence to “figure” in settler phenomenologies without “completely disrupting” them. Returning to Byrd’s argument about the ways Indianness (the racializing construction of Native peoples as a population for assault/management/ inclusion) displaces indigeneity (place-based polities with legitimate claims to sovereignty over their home- lands), that process could be interpreted less as </w:t>
      </w:r>
      <w:r w:rsidRPr="00087A72">
        <w:rPr>
          <w:rStyle w:val="StyleUnderline"/>
        </w:rPr>
        <w:t>“the ontological ground through which U.S. settler colonialism enacts itself” (</w:t>
      </w:r>
      <w:r w:rsidRPr="00087A72">
        <w:rPr>
          <w:sz w:val="16"/>
        </w:rPr>
        <w:t xml:space="preserve">xix), </w:t>
      </w:r>
      <w:r w:rsidRPr="00087A72">
        <w:rPr>
          <w:rStyle w:val="StyleUnderline"/>
        </w:rPr>
        <w:t>than as a form of crisis-management that enables non-Natives to accommodate and engage with Indigenous presence in ways that contain the threat it poses to quotidian modes of affective anchorage in which the settler-state and its legal and political map- pings are lived as given</w:t>
      </w:r>
      <w:r w:rsidRPr="00087A72">
        <w:rPr>
          <w:sz w:val="16"/>
        </w:rPr>
        <w:t xml:space="preserve">.22 In other words, </w:t>
      </w:r>
      <w:r w:rsidRPr="00087A72">
        <w:rPr>
          <w:rStyle w:val="StyleUnderline"/>
        </w:rPr>
        <w:t>the deployment of various modes of Indianization through which Native peoplehood and sovereignty are converted into forms of anomaly – conceptually and perceptually segregated from the space of routine experience as a kind of categorical, geographic, political, and/or temporal aberration –</w:t>
      </w:r>
      <w:r w:rsidRPr="00087A72">
        <w:rPr>
          <w:sz w:val="16"/>
        </w:rPr>
        <w:t xml:space="preserve"> can be understood as an expression of an ongoing process of making “unreal” </w:t>
      </w:r>
      <w:r w:rsidRPr="00087A72">
        <w:rPr>
          <w:rStyle w:val="StyleUnderline"/>
        </w:rPr>
        <w:t>Native sovereignties in the ordinary enactment and stabilization of US sovereignty as the basis for non-Native sensation. This approach can be distinguished from the interpretation of such figuration as part of an explicit project of dispossession that articu- lates directly with existing institutional aims</w:t>
      </w:r>
      <w:r w:rsidRPr="00087A72">
        <w:rPr>
          <w:sz w:val="16"/>
        </w:rPr>
        <w:t xml:space="preserve"> (although such exceptionalization also operates as a vital mechanism of state practice).23 </w:t>
      </w:r>
      <w:r w:rsidRPr="00087A72">
        <w:rPr>
          <w:rStyle w:val="StyleUnderline"/>
        </w:rPr>
        <w:t>Moreover, the coding of Native people(s) as Indians allows for the articulation of propositional statements about them – including expressions of ambiva- lence, support, sympathy, and guilt – in ways that may still make constant the regularity of the legalities, jurisdiction, and mappings of the (settler-)stat</w:t>
      </w:r>
      <w:r w:rsidRPr="00087A72">
        <w:rPr>
          <w:sz w:val="16"/>
        </w:rPr>
        <w:t xml:space="preserve">e. However, in seeking to manage poten- tial disruptions to settler certainty, the process of Indianization also may signal possibilities for reorientation, moments when settler phenomenologies might shift into something new. </w:t>
      </w:r>
      <w:r w:rsidRPr="00087A72">
        <w:rPr>
          <w:rStyle w:val="StyleUnderline"/>
        </w:rPr>
        <w:t>In this way, the “Indian” emerges both as a figure of dismissal and foreclosure and of potential transform- ation: implicitly marking the unacknowledged presence of a quotidian settler phenomenology which serves as the condition of emergence and circulation for that trope while also holding out the possibility for opening into an engagement with enduring Native presence, landedness, and self-determination as well as the routinized and ongoing violences through which the self-evidence of settler inhabitance is secured</w:t>
      </w:r>
      <w:r w:rsidRPr="00087A72">
        <w:rPr>
          <w:sz w:val="16"/>
        </w:rPr>
        <w:t>.</w:t>
      </w:r>
    </w:p>
    <w:p w:rsidR="00035D36" w:rsidRPr="00087A72" w:rsidRDefault="00035D36" w:rsidP="000314EC">
      <w:pPr>
        <w:pStyle w:val="Heading3"/>
      </w:pPr>
      <w:r w:rsidRPr="00087A72">
        <w:t>Settler Colonial Theory Bad</w:t>
      </w:r>
    </w:p>
    <w:p w:rsidR="00035D36" w:rsidRPr="00087A72" w:rsidRDefault="00035D36" w:rsidP="00035D36">
      <w:pPr>
        <w:pStyle w:val="Heading4"/>
      </w:pPr>
      <w:r w:rsidRPr="00087A72">
        <w:t>Settler colonial theory is, in fact, settler colonial. By theorizing settler colonialism as an ongoing structure “impervious to regime change,” settler colonialism simultaneously justifies Settler non-action and erases Indigenous struggles and agency.</w:t>
      </w:r>
    </w:p>
    <w:p w:rsidR="00035D36" w:rsidRPr="00087A72" w:rsidRDefault="00035D36" w:rsidP="00035D36">
      <w:r w:rsidRPr="00087A72">
        <w:rPr>
          <w:rStyle w:val="Style13ptBold"/>
        </w:rPr>
        <w:t>Macoun &amp; Strakosch 13</w:t>
      </w:r>
      <w:r w:rsidRPr="00087A72">
        <w:t xml:space="preserve"> (Alissa, Researcher in the School of Political Science and International Studies at the University of Queenland, Australia; Elizabeth, Lecturer in Public Policy and Politics at the School of Political Science and International Studies at the University of Queensland, Australia “The ethical demands of settler colonial theory” </w:t>
      </w:r>
      <w:r w:rsidRPr="00087A72">
        <w:rPr>
          <w:i/>
        </w:rPr>
        <w:t>Settler Colonial Studies</w:t>
      </w:r>
      <w:r w:rsidRPr="00087A72">
        <w:t>, pp. 435-437</w:t>
      </w:r>
    </w:p>
    <w:p w:rsidR="00035D36" w:rsidRPr="00087A72" w:rsidRDefault="00035D36" w:rsidP="00035D36">
      <w:pPr>
        <w:rPr>
          <w:sz w:val="12"/>
        </w:rPr>
      </w:pPr>
      <w:r w:rsidRPr="00087A72">
        <w:rPr>
          <w:sz w:val="12"/>
        </w:rPr>
        <w:t xml:space="preserve">Despite these powerful contributions, we also identify some important issues associated with SCT in Australian academic debates about the NT intervention. The first is a direct consequence of one of SCT’s vital contributions, arising from the theory’s present tense iteration of settler colonialism. </w:t>
      </w:r>
      <w:r w:rsidRPr="00087A72">
        <w:rPr>
          <w:rStyle w:val="Emphasis"/>
        </w:rPr>
        <w:t>By emphasizing continuities in colonial relationships between the past and the present, SCT can depict colonization as structurally inevitable, and can be deployed in ways that re</w:t>
      </w:r>
      <w:r w:rsidRPr="00087A72">
        <w:rPr>
          <w:rStyle w:val="Emphasis"/>
          <w:rFonts w:ascii="Times New Roman" w:hAnsi="Times New Roman" w:cs="Times New Roman"/>
        </w:rPr>
        <w:t>‐</w:t>
      </w:r>
      <w:r w:rsidRPr="00087A72">
        <w:rPr>
          <w:rStyle w:val="Emphasis"/>
        </w:rPr>
        <w:t>inscribe settler colonialism.</w:t>
      </w:r>
      <w:r w:rsidRPr="00087A72">
        <w:rPr>
          <w:sz w:val="12"/>
        </w:rPr>
        <w:t xml:space="preserve"> </w:t>
      </w:r>
      <w:r w:rsidRPr="00087A72">
        <w:rPr>
          <w:rStyle w:val="StyleUnderline"/>
        </w:rPr>
        <w:t>We suggest that SCT’s struggle to narrate its own ending can be countered by approaching the theory as an account of settler desires which makes visible our own frames of reference.</w:t>
      </w:r>
      <w:r w:rsidRPr="00087A72">
        <w:rPr>
          <w:sz w:val="12"/>
        </w:rPr>
        <w:t xml:space="preserve"> This in turn exposes a range of possibilities and political visions outside these frames. </w:t>
      </w:r>
      <w:r w:rsidRPr="00087A72">
        <w:rPr>
          <w:rStyle w:val="StyleUnderline"/>
        </w:rPr>
        <w:t>Such an approach is significant in countering potentially problematic misuses of SCT that erase its location as a settler discourse. Such erasures problematically empower academics to speak with neutral descriptive authority over both settler and Indigenous realities. Firstly, by disturbing settler colonialism’s narratives of progress, SCT attributes a peculiar suspended temporality to the settler project. This can portray settler colonialism as an inevitable structure likely to exist across time – the fact that the past persists in the present implies that this past will also persist in the future.</w:t>
      </w:r>
      <w:r w:rsidRPr="00087A72">
        <w:rPr>
          <w:sz w:val="12"/>
        </w:rPr>
        <w:t xml:space="preserve"> Foundational scholar Patrick Wolfe has been labelled ‘very much a structuralist stuck in a poststructuralist world’.63 As we have outlined, </w:t>
      </w:r>
      <w:r w:rsidRPr="00087A72">
        <w:rPr>
          <w:rStyle w:val="StyleUnderline"/>
        </w:rPr>
        <w:t>this structuralism</w:t>
      </w:r>
      <w:r w:rsidRPr="00087A72">
        <w:rPr>
          <w:sz w:val="12"/>
        </w:rPr>
        <w:t xml:space="preserve"> is particularly useful in identifying the operation of political hierarchies. However, it </w:t>
      </w:r>
      <w:r w:rsidRPr="00087A72">
        <w:rPr>
          <w:rStyle w:val="StyleUnderline"/>
        </w:rPr>
        <w:t>can</w:t>
      </w:r>
      <w:r w:rsidRPr="00087A72">
        <w:rPr>
          <w:sz w:val="12"/>
        </w:rPr>
        <w:t xml:space="preserve"> also </w:t>
      </w:r>
      <w:r w:rsidRPr="00087A72">
        <w:rPr>
          <w:rStyle w:val="StyleUnderline"/>
        </w:rPr>
        <w:t>excuse us from human political action in the present by presenting this action as futile or already determined.</w:t>
      </w:r>
      <w:r w:rsidRPr="00087A72">
        <w:rPr>
          <w:sz w:val="12"/>
        </w:rPr>
        <w:t xml:space="preserve">64 </w:t>
      </w:r>
      <w:r w:rsidRPr="00087A72">
        <w:rPr>
          <w:rStyle w:val="StyleUnderline"/>
        </w:rPr>
        <w:t>The role of political activists is to wait for the structurally determined future, and at most to prepare others for its arrival. The particular challenge of SCT’s analysis is that it does not give an account of such a transformed future, or of the conditions for settler colonialism’s demise. This can lead to a theoretical and political impasse and result in a kind of colonial fatalism. Such fatalism can be deployed to imply a moral equivalence between different forms of settler political interaction with Indigenous people, and, at its worst, to deny the legitimacy of Indigenous resistances.</w:t>
      </w:r>
      <w:r w:rsidRPr="00087A72">
        <w:rPr>
          <w:sz w:val="12"/>
        </w:rPr>
        <w:t xml:space="preserve"> Structuralist narratives are able to posit radical change, but only if this change is built into the structures they describe – for example because these structures are subject to internal contradictions or are inherently unstable. Settler colonial structures, however, appear as highly stable and ‘relatively impervious to regime change’.65 Therefore, at the same moment settler scholars finally see the depth and reach of settler colonialism in the present they feel unable to find ‘postsettler colonial passages’.66 </w:t>
      </w:r>
      <w:r w:rsidRPr="00087A72">
        <w:rPr>
          <w:rStyle w:val="Emphasis"/>
        </w:rPr>
        <w:t>This tendency is reinforced by SCT’s capacity to identify significant commonalities in the objectives of conservative and progressive policy approaches</w:t>
      </w:r>
      <w:r w:rsidRPr="00087A72">
        <w:rPr>
          <w:sz w:val="12"/>
        </w:rPr>
        <w:t xml:space="preserve">, as discussed above. </w:t>
      </w:r>
      <w:r w:rsidRPr="00087A72">
        <w:rPr>
          <w:rStyle w:val="StyleUnderline"/>
        </w:rPr>
        <w:t>It shows that traditional ‘decolonizing’ pathways such as treaty making, reconciliation and formal apologies may also serve colonial ends by absorbing and extinguishing Aboriginal political difference without disturbing the foundational structures of settler dominance.</w:t>
      </w:r>
      <w:r w:rsidRPr="00087A72">
        <w:rPr>
          <w:sz w:val="12"/>
        </w:rPr>
        <w:t xml:space="preserve"> As Australian anthropologist Deborah Bird Rose notes, </w:t>
      </w:r>
      <w:r w:rsidRPr="00087A72">
        <w:rPr>
          <w:rStyle w:val="StyleUnderline"/>
        </w:rPr>
        <w:t>this makes it ‘difficult to offer a critique of the colonizing features without calling into question the whole decolonizing project’.</w:t>
      </w:r>
      <w:r w:rsidRPr="00087A72">
        <w:rPr>
          <w:sz w:val="12"/>
        </w:rPr>
        <w:t xml:space="preserve">67 </w:t>
      </w:r>
      <w:r w:rsidRPr="00087A72">
        <w:rPr>
          <w:rStyle w:val="Emphasis"/>
        </w:rPr>
        <w:t>If every settler action is framed as always already colonizing, then individuals are excused from anti</w:t>
      </w:r>
      <w:r w:rsidRPr="00087A72">
        <w:rPr>
          <w:rStyle w:val="Emphasis"/>
          <w:rFonts w:ascii="Times New Roman" w:hAnsi="Times New Roman" w:cs="Times New Roman"/>
        </w:rPr>
        <w:t>‐</w:t>
      </w:r>
      <w:r w:rsidRPr="00087A72">
        <w:rPr>
          <w:rStyle w:val="Emphasis"/>
        </w:rPr>
        <w:t>colonial action in the present and Indigenous people are destined to be victims of an unstoppable colonizing state.</w:t>
      </w:r>
      <w:r w:rsidRPr="00087A72">
        <w:rPr>
          <w:sz w:val="12"/>
        </w:rPr>
        <w:t xml:space="preserve">68 As bell hooks argues in relation to US race relations, </w:t>
      </w:r>
      <w:r w:rsidRPr="00087A72">
        <w:rPr>
          <w:rStyle w:val="Emphasis"/>
        </w:rPr>
        <w:t>this is useful to those in a position of dominance: ‘so many White people are eager to believe racism cannot be changed because internalizing that assumption downplays the issue of accountability. No responsibility need be taken for not changing something if it is perceived as immutable.</w:t>
      </w:r>
      <w:r w:rsidRPr="00087A72">
        <w:rPr>
          <w:rStyle w:val="StyleUnderline"/>
        </w:rPr>
        <w:t>’69 Is it possible that settlers are particularly attracted to SCT precisely because it gives us a sense of being intellectually committed to the end of colonialism while simultaneously unable to act against our own privilege?</w:t>
      </w:r>
      <w:r w:rsidRPr="00087A72">
        <w:rPr>
          <w:sz w:val="12"/>
        </w:rPr>
        <w:t xml:space="preserve"> As a recent article concluded about the prospects for decolonization: I can only assess this with a degree of gloom. I am yet to be convinced that we can prevent indigenous disadvantage remaining structurally embedded in society and through the state even after any kind of ‘transition’ or ‘transformation’. At the same time, I fear decolonization. I am myself a settler, like several of my ancestors before me, and I have nowhere else to belong.70 SCT’s structuralism may serve these conflicted interests, in allowing us to feel we have done all we can while facing the ‘reality’ of an inevitable settler colonial future. This structuralism gives many within settler colonial studies a particular orientation towards Indigenous resistance and scholarship. Australian scholar Tim Rowse argues that </w:t>
      </w:r>
      <w:r w:rsidRPr="00087A72">
        <w:rPr>
          <w:rStyle w:val="StyleUnderline"/>
        </w:rPr>
        <w:t>critical settler perspectives on colonialism can ‘reproduce that sorrowing form of attention in which defeat and marginality are highlighted at the expense of understanding the nature and limits of the Indigenous agency that circumstances afforded’.</w:t>
      </w:r>
      <w:r w:rsidRPr="00087A72">
        <w:rPr>
          <w:sz w:val="12"/>
        </w:rPr>
        <w:t xml:space="preserve">71 He and others suggest that </w:t>
      </w:r>
      <w:r w:rsidRPr="00087A72">
        <w:rPr>
          <w:rStyle w:val="Emphasis"/>
        </w:rPr>
        <w:t>this sort of analysis caricatures Indigenous responses, presenting a false binary between resistance/sovereignty and co</w:t>
      </w:r>
      <w:r w:rsidRPr="00087A72">
        <w:rPr>
          <w:rStyle w:val="Emphasis"/>
          <w:rFonts w:ascii="Times New Roman" w:hAnsi="Times New Roman" w:cs="Times New Roman"/>
        </w:rPr>
        <w:t>‐</w:t>
      </w:r>
      <w:r w:rsidRPr="00087A72">
        <w:rPr>
          <w:rStyle w:val="Emphasis"/>
        </w:rPr>
        <w:t>optation in the colonizing process.</w:t>
      </w:r>
      <w:r w:rsidRPr="00087A72">
        <w:rPr>
          <w:sz w:val="12"/>
        </w:rPr>
        <w:t xml:space="preserve">72 </w:t>
      </w:r>
      <w:r w:rsidRPr="00087A72">
        <w:rPr>
          <w:rStyle w:val="StyleUnderline"/>
        </w:rPr>
        <w:t>This</w:t>
      </w:r>
      <w:r w:rsidRPr="00087A72">
        <w:rPr>
          <w:sz w:val="12"/>
        </w:rPr>
        <w:t xml:space="preserve">, they suggest, </w:t>
      </w:r>
      <w:r w:rsidRPr="00087A72">
        <w:rPr>
          <w:rStyle w:val="StyleUnderline"/>
        </w:rPr>
        <w:t>leads scholars to position one sort of Indigenous response as more valid and authentic than others, re</w:t>
      </w:r>
      <w:r w:rsidRPr="00087A72">
        <w:rPr>
          <w:rStyle w:val="StyleUnderline"/>
          <w:rFonts w:ascii="Times New Roman" w:hAnsi="Times New Roman" w:cs="Times New Roman"/>
        </w:rPr>
        <w:t>‐</w:t>
      </w:r>
      <w:r w:rsidRPr="00087A72">
        <w:rPr>
          <w:rStyle w:val="StyleUnderline"/>
        </w:rPr>
        <w:t>performing the authority settlers have always claimed over definitions of Indigenous reality.</w:t>
      </w:r>
      <w:r w:rsidRPr="00087A72">
        <w:rPr>
          <w:sz w:val="12"/>
        </w:rPr>
        <w:t xml:space="preserve"> Joanne </w:t>
      </w:r>
      <w:r w:rsidRPr="00087A72">
        <w:rPr>
          <w:rStyle w:val="StyleUnderline"/>
        </w:rPr>
        <w:t>Barker identifies a ‘troubled focus within settler colonial studies on structure to the erasure of Indigenous experiences and perspectives about colonialism even within analyses of the “logic of elimination” that fuels colonial processes of social formation.’</w:t>
      </w:r>
      <w:r w:rsidRPr="00087A72">
        <w:rPr>
          <w:sz w:val="12"/>
        </w:rPr>
        <w:t xml:space="preserve">73 SCT may be revelatory to many settler scholars, but Indigenous people have been speaking for a long time about colonial continuities based on their lived experiences.74 Some SCTs have sought to connect with these discussions and to foreground Indigenous resistance, survival and agency.75 Others, however, seem to use SCT as a pathway to explain the colonial encounter without engaging with Indigenous people and experiences – either on the grounds that this structural analysis already conceptually explains Indigenous experience, or because Indigenous resistance is rendered invisible. In these cases, </w:t>
      </w:r>
      <w:r w:rsidRPr="00087A72">
        <w:rPr>
          <w:rStyle w:val="StyleUnderline"/>
        </w:rPr>
        <w:t xml:space="preserve">the structuralism of SCT theory can be mobilized to actively reinforce settler colonial authority and to participate in the attempted erasure of Indigenous independence. </w:t>
      </w:r>
      <w:r w:rsidRPr="00087A72">
        <w:rPr>
          <w:sz w:val="12"/>
        </w:rPr>
        <w:t>We argue that Australian scholar Dirk Moses76 deploys SCT in his analysis of the NT intervention in ways that clearly demonstrate this potential re</w:t>
      </w:r>
      <w:r w:rsidRPr="00087A72">
        <w:rPr>
          <w:rFonts w:ascii="Times New Roman" w:hAnsi="Times New Roman" w:cs="Times New Roman"/>
          <w:sz w:val="12"/>
        </w:rPr>
        <w:t>‐</w:t>
      </w:r>
      <w:r w:rsidRPr="00087A72">
        <w:rPr>
          <w:sz w:val="12"/>
        </w:rPr>
        <w:t>inscription of colonial authority.77 Moses, perhaps more than some others, recognizes the radical implications of settler colonial analysis. He acknowledges that because ‘Australia remains a settler colonial entity,’ the Indigenous ‘experience of disintegration is intense … in the face of a White settler colony determined to assimilate the “Native” other. Cultural survival is, then, a pressing issue for Indigenous leaders and intellectuals’.78 In his recent pieces on contemporary Australian Indigenous policy, Moses deploys postcolonial and SCT to evaluate the responses of Indigenous intellectuals and political leaders, leveraging theory and his status as a settler intellectual to provide an account of Indigeneity. He seeks to both encompass Indigenous experiences of colonization and offer an assessment of appropriate Indigenous survival strategies. Ultimately, Moses uses SCT to argue that, for their own good, Indigenous people must give up the struggle for survival in order to release themselves from violence and find freedom and policy agency.</w:t>
      </w:r>
    </w:p>
    <w:p w:rsidR="00091D3F" w:rsidRPr="00087A72" w:rsidRDefault="00091D3F" w:rsidP="00091D3F">
      <w:pPr>
        <w:pStyle w:val="Heading4"/>
      </w:pPr>
      <w:r w:rsidRPr="00087A72">
        <w:t>Settler Colonialism is too broad of a theory – prefer specificity of each scenario</w:t>
      </w:r>
    </w:p>
    <w:p w:rsidR="00091D3F" w:rsidRPr="00087A72" w:rsidRDefault="00091D3F" w:rsidP="00091D3F">
      <w:pPr>
        <w:shd w:val="clear" w:color="auto" w:fill="FFFFFF"/>
        <w:spacing w:after="0" w:line="240" w:lineRule="auto"/>
        <w:rPr>
          <w:rFonts w:ascii="Arial" w:eastAsia="Times New Roman" w:hAnsi="Arial" w:cs="Arial"/>
          <w:color w:val="222222"/>
          <w:sz w:val="19"/>
          <w:szCs w:val="19"/>
        </w:rPr>
      </w:pPr>
      <w:r w:rsidRPr="00087A72">
        <w:rPr>
          <w:rFonts w:ascii="Cambria" w:eastAsia="Times New Roman" w:hAnsi="Cambria" w:cs="Arial"/>
          <w:b/>
          <w:bCs/>
          <w:color w:val="222222"/>
          <w:sz w:val="26"/>
          <w:szCs w:val="26"/>
        </w:rPr>
        <w:t>Greenstein 16 </w:t>
      </w:r>
      <w:r w:rsidRPr="00087A72">
        <w:t>(Ran, associate professor of sociology at the University of the Witwatersrand, “Settler Colonialism: A Useful Category of Historical Analysis?”, Jadaliyya, June 6, 2016, </w:t>
      </w:r>
      <w:hyperlink r:id="rId27" w:tgtFrame="_blank" w:history="1">
        <w:r w:rsidRPr="00087A72">
          <w:rPr>
            <w:rStyle w:val="Hyperlink"/>
          </w:rPr>
          <w:t>http://www.jadaliyya.com/pages/index/24603/settler-colonialism_a-useful-category-of-historica</w:t>
        </w:r>
      </w:hyperlink>
      <w:r w:rsidRPr="00087A72">
        <w:t>, July 10, 2017) TT</w:t>
      </w:r>
    </w:p>
    <w:p w:rsidR="00091D3F" w:rsidRPr="00087A72" w:rsidRDefault="00091D3F" w:rsidP="00091D3F">
      <w:pPr>
        <w:shd w:val="clear" w:color="auto" w:fill="FFFFFF"/>
        <w:spacing w:after="0" w:line="240" w:lineRule="auto"/>
        <w:rPr>
          <w:rFonts w:ascii="Arial" w:eastAsia="Times New Roman" w:hAnsi="Arial" w:cs="Arial"/>
          <w:color w:val="222222"/>
          <w:sz w:val="19"/>
          <w:szCs w:val="19"/>
        </w:rPr>
      </w:pPr>
      <w:r w:rsidRPr="00087A72">
        <w:rPr>
          <w:rFonts w:ascii="Cambria" w:eastAsia="Times New Roman" w:hAnsi="Cambria" w:cs="Arial"/>
          <w:color w:val="222222"/>
          <w:sz w:val="16"/>
          <w:szCs w:val="16"/>
        </w:rPr>
        <w:t>Increasingly in the last decade, </w:t>
      </w:r>
      <w:r w:rsidRPr="00087A72">
        <w:rPr>
          <w:rStyle w:val="Emphasis"/>
        </w:rPr>
        <w:t xml:space="preserve">settler colonialism has gained currency as a new field of study. </w:t>
      </w:r>
      <w:r w:rsidRPr="00087A72">
        <w:rPr>
          <w:rFonts w:ascii="Cambria" w:eastAsia="Times New Roman" w:hAnsi="Cambria" w:cs="Arial"/>
          <w:color w:val="222222"/>
          <w:sz w:val="16"/>
          <w:szCs w:val="16"/>
        </w:rPr>
        <w:t>As a descriptive and political term, its utility seems obvious. </w:t>
      </w:r>
      <w:r w:rsidRPr="00087A72">
        <w:rPr>
          <w:rStyle w:val="Emphasis"/>
        </w:rPr>
        <w:t>It identifies a cluster of countries in which colonial rule was combined historically with the large-scale immigration of European settlers.</w:t>
      </w:r>
      <w:r w:rsidRPr="00087A72">
        <w:rPr>
          <w:rFonts w:ascii="Cambria" w:eastAsia="Times New Roman" w:hAnsi="Cambria" w:cs="Arial"/>
          <w:color w:val="222222"/>
          <w:sz w:val="16"/>
          <w:szCs w:val="16"/>
        </w:rPr>
        <w:t> It allows us to focus on particularly resilient forms of domination that serve the interests and concerns of settler populations that made a new home for themselves in overseas territories. </w:t>
      </w:r>
      <w:r w:rsidRPr="00087A72">
        <w:rPr>
          <w:rStyle w:val="Emphasis"/>
        </w:rPr>
        <w:t xml:space="preserve">Almost invariably facing resistance from indigenous people, settler colonial societies were shaped by ongoing political conflict.This </w:t>
      </w:r>
      <w:r w:rsidRPr="00087A72">
        <w:rPr>
          <w:rFonts w:ascii="Cambria" w:eastAsia="Times New Roman" w:hAnsi="Cambria" w:cs="Arial"/>
          <w:color w:val="222222"/>
          <w:sz w:val="16"/>
          <w:szCs w:val="16"/>
        </w:rPr>
        <w:t>provided them with common features and a sense of shared destiny, understandable given the similar challenges they face. Solidarity among those at the losing end – indigenous people, the enslaved, and others marginalized through this model of colonial rule – is the counter-part of the process. At the same time, </w:t>
      </w:r>
      <w:r w:rsidRPr="00087A72">
        <w:rPr>
          <w:rStyle w:val="Emphasis"/>
        </w:rPr>
        <w:t>the extent to which the term</w:t>
      </w:r>
      <w:r w:rsidRPr="00087A72">
        <w:rPr>
          <w:rFonts w:ascii="Cambria" w:eastAsia="Times New Roman" w:hAnsi="Cambria" w:cs="Arial"/>
          <w:color w:val="222222"/>
          <w:sz w:val="19"/>
          <w:szCs w:val="19"/>
          <w:u w:val="single"/>
        </w:rPr>
        <w:t xml:space="preserve"> </w:t>
      </w:r>
      <w:r w:rsidRPr="00087A72">
        <w:rPr>
          <w:rStyle w:val="Emphasis"/>
        </w:rPr>
        <w:t>serves a useful purpose in historical and theoretical analysis is less obvious</w:t>
      </w:r>
      <w:r w:rsidRPr="00087A72">
        <w:rPr>
          <w:rFonts w:ascii="Cambria" w:eastAsia="Times New Roman" w:hAnsi="Cambria" w:cs="Arial"/>
          <w:color w:val="222222"/>
          <w:sz w:val="19"/>
          <w:szCs w:val="19"/>
          <w:u w:val="single"/>
        </w:rPr>
        <w:t>.</w:t>
      </w:r>
      <w:r w:rsidRPr="00087A72">
        <w:rPr>
          <w:rFonts w:ascii="Cambria" w:eastAsia="Times New Roman" w:hAnsi="Cambria" w:cs="Arial"/>
          <w:color w:val="222222"/>
          <w:sz w:val="16"/>
          <w:szCs w:val="16"/>
        </w:rPr>
        <w:t> I argue </w:t>
      </w:r>
      <w:r w:rsidRPr="00087A72">
        <w:rPr>
          <w:rStyle w:val="Emphasis"/>
        </w:rPr>
        <w:t>here that its utility in these respects is limited and it may be misleading at times</w:t>
      </w:r>
      <w:r w:rsidRPr="00087A72">
        <w:rPr>
          <w:rFonts w:ascii="Cambria" w:eastAsia="Times New Roman" w:hAnsi="Cambria" w:cs="Arial"/>
          <w:color w:val="222222"/>
          <w:sz w:val="19"/>
          <w:szCs w:val="19"/>
          <w:u w:val="single"/>
        </w:rPr>
        <w:t>. </w:t>
      </w:r>
      <w:r w:rsidRPr="00087A72">
        <w:rPr>
          <w:rFonts w:ascii="Cambria" w:eastAsia="Times New Roman" w:hAnsi="Cambria" w:cs="Arial"/>
          <w:color w:val="222222"/>
          <w:sz w:val="16"/>
          <w:szCs w:val="16"/>
        </w:rPr>
        <w:t>For this reason, we might be better off with other, more precise, concepts and models. I draw on examples from Israel/Palestine and South Africa to illustrate the point. </w:t>
      </w:r>
      <w:r w:rsidRPr="00087A72">
        <w:rPr>
          <w:rStyle w:val="Emphasis"/>
        </w:rPr>
        <w:t>What is the problem with settler colonialism as a historical concept</w:t>
      </w:r>
      <w:r w:rsidRPr="00087A72">
        <w:rPr>
          <w:rFonts w:ascii="Cambria" w:eastAsia="Times New Roman" w:hAnsi="Cambria" w:cs="Arial"/>
          <w:color w:val="222222"/>
          <w:sz w:val="16"/>
          <w:szCs w:val="16"/>
        </w:rPr>
        <w:t>? In a sense</w:t>
      </w:r>
      <w:r w:rsidRPr="00087A72">
        <w:rPr>
          <w:rFonts w:ascii="Cambria" w:eastAsia="Times New Roman" w:hAnsi="Cambria" w:cs="Arial"/>
          <w:color w:val="222222"/>
          <w:sz w:val="19"/>
          <w:szCs w:val="19"/>
          <w:u w:val="single"/>
        </w:rPr>
        <w:t>, </w:t>
      </w:r>
      <w:r w:rsidRPr="00087A72">
        <w:rPr>
          <w:rStyle w:val="Emphasis"/>
        </w:rPr>
        <w:t>its strongest point is also its weakest</w:t>
      </w:r>
      <w:r w:rsidRPr="00087A72">
        <w:rPr>
          <w:rFonts w:ascii="Cambria" w:eastAsia="Times New Roman" w:hAnsi="Cambria" w:cs="Arial"/>
          <w:color w:val="222222"/>
          <w:sz w:val="16"/>
          <w:szCs w:val="16"/>
        </w:rPr>
        <w:t>: it is applicable to many cases that exhibit a great diversity of conditions. </w:t>
      </w:r>
      <w:r w:rsidRPr="00087A72">
        <w:rPr>
          <w:rFonts w:ascii="Cambria" w:eastAsia="Times New Roman" w:hAnsi="Cambria" w:cs="Arial"/>
          <w:color w:val="222222"/>
          <w:sz w:val="19"/>
          <w:szCs w:val="19"/>
          <w:u w:val="single"/>
        </w:rPr>
        <w:t xml:space="preserve">It has </w:t>
      </w:r>
      <w:r w:rsidRPr="00087A72">
        <w:rPr>
          <w:rStyle w:val="Emphasis"/>
        </w:rPr>
        <w:t>been applied to countries that saw settlers overwhelm the indigenous population to such a degree that it became demographically and economically marginal</w:t>
      </w:r>
      <w:r w:rsidRPr="00087A72">
        <w:rPr>
          <w:rFonts w:ascii="Cambria" w:eastAsia="Times New Roman" w:hAnsi="Cambria" w:cs="Arial"/>
          <w:color w:val="222222"/>
          <w:sz w:val="19"/>
          <w:szCs w:val="19"/>
          <w:u w:val="single"/>
        </w:rPr>
        <w:t>.</w:t>
      </w:r>
      <w:r w:rsidRPr="00087A72">
        <w:rPr>
          <w:rFonts w:ascii="Cambria" w:eastAsia="Times New Roman" w:hAnsi="Cambria" w:cs="Arial"/>
          <w:color w:val="222222"/>
          <w:sz w:val="16"/>
          <w:szCs w:val="16"/>
        </w:rPr>
        <w:t> For example,</w:t>
      </w:r>
      <w:r w:rsidRPr="00087A72">
        <w:rPr>
          <w:rStyle w:val="Emphasis"/>
        </w:rPr>
        <w:t> indigenous people are no more than three percent of the population in the USA, Canada and Australia</w:t>
      </w:r>
      <w:r w:rsidRPr="00087A72">
        <w:rPr>
          <w:rFonts w:ascii="Cambria" w:eastAsia="Times New Roman" w:hAnsi="Cambria" w:cs="Arial"/>
          <w:color w:val="222222"/>
          <w:sz w:val="16"/>
          <w:szCs w:val="16"/>
        </w:rPr>
        <w:t>. In other countries, such as Kenya, Rhodesia, Algeria, Mozambique and South Africa, indigenous people remained the bulk of the population, as well as the main source of labor. Slavery featured prominently in some cases (USA, early colonial South Africa) but not in others. Settlers of European origins retained strong legal and political links to the mother country in Algeria, Kenya, Rhodesia, and Portuguese African colonies. They became independent in the USA, South Africa and other British offshoots, at times as a result of a violent intra-colonial conflict. </w:t>
      </w:r>
      <w:r w:rsidRPr="00087A72">
        <w:rPr>
          <w:rStyle w:val="Emphasis"/>
        </w:rPr>
        <w:t>In some places most settlers left the territory after independence from colonial</w:t>
      </w:r>
      <w:r w:rsidRPr="00087A72">
        <w:rPr>
          <w:rFonts w:ascii="Cambria" w:eastAsia="Times New Roman" w:hAnsi="Cambria" w:cs="Arial"/>
          <w:color w:val="222222"/>
          <w:sz w:val="19"/>
          <w:szCs w:val="19"/>
          <w:u w:val="single"/>
        </w:rPr>
        <w:t xml:space="preserve"> rule</w:t>
      </w:r>
      <w:r w:rsidRPr="00087A72">
        <w:rPr>
          <w:rFonts w:ascii="Cambria" w:eastAsia="Times New Roman" w:hAnsi="Cambria" w:cs="Arial"/>
          <w:color w:val="222222"/>
          <w:sz w:val="16"/>
          <w:szCs w:val="16"/>
        </w:rPr>
        <w:t> – as in Algeria, Mozambique, Angola, and Rhodesia. </w:t>
      </w:r>
      <w:r w:rsidRPr="00087A72">
        <w:rPr>
          <w:rStyle w:val="Emphasis"/>
        </w:rPr>
        <w:t>Large numbers stayed put in other countries, such as Namibia and South Africa. And, of course, where they became numerically dominant, settlers used their political independence to consolidate their rule, marginalizing “natives” further. But they also incorporated them into the new polity when the demographic ratio was sufficiently favorable so as not to pose a threat to settler domination.</w:t>
      </w:r>
      <w:r w:rsidRPr="00087A72">
        <w:rPr>
          <w:rFonts w:ascii="Cambria" w:eastAsia="Times New Roman" w:hAnsi="Cambria" w:cs="Arial"/>
          <w:color w:val="222222"/>
          <w:sz w:val="16"/>
          <w:szCs w:val="16"/>
        </w:rPr>
        <w:t> This contrasts with the maintenance of legal-racial divisions in places where indigenous people remained a majority of the population. </w:t>
      </w:r>
      <w:r w:rsidRPr="00087A72">
        <w:rPr>
          <w:rStyle w:val="Emphasis"/>
        </w:rPr>
        <w:t>Indigenous strategies have differed as well. </w:t>
      </w:r>
      <w:r w:rsidRPr="00087A72">
        <w:rPr>
          <w:rFonts w:ascii="Cambria" w:eastAsia="Times New Roman" w:hAnsi="Cambria" w:cs="Arial"/>
          <w:color w:val="222222"/>
          <w:sz w:val="16"/>
          <w:szCs w:val="16"/>
        </w:rPr>
        <w:t>They have consisted of attempts to integrate as individuals on an equal basis in some countries. In others, indigenous people sought to maintain pre-colonial identities and modes of organization. Still others have formed nationalist movements on the new ground created by colonial settlement, or focused on race as a basis for resistance</w:t>
      </w:r>
      <w:r w:rsidRPr="00087A72">
        <w:rPr>
          <w:rFonts w:ascii="Cambria" w:eastAsia="Times New Roman" w:hAnsi="Cambria" w:cs="Arial"/>
          <w:color w:val="222222"/>
          <w:sz w:val="19"/>
          <w:szCs w:val="19"/>
          <w:u w:val="single"/>
        </w:rPr>
        <w:t xml:space="preserve">. </w:t>
      </w:r>
      <w:r w:rsidRPr="00087A72">
        <w:rPr>
          <w:rStyle w:val="Emphasis"/>
        </w:rPr>
        <w:t>Most of these strategies acknowledge, to varying degrees, settlers as legitimate members of the envisaged future liberated society. It is not only the broad contours of history that vary greatly in settler colonial societies but also patterns of social change over time.</w:t>
      </w:r>
      <w:r w:rsidRPr="00087A72">
        <w:rPr>
          <w:rFonts w:ascii="Cambria" w:eastAsia="Times New Roman" w:hAnsi="Cambria" w:cs="Arial"/>
          <w:color w:val="222222"/>
          <w:sz w:val="16"/>
          <w:szCs w:val="16"/>
        </w:rPr>
        <w:t> Constant geographical expansion while driving out indigenous people has occurred in the USA and Australia. Elsewhere there has been constant expansion while incorporating indigenous people as labor power, in South Africa most notably. In other cases there has been an initial takeover of the entire territory with more-or-less fixed relations of subordination throughout the period – for example in Algeria, Kenya, Rhodesia, and Namibia. There have been different degrees of incorporation of “urban natives” in a relatively privileged position compared to rural populations, and different combinations of direct and indirect despotism, to use Mahmood Mamdani’s notions of colonial rule in late colonial Africa. In other words, </w:t>
      </w:r>
      <w:r w:rsidRPr="00087A72">
        <w:rPr>
          <w:rStyle w:val="Emphasis"/>
        </w:rPr>
        <w:t>the category of settler colonialism is compatible with different demographic ratios and different trajectories of indigenous-settler relations</w:t>
      </w:r>
      <w:r w:rsidRPr="00087A72">
        <w:rPr>
          <w:rFonts w:ascii="Cambria" w:eastAsia="Times New Roman" w:hAnsi="Cambria" w:cs="Arial"/>
          <w:color w:val="222222"/>
          <w:sz w:val="16"/>
          <w:szCs w:val="16"/>
        </w:rPr>
        <w:t>. It can go along with different relations between settlers and metropolitan centers and different destinies of settlers in the post-colonial period. It is compatible with different social structures, relying variously on free white labor, and indentured immigrant labor, from Europe, India or other places. Or it can rely on African slavery, indigenous labor subordination, and combinations of the above. In all these respects, settler colonial societies do not share a single historical dynamic nor do they exhibit a tendency to move in similar directions. They may end up with the consolidation of settler rule or its demise through indigenous resistance and victory. </w:t>
      </w:r>
      <w:r w:rsidRPr="00087A72">
        <w:rPr>
          <w:rStyle w:val="Emphasis"/>
        </w:rPr>
        <w:t>None of the possible outcomes serves to mark the historical trajectory of settler colonialism apart from other types of colonial societies. In the absence of a unique trajectory, does settler colonialism display perhaps specific conceptual features</w:t>
      </w:r>
      <w:r w:rsidRPr="00087A72">
        <w:rPr>
          <w:rFonts w:ascii="Cambria" w:eastAsia="Times New Roman" w:hAnsi="Cambria" w:cs="Arial"/>
          <w:color w:val="222222"/>
          <w:sz w:val="16"/>
          <w:szCs w:val="16"/>
        </w:rPr>
        <w:t>? That is to say, does it work as a theoretical model? A model offers a relationship between a limited number of concepts or variables. It aims to make sense of large number of observations. It reduces the infinite variety of empirical reality into discrete units with distinct dynamics or laws of motion. </w:t>
      </w:r>
      <w:r w:rsidRPr="00087A72">
        <w:rPr>
          <w:rStyle w:val="Emphasis"/>
        </w:rPr>
        <w:t>Do models of colonial societies</w:t>
      </w:r>
      <w:r w:rsidRPr="00087A72">
        <w:rPr>
          <w:rFonts w:ascii="Cambria" w:eastAsia="Times New Roman" w:hAnsi="Cambria" w:cs="Arial"/>
          <w:color w:val="222222"/>
          <w:sz w:val="16"/>
          <w:szCs w:val="16"/>
        </w:rPr>
        <w:t> (settler, exploitation, plantation, and so on), </w:t>
      </w:r>
      <w:r w:rsidRPr="00087A72">
        <w:rPr>
          <w:rStyle w:val="Emphasis"/>
        </w:rPr>
        <w:t>show us how some cases differ from others in theoretical terms</w:t>
      </w:r>
      <w:r w:rsidRPr="00087A72">
        <w:rPr>
          <w:rFonts w:ascii="Cambria" w:eastAsia="Times New Roman" w:hAnsi="Cambria" w:cs="Arial"/>
          <w:color w:val="222222"/>
          <w:sz w:val="16"/>
          <w:szCs w:val="16"/>
        </w:rPr>
        <w:t>? Do they outline distinct ways in which concepts such as class, race, ethnicity, identity, state, gender, power, sexuality, ideology, space, time, and discourse, manifest themselves concretely or intersect with one another? If we pose the question in this way, the conclusion seems unavoidable. </w:t>
      </w:r>
      <w:r w:rsidRPr="00087A72">
        <w:rPr>
          <w:rStyle w:val="Emphasis"/>
        </w:rPr>
        <w:t>Settler colonialism as a category of historical analysis does not establish any specific social-theoretical dynamics unique to it. We cannot use its historical features to distinguish it analytically – not just descriptively – from other types of societies, be they colonial or not. If settler colonialism has no specific historical or theoretical dynamics then, how do we deal analytically with societies that fall within its definition</w:t>
      </w:r>
      <w:r w:rsidRPr="00087A72">
        <w:rPr>
          <w:rFonts w:ascii="Cambria" w:eastAsia="Times New Roman" w:hAnsi="Cambria" w:cs="Arial"/>
          <w:color w:val="222222"/>
          <w:sz w:val="16"/>
          <w:szCs w:val="16"/>
        </w:rPr>
        <w:t>? As an alternative method of investigation, I suggest a strategy of addressing the multiplicity of colonial and post-colonial societies with a three-track approach: · Studying them in their full historical specificity without imposing artificial boundaries between classes of cases; · Deploying general analytical concepts instead of developing idiosyncratic models. Such models abound: “colonialism of a special type,” “ethnic democracy combined with protracted military occupation,” “exclusionary colonialism,” or “regimes of separation.” They may serve as useful political labels but are theoretically without predictive value. · Engaging in selected comparisons in order to highlight general and unique features by examining them against each other. This should allow us to enhance the complexity of good empirical description as well as the generality of social theory. But it would not compromise either one of these imperatives. To illustrate this approach, I apply it to two settler-colonial societies, Israel/Palestine and South Africa. In what ways does such a study offer a better prospect for historical analysis? Is the concept of apartheid, originating in one of them and increasingly applied to the other, a useful analytical substitute? In brief, these two have in common an ongoing conflict between indigenous people and settlers. It has stretched over centuries and involved conquest of territory, massive land dispossession, and a constant quest for innovative modes of political domination well beyond the period of global colonial expansion and subsequent decolonization. This continued all the way to the last decade of the twentieth century, in South Africa, and into the twenty-first in Israel/Palestine. At the same time, there are important differences between them. They include the centrality of indigenous labor in enhancing settler prosperity, the religious symbolism of the land, the prevailing mode of collective organization (nationalism as opposed to race), and the degree of international legitimacy. These differences shape both power and resistance, the nature of the state and society, as well as the possibilities of indigenous social and political mobilization. </w:t>
      </w:r>
      <w:r w:rsidRPr="00087A72">
        <w:rPr>
          <w:rStyle w:val="Emphasis"/>
        </w:rPr>
        <w:t>Neither settler colonialism nor apartheid as analytical concepts can help us</w:t>
      </w:r>
      <w:r w:rsidRPr="00087A72">
        <w:rPr>
          <w:rFonts w:ascii="Cambria" w:eastAsia="Times New Roman" w:hAnsi="Cambria" w:cs="Arial"/>
          <w:color w:val="222222"/>
          <w:sz w:val="16"/>
          <w:szCs w:val="16"/>
        </w:rPr>
        <w:t> predict the trajectories of these societies. For that, </w:t>
      </w:r>
      <w:r w:rsidRPr="00087A72">
        <w:rPr>
          <w:rStyle w:val="Emphasis"/>
        </w:rPr>
        <w:t xml:space="preserve">we have to study them in concrete historical detail and outline the precise configurations of forces at work in each case. The approach proposed here though, directs our attention to key historical processes seen from a comparative angle. For example, it can point out the impact of indigenous modes of political organization on conquest and resistance. It </w:t>
      </w:r>
      <w:r w:rsidRPr="00087A72">
        <w:rPr>
          <w:rFonts w:ascii="Cambria" w:eastAsia="Times New Roman" w:hAnsi="Cambria" w:cs="Arial"/>
          <w:color w:val="222222"/>
          <w:sz w:val="16"/>
          <w:szCs w:val="16"/>
        </w:rPr>
        <w:t>can also highlight the greater capacity of pre-1948 Palestinians to shape the terms of the evolving conflict. And, it can point out the more fragile modes of social organization of indigenous people in South Africa. These, in turn, facilitated their conquest and incorporation into settler-dominated economic structures. It raises questions about the ways in which parties to the conflict in Israel/Palestine made use of their links to global Arab, Islamic and Jewish identities and resources. In contrast, actors in South Africa were reliant for long periods – before the nineteenth century and for much of the twentieth century – on local affiliations and resources. In a contemporary vein, </w:t>
      </w:r>
      <w:r w:rsidRPr="00087A72">
        <w:rPr>
          <w:rStyle w:val="Emphasis"/>
        </w:rPr>
        <w:t>this approach leads us to examine strategies of resistance by focusing on the centrality of the labor movement in South African struggles as compared to its marginal role in Israel/Palestine.</w:t>
      </w:r>
      <w:r w:rsidRPr="00087A72">
        <w:rPr>
          <w:rFonts w:ascii="Cambria" w:eastAsia="Times New Roman" w:hAnsi="Cambria" w:cs="Arial"/>
          <w:color w:val="222222"/>
          <w:sz w:val="16"/>
          <w:szCs w:val="16"/>
        </w:rPr>
        <w:t> This can be linked to patterns of settlement and conquest as well as to affiliations with extra-territorial populations – creating jobs for Jewish immigrants as a crucial imperative, for example. The implications of this difference for mobilization and change are important as well – indigenous race/class synergy in South Africa compared to a split between these factors in Israel/Palestine. Additionally, we could look at culture and discourse. </w:t>
      </w:r>
      <w:r w:rsidRPr="00087A72">
        <w:rPr>
          <w:rStyle w:val="Emphasis"/>
        </w:rPr>
        <w:t>We could discuss the prevalence of demographic considerations in the one case, and its relative absence in the other. The concern of Jewish settlers with becoming a majority had to do with the prior historical consolidation of ethno-national identities in Israel/Palestine</w:t>
      </w:r>
      <w:r w:rsidRPr="00087A72">
        <w:rPr>
          <w:rFonts w:ascii="Cambria" w:eastAsia="Times New Roman" w:hAnsi="Cambria" w:cs="Arial"/>
          <w:color w:val="222222"/>
          <w:sz w:val="19"/>
          <w:szCs w:val="19"/>
          <w:u w:val="single"/>
        </w:rPr>
        <w:t>.</w:t>
      </w:r>
      <w:r w:rsidRPr="00087A72">
        <w:rPr>
          <w:rFonts w:ascii="Cambria" w:eastAsia="Times New Roman" w:hAnsi="Cambria" w:cs="Arial"/>
          <w:color w:val="222222"/>
          <w:sz w:val="16"/>
          <w:szCs w:val="16"/>
        </w:rPr>
        <w:t> It was also linked to the absence of the technological advantage that was central to relations of domination between settlers and indigenous people in South Africa, making a settler majority less of an imperative there. This, in turn, affected political strategies of demographic exclusion, leading to ethnic cleansing in Israel/Palestine. It contrasts with the incorporation/exploitation of indigenous people as providers of labor power and, later on, as citizens, in South Africa.</w:t>
      </w:r>
    </w:p>
    <w:p w:rsidR="000314EC" w:rsidRPr="00087A72" w:rsidRDefault="000314EC" w:rsidP="000314EC">
      <w:pPr>
        <w:pStyle w:val="Heading3"/>
      </w:pPr>
      <w:r w:rsidRPr="00087A72">
        <w:t>Settler/Native Binary Bad</w:t>
      </w:r>
    </w:p>
    <w:p w:rsidR="000314EC" w:rsidRPr="00087A72" w:rsidRDefault="000314EC" w:rsidP="000314EC">
      <w:pPr>
        <w:pStyle w:val="Heading4"/>
      </w:pPr>
      <w:r w:rsidRPr="00087A72">
        <w:t xml:space="preserve">Prioritization on antagonism between the Native and the Settler blurs the ways colonial power functions from the bodies of the Native and the Settler                                       </w:t>
      </w:r>
    </w:p>
    <w:p w:rsidR="000314EC" w:rsidRPr="00087A72" w:rsidRDefault="000314EC" w:rsidP="000314EC">
      <w:r w:rsidRPr="00087A72">
        <w:rPr>
          <w:rStyle w:val="Style13ptBold"/>
        </w:rPr>
        <w:t>Vimalassery 17</w:t>
      </w:r>
      <w:r w:rsidRPr="00087A72">
        <w:t xml:space="preserve"> (Manu, Assistant Professor of History at Texas Tech “Colonial Unknowing and Relations of Study” Theory and Event vol. 20 No. 4 pp. 1044-1046)</w:t>
      </w:r>
    </w:p>
    <w:p w:rsidR="000314EC" w:rsidRPr="00087A72" w:rsidRDefault="000314EC" w:rsidP="000314EC">
      <w:pPr>
        <w:rPr>
          <w:u w:val="single"/>
        </w:rPr>
      </w:pPr>
      <w:r w:rsidRPr="00087A72">
        <w:t>The usefulness or critique of binaries is a longstanding term of debate which will not be resolved here, and is related to the productive disjuncture between what Stuart Hall long ago identified as “structuralist” and “historicist” approaches to cultural studies.</w:t>
      </w:r>
      <w:r w:rsidRPr="00087A72">
        <w:rPr>
          <w:u w:val="single"/>
        </w:rPr>
        <w:t>33 In our collective study, we are drawing specifically upon Black, Indigenous, and Third World feminist critiques of anticolonial nationalisms, and we are drawing upon queer of color critique that has emerged from those genealogies, fields of praxis fully committed to decolonization and liberation, that, moreover, seek to root out the Manichean replication of relations of domination as they re-appear through the normative constraints of binary oppositions.34 If queer of color and queer Indigenous critiques elucidate that Black and Native bodies are always already queered under the terms of colonialism, what might differential relational study yield, particularly outside the limitations of what we might call white queer theory and its attendant focus on anti-reproductive futures? Spillers reminds us that under slavery, Black women “became… the principal point of passage between the human and the non-human world” a disposses</w:t>
      </w:r>
      <w:r w:rsidRPr="00087A72">
        <w:t xml:space="preserve">sive reproduction akin but distinct from the Indian Act’s technologies of white patriarchal possession.35 This is not a future act, but the queer specters of the historical present. As King writes, “Normative settler gender and sexuality make property—as people, commodities, land, and possession of land—possible.”36 Building from Omise’eke Natasha Tinsley’s evocation of the “Black Atlantic, queer Atlantic,” or Hari Ziyad’s assertion, “My gender is Black,” as well as Joanne Barker’s insistence that </w:t>
      </w:r>
      <w:r w:rsidRPr="00087A72">
        <w:rPr>
          <w:u w:val="single"/>
        </w:rPr>
        <w:t>Indigenous concepts of gender and sexuality “are not necessarily equated or predetermined by anatomical sex; thus, neither are social identity, desire, or pleasure,” how might queer serve as neither identity category nor anti-normative imperative, but instead serve as referent, one which tacks back and forth to situate Indigenous and Black genders and sexualities not just as intersectional vectors, but as the very terms constituted by and, in turn, constituting the human?</w:t>
      </w:r>
      <w:r w:rsidRPr="00087A72">
        <w:t>37 Moreover, a settler/native binary raises questions about the usefulness of a method of thought that proceeds from the displacement of Blackness. King writes, “</w:t>
      </w:r>
      <w:r w:rsidRPr="00087A72">
        <w:rPr>
          <w:u w:val="single"/>
        </w:rPr>
        <w:t>A sole focus on the antagonism between the Native and the Settler obscures the ways that settler colonial power functions and maintains itself off of the frontier and away from the bodies of the Native and the Settler.” 38 Settlement, she points out, includes “the transport of Black bodies and the knowledge that those bodies have… the theft and use of Black bodies from across the Atlantic</w:t>
      </w:r>
      <w:r w:rsidRPr="00087A72">
        <w:t xml:space="preserve">.” Settlement, she writes, “straddles the Atlantic Ocean and exceeds the White-Settler/Native conflict.” </w:t>
      </w:r>
      <w:r w:rsidRPr="00087A72">
        <w:rPr>
          <w:u w:val="single"/>
        </w:rPr>
        <w:t>This fact is a fundamental challenge for thought, necessitating a deep and sustained commitment to thinking across Indigenous and Black studies</w:t>
      </w:r>
      <w:r w:rsidRPr="00087A72">
        <w:t>. King continues, “…</w:t>
      </w:r>
      <w:r w:rsidRPr="00087A72">
        <w:rPr>
          <w:u w:val="single"/>
        </w:rPr>
        <w:t>the processes which make Black bodies fungible flesh, a form of terra nullius, and embed their bodies in the land as settled-slaves needs to be theorized as modalities of settlement.”39 The management of Black people and Black spaces are central questions for settler colonial studies, and for Indigenous studies, to consider.40 This entails widening (without generalizing) core questions, methods, and texts of engagement. Foregrounding a long tradition of Black critique of U.S. imperialism, as Justin Leroy suggests, can help us understand the afterlives of slavery, “for an empire without slaves could claim moral authority even as it enacted economic and racial policy that rendered legal freedom much less significant than it otherwise might have been.”41 “Emancipation,” he writes, “failed to truly bring about black liberation because its white architects could only conceive of forms of freedom that left empire and the profits it reaped intac</w:t>
      </w:r>
      <w:r w:rsidRPr="00087A72">
        <w:t>t.”42 At stake in Leroy’s argument is an engagement with the significance of anti-imperialist critique to some of the most impactful Black abolitionists. Ottobah Cugoano, for example, articulated “deep continuities between the New World genocides and the trade in African bodies…”43 Black abolitionists in New York drew similar connections between colonization of Americas and slavery. “</w:t>
      </w:r>
      <w:r w:rsidRPr="00087A72">
        <w:rPr>
          <w:u w:val="single"/>
        </w:rPr>
        <w:t>Black orators of the early nineteenth century</w:t>
      </w:r>
      <w:r w:rsidRPr="00087A72">
        <w:t>,” Leroy argues, “</w:t>
      </w:r>
      <w:r w:rsidRPr="00087A72">
        <w:rPr>
          <w:u w:val="single"/>
        </w:rPr>
        <w:t>forged substantive links between antislavery and opposition to colonial expansion and emerging forms of capitalism.”44 Black radical thinkers</w:t>
      </w:r>
      <w:r w:rsidRPr="00087A72">
        <w:t xml:space="preserve">, such as David Walker, also looked to Indigenous struggles against U.S. imperialism for inspiration in the struggle against slavery.45 Colonial unknowing, by compartmentalizing Black and Indigenous struggles as separate, works to displace the significance of anti-imperialism to traditions of Black radicalism. </w:t>
      </w:r>
      <w:r w:rsidRPr="00087A72">
        <w:rPr>
          <w:u w:val="single"/>
        </w:rPr>
        <w:t>Discovery, as a prime method of colonialism, provides answers to questions we already know to ask. In urging critical engagement across fields of thought, we are urging something else. Part of the work of engaging Black and Indigenous feminisms is developing a working understanding that seemingly novel questions and methods have already been articulated and in use for a long time. Part of this work is about foregrounding intellectual practice, within, beyond, and despite the academy. Thinking across Blackness and Indigeneity is a central question for liberation in our moment. In what ways can we militate against the traps of analogy, to think and act in specificity? What does a practice of study that centers grounded collective Indigenous relations of care alongside and in relation to the fact of Blackness, look like? Evading these questions risks complicity with the malicious presuppositions of antiblackness and settler colonialism. Yet relations of study also require ever more capacious engagements</w:t>
      </w:r>
      <w:r w:rsidRPr="00087A72">
        <w:t xml:space="preserve">. Other constellations of inquiry, such as Critical Latinx Indigeneities or critical perspectives informed by archipelagic assemblages, call attention to relations of study not yet examined here, but also crucial for intervening in the power/ knowledge regimes of colonial unknowing.46 </w:t>
      </w:r>
      <w:r w:rsidRPr="00087A72">
        <w:rPr>
          <w:u w:val="single"/>
        </w:rPr>
        <w:t>The challenge is to what degree, and in what ways, can we think alongside the unthought, just as relations of study are likewise relations of difference, non-correspondence, and incommensurability—a thinking with rather than a thinking as or thinking as such.47</w:t>
      </w:r>
    </w:p>
    <w:p w:rsidR="00EC4346" w:rsidRPr="00087A72" w:rsidRDefault="00EC4346" w:rsidP="00032E5A">
      <w:pPr>
        <w:pStyle w:val="Heading3"/>
      </w:pPr>
      <w:r w:rsidRPr="00087A72">
        <w:t>State Inevitable</w:t>
      </w:r>
    </w:p>
    <w:p w:rsidR="00EC4346" w:rsidRPr="00087A72" w:rsidRDefault="00EC4346" w:rsidP="00EC4346">
      <w:pPr>
        <w:pStyle w:val="Heading4"/>
      </w:pPr>
      <w:r w:rsidRPr="00087A72">
        <w:t xml:space="preserve">The state is </w:t>
      </w:r>
      <w:r w:rsidRPr="00087A72">
        <w:rPr>
          <w:u w:val="single"/>
        </w:rPr>
        <w:t>inevitable</w:t>
      </w:r>
      <w:r w:rsidRPr="00087A72">
        <w:t>—rejecting it fails.</w:t>
      </w:r>
    </w:p>
    <w:p w:rsidR="00EC4346" w:rsidRPr="00087A72" w:rsidRDefault="00EC4346" w:rsidP="00EC4346">
      <w:pPr>
        <w:pStyle w:val="CiteSpacing"/>
        <w:rPr>
          <w:rFonts w:eastAsia="Times New Roman" w:cs="Times New Roman"/>
        </w:rPr>
      </w:pPr>
      <w:r w:rsidRPr="00087A72">
        <w:rPr>
          <w:rStyle w:val="Style13ptBold"/>
        </w:rPr>
        <w:t>Choat, 16</w:t>
      </w:r>
      <w:r w:rsidRPr="00087A72">
        <w:rPr>
          <w:rFonts w:eastAsia="Times New Roman" w:cs="Times New Roman"/>
        </w:rPr>
        <w:t xml:space="preserve">—PhD in Political Science at Queen Mary University of London, member of the Political Studies Association, Senior Lecturer in the School of Economics, Politics, and History (Simon, “Marxism and anarchism in an age of neoliberal crisis,” </w:t>
      </w:r>
      <w:hyperlink r:id="rId28" w:history="1">
        <w:r w:rsidRPr="00087A72">
          <w:rPr>
            <w:rFonts w:eastAsia="Times New Roman" w:cs="Times New Roman"/>
          </w:rPr>
          <w:t>http://eprints.kingston.ac.uk/32233/1/Choat-S-3223-AAM.pdf</w:t>
        </w:r>
      </w:hyperlink>
      <w:r w:rsidRPr="00087A72">
        <w:rPr>
          <w:rFonts w:eastAsia="Times New Roman" w:cs="Times New Roman"/>
        </w:rPr>
        <w:t>, )</w:t>
      </w:r>
    </w:p>
    <w:p w:rsidR="00EC4346" w:rsidRPr="00087A72" w:rsidRDefault="00EC4346" w:rsidP="00EC4346">
      <w:pPr>
        <w:rPr>
          <w:rFonts w:eastAsia="Times New Roman" w:cs="Times New Roman"/>
          <w:sz w:val="12"/>
        </w:rPr>
      </w:pPr>
      <w:r w:rsidRPr="00087A72">
        <w:rPr>
          <w:rFonts w:eastAsia="Times New Roman" w:cs="Times New Roman"/>
          <w:sz w:val="12"/>
        </w:rPr>
        <w:t xml:space="preserve">The anarchist critique of Marxist organisational forms is unconvincing, then, because it does not acknowledge the diversity of Marxist approaches and it tends towards a theoreticism that sees a linear, causal, and continuous line from theory to practice. Nonetheless, there are significant differences of strategy between anarchism and Marxism: it is just that these are less to do with organisation as such, and are much more broadly to do with differing attitudes toward politics and the state. Although </w:t>
      </w:r>
      <w:r w:rsidRPr="00087A72">
        <w:rPr>
          <w:rFonts w:eastAsia="Times New Roman" w:cs="Times New Roman"/>
          <w:u w:val="single"/>
        </w:rPr>
        <w:t>some</w:t>
      </w:r>
      <w:r w:rsidRPr="00087A72">
        <w:rPr>
          <w:rFonts w:eastAsia="Times New Roman" w:cs="Times New Roman"/>
          <w:sz w:val="12"/>
        </w:rPr>
        <w:t xml:space="preserve"> (though by no means all) </w:t>
      </w:r>
      <w:r w:rsidRPr="00087A72">
        <w:rPr>
          <w:rStyle w:val="StyleUnderline"/>
        </w:rPr>
        <w:t>anarchists</w:t>
      </w:r>
      <w:r w:rsidRPr="00087A72">
        <w:rPr>
          <w:rFonts w:eastAsia="Times New Roman" w:cs="Times New Roman"/>
          <w:sz w:val="12"/>
        </w:rPr>
        <w:t xml:space="preserve"> have supported formal political organisations, with rules, membership criteria, and even internal discipline (Schmidt and van der Walt 2009: 247-263), they </w:t>
      </w:r>
      <w:r w:rsidRPr="00087A72">
        <w:rPr>
          <w:rFonts w:eastAsia="Times New Roman" w:cs="Times New Roman"/>
          <w:u w:val="single"/>
        </w:rPr>
        <w:t>have</w:t>
      </w:r>
      <w:r w:rsidRPr="00087A72">
        <w:rPr>
          <w:rFonts w:eastAsia="Times New Roman" w:cs="Times New Roman"/>
          <w:sz w:val="12"/>
        </w:rPr>
        <w:t xml:space="preserve"> traditionally </w:t>
      </w:r>
      <w:r w:rsidRPr="00087A72">
        <w:rPr>
          <w:rFonts w:eastAsia="Times New Roman" w:cs="Times New Roman"/>
          <w:b/>
          <w:iCs/>
          <w:u w:val="single"/>
          <w:bdr w:val="single" w:sz="8" w:space="0" w:color="auto"/>
        </w:rPr>
        <w:t>rejected any engagement with the state</w:t>
      </w:r>
      <w:r w:rsidRPr="00087A72">
        <w:rPr>
          <w:rFonts w:eastAsia="Times New Roman" w:cs="Times New Roman"/>
          <w:u w:val="single"/>
        </w:rPr>
        <w:t xml:space="preserve"> – whether it be </w:t>
      </w:r>
      <w:r w:rsidRPr="00087A72">
        <w:rPr>
          <w:rFonts w:eastAsia="Times New Roman" w:cs="Times New Roman"/>
          <w:b/>
          <w:iCs/>
          <w:u w:val="single"/>
          <w:bdr w:val="single" w:sz="8" w:space="0" w:color="auto"/>
        </w:rPr>
        <w:t>voting</w:t>
      </w:r>
      <w:r w:rsidRPr="00087A72">
        <w:rPr>
          <w:rFonts w:eastAsia="Times New Roman" w:cs="Times New Roman"/>
          <w:u w:val="single"/>
        </w:rPr>
        <w:t xml:space="preserve">, </w:t>
      </w:r>
      <w:r w:rsidRPr="00087A72">
        <w:rPr>
          <w:rFonts w:eastAsia="Times New Roman" w:cs="Times New Roman"/>
          <w:b/>
          <w:iCs/>
          <w:u w:val="single"/>
          <w:bdr w:val="single" w:sz="8" w:space="0" w:color="auto"/>
        </w:rPr>
        <w:t>demanding legal rights</w:t>
      </w:r>
      <w:r w:rsidRPr="00087A72">
        <w:rPr>
          <w:rFonts w:eastAsia="Times New Roman" w:cs="Times New Roman"/>
          <w:u w:val="single"/>
        </w:rPr>
        <w:t xml:space="preserve"> or protections, </w:t>
      </w:r>
      <w:r w:rsidRPr="00087A72">
        <w:rPr>
          <w:rFonts w:eastAsia="Times New Roman" w:cs="Times New Roman"/>
          <w:b/>
          <w:iCs/>
          <w:u w:val="single"/>
          <w:bdr w:val="single" w:sz="8" w:space="0" w:color="auto"/>
        </w:rPr>
        <w:t>forming political parties</w:t>
      </w:r>
      <w:r w:rsidRPr="00087A72">
        <w:rPr>
          <w:rFonts w:eastAsia="Times New Roman" w:cs="Times New Roman"/>
          <w:u w:val="single"/>
        </w:rPr>
        <w:t xml:space="preserve">, or attempting </w:t>
      </w:r>
      <w:r w:rsidRPr="00087A72">
        <w:rPr>
          <w:rFonts w:eastAsia="Times New Roman" w:cs="Times New Roman"/>
          <w:b/>
          <w:iCs/>
          <w:u w:val="single"/>
          <w:bdr w:val="single" w:sz="8" w:space="0" w:color="auto"/>
        </w:rPr>
        <w:t>the revolutionary seizure of government</w:t>
      </w:r>
      <w:r w:rsidRPr="00087A72">
        <w:rPr>
          <w:rFonts w:eastAsia="Times New Roman" w:cs="Times New Roman"/>
          <w:u w:val="single"/>
        </w:rPr>
        <w:t xml:space="preserve"> – on the basis that such engagement </w:t>
      </w:r>
      <w:r w:rsidRPr="00087A72">
        <w:rPr>
          <w:rFonts w:eastAsia="Times New Roman" w:cs="Times New Roman"/>
          <w:b/>
          <w:iCs/>
          <w:u w:val="single"/>
          <w:bdr w:val="single" w:sz="8" w:space="0" w:color="auto"/>
        </w:rPr>
        <w:t>can only end up replicating the oppressive hierarchies</w:t>
      </w:r>
      <w:r w:rsidRPr="00087A72">
        <w:rPr>
          <w:rFonts w:eastAsia="Times New Roman" w:cs="Times New Roman"/>
          <w:u w:val="single"/>
        </w:rPr>
        <w:t xml:space="preserve"> that they are fighting: either it will lead to </w:t>
      </w:r>
      <w:r w:rsidRPr="00087A72">
        <w:rPr>
          <w:rFonts w:eastAsia="Times New Roman" w:cs="Times New Roman"/>
          <w:b/>
          <w:iCs/>
          <w:u w:val="single"/>
          <w:bdr w:val="single" w:sz="8" w:space="0" w:color="auto"/>
        </w:rPr>
        <w:t>new forms of dictatorship</w:t>
      </w:r>
      <w:r w:rsidRPr="00087A72">
        <w:rPr>
          <w:rFonts w:eastAsia="Times New Roman" w:cs="Times New Roman"/>
          <w:u w:val="single"/>
        </w:rPr>
        <w:t xml:space="preserve"> and </w:t>
      </w:r>
      <w:r w:rsidRPr="00087A72">
        <w:rPr>
          <w:rFonts w:eastAsia="Times New Roman" w:cs="Times New Roman"/>
          <w:b/>
          <w:iCs/>
          <w:u w:val="single"/>
          <w:bdr w:val="single" w:sz="8" w:space="0" w:color="auto"/>
        </w:rPr>
        <w:t>bureaucracy</w:t>
      </w:r>
      <w:r w:rsidRPr="00087A72">
        <w:rPr>
          <w:rFonts w:eastAsia="Times New Roman" w:cs="Times New Roman"/>
          <w:sz w:val="12"/>
        </w:rPr>
        <w:t xml:space="preserve"> (such as developed in the Soviet Union); </w:t>
      </w:r>
      <w:r w:rsidRPr="00087A72">
        <w:rPr>
          <w:rFonts w:eastAsia="Times New Roman" w:cs="Times New Roman"/>
          <w:u w:val="single"/>
        </w:rPr>
        <w:t>or</w:t>
      </w:r>
      <w:r w:rsidRPr="00087A72">
        <w:rPr>
          <w:rFonts w:eastAsia="Times New Roman" w:cs="Times New Roman"/>
          <w:sz w:val="12"/>
        </w:rPr>
        <w:t xml:space="preserve"> it will lead to parliamentary </w:t>
      </w:r>
      <w:r w:rsidRPr="00087A72">
        <w:rPr>
          <w:rFonts w:eastAsia="Times New Roman" w:cs="Times New Roman"/>
          <w:b/>
          <w:iCs/>
          <w:u w:val="single"/>
          <w:bdr w:val="single" w:sz="8" w:space="0" w:color="auto"/>
        </w:rPr>
        <w:t>reformism</w:t>
      </w:r>
      <w:r w:rsidRPr="00087A72">
        <w:rPr>
          <w:rFonts w:eastAsia="Times New Roman" w:cs="Times New Roman"/>
          <w:u w:val="single"/>
        </w:rPr>
        <w:t xml:space="preserve"> and</w:t>
      </w:r>
      <w:r w:rsidRPr="00087A72">
        <w:rPr>
          <w:rFonts w:eastAsia="Times New Roman" w:cs="Times New Roman"/>
          <w:sz w:val="12"/>
        </w:rPr>
        <w:t xml:space="preserve"> hence </w:t>
      </w:r>
      <w:r w:rsidRPr="00087A72">
        <w:rPr>
          <w:rFonts w:eastAsia="Times New Roman" w:cs="Times New Roman"/>
          <w:u w:val="single"/>
        </w:rPr>
        <w:t xml:space="preserve">merely </w:t>
      </w:r>
      <w:r w:rsidRPr="00087A72">
        <w:rPr>
          <w:rFonts w:eastAsia="Times New Roman" w:cs="Times New Roman"/>
          <w:b/>
          <w:iCs/>
          <w:u w:val="single"/>
          <w:bdr w:val="single" w:sz="8" w:space="0" w:color="auto"/>
        </w:rPr>
        <w:t>reinforce existing structures</w:t>
      </w:r>
      <w:r w:rsidRPr="00087A72">
        <w:rPr>
          <w:rFonts w:eastAsia="Times New Roman" w:cs="Times New Roman"/>
          <w:u w:val="single"/>
        </w:rPr>
        <w:t xml:space="preserve"> and relations of power. If Marxists support</w:t>
      </w:r>
      <w:r w:rsidRPr="00087A72">
        <w:rPr>
          <w:rFonts w:eastAsia="Times New Roman" w:cs="Times New Roman"/>
          <w:sz w:val="12"/>
        </w:rPr>
        <w:t xml:space="preserve"> (qualified) </w:t>
      </w:r>
      <w:r w:rsidRPr="00087A72">
        <w:rPr>
          <w:rFonts w:eastAsia="Times New Roman" w:cs="Times New Roman"/>
          <w:u w:val="single"/>
        </w:rPr>
        <w:t>engagement with the state and even the formation of political parties</w:t>
      </w:r>
      <w:r w:rsidRPr="00087A72">
        <w:rPr>
          <w:rFonts w:eastAsia="Times New Roman" w:cs="Times New Roman"/>
          <w:sz w:val="12"/>
        </w:rPr>
        <w:t xml:space="preserve">, however, </w:t>
      </w:r>
      <w:r w:rsidRPr="00087A72">
        <w:rPr>
          <w:rFonts w:eastAsia="Times New Roman" w:cs="Times New Roman"/>
          <w:u w:val="single"/>
        </w:rPr>
        <w:t xml:space="preserve">it is </w:t>
      </w:r>
      <w:r w:rsidRPr="00087A72">
        <w:rPr>
          <w:rFonts w:eastAsia="Times New Roman" w:cs="Times New Roman"/>
          <w:b/>
          <w:iCs/>
          <w:u w:val="single"/>
          <w:bdr w:val="single" w:sz="8" w:space="0" w:color="auto"/>
        </w:rPr>
        <w:t>not</w:t>
      </w:r>
      <w:r w:rsidRPr="00087A72">
        <w:rPr>
          <w:rFonts w:eastAsia="Times New Roman" w:cs="Times New Roman"/>
          <w:u w:val="single"/>
        </w:rPr>
        <w:t xml:space="preserve"> because they think that centralised hierarchies are </w:t>
      </w:r>
      <w:r w:rsidRPr="00087A72">
        <w:rPr>
          <w:rFonts w:eastAsia="Times New Roman" w:cs="Times New Roman"/>
          <w:b/>
          <w:iCs/>
          <w:u w:val="single"/>
          <w:bdr w:val="single" w:sz="8" w:space="0" w:color="auto"/>
        </w:rPr>
        <w:t>desirable</w:t>
      </w:r>
      <w:r w:rsidRPr="00087A72">
        <w:rPr>
          <w:rFonts w:eastAsia="Times New Roman" w:cs="Times New Roman"/>
          <w:u w:val="single"/>
        </w:rPr>
        <w:t xml:space="preserve"> or </w:t>
      </w:r>
      <w:r w:rsidRPr="00087A72">
        <w:rPr>
          <w:rFonts w:eastAsia="Times New Roman" w:cs="Times New Roman"/>
          <w:b/>
          <w:iCs/>
          <w:u w:val="single"/>
          <w:bdr w:val="single" w:sz="8" w:space="0" w:color="auto"/>
        </w:rPr>
        <w:t>inevitable</w:t>
      </w:r>
      <w:r w:rsidRPr="00087A72">
        <w:rPr>
          <w:rFonts w:eastAsia="Times New Roman" w:cs="Times New Roman"/>
          <w:u w:val="single"/>
        </w:rPr>
        <w:t xml:space="preserve">, but because they begin from a </w:t>
      </w:r>
      <w:r w:rsidRPr="00087A72">
        <w:rPr>
          <w:rFonts w:eastAsia="Times New Roman" w:cs="Times New Roman"/>
          <w:b/>
          <w:iCs/>
          <w:u w:val="single"/>
          <w:bdr w:val="single" w:sz="8" w:space="0" w:color="auto"/>
        </w:rPr>
        <w:t>different understanding of politics</w:t>
      </w:r>
      <w:r w:rsidRPr="00087A72">
        <w:rPr>
          <w:rFonts w:eastAsia="Times New Roman" w:cs="Times New Roman"/>
          <w:sz w:val="12"/>
        </w:rPr>
        <w:t xml:space="preserve">. They argue that </w:t>
      </w:r>
      <w:r w:rsidRPr="00087A72">
        <w:rPr>
          <w:rFonts w:eastAsia="Times New Roman" w:cs="Times New Roman"/>
          <w:u w:val="single"/>
        </w:rPr>
        <w:t>the</w:t>
      </w:r>
      <w:r w:rsidRPr="00087A72">
        <w:rPr>
          <w:rFonts w:eastAsia="Times New Roman" w:cs="Times New Roman"/>
          <w:sz w:val="12"/>
        </w:rPr>
        <w:t xml:space="preserve"> anarchist </w:t>
      </w:r>
      <w:r w:rsidRPr="00087A72">
        <w:rPr>
          <w:rFonts w:eastAsia="Times New Roman" w:cs="Times New Roman"/>
          <w:u w:val="single"/>
        </w:rPr>
        <w:t xml:space="preserve">abstention from state politics </w:t>
      </w:r>
      <w:r w:rsidRPr="00087A72">
        <w:rPr>
          <w:rFonts w:eastAsia="Times New Roman" w:cs="Times New Roman"/>
          <w:b/>
          <w:iCs/>
          <w:u w:val="single"/>
          <w:bdr w:val="single" w:sz="8" w:space="0" w:color="auto"/>
        </w:rPr>
        <w:t>denies us the most effective means of political action</w:t>
      </w:r>
      <w:r w:rsidRPr="00087A72">
        <w:rPr>
          <w:rFonts w:eastAsia="Times New Roman" w:cs="Times New Roman"/>
          <w:u w:val="single"/>
        </w:rPr>
        <w:t xml:space="preserve">: we </w:t>
      </w:r>
      <w:r w:rsidRPr="00087A72">
        <w:rPr>
          <w:rFonts w:eastAsia="Times New Roman" w:cs="Times New Roman"/>
          <w:b/>
          <w:iCs/>
          <w:u w:val="single"/>
          <w:bdr w:val="single" w:sz="8" w:space="0" w:color="auto"/>
        </w:rPr>
        <w:t>disempower ourselves rather than the state</w:t>
      </w:r>
      <w:r w:rsidRPr="00087A72">
        <w:rPr>
          <w:rFonts w:eastAsia="Times New Roman" w:cs="Times New Roman"/>
          <w:u w:val="single"/>
        </w:rPr>
        <w:t xml:space="preserve"> when we refuse to engage with it. Making demands on the state </w:t>
      </w:r>
      <w:r w:rsidRPr="00087A72">
        <w:rPr>
          <w:rFonts w:eastAsia="Times New Roman" w:cs="Times New Roman"/>
          <w:b/>
          <w:iCs/>
          <w:u w:val="single"/>
          <w:bdr w:val="single" w:sz="8" w:space="0" w:color="auto"/>
        </w:rPr>
        <w:t>does not necessarily entail an endorsement of the state</w:t>
      </w:r>
      <w:r w:rsidRPr="00087A72">
        <w:rPr>
          <w:rFonts w:eastAsia="Times New Roman" w:cs="Times New Roman"/>
          <w:u w:val="single"/>
        </w:rPr>
        <w:t>, any more than the demands that are made by employees during a strike are an endorsement of the employer or of the system of wage-labour</w:t>
      </w:r>
      <w:r w:rsidRPr="00087A72">
        <w:rPr>
          <w:rFonts w:eastAsia="Times New Roman" w:cs="Times New Roman"/>
          <w:sz w:val="12"/>
        </w:rPr>
        <w:t xml:space="preserve"> (Marx 1988). Anarchists themselves have at least implicitly recognised the efficacy of political engagement by occasionally supporting the policies of certain governments and even participating in elections (Engels 1988; Franks 2012: 216). More than this, </w:t>
      </w:r>
      <w:r w:rsidRPr="00087A72">
        <w:rPr>
          <w:rFonts w:eastAsia="Times New Roman" w:cs="Times New Roman"/>
          <w:u w:val="single"/>
        </w:rPr>
        <w:t xml:space="preserve">abstention from state politics is </w:t>
      </w:r>
      <w:r w:rsidRPr="00087A72">
        <w:rPr>
          <w:rFonts w:eastAsia="Times New Roman" w:cs="Times New Roman"/>
          <w:b/>
          <w:iCs/>
          <w:u w:val="single"/>
          <w:bdr w:val="single" w:sz="8" w:space="0" w:color="auto"/>
        </w:rPr>
        <w:t>not a genuine option</w:t>
      </w:r>
      <w:r w:rsidRPr="00087A72">
        <w:rPr>
          <w:rFonts w:eastAsia="Times New Roman" w:cs="Times New Roman"/>
          <w:u w:val="single"/>
        </w:rPr>
        <w:t xml:space="preserve">: </w:t>
      </w:r>
      <w:r w:rsidRPr="00087A72">
        <w:rPr>
          <w:rFonts w:eastAsia="Times New Roman" w:cs="Times New Roman"/>
          <w:b/>
          <w:iCs/>
          <w:u w:val="single"/>
          <w:bdr w:val="single" w:sz="8" w:space="0" w:color="auto"/>
        </w:rPr>
        <w:t>whether we like it or not</w:t>
      </w:r>
      <w:r w:rsidRPr="00087A72">
        <w:rPr>
          <w:rFonts w:eastAsia="Times New Roman" w:cs="Times New Roman"/>
          <w:u w:val="single"/>
        </w:rPr>
        <w:t xml:space="preserve">, we are all </w:t>
      </w:r>
      <w:r w:rsidRPr="00087A72">
        <w:rPr>
          <w:rFonts w:eastAsia="Times New Roman" w:cs="Times New Roman"/>
          <w:b/>
          <w:iCs/>
          <w:u w:val="single"/>
          <w:bdr w:val="single" w:sz="8" w:space="0" w:color="auto"/>
        </w:rPr>
        <w:t>already involved in state politics</w:t>
      </w:r>
      <w:r w:rsidRPr="00087A72">
        <w:rPr>
          <w:rFonts w:eastAsia="Times New Roman" w:cs="Times New Roman"/>
          <w:u w:val="single"/>
        </w:rPr>
        <w:t xml:space="preserve">, because we are all </w:t>
      </w:r>
      <w:r w:rsidRPr="00087A72">
        <w:rPr>
          <w:rFonts w:eastAsia="Times New Roman" w:cs="Times New Roman"/>
          <w:b/>
          <w:iCs/>
          <w:u w:val="single"/>
          <w:bdr w:val="single" w:sz="8" w:space="0" w:color="auto"/>
        </w:rPr>
        <w:t>always already submitted to state power</w:t>
      </w:r>
      <w:r w:rsidRPr="00087A72">
        <w:rPr>
          <w:rFonts w:eastAsia="Times New Roman" w:cs="Times New Roman"/>
          <w:u w:val="single"/>
        </w:rPr>
        <w:t xml:space="preserve">, </w:t>
      </w:r>
      <w:r w:rsidRPr="00087A72">
        <w:rPr>
          <w:rFonts w:eastAsia="Times New Roman" w:cs="Times New Roman"/>
          <w:b/>
          <w:iCs/>
          <w:u w:val="single"/>
          <w:bdr w:val="single" w:sz="8" w:space="0" w:color="auto"/>
        </w:rPr>
        <w:t>control</w:t>
      </w:r>
      <w:r w:rsidRPr="00087A72">
        <w:rPr>
          <w:rFonts w:eastAsia="Times New Roman" w:cs="Times New Roman"/>
          <w:u w:val="single"/>
        </w:rPr>
        <w:t xml:space="preserve">, and </w:t>
      </w:r>
      <w:r w:rsidRPr="00087A72">
        <w:rPr>
          <w:rFonts w:eastAsia="Times New Roman" w:cs="Times New Roman"/>
          <w:b/>
          <w:iCs/>
          <w:u w:val="single"/>
          <w:bdr w:val="single" w:sz="8" w:space="0" w:color="auto"/>
        </w:rPr>
        <w:t>oppression</w:t>
      </w:r>
      <w:r w:rsidRPr="00087A72">
        <w:rPr>
          <w:rFonts w:eastAsia="Times New Roman" w:cs="Times New Roman"/>
          <w:u w:val="single"/>
        </w:rPr>
        <w:t>. Anarchists are concerned that participation in conventional politics will lead to</w:t>
      </w:r>
      <w:r w:rsidRPr="00087A72">
        <w:rPr>
          <w:rFonts w:eastAsia="Times New Roman" w:cs="Times New Roman"/>
          <w:sz w:val="12"/>
        </w:rPr>
        <w:t xml:space="preserve"> parliamentary </w:t>
      </w:r>
      <w:r w:rsidRPr="00087A72">
        <w:rPr>
          <w:rFonts w:eastAsia="Times New Roman" w:cs="Times New Roman"/>
          <w:u w:val="single"/>
        </w:rPr>
        <w:t xml:space="preserve">reformism. But this concern is itself ultimately </w:t>
      </w:r>
      <w:r w:rsidRPr="00087A72">
        <w:rPr>
          <w:rFonts w:eastAsia="Times New Roman" w:cs="Times New Roman"/>
          <w:b/>
          <w:iCs/>
          <w:u w:val="single"/>
          <w:bdr w:val="single" w:sz="8" w:space="0" w:color="auto"/>
        </w:rPr>
        <w:t>premised on a tacit acceptance of the liberal-parliamentary understanding of politics</w:t>
      </w:r>
      <w:r w:rsidRPr="00087A72">
        <w:rPr>
          <w:rFonts w:eastAsia="Times New Roman" w:cs="Times New Roman"/>
          <w:u w:val="single"/>
        </w:rPr>
        <w:t xml:space="preserve">: to claim that we can safely repudiate state politics simply by refusing ever to enter a polling booth </w:t>
      </w:r>
      <w:r w:rsidRPr="00087A72">
        <w:rPr>
          <w:rFonts w:eastAsia="Times New Roman" w:cs="Times New Roman"/>
          <w:b/>
          <w:iCs/>
          <w:u w:val="single"/>
          <w:bdr w:val="single" w:sz="8" w:space="0" w:color="auto"/>
        </w:rPr>
        <w:t>is to assume that ‘the state’ stops at the door of Parliament</w:t>
      </w:r>
      <w:r w:rsidRPr="00087A72">
        <w:rPr>
          <w:rFonts w:eastAsia="Times New Roman" w:cs="Times New Roman"/>
          <w:sz w:val="12"/>
        </w:rPr>
        <w:t xml:space="preserve">. Marxists, in contrast, have argued that the state apparatus includes educational institutions, the media, churches, the family, and so on (e.g. Althusser 1971): </w:t>
      </w:r>
      <w:r w:rsidRPr="00087A72">
        <w:rPr>
          <w:rFonts w:eastAsia="Times New Roman" w:cs="Times New Roman"/>
          <w:u w:val="single"/>
        </w:rPr>
        <w:t xml:space="preserve">simply in going about our daily lives we are </w:t>
      </w:r>
      <w:r w:rsidRPr="00087A72">
        <w:rPr>
          <w:rFonts w:eastAsia="Times New Roman" w:cs="Times New Roman"/>
          <w:b/>
          <w:iCs/>
          <w:u w:val="single"/>
          <w:bdr w:val="single" w:sz="8" w:space="0" w:color="auto"/>
        </w:rPr>
        <w:t>all therefore implicated in state politics</w:t>
      </w:r>
      <w:r w:rsidRPr="00087A72">
        <w:rPr>
          <w:rFonts w:eastAsia="Times New Roman" w:cs="Times New Roman"/>
          <w:u w:val="single"/>
        </w:rPr>
        <w:t xml:space="preserve">. Given our necessary involvement within politics, the question is </w:t>
      </w:r>
      <w:r w:rsidRPr="00087A72">
        <w:rPr>
          <w:rFonts w:eastAsia="Times New Roman" w:cs="Times New Roman"/>
          <w:b/>
          <w:iCs/>
          <w:u w:val="single"/>
          <w:bdr w:val="single" w:sz="8" w:space="0" w:color="auto"/>
        </w:rPr>
        <w:t>not whether we engage with it</w:t>
      </w:r>
      <w:r w:rsidRPr="00087A72">
        <w:rPr>
          <w:rFonts w:eastAsia="Times New Roman" w:cs="Times New Roman"/>
          <w:u w:val="single"/>
        </w:rPr>
        <w:t xml:space="preserve">, but </w:t>
      </w:r>
      <w:r w:rsidRPr="00087A72">
        <w:rPr>
          <w:rFonts w:eastAsia="Times New Roman" w:cs="Times New Roman"/>
          <w:b/>
          <w:iCs/>
          <w:u w:val="single"/>
          <w:bdr w:val="single" w:sz="8" w:space="0" w:color="auto"/>
        </w:rPr>
        <w:t>how we do so</w:t>
      </w:r>
      <w:r w:rsidRPr="00087A72">
        <w:rPr>
          <w:rFonts w:eastAsia="Times New Roman" w:cs="Times New Roman"/>
          <w:sz w:val="12"/>
        </w:rPr>
        <w:t xml:space="preserve">; even libertarian Marxists like Holloway argue that engagement with the state is inevitable (Holloway 2005: 40). In contrast, </w:t>
      </w:r>
      <w:r w:rsidRPr="00087A72">
        <w:rPr>
          <w:rFonts w:eastAsia="Times New Roman" w:cs="Times New Roman"/>
          <w:u w:val="single"/>
        </w:rPr>
        <w:t>the</w:t>
      </w:r>
      <w:r w:rsidRPr="00087A72">
        <w:rPr>
          <w:rFonts w:eastAsia="Times New Roman" w:cs="Times New Roman"/>
          <w:sz w:val="12"/>
        </w:rPr>
        <w:t xml:space="preserve"> anarchist </w:t>
      </w:r>
      <w:r w:rsidRPr="00087A72">
        <w:rPr>
          <w:rFonts w:eastAsia="Times New Roman" w:cs="Times New Roman"/>
          <w:u w:val="single"/>
        </w:rPr>
        <w:t xml:space="preserve">recommendation of disengagement from the state </w:t>
      </w:r>
      <w:r w:rsidRPr="00087A72">
        <w:rPr>
          <w:rFonts w:eastAsia="Times New Roman" w:cs="Times New Roman"/>
          <w:b/>
          <w:iCs/>
          <w:u w:val="single"/>
          <w:bdr w:val="single" w:sz="8" w:space="0" w:color="auto"/>
        </w:rPr>
        <w:t>risks a politics of withdrawal</w:t>
      </w:r>
      <w:r w:rsidRPr="00087A72">
        <w:rPr>
          <w:rFonts w:eastAsia="Times New Roman" w:cs="Times New Roman"/>
          <w:u w:val="single"/>
        </w:rPr>
        <w:t xml:space="preserve"> and </w:t>
      </w:r>
      <w:r w:rsidRPr="00087A72">
        <w:rPr>
          <w:rFonts w:eastAsia="Times New Roman" w:cs="Times New Roman"/>
          <w:b/>
          <w:iCs/>
          <w:u w:val="single"/>
          <w:bdr w:val="single" w:sz="8" w:space="0" w:color="auto"/>
        </w:rPr>
        <w:t>isolation</w:t>
      </w:r>
      <w:r w:rsidRPr="00087A72">
        <w:rPr>
          <w:rFonts w:eastAsia="Times New Roman" w:cs="Times New Roman"/>
          <w:sz w:val="12"/>
        </w:rPr>
        <w:t xml:space="preserve">. There are two related reasons why under our current conditions in particular </w:t>
      </w:r>
      <w:r w:rsidRPr="00087A72">
        <w:rPr>
          <w:rFonts w:eastAsia="Times New Roman" w:cs="Times New Roman"/>
          <w:u w:val="single"/>
        </w:rPr>
        <w:t>the</w:t>
      </w:r>
      <w:r w:rsidRPr="00087A72">
        <w:rPr>
          <w:rFonts w:eastAsia="Times New Roman" w:cs="Times New Roman"/>
          <w:sz w:val="12"/>
        </w:rPr>
        <w:t xml:space="preserve"> Marxist </w:t>
      </w:r>
      <w:r w:rsidRPr="00087A72">
        <w:rPr>
          <w:rFonts w:eastAsia="Times New Roman" w:cs="Times New Roman"/>
          <w:u w:val="single"/>
        </w:rPr>
        <w:t>willingness to engage in state politics is preferable</w:t>
      </w:r>
      <w:r w:rsidRPr="00087A72">
        <w:rPr>
          <w:rFonts w:eastAsia="Times New Roman" w:cs="Times New Roman"/>
          <w:sz w:val="12"/>
        </w:rPr>
        <w:t xml:space="preserve"> to an anarchist position. The first is the dominance of neoliberalism today. </w:t>
      </w:r>
      <w:r w:rsidRPr="00087A72">
        <w:rPr>
          <w:rFonts w:eastAsia="Times New Roman" w:cs="Times New Roman"/>
          <w:u w:val="single"/>
        </w:rPr>
        <w:t xml:space="preserve">Given the strength of neoliberalism since the crisis that it created, there is a </w:t>
      </w:r>
      <w:r w:rsidRPr="00087A72">
        <w:rPr>
          <w:rFonts w:eastAsia="Times New Roman" w:cs="Times New Roman"/>
          <w:b/>
          <w:iCs/>
          <w:u w:val="single"/>
          <w:bdr w:val="single" w:sz="8" w:space="0" w:color="auto"/>
        </w:rPr>
        <w:t>strong case</w:t>
      </w:r>
      <w:r w:rsidRPr="00087A72">
        <w:rPr>
          <w:rFonts w:eastAsia="Times New Roman" w:cs="Times New Roman"/>
          <w:u w:val="single"/>
        </w:rPr>
        <w:t xml:space="preserve"> for a </w:t>
      </w:r>
      <w:r w:rsidRPr="00087A72">
        <w:rPr>
          <w:rFonts w:eastAsia="Times New Roman" w:cs="Times New Roman"/>
          <w:b/>
          <w:iCs/>
          <w:u w:val="single"/>
          <w:bdr w:val="single" w:sz="8" w:space="0" w:color="auto"/>
        </w:rPr>
        <w:t>certain pragmatism</w:t>
      </w:r>
      <w:r w:rsidRPr="00087A72">
        <w:rPr>
          <w:rFonts w:eastAsia="Times New Roman" w:cs="Times New Roman"/>
          <w:u w:val="single"/>
        </w:rPr>
        <w:t xml:space="preserve"> in our response</w:t>
      </w:r>
      <w:r w:rsidRPr="00087A72">
        <w:rPr>
          <w:rFonts w:eastAsia="Times New Roman" w:cs="Times New Roman"/>
          <w:sz w:val="12"/>
        </w:rPr>
        <w:t xml:space="preserve">. A danger of the </w:t>
      </w:r>
      <w:r w:rsidRPr="00087A72">
        <w:rPr>
          <w:rFonts w:eastAsia="Times New Roman" w:cs="Times New Roman"/>
          <w:u w:val="single"/>
        </w:rPr>
        <w:t>prefigurative politics</w:t>
      </w:r>
      <w:r w:rsidRPr="00087A72">
        <w:rPr>
          <w:rFonts w:eastAsia="Times New Roman" w:cs="Times New Roman"/>
          <w:sz w:val="12"/>
        </w:rPr>
        <w:t xml:space="preserve"> favoured by anarchists is that it </w:t>
      </w:r>
      <w:r w:rsidRPr="00087A72">
        <w:rPr>
          <w:rFonts w:eastAsia="Times New Roman" w:cs="Times New Roman"/>
          <w:b/>
          <w:iCs/>
          <w:u w:val="single"/>
          <w:bdr w:val="single" w:sz="8" w:space="0" w:color="auto"/>
        </w:rPr>
        <w:t>dogmatically dictates</w:t>
      </w:r>
      <w:r w:rsidRPr="00087A72">
        <w:rPr>
          <w:rFonts w:eastAsia="Times New Roman" w:cs="Times New Roman"/>
          <w:u w:val="single"/>
        </w:rPr>
        <w:t xml:space="preserve"> an </w:t>
      </w:r>
      <w:r w:rsidRPr="00087A72">
        <w:rPr>
          <w:rFonts w:eastAsia="Times New Roman" w:cs="Times New Roman"/>
          <w:b/>
          <w:iCs/>
          <w:u w:val="single"/>
          <w:bdr w:val="single" w:sz="8" w:space="0" w:color="auto"/>
        </w:rPr>
        <w:t>a priori exclusion</w:t>
      </w:r>
      <w:r w:rsidRPr="00087A72">
        <w:rPr>
          <w:rFonts w:eastAsia="Times New Roman" w:cs="Times New Roman"/>
          <w:u w:val="single"/>
        </w:rPr>
        <w:t xml:space="preserve"> of certain forms of political action</w:t>
      </w:r>
      <w:r w:rsidRPr="00087A72">
        <w:rPr>
          <w:rFonts w:eastAsia="Times New Roman" w:cs="Times New Roman"/>
          <w:sz w:val="12"/>
        </w:rPr>
        <w:t xml:space="preserve">. For Marxists, on the other hand, </w:t>
      </w:r>
      <w:r w:rsidRPr="00087A72">
        <w:rPr>
          <w:rFonts w:eastAsia="Times New Roman" w:cs="Times New Roman"/>
          <w:u w:val="single"/>
        </w:rPr>
        <w:t xml:space="preserve">political strategies must be decided </w:t>
      </w:r>
      <w:r w:rsidRPr="00087A72">
        <w:rPr>
          <w:rFonts w:eastAsia="Times New Roman" w:cs="Times New Roman"/>
          <w:b/>
          <w:iCs/>
          <w:u w:val="single"/>
          <w:bdr w:val="single" w:sz="8" w:space="0" w:color="auto"/>
        </w:rPr>
        <w:t>according to particular conditions</w:t>
      </w:r>
      <w:r w:rsidRPr="00087A72">
        <w:rPr>
          <w:rFonts w:eastAsia="Times New Roman" w:cs="Times New Roman"/>
          <w:u w:val="single"/>
        </w:rPr>
        <w:t xml:space="preserve"> and </w:t>
      </w:r>
      <w:r w:rsidRPr="00087A72">
        <w:rPr>
          <w:rFonts w:eastAsia="Times New Roman" w:cs="Times New Roman"/>
          <w:b/>
          <w:iCs/>
          <w:u w:val="single"/>
          <w:bdr w:val="single" w:sz="8" w:space="0" w:color="auto"/>
        </w:rPr>
        <w:t>within a certain context</w:t>
      </w:r>
      <w:r w:rsidRPr="00087A72">
        <w:rPr>
          <w:rFonts w:eastAsia="Times New Roman" w:cs="Times New Roman"/>
          <w:sz w:val="12"/>
        </w:rPr>
        <w:t xml:space="preserve">. In a context in which private companies are increasingly undertaking tasks previously performed by the state, </w:t>
      </w:r>
      <w:r w:rsidRPr="00087A72">
        <w:rPr>
          <w:rFonts w:eastAsia="Times New Roman" w:cs="Times New Roman"/>
          <w:u w:val="single"/>
        </w:rPr>
        <w:t>the active defence of state services and institutions</w:t>
      </w:r>
      <w:r w:rsidRPr="00087A72">
        <w:rPr>
          <w:rFonts w:eastAsia="Times New Roman" w:cs="Times New Roman"/>
          <w:sz w:val="12"/>
        </w:rPr>
        <w:t xml:space="preserve"> can be viewed as a radical position to adopt: defending welfare provision, public pensions, universal healthcare, and free higher education </w:t>
      </w:r>
      <w:r w:rsidRPr="00087A72">
        <w:rPr>
          <w:rFonts w:eastAsia="Times New Roman" w:cs="Times New Roman"/>
          <w:u w:val="single"/>
        </w:rPr>
        <w:t xml:space="preserve">should be seen </w:t>
      </w:r>
      <w:r w:rsidRPr="00087A72">
        <w:rPr>
          <w:rFonts w:eastAsia="Times New Roman" w:cs="Times New Roman"/>
          <w:b/>
          <w:iCs/>
          <w:u w:val="single"/>
          <w:bdr w:val="single" w:sz="8" w:space="0" w:color="auto"/>
        </w:rPr>
        <w:t>not as a reformist compromise</w:t>
      </w:r>
      <w:r w:rsidRPr="00087A72">
        <w:rPr>
          <w:rFonts w:eastAsia="Times New Roman" w:cs="Times New Roman"/>
          <w:u w:val="single"/>
        </w:rPr>
        <w:t xml:space="preserve"> with the existing order but as </w:t>
      </w:r>
      <w:r w:rsidRPr="00087A72">
        <w:rPr>
          <w:rFonts w:eastAsia="Times New Roman" w:cs="Times New Roman"/>
          <w:b/>
          <w:iCs/>
          <w:u w:val="single"/>
          <w:bdr w:val="single" w:sz="8" w:space="0" w:color="auto"/>
        </w:rPr>
        <w:t>safeguarding the gains of class struggle</w:t>
      </w:r>
      <w:r w:rsidRPr="00087A72">
        <w:rPr>
          <w:rFonts w:eastAsia="Times New Roman" w:cs="Times New Roman"/>
          <w:u w:val="single"/>
        </w:rPr>
        <w:t xml:space="preserve"> against capitalist processes of accumulation by dispossession. </w:t>
      </w:r>
      <w:r w:rsidRPr="00087A72">
        <w:rPr>
          <w:rFonts w:eastAsia="Times New Roman" w:cs="Times New Roman"/>
          <w:sz w:val="12"/>
        </w:rPr>
        <w:t xml:space="preserve">This leads to the second reason for doubting the refusal of state politics as a viable tactic under current conditions, which concerns the specific role of the state under neoliberalism. </w:t>
      </w:r>
      <w:r w:rsidRPr="00087A72">
        <w:rPr>
          <w:rFonts w:eastAsia="Times New Roman" w:cs="Times New Roman"/>
          <w:u w:val="single"/>
        </w:rPr>
        <w:t>The anti-state politics of anarchism may have made sense during eras in which the state could plausibly be presented as the main threat to freedom</w:t>
      </w:r>
      <w:r w:rsidRPr="00087A72">
        <w:rPr>
          <w:rFonts w:eastAsia="Times New Roman" w:cs="Times New Roman"/>
          <w:sz w:val="12"/>
        </w:rPr>
        <w:t xml:space="preserve"> and equality: during the period of nation-building and imperialistic expansion in the mid- to late-19th century, of the rise of fascism in the early-20th century, or even of the development of welfare capitalism after WWII. But </w:t>
      </w:r>
      <w:r w:rsidRPr="00087A72">
        <w:rPr>
          <w:rFonts w:eastAsia="Times New Roman" w:cs="Times New Roman"/>
          <w:u w:val="single"/>
        </w:rPr>
        <w:t xml:space="preserve">it has </w:t>
      </w:r>
      <w:r w:rsidRPr="00087A72">
        <w:rPr>
          <w:rFonts w:eastAsia="Times New Roman" w:cs="Times New Roman"/>
          <w:b/>
          <w:iCs/>
          <w:u w:val="single"/>
          <w:bdr w:val="single" w:sz="8" w:space="0" w:color="auto"/>
        </w:rPr>
        <w:t>far less purchase</w:t>
      </w:r>
      <w:r w:rsidRPr="00087A72">
        <w:rPr>
          <w:rFonts w:eastAsia="Times New Roman" w:cs="Times New Roman"/>
          <w:u w:val="single"/>
        </w:rPr>
        <w:t xml:space="preserve"> in an era in which neoliberalism, as both the official ideology and a form of everyday common sense, is anti-statist.</w:t>
      </w:r>
      <w:r w:rsidRPr="00087A72">
        <w:rPr>
          <w:rFonts w:eastAsia="Times New Roman" w:cs="Times New Roman"/>
          <w:sz w:val="12"/>
        </w:rPr>
        <w:t xml:space="preserve"> Put simply, </w:t>
      </w:r>
      <w:r w:rsidRPr="00087A72">
        <w:rPr>
          <w:rFonts w:eastAsia="Times New Roman" w:cs="Times New Roman"/>
          <w:u w:val="single"/>
        </w:rPr>
        <w:t xml:space="preserve">the attack on state power </w:t>
      </w:r>
      <w:r w:rsidRPr="00087A72">
        <w:rPr>
          <w:rFonts w:eastAsia="Times New Roman" w:cs="Times New Roman"/>
          <w:b/>
          <w:iCs/>
          <w:u w:val="single"/>
          <w:bdr w:val="single" w:sz="8" w:space="0" w:color="auto"/>
        </w:rPr>
        <w:t>too easily echoes the rhetoric of neoliberalism itself</w:t>
      </w:r>
      <w:r w:rsidRPr="00087A72">
        <w:rPr>
          <w:rFonts w:eastAsia="Times New Roman" w:cs="Times New Roman"/>
          <w:sz w:val="12"/>
        </w:rPr>
        <w:t xml:space="preserve"> (Taylor 2013: 735). </w:t>
      </w:r>
      <w:r w:rsidRPr="00087A72">
        <w:rPr>
          <w:rFonts w:eastAsia="Times New Roman" w:cs="Times New Roman"/>
          <w:u w:val="single"/>
        </w:rPr>
        <w:t xml:space="preserve">When government actors themselves are </w:t>
      </w:r>
      <w:r w:rsidRPr="00087A72">
        <w:rPr>
          <w:rFonts w:eastAsia="Times New Roman" w:cs="Times New Roman"/>
          <w:b/>
          <w:iCs/>
          <w:u w:val="single"/>
          <w:bdr w:val="single" w:sz="8" w:space="0" w:color="auto"/>
        </w:rPr>
        <w:t>explicitly endorsing the retreat of the state</w:t>
      </w:r>
      <w:r w:rsidRPr="00087A72">
        <w:rPr>
          <w:rFonts w:eastAsia="Times New Roman" w:cs="Times New Roman"/>
          <w:u w:val="single"/>
        </w:rPr>
        <w:t>, then</w:t>
      </w:r>
      <w:r w:rsidRPr="00087A72">
        <w:rPr>
          <w:rFonts w:eastAsia="Times New Roman" w:cs="Times New Roman"/>
          <w:sz w:val="12"/>
        </w:rPr>
        <w:t xml:space="preserve"> anarchist </w:t>
      </w:r>
      <w:r w:rsidRPr="00087A72">
        <w:rPr>
          <w:rFonts w:eastAsia="Times New Roman" w:cs="Times New Roman"/>
          <w:u w:val="single"/>
        </w:rPr>
        <w:t xml:space="preserve">attacks on state power have </w:t>
      </w:r>
      <w:r w:rsidRPr="00087A72">
        <w:rPr>
          <w:rFonts w:eastAsia="Times New Roman" w:cs="Times New Roman"/>
          <w:b/>
          <w:iCs/>
          <w:u w:val="single"/>
          <w:bdr w:val="single" w:sz="8" w:space="0" w:color="auto"/>
        </w:rPr>
        <w:t>limited efficacy</w:t>
      </w:r>
      <w:r w:rsidRPr="00087A72">
        <w:rPr>
          <w:rFonts w:eastAsia="Times New Roman" w:cs="Times New Roman"/>
          <w:u w:val="single"/>
        </w:rPr>
        <w:t xml:space="preserve"> either as a tactical call to arms or as a convincing analysis of our present conjuncture</w:t>
      </w:r>
      <w:r w:rsidRPr="00087A72">
        <w:rPr>
          <w:rFonts w:eastAsia="Times New Roman" w:cs="Times New Roman"/>
          <w:sz w:val="12"/>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rsidR="00032E5A" w:rsidRPr="00087A72" w:rsidRDefault="00032E5A" w:rsidP="00032E5A">
      <w:pPr>
        <w:pStyle w:val="Heading3"/>
      </w:pPr>
      <w:r w:rsidRPr="00087A72">
        <w:t>White Scholars/Debaters Turn</w:t>
      </w:r>
    </w:p>
    <w:p w:rsidR="00032E5A" w:rsidRPr="00087A72" w:rsidRDefault="00032E5A" w:rsidP="00032E5A">
      <w:pPr>
        <w:pStyle w:val="Heading4"/>
      </w:pPr>
      <w:r w:rsidRPr="00087A72">
        <w:t>White scholars in indigenous studies erases indigenous scholarship</w:t>
      </w:r>
    </w:p>
    <w:p w:rsidR="00032E5A" w:rsidRPr="00087A72" w:rsidRDefault="00032E5A" w:rsidP="00032E5A">
      <w:pPr>
        <w:rPr>
          <w:b/>
          <w:sz w:val="26"/>
        </w:rPr>
      </w:pPr>
      <w:r w:rsidRPr="00087A72">
        <w:rPr>
          <w:rStyle w:val="Style13ptBold"/>
        </w:rPr>
        <w:t xml:space="preserve">Patel et al., 2015 </w:t>
      </w:r>
      <w:r w:rsidRPr="00087A72">
        <w:t>[Shaista Patel, University of Toronto Women's Studies department PhD Candidate, GHAIDA MOUSSA is a PhD student in Social and Political Thought at York University, NISHANT</w:t>
      </w:r>
      <w:r w:rsidRPr="00087A72">
        <w:rPr>
          <w:color w:val="000000"/>
        </w:rPr>
        <w:t xml:space="preserve"> UPADHYAY is a doctoral candidate in Graduate Program in Social and Political Thought, York University Summer 2015, Feral Feminism, “</w:t>
      </w:r>
      <w:r w:rsidRPr="00087A72">
        <w:t>Guest Editorial Complicities, Connections, &amp; Struggles: Critical Transnational Feminist Analysis of Settler Colonialism</w:t>
      </w:r>
      <w:r w:rsidRPr="00087A72">
        <w:rPr>
          <w:color w:val="000000"/>
        </w:rPr>
        <w:t>,” Volume: 1, Issue 4, page 8,</w:t>
      </w:r>
      <w:r w:rsidRPr="00087A72">
        <w:t xml:space="preserve"> </w:t>
      </w:r>
      <w:hyperlink r:id="rId29" w:history="1">
        <w:r w:rsidRPr="00087A72">
          <w:rPr>
            <w:rStyle w:val="Hyperlink"/>
          </w:rPr>
          <w:t>http://www.feralfeminisms.com/wp-content/uploads/2015/12/ff_issue4.pdf</w:t>
        </w:r>
      </w:hyperlink>
      <w:r w:rsidRPr="00087A72">
        <w:rPr>
          <w:color w:val="000000"/>
        </w:rPr>
        <w:t>, accessed 7/9/17, JYH]</w:t>
      </w:r>
    </w:p>
    <w:p w:rsidR="00032E5A" w:rsidRPr="00087A72" w:rsidRDefault="00032E5A" w:rsidP="00032E5A">
      <w:pPr>
        <w:rPr>
          <w:u w:val="single"/>
        </w:rPr>
      </w:pPr>
      <w:r w:rsidRPr="00087A72">
        <w:t xml:space="preserve">I am not saying </w:t>
      </w:r>
      <w:r w:rsidRPr="00087A72">
        <w:rPr>
          <w:rStyle w:val="StyleUnderline"/>
        </w:rPr>
        <w:t>scholarship and activism on and against settler colonialism has effaced questions of race</w:t>
      </w:r>
      <w:r w:rsidRPr="00087A72">
        <w:t xml:space="preserve">. </w:t>
      </w:r>
      <w:r w:rsidRPr="00087A72">
        <w:rPr>
          <w:rStyle w:val="StyleUnderline"/>
        </w:rPr>
        <w:t xml:space="preserve">Rather, I want to say the questions have not been taken up as urgently by people of colour. For Indigenous scholars, activists, and artists, the materialities and struggles against settler colonialism and white supremacy </w:t>
      </w:r>
      <w:r w:rsidRPr="00087A72">
        <w:rPr>
          <w:rStyle w:val="Emphasis"/>
        </w:rPr>
        <w:t>are different and we need to recognize those differences</w:t>
      </w:r>
      <w:r w:rsidRPr="00087A72">
        <w:rPr>
          <w:rStyle w:val="StyleUnderline"/>
        </w:rPr>
        <w:t xml:space="preserve">. </w:t>
      </w:r>
      <w:r w:rsidRPr="00087A72">
        <w:t xml:space="preserve">Within the academy, and often outside, </w:t>
      </w:r>
      <w:r w:rsidRPr="00087A72">
        <w:rPr>
          <w:rStyle w:val="StyleUnderline"/>
        </w:rPr>
        <w:t>white people have taken a monopoly on questions of settler colonialism</w:t>
      </w:r>
      <w:r w:rsidRPr="00087A72">
        <w:t xml:space="preserve">. I think the recent rise in settler-colonial studies is a testament to that. </w:t>
      </w:r>
      <w:r w:rsidRPr="00087A72">
        <w:rPr>
          <w:rStyle w:val="Emphasis"/>
        </w:rPr>
        <w:t>White scholars and activists are given much more credibility for doing this work than even Indigenous scholars</w:t>
      </w:r>
      <w:r w:rsidRPr="00087A72">
        <w:t xml:space="preserve">. </w:t>
      </w:r>
      <w:r w:rsidRPr="00087A72">
        <w:rPr>
          <w:rStyle w:val="StyleUnderline"/>
        </w:rPr>
        <w:t>We know that community organizing and resistance led by Indigenous women and two-spirit folks continually goes unrecognized, whereas academic and “solidarity” work by white folks gets valorized and celebrated</w:t>
      </w:r>
      <w:r w:rsidRPr="00087A72">
        <w:t xml:space="preserve">. </w:t>
      </w:r>
      <w:r w:rsidRPr="00087A72">
        <w:rPr>
          <w:rStyle w:val="Emphasis"/>
        </w:rPr>
        <w:t>The domination of settlercolonial studies by white academics and activists erases Indigenous scholarship and the scholarship of people of colour and Black people that challenges settler colonialism and white supremacy through other disciplines</w:t>
      </w:r>
      <w:r w:rsidRPr="00087A72">
        <w:t xml:space="preserve">. Indigenous scholarship is not settler-colonial studies, even though Indigenous scholars may work within it. </w:t>
      </w:r>
      <w:r w:rsidRPr="00087A72">
        <w:rPr>
          <w:rStyle w:val="StyleUnderline"/>
        </w:rPr>
        <w:t>As people of colour, we need to find ways to engage more with Indigenous and Native studies rather than with settler-colonial studies. For me working on this issue is a way of seeking new ways of theorizing race within settler colonialism, even if a bit over-ambitiously.</w:t>
      </w:r>
    </w:p>
    <w:p w:rsidR="00E60068" w:rsidRPr="00087A72" w:rsidRDefault="00E60068" w:rsidP="00496C79">
      <w:pPr>
        <w:pStyle w:val="Heading2"/>
      </w:pPr>
      <w:r w:rsidRPr="00087A72">
        <w:t>Permutation</w:t>
      </w:r>
    </w:p>
    <w:p w:rsidR="006931C7" w:rsidRPr="00087A72" w:rsidRDefault="006931C7" w:rsidP="00E60068">
      <w:pPr>
        <w:pStyle w:val="Heading3"/>
      </w:pPr>
      <w:r w:rsidRPr="00087A72">
        <w:t>Generic – Pluralist Law</w:t>
      </w:r>
    </w:p>
    <w:p w:rsidR="006931C7" w:rsidRPr="00087A72" w:rsidRDefault="006931C7" w:rsidP="006931C7">
      <w:pPr>
        <w:pStyle w:val="Heading4"/>
      </w:pPr>
      <w:r w:rsidRPr="00087A72">
        <w:t>Law is good, human rights are good, and law can be reformed through a pluralist approach.</w:t>
      </w:r>
    </w:p>
    <w:p w:rsidR="006931C7" w:rsidRPr="00087A72" w:rsidRDefault="006931C7" w:rsidP="006931C7">
      <w:r w:rsidRPr="00087A72">
        <w:rPr>
          <w:rStyle w:val="Style13ptBold"/>
        </w:rPr>
        <w:t>Perrin 17</w:t>
      </w:r>
      <w:r w:rsidRPr="00087A72">
        <w:t xml:space="preserve"> (Jonas, Master of European and International Law, University of Bern, Switzerland and Stockholm, Sweden “Legal Pluralism as a Method of Interpretation: A Methodological Approach to Decolonising Indigenous Peoples’ Land Rights under International Law” </w:t>
      </w:r>
      <w:r w:rsidRPr="00087A72">
        <w:rPr>
          <w:i/>
        </w:rPr>
        <w:t xml:space="preserve">Universitas </w:t>
      </w:r>
      <w:r w:rsidRPr="00087A72">
        <w:t>XV, pp. 42-46) NIJ</w:t>
      </w:r>
    </w:p>
    <w:p w:rsidR="006931C7" w:rsidRPr="00087A72" w:rsidRDefault="006931C7" w:rsidP="006931C7">
      <w:pPr>
        <w:rPr>
          <w:sz w:val="12"/>
        </w:rPr>
      </w:pPr>
      <w:r w:rsidRPr="00087A72">
        <w:rPr>
          <w:rStyle w:val="Emphasis"/>
        </w:rPr>
        <w:t>Despite these conceptual shortcomings of international human rights theory, in practice human rights have proven more flexible and sensitive in recent years.</w:t>
      </w:r>
      <w:r w:rsidRPr="00087A72">
        <w:rPr>
          <w:sz w:val="12"/>
        </w:rPr>
        <w:t xml:space="preserve"> For example, </w:t>
      </w:r>
      <w:r w:rsidRPr="00087A72">
        <w:rPr>
          <w:rStyle w:val="StyleUnderline"/>
        </w:rPr>
        <w:t>although the concept of collective rights</w:t>
      </w:r>
      <w:r w:rsidRPr="00087A72">
        <w:rPr>
          <w:sz w:val="12"/>
        </w:rPr>
        <w:t xml:space="preserve">, instead of individual rights only, </w:t>
      </w:r>
      <w:r w:rsidRPr="00087A72">
        <w:rPr>
          <w:rStyle w:val="StyleUnderline"/>
        </w:rPr>
        <w:t>remains broadly criticised</w:t>
      </w:r>
      <w:r w:rsidRPr="00087A72">
        <w:rPr>
          <w:sz w:val="12"/>
        </w:rPr>
        <w:t xml:space="preserve"> particularly by liberal scholars (Wenzel, 2008, pp. 220 ff.; Jovanovic, 2012, p. 140 ff.), it </w:t>
      </w:r>
      <w:r w:rsidRPr="00087A72">
        <w:rPr>
          <w:rStyle w:val="StyleUnderline"/>
        </w:rPr>
        <w:t>nowadays seems that international law has accepted the existence of collective rights.</w:t>
      </w:r>
      <w:r w:rsidRPr="00087A72">
        <w:rPr>
          <w:sz w:val="12"/>
        </w:rPr>
        <w:t xml:space="preserve"> In this sense, the IACtHR has applied a sensitive understanding of the right to property according to Art. 21 ACHR. </w:t>
      </w:r>
      <w:r w:rsidRPr="00087A72">
        <w:rPr>
          <w:rStyle w:val="StyleUnderline"/>
        </w:rPr>
        <w:t>In several cases, the court admitted that the notion of property in a purely liberal sense did not fit the various forms of property, wherefore the scope of Art.</w:t>
      </w:r>
      <w:r w:rsidRPr="00087A72">
        <w:rPr>
          <w:sz w:val="12"/>
        </w:rPr>
        <w:t xml:space="preserve"> 21 </w:t>
      </w:r>
      <w:r w:rsidRPr="00087A72">
        <w:rPr>
          <w:rStyle w:val="StyleUnderline"/>
        </w:rPr>
        <w:t>AMRK was extended to collective land tenure systems of indigenous peoples</w:t>
      </w:r>
      <w:r w:rsidRPr="00087A72">
        <w:rPr>
          <w:sz w:val="12"/>
        </w:rPr>
        <w:t xml:space="preserve"> (IACtHR, 2001; IACtHR, 2007; IACtHR, 2012). </w:t>
      </w:r>
      <w:r w:rsidRPr="00087A72">
        <w:rPr>
          <w:rStyle w:val="StyleUnderline"/>
        </w:rPr>
        <w:t>In Sarayaku v Ecuador, the court confirmed its findings of the decision Awas Tingni v Nicaragua by holding: Article 21 of the American Convention protects the close relationship between indigenous peoples and their lands, and with the natural resources on their ancestral territories and the intangible elements arising from these. The indigenous peoples have a community-based tradition related to a form of communal collective land ownership; thus, land is not owned by individuals but by the group and their community. These notions of land ownership and possession do not necessarily conform to the classic concept of property, but deserve equal protection under Article 21 of the American Convention.</w:t>
      </w:r>
      <w:r w:rsidRPr="00087A72">
        <w:rPr>
          <w:sz w:val="12"/>
        </w:rPr>
        <w:t xml:space="preserve"> Ignoring the specific forms of the right to the use and enjoyment of property based on the culture, practices, customs and beliefs of each people, would be tantamount to maintaining that there is only one way to use and dispose of property, which, in turn, would render protection under Article 21 of the Convention illusory for millions of people (IACtHR, 2012: § 145). </w:t>
      </w:r>
      <w:r w:rsidRPr="00087A72">
        <w:rPr>
          <w:rStyle w:val="StyleUnderline"/>
        </w:rPr>
        <w:t>Moreover, the court determined that the right to property did not solely apply to indigenous territories as such, but comprised the surface and subsurface resources on the respective lands since it ‘would be meaningless for indigenous and tribal communities if that right were not connected to the protection of natural resources in the territory’</w:t>
      </w:r>
      <w:r w:rsidRPr="00087A72">
        <w:rPr>
          <w:sz w:val="12"/>
        </w:rPr>
        <w:t xml:space="preserve"> (IACtHR, 2012: § 146). Clearly, these developments are to be highly appreciated, but nevertheless fail to comprehensively embrace indigenous criticism on human rights and international law in general: Firstly, since the notion of property has been used to dispossess indigenous peoples’ lands, it appears almost cynical that they are now expected to base their claims on the right to property, the concept that has been responsible for their dispossession in the first place. Secondly, basing their lawsuits on the right to property does not change anything with regard to the internal colonisation of indigenous peoples: The nation-state, which claims sovereignty over indigenous peoples’ ancestral lands, remains a colonising force by referring to the doctrine of sovereignty. Thirdly, the universality claim of human rights implies that the liberal value system is the exclusive and proper one for all people and peoples of the world. The establishment of universally applicable human rights thus led to some sort of ‘legal centralism’ (Griffiths, 1986, p. 2 f.) of international law. Two of the cornerstones of this ‘standardisation’ of law are property and sovereignty, which contradict indigenous peoples value systems. In conclusion, due to universal human rights, indigenous peoples find themselves trapped in a hegemonic liberal world, which they refuse. This raises the question as to how international law should address this double windmill. Legal Pluralism as a Method of Interpretation: A Pluralist Approach to International Law </w:t>
      </w:r>
      <w:r w:rsidRPr="00087A72">
        <w:rPr>
          <w:rStyle w:val="StyleUnderline"/>
        </w:rPr>
        <w:t>Regarding the resolution of conflicts arising due to the opposing convictions of liberal nation-states and indigenous peoples, two possible approaches are evident. The first approach corresponds to the immanent logic of international law, wherefore it will subsequently be referred to as the ‘liberal approach’.</w:t>
      </w:r>
      <w:r w:rsidRPr="00087A72">
        <w:rPr>
          <w:sz w:val="12"/>
        </w:rPr>
        <w:t xml:space="preserve"> In this sense, one could argue that international law is a fact and has historically developed in accordance with Western worldviews. Thus, historical injustices cannot simply be reversed, wherefore the contemporary system has to be accepted and justice to be sought within this Western framework. For indigenous peoples this would mean that they have to assume the language and logic of international law, and forward their claims based on human rights such as the right to property. Sovereignty, on the other hand, remains an exclusive power of the nation-state. This liberal approach however, in an age in which decolonisation is declared as one of the main endeavours of the UN and of international law in general12, is, due to its obviously colonial logic, simply untenable. </w:t>
      </w:r>
      <w:r w:rsidRPr="00087A72">
        <w:rPr>
          <w:rStyle w:val="StyleUnderline"/>
        </w:rPr>
        <w:t>The second approach that is at hand will in the following be called ‘restitutional approach’ since it focuses on the restitution of indigenous lands and on the redemption of historical injustices. This restitutional approach thus constitutes the counterpart to the liberal approach.</w:t>
      </w:r>
      <w:r w:rsidRPr="00087A72">
        <w:rPr>
          <w:sz w:val="12"/>
        </w:rPr>
        <w:t xml:space="preserve"> The underlying idea is that international law is a purely colonial concept, which has led to horrifying injustices such as major dispossession, forced relocations and genocides on a universal scale. Therefore, the concept of international law, as it stands today, has to be rejected and wholly abandoned in order to replace it with a new international legal system that is not, or at least not exclusively, based on nation-states. Liberal concepts such as the nation-state, sovereignty and property would thus have no room in such an approach. Successor states of the colonial administration would have to be considered illegitimate and illegal, acquired territories would have to be restituted and descendants of the colonisers would have no right to live within the territories of the successor states. In sum, the restitutional approach would require the re-establishment of the pre-colonial status. </w:t>
      </w:r>
      <w:r w:rsidRPr="00087A72">
        <w:rPr>
          <w:rStyle w:val="Emphasis"/>
        </w:rPr>
        <w:t>Regarded from a justice-based perspective, the restitutional approach seems suitable. However, two major disadvantages are obvious. Firstly, it seems very unlikely that such a fundamental conceptual shift could actually take place. In this sense, it denies the reality of the world order and proves very unpractical.</w:t>
      </w:r>
      <w:r w:rsidRPr="00087A72">
        <w:rPr>
          <w:sz w:val="12"/>
        </w:rPr>
        <w:t xml:space="preserve"> Secondly, </w:t>
      </w:r>
      <w:r w:rsidRPr="00087A72">
        <w:rPr>
          <w:rStyle w:val="StyleUnderline"/>
        </w:rPr>
        <w:t xml:space="preserve">assuming that neither liberalism nor the indigenous cosmovision stand in a relation of hierarchy to each other, liberal culture has the same right of existence as indigenous cultures. By adopting a purely restitutional approach, one would run the risk of committing the same mistakes Western societies have committed, namely the unilateral imposition of a legal system, allowing only for one ‘correct’ worldview. </w:t>
      </w:r>
      <w:r w:rsidRPr="00087A72">
        <w:rPr>
          <w:sz w:val="12"/>
        </w:rPr>
        <w:t xml:space="preserve">As regards conflict resolution neither the liberal approach nor the restitutional approach thus proves helpful or desirable. </w:t>
      </w:r>
      <w:r w:rsidRPr="00087A72">
        <w:rPr>
          <w:rStyle w:val="StyleUnderline"/>
        </w:rPr>
        <w:t xml:space="preserve">Therefore, the author proposes a third approach to the resolution of conflicts arising from the opposing convictions of liberalism and indigenous cosmovision, which subsequently will be referred to as the ‘pluralist approach’. This pluralist approach can be described as a unifying theory, allowing for indigenous cosmovisions while not denying the factual existence of international law as it operates nowadays. In this sense, it attempts to take up the insights of legal pluralists and to use their observations to interpret the liberal language of international law. In this sense, legal pluralism is employed as a method of interpretation of international law. </w:t>
      </w:r>
      <w:r w:rsidRPr="00087A72">
        <w:rPr>
          <w:sz w:val="12"/>
        </w:rPr>
        <w:t xml:space="preserve">Legal Centralism and Legal Pluralism Before presenting the proposed pluralist approach, some basic considerations of ‘legal centralism’ and ‘legal pluralism’ have to be made. The author’s understanding of the term legal centralism refers to John Griffiths. He defines legal centralism as the ‘ideology [that] law is and should be the law of the state, uniform for all persons, exclusive of all other law’ (Griffiths, 1986, p. 3). Hence, other existing normative orders are hierarchically subordinate to the law of the state. However, as it is here focused on an international law perspective, one amendment has to be made: legal centralism as proposed in this context does not only focus on state law as domestic law, but also encompasses international law.13 As has been shown in the previous sections, by imposing a Western concept of international law upon indigenous cosmovision, international law and its universal pretence is considered legal centralism since it functions as an exclusionary concept of law. In this sense, it narrows the perspective of finding appropriate conflict resolutions in situations in which contradicting normative orders collide (Kuprecht, 2013, p. 20). In contrast, by legal pluralism the author refers to what Engle Merry describes as ‘a situation in which two or more legal systems coexist in the same social field’ (Engle Merry, 1988, p. 870 with reference to Pospisil, 1971; Griffiths, 1986; Falk Moore, 1986). For the purposes of the situation at hand, two remarks have to be made. Firstly, </w:t>
      </w:r>
      <w:r w:rsidRPr="00087A72">
        <w:rPr>
          <w:rStyle w:val="StyleUnderline"/>
        </w:rPr>
        <w:t>the term ‘legal system’ is broadly understood as comprising any sort of normative orders such as customs and traditions arising from their corresponding conviction, which serve as a normative basis for social behaviour. Secondly, since the situations concerned focus on the interplay between pre-colonial normative orders and the imposed colonial legal systems, legal pluralism subsequently corresponds to what Engle Merry describes as ‘classic legal pluralism’</w:t>
      </w:r>
      <w:r w:rsidRPr="00087A72">
        <w:rPr>
          <w:sz w:val="12"/>
        </w:rPr>
        <w:t xml:space="preserve"> (Engle Merry, 1988, p. 872). </w:t>
      </w:r>
      <w:r w:rsidRPr="00087A72">
        <w:rPr>
          <w:rStyle w:val="StyleUnderline"/>
        </w:rPr>
        <w:t xml:space="preserve">In conclusion, the notion of legal pluralism, for the purpose of the proposed pluralist approach to international law, is defined as a situation in which both normative orders arising from indigenous cosmovisions and from liberal state or international law coexist, regulate and thus serve as a normative basis for social behaviour. </w:t>
      </w:r>
      <w:r w:rsidRPr="00087A72">
        <w:rPr>
          <w:sz w:val="12"/>
        </w:rPr>
        <w:t xml:space="preserve">The ‘Pluralist Approach’ </w:t>
      </w:r>
      <w:r w:rsidRPr="00087A72">
        <w:rPr>
          <w:rStyle w:val="Emphasis"/>
        </w:rPr>
        <w:t xml:space="preserve">Legal pluralism essentially expects scholars to take into account various normative orders that may have an impact or relevance on a given situation </w:t>
      </w:r>
      <w:r w:rsidRPr="00087A72">
        <w:rPr>
          <w:sz w:val="12"/>
        </w:rPr>
        <w:t xml:space="preserve">(Berman, 2009, p. 226; Engle Merry, 1988, pp. 877 f.). Furthermore, </w:t>
      </w:r>
      <w:r w:rsidRPr="00087A72">
        <w:rPr>
          <w:rStyle w:val="StyleUnderline"/>
        </w:rPr>
        <w:t>it has been argued that normative orders diverging from state law or international law, may not only define social norms, morality or ethics, they may even constitute an autonomous set of ‘law’</w:t>
      </w:r>
      <w:r w:rsidRPr="00087A72">
        <w:rPr>
          <w:sz w:val="12"/>
        </w:rPr>
        <w:t xml:space="preserve"> (Kuprecht, 2013, p. 21 with reference to Bermann, 2009, p. 228 f.; Teubner and Korth, 2012, p. 31). Nevertheless, the idea that normative orders not qualifying as state law may constitute law that is not necessarily subordinate to state law, says nothing about the relation to each other, possible hierarchies of the respective normative orders, or potential conflict resolution approaches in a legally pluralistic situation. This therefore raises the question as how to resolve such situations in practice. </w:t>
      </w:r>
      <w:r w:rsidRPr="00087A72">
        <w:rPr>
          <w:rStyle w:val="Emphasis"/>
        </w:rPr>
        <w:t>The author proposes a pluralist approach as a possible conflict resolution strategy that accepts international law as a factual reality, without resorting to colonial methods.</w:t>
      </w:r>
      <w:r w:rsidRPr="00087A72">
        <w:rPr>
          <w:sz w:val="12"/>
        </w:rPr>
        <w:t xml:space="preserve"> </w:t>
      </w:r>
      <w:r w:rsidRPr="00087A72">
        <w:rPr>
          <w:rStyle w:val="StyleUnderline"/>
        </w:rPr>
        <w:t>The first assumption of this approach is that there is no hierarchy between different ideologies, convictions or philosophies.</w:t>
      </w:r>
      <w:r w:rsidRPr="00087A72">
        <w:rPr>
          <w:sz w:val="12"/>
        </w:rPr>
        <w:t xml:space="preserve"> Consequently, </w:t>
      </w:r>
      <w:r w:rsidRPr="00087A72">
        <w:rPr>
          <w:rStyle w:val="StyleUnderline"/>
        </w:rPr>
        <w:t>there cannot be a hierarchy of diverging or even contradicting normative orderings.</w:t>
      </w:r>
      <w:r w:rsidRPr="00087A72">
        <w:rPr>
          <w:sz w:val="12"/>
        </w:rPr>
        <w:t xml:space="preserve"> Hence, </w:t>
      </w:r>
      <w:r w:rsidRPr="00087A72">
        <w:rPr>
          <w:rStyle w:val="StyleUnderline"/>
        </w:rPr>
        <w:t>normative bases or norms guiding social behaviour stemming from different ideologies and their corresponding normative orderings are to be considered equal.</w:t>
      </w:r>
      <w:r w:rsidRPr="00087A72">
        <w:rPr>
          <w:sz w:val="12"/>
        </w:rPr>
        <w:t xml:space="preserve"> In practice, </w:t>
      </w:r>
      <w:r w:rsidRPr="00087A72">
        <w:rPr>
          <w:rStyle w:val="StyleUnderline"/>
        </w:rPr>
        <w:t>this means that norms prohibiting the commodification of land, based on indigenous cosmovision, are equally legitimate as norms allowing the treatment of lands as a commodity, based on liberalism. In the case of indigenous peoples and their ancestral lands, both norms according to their cosmovision and norms of international law are, due to the universality of international law, principally applicable.</w:t>
      </w:r>
      <w:r w:rsidRPr="00087A72">
        <w:rPr>
          <w:sz w:val="12"/>
        </w:rPr>
        <w:t xml:space="preserve"> In such a situation, two cases may be at hand. Firstly, </w:t>
      </w:r>
      <w:r w:rsidRPr="00087A72">
        <w:rPr>
          <w:rStyle w:val="StyleUnderline"/>
        </w:rPr>
        <w:t>the norm derived from indigenous cosmovision and the norm derived from international law do not collide. In this case, there is no conflict, thus there is simply no requirement for conflict resolution.</w:t>
      </w:r>
      <w:r w:rsidRPr="00087A72">
        <w:rPr>
          <w:sz w:val="12"/>
        </w:rPr>
        <w:t xml:space="preserve"> If, secondly, however </w:t>
      </w:r>
      <w:r w:rsidRPr="00087A72">
        <w:rPr>
          <w:rStyle w:val="StyleUnderline"/>
        </w:rPr>
        <w:t>the norm derived from indigenous cosmovision and the norm derived from international law are not compatible, I propose that the international law norm must be interpreted according to the indigenous cosmovision.</w:t>
      </w:r>
      <w:r w:rsidRPr="00087A72">
        <w:rPr>
          <w:sz w:val="12"/>
        </w:rPr>
        <w:t xml:space="preserve"> In this sense, the </w:t>
      </w:r>
      <w:r w:rsidRPr="00087A72">
        <w:rPr>
          <w:rStyle w:val="StyleUnderline"/>
        </w:rPr>
        <w:t>existence of a norm derived from indigenous cosmovision influences, or even alters the content and meaning of the norm of international law.</w:t>
      </w:r>
      <w:r w:rsidRPr="00087A72">
        <w:rPr>
          <w:sz w:val="12"/>
        </w:rPr>
        <w:t xml:space="preserve"> How this interpretation should be put into practice will be elaborated in the next section. A Pluralist Approach to ‘Property’ and ‘Sovereignty’ As has been shown above, international law is clearly a product of Western philosophy and legal thought. Hence, </w:t>
      </w:r>
      <w:r w:rsidRPr="00087A72">
        <w:rPr>
          <w:rStyle w:val="StyleUnderline"/>
        </w:rPr>
        <w:t>the language that describes concepts of international law is necessarily a Western language.</w:t>
      </w:r>
      <w:r w:rsidRPr="00087A72">
        <w:rPr>
          <w:sz w:val="12"/>
        </w:rPr>
        <w:t xml:space="preserve"> This has been illustrated with the notions of ‘property’ and ‘sovereignty’. Moreover, these notions are inseparably anchored in liberalism with all its presumptions such as anthropocentrism, individualism, and capitalism based on private property. Thus the concepts of ‘property’ and ‘sovereignty’ may not, or not in the same sense, exist in indigenous cosmovision. For example, the relationship of indigenous peoples to their lands differs strongly from the relationship of Western nation-states to their territories, </w:t>
      </w:r>
      <w:r w:rsidRPr="00087A72">
        <w:rPr>
          <w:rStyle w:val="StyleUnderline"/>
        </w:rPr>
        <w:t>but nevertheless, the basic concept that there exist norms regulating the relation between human beings and the territory on which they live, is common to both liberalism and indigenous cosmovisions.</w:t>
      </w:r>
      <w:r w:rsidRPr="00087A72">
        <w:rPr>
          <w:sz w:val="12"/>
        </w:rPr>
        <w:t xml:space="preserve"> However, the concepts of ‘property’ and ‘sovereignty’ simply are not appropriate to describe indigenous concepts of their relationship towards the land. </w:t>
      </w:r>
      <w:r w:rsidRPr="00087A72">
        <w:rPr>
          <w:rStyle w:val="StyleUnderline"/>
        </w:rPr>
        <w:t>A pluralist approach thus needs to translate indigenous concepts into the Western language of international law. For example, when it is argued that the relationship of indigenous peoples to their lands is necessarily communitarian, an indigenous concept is translated into Western language, since communitarianism as such is a Western concept</w:t>
      </w:r>
      <w:r w:rsidRPr="00087A72">
        <w:rPr>
          <w:sz w:val="12"/>
        </w:rPr>
        <w:t xml:space="preserve">, developed by Western philosophers such as Alasdair MacIntyre, Michael Walzer, Charles Taylor, and Michael Sandel. Notwithstanding the fact that communitarianism has developed in the Western world, and does thus probably not fully embrace and correspond to the relation of indigenous peoples to their lands, it nevertheless appears to grasp its very essence wherefore it serves as a translation from one language to the other. </w:t>
      </w:r>
      <w:r w:rsidRPr="00087A72">
        <w:rPr>
          <w:rStyle w:val="Emphasis"/>
        </w:rPr>
        <w:t>As Dale Turner shows, many indigenous scholars are already engaged in the process of translating indigenous concepts into Western language</w:t>
      </w:r>
      <w:r w:rsidRPr="00087A72">
        <w:rPr>
          <w:sz w:val="12"/>
        </w:rPr>
        <w:t xml:space="preserve"> (Turner, 2006, p. 189 ff.). </w:t>
      </w:r>
      <w:r w:rsidRPr="00087A72">
        <w:rPr>
          <w:rStyle w:val="Emphasis"/>
        </w:rPr>
        <w:t>In this sense, norms of international law must not be understood as conceptions inextricably linked to liberalism, but rather as empty vessels, or containers, which need to be filled up with content and meaning.</w:t>
      </w:r>
      <w:r w:rsidRPr="00087A72">
        <w:rPr>
          <w:sz w:val="12"/>
        </w:rPr>
        <w:t xml:space="preserve"> Thus, ‘property’ and ‘sovereignty’ must be considered value free containers, which simply describe the broader relation between human beings and the territory. This intellectual game thus allows for a pluralist interpretation of international law.</w:t>
      </w:r>
    </w:p>
    <w:p w:rsidR="00E60068" w:rsidRPr="00087A72" w:rsidRDefault="00E60068" w:rsidP="00E60068">
      <w:pPr>
        <w:pStyle w:val="Heading3"/>
      </w:pPr>
      <w:r w:rsidRPr="00087A72">
        <w:t>Generic – Native Feminism</w:t>
      </w:r>
    </w:p>
    <w:p w:rsidR="00E711F2" w:rsidRPr="00087A72" w:rsidRDefault="00E711F2" w:rsidP="00E711F2">
      <w:pPr>
        <w:pStyle w:val="Heading4"/>
        <w:rPr>
          <w:rFonts w:cs="Times New Roman"/>
        </w:rPr>
      </w:pPr>
      <w:r w:rsidRPr="00087A72">
        <w:t xml:space="preserve">Permutation do both – It is necessary to affirm contingent moments of the alliance. Anything else transcendentalizes settler colonialism and prevents alliances. Without the permutation the alternative fails. </w:t>
      </w:r>
    </w:p>
    <w:p w:rsidR="00E711F2" w:rsidRPr="00087A72" w:rsidRDefault="00E711F2" w:rsidP="00E711F2">
      <w:r w:rsidRPr="00087A72">
        <w:t xml:space="preserve">Corey </w:t>
      </w:r>
      <w:r w:rsidRPr="00087A72">
        <w:rPr>
          <w:rStyle w:val="Style13ptBold"/>
        </w:rPr>
        <w:t>Snelgrove et al. 14</w:t>
      </w:r>
      <w:r w:rsidRPr="00087A72">
        <w:t>, University of British Columbia; Rita Kaur Dhamoon, University of Victoria; and Jeff Corntassel, University of Victoria, 2014, “Unsettling settler colonialism: The discourse and politics of settlers, and solidarity with Indigenous nations,” Decolonization: Indigeneity, Education &amp; Society, Vol. 3, No. 2, p. 1-32, http://decolonization.org/index.php/des/article/view/21166/17970</w:t>
      </w:r>
    </w:p>
    <w:p w:rsidR="00E711F2" w:rsidRPr="00087A72" w:rsidRDefault="00E711F2" w:rsidP="00E711F2">
      <w:pPr>
        <w:rPr>
          <w:sz w:val="16"/>
        </w:rPr>
      </w:pPr>
      <w:r w:rsidRPr="00087A72">
        <w:rPr>
          <w:rStyle w:val="StyleUnderline"/>
        </w:rPr>
        <w:t>Corey: This</w:t>
      </w:r>
      <w:r w:rsidRPr="00087A72">
        <w:rPr>
          <w:sz w:val="16"/>
        </w:rPr>
        <w:t xml:space="preserve"> relational, </w:t>
      </w:r>
      <w:r w:rsidRPr="00087A72">
        <w:rPr>
          <w:rStyle w:val="StyleUnderline"/>
        </w:rPr>
        <w:t>interdependent focus is</w:t>
      </w:r>
      <w:r w:rsidRPr="00087A72">
        <w:rPr>
          <w:sz w:val="16"/>
        </w:rPr>
        <w:t xml:space="preserve"> also </w:t>
      </w:r>
      <w:r w:rsidRPr="00087A72">
        <w:rPr>
          <w:rStyle w:val="StyleUnderline"/>
        </w:rPr>
        <w:t>important amongst settlers ourselves</w:t>
      </w:r>
      <w:r w:rsidRPr="00087A72">
        <w:rPr>
          <w:sz w:val="16"/>
        </w:rPr>
        <w:t xml:space="preserve"> – perhaps </w:t>
      </w:r>
      <w:r w:rsidRPr="00087A72">
        <w:rPr>
          <w:rStyle w:val="StyleUnderline"/>
        </w:rPr>
        <w:t xml:space="preserve">as a way to counter the </w:t>
      </w:r>
      <w:r w:rsidRPr="00087A72">
        <w:rPr>
          <w:rStyle w:val="Emphasis"/>
        </w:rPr>
        <w:t>flattening of differences</w:t>
      </w:r>
      <w:r w:rsidRPr="00087A72">
        <w:rPr>
          <w:rStyle w:val="StyleUnderline"/>
        </w:rPr>
        <w:t xml:space="preserve"> that occurs amongst settlers, particularly in solidarity work. Settlers obviously need to be</w:t>
      </w:r>
      <w:r w:rsidRPr="00087A72">
        <w:rPr>
          <w:sz w:val="16"/>
        </w:rPr>
        <w:t xml:space="preserve"> doing our own work and </w:t>
      </w:r>
      <w:r w:rsidRPr="00087A72">
        <w:rPr>
          <w:rStyle w:val="StyleUnderline"/>
          <w:bdr w:val="single" w:sz="4" w:space="0" w:color="auto"/>
        </w:rPr>
        <w:t>challeng</w:t>
      </w:r>
      <w:r w:rsidRPr="00087A72">
        <w:rPr>
          <w:rStyle w:val="StyleUnderline"/>
        </w:rPr>
        <w:t>ing ‘our’ institutions and practices that</w:t>
      </w:r>
      <w:r w:rsidRPr="00087A72">
        <w:rPr>
          <w:sz w:val="16"/>
        </w:rPr>
        <w:t xml:space="preserve"> serve to protect or </w:t>
      </w:r>
      <w:r w:rsidRPr="00087A72">
        <w:rPr>
          <w:rStyle w:val="StyleUnderline"/>
        </w:rPr>
        <w:t xml:space="preserve">further colonization. But we </w:t>
      </w:r>
      <w:r w:rsidRPr="00087A72">
        <w:rPr>
          <w:rStyle w:val="Emphasis"/>
        </w:rPr>
        <w:t>can’t do this</w:t>
      </w:r>
      <w:r w:rsidRPr="00087A72">
        <w:rPr>
          <w:rStyle w:val="StyleUnderline"/>
        </w:rPr>
        <w:t xml:space="preserve"> if we flatten the differences and ignore the inequalities and power relationships that exist within settler society. Not only does such flattening </w:t>
      </w:r>
      <w:r w:rsidRPr="00087A72">
        <w:rPr>
          <w:rStyle w:val="Emphasis"/>
        </w:rPr>
        <w:t>prevent</w:t>
      </w:r>
      <w:r w:rsidRPr="00087A72">
        <w:rPr>
          <w:rStyle w:val="StyleUnderline"/>
        </w:rPr>
        <w:t xml:space="preserve"> much needed </w:t>
      </w:r>
      <w:r w:rsidRPr="00087A72">
        <w:rPr>
          <w:rStyle w:val="Emphasis"/>
        </w:rPr>
        <w:t>alliances</w:t>
      </w:r>
      <w:r w:rsidRPr="00087A72">
        <w:rPr>
          <w:rStyle w:val="StyleUnderline"/>
        </w:rPr>
        <w:t xml:space="preserve"> but flattening</w:t>
      </w:r>
      <w:r w:rsidRPr="00087A72">
        <w:rPr>
          <w:sz w:val="16"/>
        </w:rPr>
        <w:t xml:space="preserve"> itself </w:t>
      </w:r>
      <w:r w:rsidRPr="00087A72">
        <w:rPr>
          <w:rStyle w:val="StyleUnderline"/>
        </w:rPr>
        <w:t>can</w:t>
      </w:r>
      <w:r w:rsidRPr="00087A72">
        <w:rPr>
          <w:sz w:val="16"/>
        </w:rPr>
        <w:t xml:space="preserve"> actually work to </w:t>
      </w:r>
      <w:r w:rsidRPr="00087A72">
        <w:rPr>
          <w:rStyle w:val="StyleUnderline"/>
        </w:rPr>
        <w:t>protect</w:t>
      </w:r>
      <w:r w:rsidRPr="00087A72">
        <w:rPr>
          <w:sz w:val="16"/>
        </w:rPr>
        <w:t xml:space="preserve"> certain </w:t>
      </w:r>
      <w:r w:rsidRPr="00087A72">
        <w:rPr>
          <w:rStyle w:val="StyleUnderline"/>
        </w:rPr>
        <w:t>elements of settler colonialism</w:t>
      </w:r>
      <w:r w:rsidRPr="00087A72">
        <w:rPr>
          <w:sz w:val="16"/>
        </w:rPr>
        <w:t xml:space="preserve">. For instance, white supremacy works to naturalize white settler presence. In terms of solidarity then, I find it problematic for myself, as a white, class privileged, cis-hetero, and able bodied male (as well as people like me) to demand other peoples to act in solidarity, while also not holding myself (and others like me) responsible and accountable to other forms of violence that may be a contributing factor to the further reification of structures that support settler colonialism, like the State. Now I’m not arguing for the continued eschewal of Indigenous governance and legal orders because others experience violence, but rather, that </w:t>
      </w:r>
      <w:r w:rsidRPr="00087A72">
        <w:rPr>
          <w:rStyle w:val="StyleUnderline"/>
        </w:rPr>
        <w:t>the substantive recognition of Indigenous governance and legal orders also requires a dismantling of other, related forms of domination</w:t>
      </w:r>
      <w:r w:rsidRPr="00087A72">
        <w:rPr>
          <w:sz w:val="16"/>
        </w:rPr>
        <w:t xml:space="preserve">. This latter dismantling I see as necessary but also insufficient for the dismantling of settler colonialism. These </w:t>
      </w:r>
      <w:r w:rsidRPr="00087A72">
        <w:rPr>
          <w:rStyle w:val="StyleUnderline"/>
        </w:rPr>
        <w:t>sites and spaces of domination and resistance are distinct, but</w:t>
      </w:r>
      <w:r w:rsidRPr="00087A72">
        <w:rPr>
          <w:sz w:val="16"/>
        </w:rPr>
        <w:t xml:space="preserve"> also </w:t>
      </w:r>
      <w:r w:rsidRPr="00087A72">
        <w:rPr>
          <w:rStyle w:val="StyleUnderline"/>
        </w:rPr>
        <w:t>connected dialectically. This seems to be something that settlers, white settlers specifically, have yet to articulate and take up, critique and act against</w:t>
      </w:r>
      <w:r w:rsidRPr="00087A72">
        <w:rPr>
          <w:sz w:val="16"/>
        </w:rPr>
        <w:t xml:space="preserve">. And </w:t>
      </w:r>
      <w:r w:rsidRPr="00087A72">
        <w:rPr>
          <w:rStyle w:val="StyleUnderline"/>
        </w:rPr>
        <w:t>this is</w:t>
      </w:r>
      <w:r w:rsidRPr="00087A72">
        <w:rPr>
          <w:sz w:val="16"/>
        </w:rPr>
        <w:t xml:space="preserve"> perhaps </w:t>
      </w:r>
      <w:r w:rsidRPr="00087A72">
        <w:rPr>
          <w:rStyle w:val="StyleUnderline"/>
        </w:rPr>
        <w:t>most evident in how settlers seem to be continuously waiting for instruction from Indigenous peoples on how to act</w:t>
      </w:r>
      <w:r w:rsidRPr="00087A72">
        <w:rPr>
          <w:sz w:val="16"/>
        </w:rPr>
        <w:t xml:space="preserve">. </w:t>
      </w:r>
      <w:r w:rsidRPr="00087A72">
        <w:rPr>
          <w:sz w:val="16"/>
          <w:szCs w:val="16"/>
        </w:rPr>
        <w:t xml:space="preserve">Rita: I wonder if this relational approach is a more useful direction for settler colonial studies, not unlike the kind of work you do Jeff, in thinking about colonialism in a global, comparative context. Jeff: And I think, the more you can make those links, the British occupation of Maori territory is directly related to HBC’s strategy to begin treaty making here... All those things are interrelated. They are shared, and they are seen as shared strategies. The other thing I see is this impulse to delocalize it... it’s always that kind of Free Tibet Syndrome... the further away acts of genocide are from your location, the more outrage expressed at these injustices. It’s a way of avoiding complicity, but it’s also a way of recasting the gaze. It’s like, ‘We’re not going to look right here, because this appears to be fairly peaceful’ And so it’s always that sort of re-directing away from localized responsibility, and almost magnifying impacts farther away. </w:t>
      </w:r>
      <w:r w:rsidRPr="00087A72">
        <w:rPr>
          <w:rStyle w:val="StyleUnderline"/>
        </w:rPr>
        <w:t>Rita</w:t>
      </w:r>
      <w:r w:rsidRPr="00087A72">
        <w:rPr>
          <w:sz w:val="16"/>
        </w:rPr>
        <w:t xml:space="preserve">: So what settler colonial studies does do, is help us relocate to locality, which is helpful. You mention the HBC. I wonder what was the relationship between the Hudson Bay Company in Canada and the East India Company or the East Africa Company? </w:t>
      </w:r>
      <w:r w:rsidRPr="00087A72">
        <w:rPr>
          <w:rStyle w:val="StyleUnderline"/>
        </w:rPr>
        <w:t>If we’re thinking about settler colonialism as a structure, how is it related to other modalities of gendered and sexualized white supremacy?</w:t>
      </w:r>
      <w:r w:rsidRPr="00087A72">
        <w:rPr>
          <w:sz w:val="16"/>
        </w:rPr>
        <w:t xml:space="preserve"> How are the logics of State sovereignty and authority over nonwhite bodies connected? </w:t>
      </w:r>
      <w:r w:rsidRPr="00087A72">
        <w:rPr>
          <w:rStyle w:val="StyleUnderline"/>
        </w:rPr>
        <w:t xml:space="preserve">If we’re thinking about it, as non-Indigenous peoples being ‘in solidarity’, part of that is locating, attacking the whole structure of imperialism that is deeply gendered and homonationalist, that depends on neo-liberal projects of prioritizing able-bodied workers who </w:t>
      </w:r>
      <w:r w:rsidRPr="00087A72">
        <w:rPr>
          <w:rStyle w:val="Emphasis"/>
        </w:rPr>
        <w:t>can serve capitalism</w:t>
      </w:r>
      <w:r w:rsidRPr="00087A72">
        <w:rPr>
          <w:sz w:val="16"/>
        </w:rPr>
        <w:t xml:space="preserve">. </w:t>
      </w:r>
      <w:r w:rsidRPr="00087A72">
        <w:rPr>
          <w:rStyle w:val="StyleUnderline"/>
        </w:rPr>
        <w:t>Corey: Part of this</w:t>
      </w:r>
      <w:r w:rsidRPr="00087A72">
        <w:rPr>
          <w:sz w:val="16"/>
        </w:rPr>
        <w:t xml:space="preserve">, I think, what we’ve been discussing here, </w:t>
      </w:r>
      <w:r w:rsidRPr="00087A72">
        <w:rPr>
          <w:rStyle w:val="StyleUnderline"/>
        </w:rPr>
        <w:t>relates to</w:t>
      </w:r>
      <w:r w:rsidRPr="00087A72">
        <w:rPr>
          <w:sz w:val="16"/>
        </w:rPr>
        <w:t xml:space="preserve"> what I sometimes see as </w:t>
      </w:r>
      <w:r w:rsidRPr="00087A72">
        <w:rPr>
          <w:rStyle w:val="StyleUnderline"/>
        </w:rPr>
        <w:t xml:space="preserve">the framing of ‘settler’ as event, rather than structure – where we are perhaps overly focused on the question of ‘who’ at the expense of the ‘how’. If we don’t understand how settlers are produced we </w:t>
      </w:r>
      <w:r w:rsidRPr="00087A72">
        <w:rPr>
          <w:rStyle w:val="Emphasis"/>
        </w:rPr>
        <w:t>run the risk</w:t>
      </w:r>
      <w:r w:rsidRPr="00087A72">
        <w:rPr>
          <w:rStyle w:val="StyleUnderline"/>
        </w:rPr>
        <w:t xml:space="preserve"> of </w:t>
      </w:r>
      <w:r w:rsidRPr="00087A72">
        <w:rPr>
          <w:rStyle w:val="StyleUnderline"/>
          <w:bdr w:val="single" w:sz="4" w:space="0" w:color="auto"/>
        </w:rPr>
        <w:t>represent</w:t>
      </w:r>
      <w:r w:rsidRPr="00087A72">
        <w:rPr>
          <w:rStyle w:val="StyleUnderline"/>
        </w:rPr>
        <w:t xml:space="preserve">ing settlers as some sort of </w:t>
      </w:r>
      <w:r w:rsidRPr="00087A72">
        <w:rPr>
          <w:rStyle w:val="Emphasis"/>
        </w:rPr>
        <w:t>transhistorical subject with transhistorical practices</w:t>
      </w:r>
      <w:r w:rsidRPr="00087A72">
        <w:rPr>
          <w:sz w:val="16"/>
        </w:rPr>
        <w:t xml:space="preserve">. So I’m worried that </w:t>
      </w:r>
      <w:r w:rsidRPr="00087A72">
        <w:rPr>
          <w:rStyle w:val="StyleUnderline"/>
        </w:rPr>
        <w:t>while in one moment the term ‘settler’ denaturalizes</w:t>
      </w:r>
      <w:r w:rsidRPr="00087A72">
        <w:rPr>
          <w:sz w:val="16"/>
        </w:rPr>
        <w:t xml:space="preserve"> our – that is </w:t>
      </w:r>
      <w:r w:rsidRPr="00087A72">
        <w:rPr>
          <w:rStyle w:val="StyleUnderline"/>
        </w:rPr>
        <w:t>all non-Indigenous peoples</w:t>
      </w:r>
      <w:r w:rsidRPr="00087A72">
        <w:rPr>
          <w:sz w:val="16"/>
        </w:rPr>
        <w:t xml:space="preserve"> – </w:t>
      </w:r>
      <w:r w:rsidRPr="00087A72">
        <w:rPr>
          <w:rStyle w:val="StyleUnderline"/>
        </w:rPr>
        <w:t>presence on Indigenous lands</w:t>
      </w:r>
      <w:r w:rsidRPr="00087A72">
        <w:rPr>
          <w:sz w:val="16"/>
        </w:rPr>
        <w:t xml:space="preserve">, in the next, and </w:t>
      </w:r>
      <w:r w:rsidRPr="00087A72">
        <w:rPr>
          <w:rStyle w:val="StyleUnderline"/>
        </w:rPr>
        <w:t xml:space="preserve">through this construction of the ‘settler’ as transhistorical, we </w:t>
      </w:r>
      <w:r w:rsidRPr="00087A72">
        <w:rPr>
          <w:rStyle w:val="Emphasis"/>
        </w:rPr>
        <w:t>renaturalize it</w:t>
      </w:r>
      <w:r w:rsidRPr="00087A72">
        <w:rPr>
          <w:sz w:val="16"/>
        </w:rPr>
        <w:t xml:space="preserve">. In short, </w:t>
      </w:r>
      <w:r w:rsidRPr="00087A72">
        <w:rPr>
          <w:rStyle w:val="StyleUnderline"/>
        </w:rPr>
        <w:t xml:space="preserve">we go from a disavowal of colonization, to its </w:t>
      </w:r>
      <w:r w:rsidRPr="00087A72">
        <w:rPr>
          <w:rStyle w:val="Emphasis"/>
        </w:rPr>
        <w:t>representation as inevitable</w:t>
      </w:r>
      <w:r w:rsidRPr="00087A72">
        <w:rPr>
          <w:rStyle w:val="StyleUnderline"/>
        </w:rPr>
        <w:t>. Here is where</w:t>
      </w:r>
      <w:r w:rsidRPr="00087A72">
        <w:rPr>
          <w:sz w:val="16"/>
        </w:rPr>
        <w:t xml:space="preserve"> I think </w:t>
      </w:r>
      <w:r w:rsidRPr="00087A72">
        <w:rPr>
          <w:rStyle w:val="StyleUnderline"/>
        </w:rPr>
        <w:t xml:space="preserve">a </w:t>
      </w:r>
      <w:r w:rsidRPr="00087A72">
        <w:rPr>
          <w:rStyle w:val="Emphasis"/>
        </w:rPr>
        <w:t>historical materialist</w:t>
      </w:r>
      <w:r w:rsidRPr="00087A72">
        <w:rPr>
          <w:sz w:val="16"/>
        </w:rPr>
        <w:t xml:space="preserve"> or genealogical </w:t>
      </w:r>
      <w:r w:rsidRPr="00087A72">
        <w:rPr>
          <w:rStyle w:val="Emphasis"/>
        </w:rPr>
        <w:t>approach</w:t>
      </w:r>
      <w:r w:rsidRPr="00087A72">
        <w:rPr>
          <w:rStyle w:val="StyleUnderline"/>
        </w:rPr>
        <w:t xml:space="preserve"> to the production of settler subjects may be useful in </w:t>
      </w:r>
      <w:r w:rsidRPr="00087A72">
        <w:rPr>
          <w:rStyle w:val="StyleUnderline"/>
          <w:bdr w:val="single" w:sz="4" w:space="0" w:color="auto"/>
        </w:rPr>
        <w:t>show</w:t>
      </w:r>
      <w:r w:rsidRPr="00087A72">
        <w:rPr>
          <w:rStyle w:val="StyleUnderline"/>
        </w:rPr>
        <w:t xml:space="preserve">ing how this production is conditioned by but also contingent on a number of factors – white supremacy, hetero-patriarchy, </w:t>
      </w:r>
      <w:r w:rsidRPr="00087A72">
        <w:rPr>
          <w:rStyle w:val="Emphasis"/>
        </w:rPr>
        <w:t>capitalism</w:t>
      </w:r>
      <w:r w:rsidRPr="00087A72">
        <w:rPr>
          <w:rStyle w:val="StyleUnderline"/>
        </w:rPr>
        <w:t>, colonization, the eschewal of Indigenous governance and legal orders, environmental degradation, etc.</w:t>
      </w:r>
      <w:r w:rsidRPr="00087A72">
        <w:rPr>
          <w:sz w:val="16"/>
        </w:rPr>
        <w:t xml:space="preserve"> Now this is also not to say that the binary of Indigenous/Settler isn’t accurate. I think its fundamental. Rather, I think </w:t>
      </w:r>
      <w:r w:rsidRPr="00087A72">
        <w:rPr>
          <w:rStyle w:val="StyleUnderline"/>
        </w:rPr>
        <w:t>it is</w:t>
      </w:r>
      <w:r w:rsidRPr="00087A72">
        <w:rPr>
          <w:sz w:val="16"/>
        </w:rPr>
        <w:t xml:space="preserve"> possible and </w:t>
      </w:r>
      <w:r w:rsidRPr="00087A72">
        <w:rPr>
          <w:rStyle w:val="StyleUnderline"/>
        </w:rPr>
        <w:t>important to recognize that there</w:t>
      </w:r>
      <w:r w:rsidRPr="00087A72">
        <w:rPr>
          <w:sz w:val="16"/>
        </w:rPr>
        <w:t xml:space="preserve"> have been, and </w:t>
      </w:r>
      <w:r w:rsidRPr="00087A72">
        <w:rPr>
          <w:rStyle w:val="StyleUnderline"/>
        </w:rPr>
        <w:t>are</w:t>
      </w:r>
      <w:r w:rsidRPr="00087A72">
        <w:rPr>
          <w:sz w:val="16"/>
        </w:rPr>
        <w:t xml:space="preserve">, </w:t>
      </w:r>
      <w:r w:rsidRPr="00087A72">
        <w:rPr>
          <w:rStyle w:val="StyleUnderline"/>
        </w:rPr>
        <w:t>individuals</w:t>
      </w:r>
      <w:r w:rsidRPr="00087A72">
        <w:rPr>
          <w:sz w:val="16"/>
        </w:rPr>
        <w:t xml:space="preserve"> (</w:t>
      </w:r>
      <w:r w:rsidRPr="00087A72">
        <w:rPr>
          <w:rStyle w:val="StyleUnderline"/>
        </w:rPr>
        <w:t>or</w:t>
      </w:r>
      <w:r w:rsidRPr="00087A72">
        <w:rPr>
          <w:sz w:val="16"/>
        </w:rPr>
        <w:t xml:space="preserve"> even </w:t>
      </w:r>
      <w:r w:rsidRPr="00087A72">
        <w:rPr>
          <w:rStyle w:val="StyleUnderline"/>
        </w:rPr>
        <w:t>collectives</w:t>
      </w:r>
      <w:r w:rsidRPr="00087A72">
        <w:rPr>
          <w:sz w:val="16"/>
        </w:rPr>
        <w:t xml:space="preserve">) </w:t>
      </w:r>
      <w:r w:rsidRPr="00087A72">
        <w:rPr>
          <w:rStyle w:val="StyleUnderline"/>
        </w:rPr>
        <w:t>that might be referred to as something other than settlers by Indigenous peoples, perhaps as cousins</w:t>
      </w:r>
      <w:r w:rsidRPr="00087A72">
        <w:rPr>
          <w:sz w:val="16"/>
        </w:rPr>
        <w:t xml:space="preserve">. Or in a similar vein, that </w:t>
      </w:r>
      <w:r w:rsidRPr="00087A72">
        <w:rPr>
          <w:rStyle w:val="StyleUnderline"/>
        </w:rPr>
        <w:t xml:space="preserve">there have been and are practices by settlers that </w:t>
      </w:r>
      <w:r w:rsidRPr="00087A72">
        <w:rPr>
          <w:rStyle w:val="Emphasis"/>
        </w:rPr>
        <w:t>aren’t colonial</w:t>
      </w:r>
      <w:r w:rsidRPr="00087A72">
        <w:rPr>
          <w:sz w:val="16"/>
        </w:rPr>
        <w:t xml:space="preserve"> (</w:t>
      </w:r>
      <w:r w:rsidRPr="00087A72">
        <w:rPr>
          <w:rStyle w:val="StyleUnderline"/>
        </w:rPr>
        <w:t>and here is where centering Indigenous peoples’ accounts of Indigenous-settler relations, as well as their own governance, legal and diplomatic orders is crucial</w:t>
      </w:r>
      <w:r w:rsidRPr="00087A72">
        <w:rPr>
          <w:sz w:val="16"/>
        </w:rPr>
        <w:t xml:space="preserve">). But I think </w:t>
      </w:r>
      <w:r w:rsidRPr="00087A72">
        <w:rPr>
          <w:rStyle w:val="StyleUnderline"/>
        </w:rPr>
        <w:t>it’s just as important to recognize that these relations have and do not occur despite settler colonial and imperial logics, and</w:t>
      </w:r>
      <w:r w:rsidRPr="00087A72">
        <w:rPr>
          <w:sz w:val="16"/>
        </w:rPr>
        <w:t xml:space="preserve"> thus </w:t>
      </w:r>
      <w:r w:rsidRPr="00087A72">
        <w:rPr>
          <w:rStyle w:val="Emphasis"/>
        </w:rPr>
        <w:t>outside of the binary</w:t>
      </w:r>
      <w:r w:rsidRPr="00087A72">
        <w:rPr>
          <w:sz w:val="16"/>
        </w:rPr>
        <w:t xml:space="preserve">. Rather, </w:t>
      </w:r>
      <w:r w:rsidRPr="00087A72">
        <w:rPr>
          <w:rStyle w:val="StyleUnderline"/>
        </w:rPr>
        <w:t>such relations occur in the face of it</w:t>
      </w:r>
      <w:r w:rsidRPr="00087A72">
        <w:rPr>
          <w:sz w:val="16"/>
        </w:rPr>
        <w:t xml:space="preserve">. The binary then is fundamental as the logics that uphold the binary cannot be ignored due to the existence of possiblly good relations as the logics that uphold the binary threaten those relations through the pursuit of the elimination of Indigenous peoples. </w:t>
      </w:r>
      <w:r w:rsidRPr="00087A72">
        <w:rPr>
          <w:sz w:val="16"/>
          <w:szCs w:val="16"/>
        </w:rPr>
        <w:t xml:space="preserve">Rita: Yet, how do we act in light of these entanglements, and with, rather than overcoming differences? </w:t>
      </w:r>
      <w:r w:rsidRPr="00087A72">
        <w:rPr>
          <w:rStyle w:val="StyleUnderline"/>
        </w:rPr>
        <w:t>Corey</w:t>
      </w:r>
      <w:r w:rsidRPr="00087A72">
        <w:rPr>
          <w:sz w:val="16"/>
        </w:rPr>
        <w:t xml:space="preserve">: Tuck and Yang (2012) had this really great article, “Decolonization is not a Metaphor.” In it, they talk about the importance of an ethics of incommensurability – a recognition of how anti-racist and anti-capitalist struggles are incommensurable with decolonization. But what I’ve been thinking about recently is whether these struggles are incompatible. For example, in the Indigenous resurgence literature, there is a turn away, but it’s also not an outright rejection. It also demands settlers to change. Yet </w:t>
      </w:r>
      <w:r w:rsidRPr="00087A72">
        <w:rPr>
          <w:rStyle w:val="StyleUnderline"/>
        </w:rPr>
        <w:t xml:space="preserve">recognizing that settlers are (re)produced, the change demanded is </w:t>
      </w:r>
      <w:r w:rsidRPr="00087A72">
        <w:rPr>
          <w:rStyle w:val="Emphasis"/>
        </w:rPr>
        <w:t>not just an individual transformation</w:t>
      </w:r>
      <w:r w:rsidRPr="00087A72">
        <w:rPr>
          <w:rStyle w:val="StyleUnderline"/>
        </w:rPr>
        <w:t xml:space="preserve">, but one </w:t>
      </w:r>
      <w:r w:rsidRPr="00087A72">
        <w:rPr>
          <w:rStyle w:val="Emphasis"/>
        </w:rPr>
        <w:t>connected</w:t>
      </w:r>
      <w:r w:rsidRPr="00087A72">
        <w:rPr>
          <w:rStyle w:val="StyleUnderline"/>
        </w:rPr>
        <w:t xml:space="preserve"> to broader social, economic, and political justice. There are</w:t>
      </w:r>
      <w:r w:rsidRPr="00087A72">
        <w:rPr>
          <w:sz w:val="16"/>
        </w:rPr>
        <w:t xml:space="preserve"> then, it seems, potential </w:t>
      </w:r>
      <w:r w:rsidRPr="00087A72">
        <w:rPr>
          <w:rStyle w:val="Emphasis"/>
        </w:rPr>
        <w:t>lines of affinity</w:t>
      </w:r>
      <w:r w:rsidRPr="00087A72">
        <w:rPr>
          <w:rStyle w:val="StyleUnderline"/>
        </w:rPr>
        <w:t xml:space="preserve"> between decolonization and others</w:t>
      </w:r>
      <w:r w:rsidRPr="00087A72">
        <w:rPr>
          <w:sz w:val="16"/>
        </w:rPr>
        <w:t xml:space="preserve">, though incommensurable, </w:t>
      </w:r>
      <w:r w:rsidRPr="00087A72">
        <w:rPr>
          <w:rStyle w:val="StyleUnderline"/>
        </w:rPr>
        <w:t>struggles</w:t>
      </w:r>
      <w:r w:rsidRPr="00087A72">
        <w:rPr>
          <w:sz w:val="16"/>
        </w:rPr>
        <w:t xml:space="preserve">. And </w:t>
      </w:r>
      <w:r w:rsidRPr="00087A72">
        <w:rPr>
          <w:rStyle w:val="StyleUnderline"/>
        </w:rPr>
        <w:t>in order to sustain this compatibility</w:t>
      </w:r>
      <w:r w:rsidRPr="00087A72">
        <w:rPr>
          <w:sz w:val="16"/>
        </w:rPr>
        <w:t xml:space="preserve"> in the face of incommensurability, </w:t>
      </w:r>
      <w:r w:rsidRPr="00087A72">
        <w:rPr>
          <w:rStyle w:val="Emphasis"/>
        </w:rPr>
        <w:t>relationships are essential</w:t>
      </w:r>
      <w:r w:rsidRPr="00087A72">
        <w:rPr>
          <w:sz w:val="16"/>
        </w:rPr>
        <w:t xml:space="preserve"> in order </w:t>
      </w:r>
      <w:r w:rsidRPr="00087A72">
        <w:rPr>
          <w:rStyle w:val="StyleUnderline"/>
        </w:rPr>
        <w:t>to maintain accountability and to resist repeating colonial and other relations of domination, as well as</w:t>
      </w:r>
      <w:r w:rsidRPr="00087A72">
        <w:rPr>
          <w:sz w:val="16"/>
        </w:rPr>
        <w:t xml:space="preserve">, in very strategic terms, </w:t>
      </w:r>
      <w:r w:rsidRPr="00087A72">
        <w:rPr>
          <w:rStyle w:val="StyleUnderline"/>
        </w:rPr>
        <w:t>in supporting each other’s resistance</w:t>
      </w:r>
      <w:r w:rsidRPr="00087A72">
        <w:rPr>
          <w:sz w:val="16"/>
        </w:rPr>
        <w:t xml:space="preserve">. </w:t>
      </w:r>
    </w:p>
    <w:p w:rsidR="00792F86" w:rsidRPr="00087A72" w:rsidRDefault="00792F86" w:rsidP="00496C79">
      <w:pPr>
        <w:pStyle w:val="Heading2"/>
      </w:pPr>
      <w:r w:rsidRPr="00087A72">
        <w:t>TOPR – Border Art</w:t>
      </w:r>
    </w:p>
    <w:p w:rsidR="00792F86" w:rsidRPr="00087A72" w:rsidRDefault="00792F86" w:rsidP="00792F86">
      <w:pPr>
        <w:pStyle w:val="Heading3"/>
      </w:pPr>
      <w:r w:rsidRPr="00087A72">
        <w:t>Permutation</w:t>
      </w:r>
    </w:p>
    <w:p w:rsidR="000314EC" w:rsidRPr="00087A72" w:rsidRDefault="000314EC" w:rsidP="000314EC">
      <w:pPr>
        <w:pStyle w:val="Heading4"/>
        <w:rPr>
          <w:rStyle w:val="Style13ptBold"/>
          <w:b/>
        </w:rPr>
      </w:pPr>
      <w:r w:rsidRPr="00087A72">
        <w:rPr>
          <w:rStyle w:val="Style13ptBold"/>
          <w:b/>
        </w:rPr>
        <w:t xml:space="preserve">Graffiti is key to expanding the representation of marginalized groups. Graffiti allows for under represented groups to take part in public discourse. </w:t>
      </w:r>
    </w:p>
    <w:p w:rsidR="000314EC" w:rsidRPr="00087A72" w:rsidRDefault="000314EC" w:rsidP="000314EC">
      <w:r w:rsidRPr="00087A72">
        <w:rPr>
          <w:rStyle w:val="Style13ptBold"/>
        </w:rPr>
        <w:t>Hanauer 11</w:t>
      </w:r>
      <w:r w:rsidRPr="00087A72">
        <w:t xml:space="preserve"> (Hanauer is ADD, “The discursive construction of the separation wall at Abu Dis; Graffiti as political discourse” </w:t>
      </w:r>
      <w:r w:rsidRPr="00087A72">
        <w:rPr>
          <w:i/>
        </w:rPr>
        <w:t>Journal of Language and Politics</w:t>
      </w:r>
      <w:r w:rsidRPr="00087A72">
        <w:t>, Vol. 10, No. 3, pp 302-321) SR</w:t>
      </w:r>
    </w:p>
    <w:p w:rsidR="000314EC" w:rsidRPr="00087A72" w:rsidRDefault="000314EC" w:rsidP="000314EC">
      <w:r w:rsidRPr="00087A72">
        <w:t>The most basic definition of graffiti is as a pictorial or visual inscription on a publi- cally accessible surface (Blume, 1985; Ferrell, 1995; Gross &amp; Gross, 1993; Hanauer, 1998; Kostka, 1974; Scheibel, 1994). Graffiti is a message that is displayed, among other messages and genre, within the public sphere (Barni &amp; Bagna, 2009). What makes graffiti interesting, are the roles that this specific literacy act performs. As analysed by Hanauer (2004),</w:t>
      </w:r>
    </w:p>
    <w:p w:rsidR="000314EC" w:rsidRPr="00087A72" w:rsidRDefault="000314EC" w:rsidP="000314EC">
      <w:r w:rsidRPr="00087A72">
        <w:t>“graffiti fulfills three functions of (a) allowing the entry within public discourse of messages regarded as marginal by other media; (b) providing the individu- al with the opportunity to express controversial contents publically; and finally (c) it offers marginal groups the possibility of expressing themselves publically” (p. 29–30).</w:t>
      </w:r>
    </w:p>
    <w:p w:rsidR="000314EC" w:rsidRPr="00087A72" w:rsidRDefault="000314EC" w:rsidP="000314EC">
      <w:r w:rsidRPr="00087A72">
        <w:t>306 David I. Hanauer</w:t>
      </w:r>
    </w:p>
    <w:p w:rsidR="000314EC" w:rsidRPr="00087A72" w:rsidRDefault="000314EC" w:rsidP="000314EC">
      <w:pPr>
        <w:rPr>
          <w:u w:val="single"/>
        </w:rPr>
      </w:pPr>
      <w:r w:rsidRPr="00087A72">
        <w:t xml:space="preserve"> In other words, while </w:t>
      </w:r>
      <w:r w:rsidRPr="00087A72">
        <w:rPr>
          <w:u w:val="single"/>
        </w:rPr>
        <w:t>the public sphere is populated by a range of publically and privately owned messages, graffiti adds the voice of marginalized groups vying for public attention in most cases without explicit consent or ownership of the site of inscription or the inscription itself</w:t>
      </w:r>
      <w:r w:rsidRPr="00087A72">
        <w:t xml:space="preserve">. Graffiti is not only unofficial; it is actively anti-official offering presence to marginalized meanings a characteristic that leads Scollon &amp; Scollon (2003) and Pennycook (2009) to define this genre as transgres- sive. </w:t>
      </w:r>
      <w:r w:rsidRPr="00087A72">
        <w:rPr>
          <w:u w:val="single"/>
        </w:rPr>
        <w:t>The importance of graffiti resides in “its use as a psychological tool directed at negotiating the personal and social spheres”</w:t>
      </w:r>
      <w:r w:rsidRPr="00087A72">
        <w:t xml:space="preserve"> (Hanauer, 2004:30). The psycho- logical value of graffiti consists in the expression of personal belief and presence as well as an explicit act of group identification (Bernabei, 1996). </w:t>
      </w:r>
      <w:r w:rsidRPr="00087A72">
        <w:rPr>
          <w:u w:val="single"/>
        </w:rPr>
        <w:t>The exploration of graffiti offers an entry point into the unofficial and non-commercial messages of individuals.</w:t>
      </w:r>
      <w:r w:rsidRPr="00087A72">
        <w:t xml:space="preserve"> Sometimes, as in the case of personal tagging (the act of writing ones pseudonym), the message might be as simple as ‘the street belongs to me’ (Alonso, 1999); in other cases, it can involve complex interactions with public discourse as in the case of graffiti on boarded up windows before and after a hurricane (Alder- man &amp; Ward, 2008). However, in all cases </w:t>
      </w:r>
      <w:r w:rsidRPr="00087A72">
        <w:rPr>
          <w:u w:val="single"/>
        </w:rPr>
        <w:t>graffiti is a literacy act that brings voice within the linguistic landscape to individuals who feel that they have been margin- alized within the sphere of public discourse (Hanauer, 2004).</w:t>
      </w:r>
    </w:p>
    <w:p w:rsidR="000314EC" w:rsidRPr="00087A72" w:rsidRDefault="000314EC" w:rsidP="000314EC">
      <w:r w:rsidRPr="00087A72">
        <w:rPr>
          <w:u w:val="single"/>
        </w:rPr>
        <w:t>Graffiti, through its unrequested interjection within the public domain, is al- ways an inherently political act.</w:t>
      </w:r>
      <w:r w:rsidRPr="00087A72">
        <w:t xml:space="preserve"> Blume (1985) notes that the communicative mo- tivations of graffiti writers include the personal desire to express criticism, protest, rejection or agreement with an established position and the desire to mark out of territories. The marking of territory is usually associated with gang driven graffiti (Conquerwood, 1993); however in a study of the use of graffiti at the site of Prime minister’s Rabin’s assassination in the center of Tel-Aviv, graffiti was used as “a group formation process for the supporters of peace” and simultaneously as “a way of clearly marking the boundary (ideologically and physically) of the site of Rabin’s assassination” (Hanauer, 1998: 181). This usage of graffiti involved explicit political statements in support of the foreign policy objective of Rabin and expression of anger and disgust with right wing religious politics in Israel. In this case, political messages were deeply tied with processes of personal and group identification and the marking of a physical and symbolic border. Peteet (1996) in her analysis of Pal- estinian graffiti during the intifada points out that graffiti messages did not just “sig- nify defiance” but rather their actual “appearance gave rise to arenas of contest in which they were a vehicle or agent of power” (p. 140). At least, in the case explored by Peteet (1996) graffiti did not only express political positions but actually moti- vated political action. Accordingly, it is not surprising that graffiti can be found on the wall at Abu Dis. As with other instances of graffiti usage, the question arises as to the role of this graffiti and the way this act of public literacy interacts with the wider political and discursive domains within which the wall at Abu Dis is embedded.</w:t>
      </w:r>
    </w:p>
    <w:p w:rsidR="00792F86" w:rsidRPr="00087A72" w:rsidRDefault="00792F86" w:rsidP="00792F86">
      <w:pPr>
        <w:pStyle w:val="Heading4"/>
      </w:pPr>
      <w:r w:rsidRPr="00087A72">
        <w:t>Perm solves—only the storytelling produced by the graffiti of the aff combined with an action to decolonize can solve.</w:t>
      </w:r>
    </w:p>
    <w:p w:rsidR="00792F86" w:rsidRPr="00087A72" w:rsidRDefault="00792F86" w:rsidP="00792F86">
      <w:r w:rsidRPr="00087A72">
        <w:rPr>
          <w:rStyle w:val="Style13ptBold"/>
        </w:rPr>
        <w:t>Morris 16</w:t>
      </w:r>
      <w:r w:rsidRPr="00087A72">
        <w:t>—(Katie, Has a BA from Duke University, president of Milburn Services, “Decolonizing solidarity: cultivating relationships of discomfort”, pp 6-9 [E.W.])</w:t>
      </w:r>
    </w:p>
    <w:p w:rsidR="00792F86" w:rsidRPr="00087A72" w:rsidRDefault="00792F86" w:rsidP="00792F86">
      <w:pPr>
        <w:rPr>
          <w:sz w:val="16"/>
        </w:rPr>
      </w:pPr>
      <w:r w:rsidRPr="00087A72">
        <w:rPr>
          <w:u w:val="single"/>
        </w:rPr>
        <w:t>Telling and listening to narrative and storytelling, as a component of decolonizing solidarity relationships, serves another purpose: building resiliency for coping with the legacies of trauma and current realities of settler-colonialism(</w:t>
      </w:r>
      <w:r w:rsidRPr="00087A72">
        <w:rPr>
          <w:sz w:val="16"/>
        </w:rPr>
        <w:t xml:space="preserve">Figure2). </w:t>
      </w:r>
      <w:r w:rsidRPr="00087A72">
        <w:rPr>
          <w:u w:val="single"/>
        </w:rPr>
        <w:t>As acts of remembering, storytelling can work in direct opposition to the silencing, destruction, and ‘vilification of memory’52 that are structural elements of the ‘coloniality of power’53 that serve to erase identity and community</w:t>
      </w:r>
      <w:r w:rsidRPr="00087A72">
        <w:rPr>
          <w:sz w:val="16"/>
        </w:rPr>
        <w:t xml:space="preserve">. During my 2009 research project in the West Bank and Israel, a participant recounted explicitly using teaching/learning of narratives of other groups’ </w:t>
      </w:r>
      <w:r w:rsidRPr="00087A72">
        <w:rPr>
          <w:u w:val="single"/>
        </w:rPr>
        <w:t>struggles for fostering resilience and resistance in the face of oppression during torture and imprisonment by the settler-colonial state. 6 K. Graffiti artwork displaying transnational Indigenous recognition, West Bank, Occupied Palestinian Territories</w:t>
      </w:r>
      <w:r w:rsidRPr="00087A72">
        <w:rPr>
          <w:sz w:val="16"/>
        </w:rPr>
        <w:t xml:space="preserve">.The Separation Barrier ,also known as the Apartheid Wall, is visible in the background. </w:t>
      </w:r>
      <w:r w:rsidRPr="00087A72">
        <w:rPr>
          <w:u w:val="single"/>
        </w:rPr>
        <w:t>Graffiti artwork signed by the Israeli Coalition Against House Demolitions, painted on the Separation Barrier/ Apartheid Wall ,located in Aida Refugee Camp</w:t>
      </w:r>
      <w:r w:rsidRPr="00087A72">
        <w:rPr>
          <w:sz w:val="16"/>
        </w:rPr>
        <w:t>, Bethlehem, Occupied Palestinian Territories, 2009 In the following account, ‘prison’ means routine torture during political detention. She told me, My son, he’s 22. […] When I was 15 or 14, I remember that I read a lot of books; I knew many things about the world. Even about other nations, about other revolutions, in many places in the world</w:t>
      </w:r>
      <w:r w:rsidRPr="00087A72">
        <w:rPr>
          <w:u w:val="single"/>
        </w:rPr>
        <w:t>. So when I [went] to prison, I knew how [to] protect myself. Not to collapse, not to have these psychological problems like the children who go to prison now. What’s happening to our children and our young people, it’s really…[begins to cry] Not only a tragedy, ya’ni [I mean], it’s a war against us. They destroyed this generation.</w:t>
      </w:r>
      <w:r w:rsidRPr="00087A72">
        <w:rPr>
          <w:sz w:val="16"/>
        </w:rPr>
        <w:t xml:space="preserve"> They destroyed them. (‘Alia) What struck me about ‘Alia’s statement was that she viewed </w:t>
      </w:r>
      <w:r w:rsidRPr="00087A72">
        <w:rPr>
          <w:u w:val="single"/>
        </w:rPr>
        <w:t>contextualizing the Palestinian struggle</w:t>
      </w:r>
      <w:r w:rsidRPr="00087A72">
        <w:rPr>
          <w:sz w:val="16"/>
        </w:rPr>
        <w:t xml:space="preserve"> vis-à-vis other struggles and peoples as not only </w:t>
      </w:r>
      <w:r w:rsidRPr="00087A72">
        <w:rPr>
          <w:u w:val="single"/>
        </w:rPr>
        <w:t>useful to the struggle, but as a protective device for preserving her psychological health during and after experiencing the violence of settler colonialism and occupation</w:t>
      </w:r>
      <w:r w:rsidRPr="00087A72">
        <w:rPr>
          <w:sz w:val="16"/>
        </w:rPr>
        <w:t xml:space="preserve">. </w:t>
      </w:r>
      <w:r w:rsidRPr="00087A72">
        <w:rPr>
          <w:u w:val="single"/>
        </w:rPr>
        <w:t>Such connections can perform an educational function that can serve as resistance against the education of colonial state violence.</w:t>
      </w:r>
      <w:r w:rsidRPr="00087A72">
        <w:rPr>
          <w:sz w:val="16"/>
        </w:rPr>
        <w:t xml:space="preserve">54 Corntassel et al. show how ‘Indigenous restorying processes’ form essential parts of Indigenous ways of being and knowing. </w:t>
      </w:r>
      <w:r w:rsidRPr="00087A72">
        <w:rPr>
          <w:u w:val="single"/>
        </w:rPr>
        <w:t>Narrative ties community to place/land, and can contribute to the ‘restoration of dignity’ and honour through ‘the ability to speak in one’s own voice’,55 and resistance to colonialism</w:t>
      </w:r>
      <w:r w:rsidRPr="00087A72">
        <w:rPr>
          <w:sz w:val="16"/>
        </w:rPr>
        <w:t xml:space="preserve">. Qwul’sih’yah’maht, among others, writes that traditional storytelling plays several roles among Indigenous communities, including teaching and caring for children, maintaining connections with the land, contributing to spiritual practices, and teaching about resistance to colonialism. She writes, ‘I now understand that stories are…vital to the survival of First Nations peoples.’56 Quoting Linda Smith, Corntassel et al. write; ‘“The talk” about the colonial past is embedded in our political discourses, our humour…and other common sense ways of passing on both a narrative of history and an attitude about history.’57 In my own experiences within the Indigenous communities to which I belong as an Acadian person, </w:t>
      </w:r>
      <w:r w:rsidRPr="00087A72">
        <w:rPr>
          <w:u w:val="single"/>
        </w:rPr>
        <w:t>humour and other types of storytelling are extensively employed to strengthen community bonds through connection and as a method for coping with personal and shared pasts and present lives</w:t>
      </w:r>
      <w:r w:rsidRPr="00087A72">
        <w:rPr>
          <w:sz w:val="16"/>
        </w:rPr>
        <w:t xml:space="preserve">. One acquaintance, Mi’kmaq woman and community worker, once reminded me, ‘Laughter is good medicine.’ Dokis specifically names humour as a coping mechanism shared across multiple First Nations, and quoting American author Fixico, Dokis writes, ‘This human emotion of laughing has sustained Indian people throughout time. It is a way of survival.’58 Likewise, Denis and Traoré demonstrate that Anishinaabe and Métis people in Treaty 3 Territory (Turtle Island) use humour, spirituality, and activism as some of the main strategies for coping with everyday racism and maintaining identity. From their research, they argue that </w:t>
      </w:r>
      <w:r w:rsidRPr="00087A72">
        <w:rPr>
          <w:u w:val="single"/>
        </w:rPr>
        <w:t>humour is ‘used to reach out to, and create bonds with, potential allies and supporters’.59 Brewster additionally identifies the use of humour in Australian Indigenous literature as a tool to ‘defamiliarize whiteness’, which she sees as important for recognition</w:t>
      </w:r>
      <w:r w:rsidRPr="00087A72">
        <w:rPr>
          <w:sz w:val="16"/>
        </w:rPr>
        <w:t xml:space="preserve">.60 Can storytelling or narrative constitute a form of decolonization by itself? Corntassel et al. say no; they argue that although </w:t>
      </w:r>
      <w:r w:rsidRPr="00087A72">
        <w:rPr>
          <w:u w:val="single"/>
        </w:rPr>
        <w:t>storytelling itself can constitute resistance, storytelling must be coupled with action to be decolonizing.</w:t>
      </w:r>
      <w:r w:rsidRPr="00087A72">
        <w:rPr>
          <w:sz w:val="16"/>
        </w:rPr>
        <w:t xml:space="preserve"> The authors quote a Nuu-chah-nulth elder, Cha-chin-sun-up, that ‘teaching stories or sacred living histories’ are ‘What we do when we get up every day to make the world good.’61 Importantly, ‘storytelling respects and honours people while simultaneously documenting their reality’.62 However, 8 K. BOUDREAU MORRIS storytelling is identified by Kim Anderson in Alfred and Corntassel as one of six essential ‘foundations of resistance ’for being Indigenous…as a basis for action.’ 63 Martínez Salazar, </w:t>
      </w:r>
      <w:r w:rsidRPr="00087A72">
        <w:rPr>
          <w:u w:val="single"/>
        </w:rPr>
        <w:t>while sharing some of her own family stories, illustrates how remembering can be an act of resistance itself, because the colonial state specifically targets memory and thus Indigenous ways of knowing and being</w:t>
      </w:r>
      <w:r w:rsidRPr="00087A72">
        <w:rPr>
          <w:sz w:val="16"/>
        </w:rPr>
        <w:t>.64 Literature concerned with Palestinian resistance and histories may function similarly</w:t>
      </w:r>
      <w:r w:rsidRPr="00087A72">
        <w:rPr>
          <w:u w:val="single"/>
        </w:rPr>
        <w:t>. Abdo demonstrates the role of storying and memory in coping and resistance, putting into practice storytelling as anti-colonial resistance</w:t>
      </w:r>
      <w:r w:rsidRPr="00087A72">
        <w:rPr>
          <w:sz w:val="16"/>
        </w:rPr>
        <w:t xml:space="preserve">. She examines oral histories of Palestinian women political detainees in Israeli prisons, and contributes her own stories of her personal experiences, in order to document and re-tell the conditions of detainment, and, importantly, the women’s actions as anti-colonial struggle. Significantly, Abdo draws on links with other national contexts. </w:t>
      </w:r>
      <w:r w:rsidRPr="00087A72">
        <w:rPr>
          <w:u w:val="single"/>
        </w:rPr>
        <w:t>She demonstrates that resistance literature serves an important function for Palestinians (in this case, women) in feeding and supporting anticolonial struggle</w:t>
      </w:r>
      <w:r w:rsidRPr="00087A72">
        <w:rPr>
          <w:sz w:val="16"/>
        </w:rPr>
        <w:t xml:space="preserve">,65 and drawing from Harlow, that narratives, mostly in the form of oral storytelling but also as written history, are ‘important constituents of…resistance culture in general’ and of ‘resistance to colonialism and occupation’ specifically.66 Abdo writes, </w:t>
      </w:r>
      <w:r w:rsidRPr="00087A72">
        <w:rPr>
          <w:u w:val="single"/>
        </w:rPr>
        <w:t>For Palestinian refugees, memory of the past represents the fuel for their survival and acts as a force in maintaining and reproducing their claim as the rightful owners of the physical/ material space called Palestine. It serves to keep them and their identity intact, and feeds their hope for a just future.</w:t>
      </w:r>
      <w:r w:rsidRPr="00087A72">
        <w:rPr>
          <w:sz w:val="16"/>
        </w:rPr>
        <w:t xml:space="preserve"> It also cements the material/geographical map of their homeland.67 </w:t>
      </w:r>
      <w:r w:rsidRPr="00087A72">
        <w:rPr>
          <w:u w:val="single"/>
        </w:rPr>
        <w:t>Narrative strengthens community, existence as a nation, and communities’ relationships with the land</w:t>
      </w:r>
      <w:r w:rsidRPr="00087A72">
        <w:rPr>
          <w:sz w:val="16"/>
        </w:rPr>
        <w:t xml:space="preserve">. As settlers working in solidarity, </w:t>
      </w:r>
      <w:r w:rsidRPr="00087A72">
        <w:rPr>
          <w:u w:val="single"/>
        </w:rPr>
        <w:t>our role is to recognize the importance of Indigenous narratives, to listen without re-centring settler narratives, attempting to shed settler identity</w:t>
      </w:r>
      <w:r w:rsidRPr="00087A72">
        <w:rPr>
          <w:sz w:val="16"/>
        </w:rPr>
        <w:t xml:space="preserve">, or expectations of Indigenous responsibility to educate on demand, and </w:t>
      </w:r>
      <w:r w:rsidRPr="00087A72">
        <w:rPr>
          <w:u w:val="single"/>
        </w:rPr>
        <w:t>then pair knowledge with action in order to engage in decolonization</w:t>
      </w:r>
      <w:r w:rsidRPr="00087A72">
        <w:rPr>
          <w:sz w:val="16"/>
        </w:rPr>
        <w:t>. Ultimately, ‘the part to be played by the settler coloniser is to cease perpetuating the colonising of indigenous peoples’.68</w:t>
      </w:r>
    </w:p>
    <w:p w:rsidR="000314EC" w:rsidRPr="00087A72" w:rsidRDefault="000314EC" w:rsidP="00792F86">
      <w:pPr>
        <w:pStyle w:val="Heading3"/>
      </w:pPr>
      <w:r w:rsidRPr="00087A72">
        <w:t>Permutation – Indigenous Art</w:t>
      </w:r>
    </w:p>
    <w:p w:rsidR="000314EC" w:rsidRPr="00087A72" w:rsidRDefault="000314EC" w:rsidP="000314EC">
      <w:pPr>
        <w:pStyle w:val="Heading4"/>
      </w:pPr>
      <w:r w:rsidRPr="00087A72">
        <w:t xml:space="preserve">Indigenous art engages in challenges colonization and is a form of resistance against settler colonialism </w:t>
      </w:r>
    </w:p>
    <w:p w:rsidR="000314EC" w:rsidRPr="00087A72" w:rsidRDefault="000314EC" w:rsidP="000314EC">
      <w:pPr>
        <w:rPr>
          <w:sz w:val="26"/>
        </w:rPr>
      </w:pPr>
      <w:r w:rsidRPr="00087A72">
        <w:rPr>
          <w:rStyle w:val="Style13ptBold"/>
        </w:rPr>
        <w:t xml:space="preserve">Martineau, Ritskes 14 </w:t>
      </w:r>
      <w:r w:rsidRPr="00087A72">
        <w:rPr>
          <w:rStyle w:val="Style13ptBold"/>
          <w:b w:val="0"/>
        </w:rPr>
        <w:t xml:space="preserve">(Martineau is ADD, Ritskes is ADD. “Fugitive indigeneity: Reclaming terrain of decolonial struggle through Indigenous art” </w:t>
      </w:r>
      <w:r w:rsidRPr="00087A72">
        <w:rPr>
          <w:rStyle w:val="Style13ptBold"/>
          <w:b w:val="0"/>
          <w:i/>
        </w:rPr>
        <w:t xml:space="preserve">Decolonization: Indigeneity, Education &amp; Society, </w:t>
      </w:r>
      <w:r w:rsidRPr="00087A72">
        <w:rPr>
          <w:rStyle w:val="Style13ptBold"/>
          <w:b w:val="0"/>
        </w:rPr>
        <w:t>Vol. 3, No. 1, pp 1-10.)SR</w:t>
      </w:r>
    </w:p>
    <w:p w:rsidR="000314EC" w:rsidRPr="00087A72" w:rsidRDefault="000314EC" w:rsidP="000314EC">
      <w:pPr>
        <w:rPr>
          <w:sz w:val="16"/>
          <w:szCs w:val="16"/>
        </w:rPr>
      </w:pPr>
      <w:r w:rsidRPr="00087A72">
        <w:rPr>
          <w:sz w:val="16"/>
          <w:szCs w:val="16"/>
        </w:rPr>
        <w:t>Indigenous art is inherently political. As Anishinaabe curator Wanda Nanibush (2014) recently stated, “Our art forms are never separate from our political forms</w:t>
      </w:r>
      <w:r w:rsidRPr="00087A72">
        <w:rPr>
          <w:sz w:val="16"/>
          <w:szCs w:val="16"/>
          <w:u w:val="single"/>
        </w:rPr>
        <w:t>.”</w:t>
      </w:r>
      <w:r w:rsidRPr="00087A72">
        <w:rPr>
          <w:u w:val="single"/>
        </w:rPr>
        <w:t xml:space="preserve"> Indigenous art thus occupies a unique space within settler colonialism: both as a site for articulating Indigenous resistance and resurgence, and also as a creative praxis that often reinscribes indigeneity within aesthetic and commodity forms that circulate in the capitalist art market</w:t>
      </w:r>
      <w:r w:rsidRPr="00087A72">
        <w:rPr>
          <w:sz w:val="16"/>
          <w:szCs w:val="16"/>
        </w:rPr>
        <w:t>. Against colonial erasure, Indigenous art marks the space of a returned and enduring presence. But this presence is complicated by its fraught relationality to the persistence of settler colonialism, which always threatens to reappropriate, assimilate, subsume/consume and repress Indigenous voicings and visuality, their forms and aesthetics, within its hegemonic logic of domination.</w:t>
      </w:r>
      <w:r w:rsidRPr="00087A72">
        <w:t xml:space="preserve"> </w:t>
      </w:r>
      <w:r w:rsidRPr="00087A72">
        <w:rPr>
          <w:u w:val="single"/>
        </w:rPr>
        <w:t>Indigenous art disrupts colonial hegemony by fracturing the sensible architecture of experience that is constitutive of the aesthetic regime itself - the normative order, or ‘distribution of the sensible’ - that frames both political and artistic potentialities, as such.</w:t>
      </w:r>
      <w:r w:rsidRPr="00087A72">
        <w:t xml:space="preserve"> </w:t>
      </w:r>
      <w:r w:rsidRPr="00087A72">
        <w:rPr>
          <w:sz w:val="16"/>
          <w:szCs w:val="16"/>
        </w:rPr>
        <w:t>This issue engages Indigenous art, aesthetics and decolonial struggle as a collective processual undertaking that expresses historical and ongoing Indigenous contestations and escape routes from Euro civility, and its containment of “art” and “cultural” production to the professionalized, individual realm. As Arturo Escobar (2007) has suggested, decolonial aesthetics both breaks from coloniality’s reliance on hyper-individualism to maintain this world, and diffuses itself through shared artistic processes to imagine “worlds otherwise.”</w:t>
      </w:r>
      <w:r w:rsidRPr="00087A72">
        <w:t xml:space="preserve"> </w:t>
      </w:r>
      <w:r w:rsidRPr="00087A72">
        <w:rPr>
          <w:u w:val="single"/>
        </w:rPr>
        <w:t>It is a process of creating new radical subjectivities premised on Indigenous survival and re-emergence, similar to processes undertaken by other communities engaged in decolonial struggle.</w:t>
      </w:r>
      <w:r w:rsidRPr="00087A72">
        <w:t xml:space="preserve"> </w:t>
      </w:r>
      <w:r w:rsidRPr="00087A72">
        <w:rPr>
          <w:sz w:val="16"/>
          <w:szCs w:val="16"/>
        </w:rPr>
        <w:t xml:space="preserve">Elaborating on this idea in the context of the Black radical tradition, Joy James and Edmund Gordon (2008) say that, “The unfolding of self within the collective, just as the self develops in its individuality, is likely to be the foundation for radical subjectivity” (p. 368). </w:t>
      </w:r>
      <w:r w:rsidRPr="00087A72">
        <w:rPr>
          <w:u w:val="single"/>
        </w:rPr>
        <w:t>This means the task of decolonial artists, scholars and activists is not simply to offer amendments or edits to the current world, but to display the mutual sacrifice and relationality needed to sabotage colonial systems of thought and power for the purpose of liberatory alternatives. Indigenous art reclaims and revitalizes the inherent creative potentiality of art to be activated in political struggle, not as an inseparable aesthetic experience but embedded in the embodied daily life experience of Indigenous Peoples, settlers and others globally</w:t>
      </w:r>
      <w:r w:rsidRPr="00087A72">
        <w:t xml:space="preserve">. </w:t>
      </w:r>
      <w:r w:rsidRPr="00087A72">
        <w:rPr>
          <w:sz w:val="16"/>
          <w:szCs w:val="16"/>
        </w:rPr>
        <w:t>For those artists who take up the challenge of working within this vision, decolonial aesthetics “seeks to recognize and open options for liberating the senses” (Transnational Decolonial Institute, 2013 – emphasis added).</w:t>
      </w:r>
      <w:r w:rsidRPr="00087A72">
        <w:rPr>
          <w:sz w:val="16"/>
          <w:szCs w:val="16"/>
          <w:u w:val="single"/>
        </w:rPr>
        <w:t xml:space="preserve"> </w:t>
      </w:r>
      <w:r w:rsidRPr="00087A72">
        <w:rPr>
          <w:sz w:val="16"/>
          <w:szCs w:val="16"/>
        </w:rPr>
        <w:t>In this issue, we propose to engage and move beyond a framework for understanding “ongoing artistic projects responding and delinking from the darker side of imperial globalization”, to re-center Indigenous land, communities and cultures as the force that energizes decolonization and provides fugitive possibilities for movement and creative expression. In this emerging field, as articulated and set in motion by many of the scholars and others represented by the Transnational Decolonial Institute, decolonization is frequently represented, conceptually, in expressions of “epistemic disobedience” (Mignolo, 2011) and discursive “de-linkings” (Mignolo, 2007) from colonial thought. Decolonization becomes defined and pursued in terms that center liberation of the mind (wa Thiong’o, 1986), over land and body</w:t>
      </w:r>
      <w:r w:rsidRPr="00087A72">
        <w:t xml:space="preserve">. </w:t>
      </w:r>
      <w:r w:rsidRPr="00087A72">
        <w:rPr>
          <w:u w:val="single"/>
        </w:rPr>
        <w:t>While we see so-called epistemic disobedience and de-linking as necessary and important aspects of decolonizing art and struggle, we choose to anchor our use of aesthetics within the artistic praxis of artists and communities engaged in material struggle for decolonization - those that connect to Fanon’s (1963) call to liberate “land and bread</w:t>
      </w:r>
      <w:r w:rsidRPr="00087A72">
        <w:rPr>
          <w:sz w:val="16"/>
          <w:szCs w:val="16"/>
          <w:u w:val="single"/>
        </w:rPr>
        <w:t>”</w:t>
      </w:r>
      <w:r w:rsidRPr="00087A72">
        <w:rPr>
          <w:sz w:val="16"/>
          <w:szCs w:val="16"/>
        </w:rPr>
        <w:t xml:space="preserve"> (p. 44). As anticolonial activist-intellectuals like Amilcar Cabral have warned, if all we seek is decolonization of the mind, then we will have already conceded the loss of the most precious and transformative foundation of decolonization: land and place. Theory removed from the land, removed from practice, and detached from the contexts that give it form and content propose a decolonizing strategy that risks metaphorizing its constitutive ground. Land and place must remain at the center of decolonial thought and practice because, “wherever our heads might be, our feet are planted on the ground, on the land” (Cabral, 1979, p. 44). With this in mind, and in the spirit of reclaiming the literal, discursive and imaginative terrain of decolonial struggle, this special issue seeks a generative ‘break’ from the dialectics of coloniality and modernity, one that recenters - in both form and experience - Indigenous existences, art, culture, and creative contentions with colonialism founded on place-based relationships to land, people and community.</w:t>
      </w:r>
      <w:r w:rsidRPr="00087A72">
        <w:t xml:space="preserve"> </w:t>
      </w:r>
      <w:r w:rsidRPr="00087A72">
        <w:rPr>
          <w:u w:val="single"/>
        </w:rPr>
        <w:t>The terrain of the everyday maps our experiences of contemporary colonialism and it is within these localized sites of creative engagement that we trace evolving articulations of Indigenous resurgence that break the vow of silence and invisibility demanded of Indigenous Peoples by settler society, both here (where we write, on unceded Haudenosaunee/Anishinaabe territory &amp; Lenape territory) and around the globe. In considering the role of cultural production in decolonization and the ways in which art can contribute to the revitalization of Indigenous nationhood, we believe that it is necessary both to foreground Indigenous creative practices and to explicate the connections between art, activism, resistance and resurgence.</w:t>
      </w:r>
      <w:r w:rsidRPr="00087A72">
        <w:t xml:space="preserve"> </w:t>
      </w:r>
      <w:r w:rsidRPr="00087A72">
        <w:rPr>
          <w:sz w:val="16"/>
          <w:szCs w:val="16"/>
        </w:rPr>
        <w:t>Although rendering creativity instrumental to an explicitly stated politics or political project would be a reductive framing of the liberating potentialities of Indigenous art, it is necessary to consider the ways in which it can disrupt the normative order of the political status quo and, thereby, give voice to new emergences, subjectivities and understandings.</w:t>
      </w:r>
    </w:p>
    <w:p w:rsidR="000314EC" w:rsidRPr="00087A72" w:rsidRDefault="000314EC" w:rsidP="000314EC"/>
    <w:p w:rsidR="000D6F2C" w:rsidRPr="00087A72" w:rsidRDefault="000D6F2C" w:rsidP="00792F86">
      <w:pPr>
        <w:pStyle w:val="Heading3"/>
      </w:pPr>
      <w:r w:rsidRPr="00087A72">
        <w:t>Border Art Good</w:t>
      </w:r>
    </w:p>
    <w:p w:rsidR="000D6F2C" w:rsidRPr="00087A72" w:rsidRDefault="000D6F2C" w:rsidP="000D6F2C">
      <w:pPr>
        <w:pStyle w:val="Heading4"/>
      </w:pPr>
      <w:r w:rsidRPr="00087A72">
        <w:t xml:space="preserve">Border art good- Border art visually exposes political situations </w:t>
      </w:r>
    </w:p>
    <w:p w:rsidR="000D6F2C" w:rsidRPr="00087A72" w:rsidRDefault="000D6F2C" w:rsidP="000D6F2C">
      <w:r w:rsidRPr="00087A72">
        <w:rPr>
          <w:rStyle w:val="Style13ptBold"/>
        </w:rPr>
        <w:t>Szary 12</w:t>
      </w:r>
      <w:r w:rsidRPr="00087A72">
        <w:t xml:space="preserve"> (Anne-Laure Amilhat ,  Professor at Grenoble-Alpes University, France. After studies in Paris (Ecole Normale Supérieure and Paris Sorbonne &amp; Nanterre Universities), she completed a Ph.D in Geography in the Latin American Research center of Toulouse University in 1999. Since September 2000, she is Professor in Grenoble, at the Geography Department, “Walls and Border Art: The Politics of Art Display, Journal of Borderlands Studies”, pgg:214-215 AB)</w:t>
      </w:r>
    </w:p>
    <w:p w:rsidR="000D6F2C" w:rsidRPr="00087A72" w:rsidRDefault="000D6F2C" w:rsidP="000D6F2C">
      <w:pPr>
        <w:rPr>
          <w:b/>
          <w:iCs/>
          <w:sz w:val="24"/>
          <w:u w:val="single"/>
        </w:rPr>
      </w:pPr>
      <w:r w:rsidRPr="00087A72">
        <w:rPr>
          <w:sz w:val="16"/>
        </w:rPr>
        <w:t xml:space="preserve">Our aim is to determine what form of Promethean representation of the world can bring the instigators of such projects to believe that an artifact, however tall and technological it may be, will be able to contain global flows. </w:t>
      </w:r>
      <w:r w:rsidRPr="00087A72">
        <w:rPr>
          <w:rStyle w:val="Emphasis"/>
        </w:rPr>
        <w:t xml:space="preserve">Understanding walls as narratives leads us to detect that a certain conception of power and politics is at stake </w:t>
      </w:r>
      <w:r w:rsidRPr="00087A72">
        <w:rPr>
          <w:sz w:val="16"/>
        </w:rPr>
        <w:t xml:space="preserve">when, paradoxically, most walls are built by democracies. The closed border plays the role of a new symptom (an original assemblage of old political modalities) revealing the evolution of the relationship of our societies to their space. </w:t>
      </w:r>
      <w:r w:rsidRPr="00087A72">
        <w:rPr>
          <w:rStyle w:val="Emphasis"/>
        </w:rPr>
        <w:t>The need for spatial border demarcation, which walls express, participates in a need of showing the intangible: the issue is no longer to reassure the community on its coherence but on its mere existence, opposing an inside to an outside by tracing a wall.</w:t>
      </w:r>
      <w:r w:rsidRPr="00087A72">
        <w:t xml:space="preserve"> </w:t>
      </w:r>
      <w:r w:rsidRPr="00087A72">
        <w:rPr>
          <w:sz w:val="16"/>
        </w:rPr>
        <w:t xml:space="preserve">Both the existence of the state and that of the nation on which it can build are at stake through this kind of representation of power. Only they can justify the possibility of investing so much material and symbolic energy. This article suggests that </w:t>
      </w:r>
      <w:r w:rsidRPr="00087A72">
        <w:rPr>
          <w:rStyle w:val="Emphasis"/>
        </w:rPr>
        <w:t>we should understand the wall as a projection of political intentionality, which amounts to imposing a transformation of spatial markers, concerning both those who live within the concerned landscape, but also</w:t>
      </w:r>
      <w:r w:rsidRPr="00087A72">
        <w:t xml:space="preserve"> </w:t>
      </w:r>
      <w:r w:rsidRPr="00087A72">
        <w:rPr>
          <w:sz w:val="16"/>
        </w:rPr>
        <w:t xml:space="preserve">(and above all?) </w:t>
      </w:r>
      <w:r w:rsidRPr="00087A72">
        <w:rPr>
          <w:rStyle w:val="Emphasis"/>
        </w:rPr>
        <w:t>those who will receive its images</w:t>
      </w:r>
      <w:r w:rsidRPr="00087A72">
        <w:t xml:space="preserve">. </w:t>
      </w:r>
      <w:r w:rsidRPr="00087A72">
        <w:rPr>
          <w:rStyle w:val="Emphasis"/>
        </w:rPr>
        <w:t>This implies that we consider closed borders as material artifacts whose performative power is extremely strong.</w:t>
      </w:r>
      <w:r w:rsidRPr="00087A72">
        <w:t xml:space="preserve"> </w:t>
      </w:r>
      <w:r w:rsidRPr="00087A72">
        <w:rPr>
          <w:sz w:val="16"/>
        </w:rPr>
        <w:t xml:space="preserve">This complex proposal can be evidenced by the interventions, which artists undertake on walled borders, thus trying to transform the imposed image. </w:t>
      </w:r>
      <w:r w:rsidRPr="00087A72">
        <w:rPr>
          <w:rStyle w:val="Emphasis"/>
        </w:rPr>
        <w:t>If the work of art can first appear as a kind of symbolic crossing of the border, it also opens the possibility of interpreting the closing of borders as a landscape intervention</w:t>
      </w:r>
      <w:r w:rsidRPr="00087A72">
        <w:rPr>
          <w:rStyle w:val="Emphasis"/>
          <w:sz w:val="16"/>
        </w:rPr>
        <w:t>.</w:t>
      </w:r>
      <w:r w:rsidRPr="00087A72">
        <w:rPr>
          <w:sz w:val="16"/>
        </w:rPr>
        <w:t xml:space="preserve"> To the violence of the wall can only be opposed its diversion. By becoming the support of artistic Journal of Borderlands Studies | 27.2 - 2012 214 productions which embody various figures of contestation, the wall allows the population who had been deprived of expression to seize the word. The Berlin Wall is often quoted as the most characteristic example, even if it was painted only on one side. The research on which the text is built is based on the report that a growing number of artistic projects are located in the US–Mexico borderland. Some are referenced and analyzed, and it seems that a geopolitical focus is emerging (Berelowitz 2006; Iglesias Prieto 2007). What this article will endeavor to understand is that</w:t>
      </w:r>
      <w:r w:rsidRPr="00087A72">
        <w:t xml:space="preserve"> </w:t>
      </w:r>
      <w:r w:rsidRPr="00087A72">
        <w:rPr>
          <w:rStyle w:val="Emphasis"/>
        </w:rPr>
        <w:t>fencing a border not only activates but reactivates a cultural production on the significance and meanings of international limits and also transforms the original meaning of the fence itself.</w:t>
      </w:r>
      <w:r w:rsidRPr="00087A72">
        <w:t xml:space="preserve"> </w:t>
      </w:r>
      <w:r w:rsidRPr="00087A72">
        <w:rPr>
          <w:rStyle w:val="Emphasis"/>
        </w:rPr>
        <w:t>On the US–Mexican border</w:t>
      </w:r>
      <w:r w:rsidRPr="00087A72">
        <w:t xml:space="preserve">, </w:t>
      </w:r>
      <w:r w:rsidRPr="00087A72">
        <w:rPr>
          <w:sz w:val="16"/>
        </w:rPr>
        <w:t xml:space="preserve">for instance, it seems that since 2006, </w:t>
      </w:r>
      <w:r w:rsidRPr="00087A72">
        <w:rPr>
          <w:rStyle w:val="Emphasis"/>
        </w:rPr>
        <w:t>constructing the security-fence building has been accompanied by an artistic upsurge, which is nuanced by a shift in the nature of the production,</w:t>
      </w:r>
      <w:r w:rsidRPr="00087A72">
        <w:t xml:space="preserve"> </w:t>
      </w:r>
      <w:r w:rsidRPr="00087A72">
        <w:rPr>
          <w:sz w:val="16"/>
        </w:rPr>
        <w:t xml:space="preserve">with more mobile artworks, notably performances and cinematic projects. Everything happens as if the fixity imposed by the line creates a fluid response. It can easily be understood that “Where social scientists describe discursively, </w:t>
      </w:r>
      <w:r w:rsidRPr="00087A72">
        <w:rPr>
          <w:rStyle w:val="Emphasis"/>
        </w:rPr>
        <w:t>artists create symbolic models that succinctly capture intense personal experiences in the social environment and structure</w:t>
      </w:r>
      <w:r w:rsidRPr="00087A72">
        <w:t xml:space="preserve">” (Berelowitz 2006); </w:t>
      </w:r>
      <w:r w:rsidRPr="00087A72">
        <w:rPr>
          <w:sz w:val="16"/>
        </w:rPr>
        <w:t xml:space="preserve">but the political weight of these artistic displays has yet to be discussed more extensively. In this context, a geographer’s conceptual toolbox can be very useful for analyzing and explaining the relationship of the artwork with the space/place it is located. </w:t>
      </w:r>
      <w:r w:rsidRPr="00087A72">
        <w:rPr>
          <w:rStyle w:val="Emphasis"/>
        </w:rPr>
        <w:t>Landscape theory appears as</w:t>
      </w:r>
      <w:r w:rsidRPr="00087A72">
        <w:t xml:space="preserve"> </w:t>
      </w:r>
      <w:r w:rsidRPr="00087A72">
        <w:rPr>
          <w:sz w:val="16"/>
        </w:rPr>
        <w:t xml:space="preserve">one of those tools, when used as </w:t>
      </w:r>
      <w:r w:rsidRPr="00087A72">
        <w:rPr>
          <w:rStyle w:val="Emphasis"/>
        </w:rPr>
        <w:t>a geopolitical narrative</w:t>
      </w:r>
      <w:r w:rsidRPr="00087A72">
        <w:t xml:space="preserve">. </w:t>
      </w:r>
      <w:r w:rsidRPr="00087A72">
        <w:rPr>
          <w:sz w:val="16"/>
        </w:rPr>
        <w:t xml:space="preserve">Hence, I will present the </w:t>
      </w:r>
      <w:r w:rsidRPr="00087A72">
        <w:rPr>
          <w:rStyle w:val="Emphasis"/>
        </w:rPr>
        <w:t>geopolitical conditions of the genesis of the art productions</w:t>
      </w:r>
      <w:r w:rsidRPr="00087A72">
        <w:rPr>
          <w:sz w:val="16"/>
        </w:rPr>
        <w:t xml:space="preserve"> that </w:t>
      </w:r>
      <w:r w:rsidRPr="00087A72">
        <w:rPr>
          <w:rStyle w:val="Emphasis"/>
        </w:rPr>
        <w:t>lead to border displays</w:t>
      </w:r>
      <w:r w:rsidRPr="00087A72">
        <w:t xml:space="preserve">, </w:t>
      </w:r>
      <w:r w:rsidRPr="00087A72">
        <w:rPr>
          <w:sz w:val="16"/>
        </w:rPr>
        <w:t>and on the conditions of reception of such creations</w:t>
      </w:r>
      <w:r w:rsidRPr="00087A72">
        <w:t xml:space="preserve">. </w:t>
      </w:r>
      <w:r w:rsidRPr="00087A72">
        <w:rPr>
          <w:rStyle w:val="Emphasis"/>
        </w:rPr>
        <w:t>The US–Mexico border appears as a very fertile area for fieldwork to improve our understanding and knowledge on the politics of art display.</w:t>
      </w:r>
    </w:p>
    <w:p w:rsidR="00792F86" w:rsidRPr="00087A72" w:rsidRDefault="00792F86" w:rsidP="00792F86">
      <w:pPr>
        <w:pStyle w:val="Heading3"/>
      </w:pPr>
      <w:r w:rsidRPr="00087A72">
        <w:t>Border Art Solves – Decolonize Space</w:t>
      </w:r>
    </w:p>
    <w:p w:rsidR="00792F86" w:rsidRPr="00087A72" w:rsidRDefault="00792F86" w:rsidP="00792F86">
      <w:pPr>
        <w:pStyle w:val="Heading4"/>
      </w:pPr>
      <w:r w:rsidRPr="00087A72">
        <w:t>Currently, colonialism has ingrained itself into modernity itself, and the only way to decolonize spaces is to de-link modern aesthetics through artistic forms of rebellion</w:t>
      </w:r>
    </w:p>
    <w:p w:rsidR="00792F86" w:rsidRPr="00087A72" w:rsidRDefault="00792F86" w:rsidP="00792F86">
      <w:r w:rsidRPr="00087A72">
        <w:rPr>
          <w:rStyle w:val="Style13ptBold"/>
        </w:rPr>
        <w:t>Turions 16</w:t>
      </w:r>
      <w:r w:rsidRPr="00087A72">
        <w:t xml:space="preserve">—(Cheyanne, Director of Education and Public Programs in Vancouver Art Gallery, “Decolonization, Reconciliation, and the Extra Rational Potential of the Arts”, </w:t>
      </w:r>
      <w:hyperlink r:id="rId30" w:history="1">
        <w:r w:rsidRPr="00087A72">
          <w:rPr>
            <w:rStyle w:val="Hyperlink"/>
          </w:rPr>
          <w:t>http://artseverywhere.ca/2016/03/23/1218/</w:t>
        </w:r>
      </w:hyperlink>
      <w:r w:rsidRPr="00087A72">
        <w:t>, [E.W.])</w:t>
      </w:r>
    </w:p>
    <w:p w:rsidR="00792F86" w:rsidRPr="00087A72" w:rsidRDefault="00792F86" w:rsidP="00792F86">
      <w:pPr>
        <w:rPr>
          <w:u w:val="single"/>
        </w:rPr>
      </w:pPr>
      <w:r w:rsidRPr="00087A72">
        <w:rPr>
          <w:sz w:val="16"/>
        </w:rPr>
        <w:t xml:space="preserve">No doubt cultural forms are implicated in the decolonial process as a measure of the </w:t>
      </w:r>
      <w:r w:rsidRPr="00087A72">
        <w:rPr>
          <w:u w:val="single"/>
        </w:rPr>
        <w:t>undoing. Given the recent proliferation with which the term “decolonial” circulates in the art world, it would seem that artists and curators are fully convinced that their aesthetic gestures can have this particular kind of social consequence.</w:t>
      </w:r>
      <w:bookmarkStart w:id="49" w:name="_ftnref24"/>
      <w:r w:rsidRPr="00087A72">
        <w:rPr>
          <w:u w:val="single"/>
        </w:rPr>
        <w:fldChar w:fldCharType="begin"/>
      </w:r>
      <w:r w:rsidRPr="00087A72">
        <w:rPr>
          <w:u w:val="single"/>
        </w:rPr>
        <w:instrText xml:space="preserve"> HYPERLINK "http://artseverywhere.ca/2016/03/23/1218/" \l "_ftn24" </w:instrText>
      </w:r>
      <w:r w:rsidRPr="00087A72">
        <w:rPr>
          <w:u w:val="single"/>
        </w:rPr>
        <w:fldChar w:fldCharType="separate"/>
      </w:r>
      <w:r w:rsidRPr="00087A72">
        <w:rPr>
          <w:rStyle w:val="Hyperlink"/>
          <w:u w:val="single"/>
        </w:rPr>
        <w:t>[24]</w:t>
      </w:r>
      <w:r w:rsidRPr="00087A72">
        <w:rPr>
          <w:u w:val="single"/>
        </w:rPr>
        <w:fldChar w:fldCharType="end"/>
      </w:r>
      <w:bookmarkEnd w:id="49"/>
      <w:r w:rsidRPr="00087A72">
        <w:rPr>
          <w:sz w:val="16"/>
        </w:rPr>
        <w:t xml:space="preserve"> To be explicit, I count myself among these cultural workers: I believe that aesthetic forms make important contributions to the broad project of decolonization, a belief that hinges on the conviction that exhibition spaces are civic spaces, and that artistic and curatorial practices are political gestures. Encounters with contemporary culture (here, the term being used more-or-less for synonym for what happens in and around the art world) constitute important contributions to the production of civic space, inciting the potential to change the way we live. </w:t>
      </w:r>
      <w:r w:rsidRPr="00087A72">
        <w:rPr>
          <w:u w:val="single"/>
        </w:rPr>
        <w:t>“Decolonization” implies revolution. It instigates a shifting terrain of social relationality that, when applied to cultural production, assumes a connection between what has been and what is to come, encouraged and enacted through aesthetic forms.</w:t>
      </w:r>
      <w:r w:rsidRPr="00087A72">
        <w:rPr>
          <w:sz w:val="16"/>
        </w:rPr>
        <w:t xml:space="preserve"> But I am not always sure what the term “decolonization” actually connotes in its usage. What referents attach to “decolonization” when it is named in regard to aesthetic practices? Explicitly beginning with the work of Transnational Decolonial Institute and their Decolonial Aesthetics manifesto,</w:t>
      </w:r>
      <w:bookmarkStart w:id="50" w:name="_ftnref25"/>
      <w:r w:rsidRPr="00087A72">
        <w:rPr>
          <w:sz w:val="16"/>
        </w:rPr>
        <w:fldChar w:fldCharType="begin"/>
      </w:r>
      <w:r w:rsidRPr="00087A72">
        <w:rPr>
          <w:sz w:val="16"/>
        </w:rPr>
        <w:instrText xml:space="preserve"> HYPERLINK "http://artseverywhere.ca/2016/03/23/1218/" \l "_ftn25" </w:instrText>
      </w:r>
      <w:r w:rsidRPr="00087A72">
        <w:rPr>
          <w:sz w:val="16"/>
        </w:rPr>
        <w:fldChar w:fldCharType="separate"/>
      </w:r>
      <w:r w:rsidRPr="00087A72">
        <w:rPr>
          <w:rStyle w:val="Hyperlink"/>
          <w:sz w:val="16"/>
        </w:rPr>
        <w:t>[25]</w:t>
      </w:r>
      <w:r w:rsidRPr="00087A72">
        <w:rPr>
          <w:sz w:val="16"/>
        </w:rPr>
        <w:fldChar w:fldCharType="end"/>
      </w:r>
      <w:bookmarkEnd w:id="50"/>
      <w:r w:rsidRPr="00087A72">
        <w:rPr>
          <w:sz w:val="16"/>
        </w:rPr>
        <w:t xml:space="preserve"> attempts have been made to translate the decolonial impulse into aesthetic practices. Drawing from the manifesto, a 2013 symposium held in Toronto described the work of decolonial aesthetics in this way: “</w:t>
      </w:r>
      <w:r w:rsidRPr="00087A72">
        <w:rPr>
          <w:u w:val="single"/>
        </w:rPr>
        <w:t>Decolonial aesthetics acknowledges and subverts the presence of colonial power and control in the realm of the senses. A decolonial option refers to a theoretical, practical or methodological choice geared toward de-linking aesthetics, at the epistemic level, from the discourse of colonialism that is embedded in modernity itself. It is an alternative approach that challenges the hegemony of modern/colonial aesthetics</w:t>
      </w:r>
      <w:r w:rsidRPr="00087A72">
        <w:rPr>
          <w:sz w:val="16"/>
        </w:rPr>
        <w:t>.”</w:t>
      </w:r>
      <w:bookmarkStart w:id="51" w:name="_ftnref26"/>
      <w:r w:rsidRPr="00087A72">
        <w:rPr>
          <w:sz w:val="16"/>
        </w:rPr>
        <w:fldChar w:fldCharType="begin"/>
      </w:r>
      <w:r w:rsidRPr="00087A72">
        <w:rPr>
          <w:sz w:val="16"/>
        </w:rPr>
        <w:instrText xml:space="preserve"> HYPERLINK "http://artseverywhere.ca/2016/03/23/1218/" \l "_ftn26" </w:instrText>
      </w:r>
      <w:r w:rsidRPr="00087A72">
        <w:rPr>
          <w:sz w:val="16"/>
        </w:rPr>
        <w:fldChar w:fldCharType="separate"/>
      </w:r>
      <w:r w:rsidRPr="00087A72">
        <w:rPr>
          <w:rStyle w:val="Hyperlink"/>
          <w:sz w:val="16"/>
        </w:rPr>
        <w:t>[26]</w:t>
      </w:r>
      <w:r w:rsidRPr="00087A72">
        <w:rPr>
          <w:sz w:val="16"/>
        </w:rPr>
        <w:fldChar w:fldCharType="end"/>
      </w:r>
      <w:bookmarkEnd w:id="51"/>
      <w:r w:rsidRPr="00087A72">
        <w:rPr>
          <w:sz w:val="16"/>
        </w:rPr>
        <w:t xml:space="preserve"> While I find a concrete definition of decolonial aesthetics hard to parse from the manifesto or its attendant iterations, it is clear that it involves the creation of a world otherwise, other from the colonial forms of dispossession that have come to characterize the corrupt and sly deployment of white supremacy across the North American continent. At the heart of such an other world are Indigenous forms of knowledge. </w:t>
      </w:r>
      <w:r w:rsidRPr="00087A72">
        <w:rPr>
          <w:u w:val="single"/>
        </w:rPr>
        <w:t xml:space="preserve">The scholar David Garneau distinguishes a land-based decolonization of the type articulated by Tuck and Yang from a less tangible, but I believe no less important, cultural decolonization in this way: cultural decolonization is the perpetual struggle to make both Indigenous and settler peoples aware of the complexity of our shared colonial condition, </w:t>
      </w:r>
      <w:r w:rsidRPr="00087A72">
        <w:rPr>
          <w:sz w:val="16"/>
        </w:rPr>
        <w:t>and how this legacy informs every person and institution in these territories. The soft hope is that education will lead to improvements in the lives of Aboriginal people—as Canadians. The more radical desire is that Canadians and their institutions will Indigenize…</w:t>
      </w:r>
      <w:r w:rsidRPr="00087A72">
        <w:rPr>
          <w:u w:val="single"/>
        </w:rPr>
        <w:t>Cultural decolonization in the Canadian context is about at once unsettling settlers and, ironically, helping them to adapt to better settle themselves as noncolonial persons within Indigenous spaces.</w:t>
      </w:r>
      <w:r w:rsidRPr="00087A72">
        <w:rPr>
          <w:sz w:val="16"/>
        </w:rPr>
        <w:t xml:space="preserve"> More ambitiously, it is also about First Nations, Inuit, and Métis people becoming themselves neither through forced assimilation into non-Indigenous modes, nor by retreating to a reconstructed, anachronistic Indigenous cultural purity, but by struggling to make new ways of being Indigenous within the complex of the contemporary negotiations of Aboriginal/settler/international Indigenous identities.</w:t>
      </w:r>
      <w:bookmarkStart w:id="52" w:name="_ftnref27"/>
      <w:r w:rsidRPr="00087A72">
        <w:rPr>
          <w:sz w:val="16"/>
        </w:rPr>
        <w:fldChar w:fldCharType="begin"/>
      </w:r>
      <w:r w:rsidRPr="00087A72">
        <w:rPr>
          <w:sz w:val="16"/>
        </w:rPr>
        <w:instrText xml:space="preserve"> HYPERLINK "http://artseverywhere.ca/2016/03/23/1218/" \l "_ftn27" </w:instrText>
      </w:r>
      <w:r w:rsidRPr="00087A72">
        <w:rPr>
          <w:sz w:val="16"/>
        </w:rPr>
        <w:fldChar w:fldCharType="separate"/>
      </w:r>
      <w:r w:rsidRPr="00087A72">
        <w:rPr>
          <w:rStyle w:val="Hyperlink"/>
          <w:sz w:val="16"/>
        </w:rPr>
        <w:t>[27]</w:t>
      </w:r>
      <w:r w:rsidRPr="00087A72">
        <w:rPr>
          <w:sz w:val="16"/>
        </w:rPr>
        <w:fldChar w:fldCharType="end"/>
      </w:r>
      <w:bookmarkEnd w:id="52"/>
      <w:r w:rsidRPr="00087A72">
        <w:rPr>
          <w:sz w:val="16"/>
        </w:rPr>
        <w:t xml:space="preserve"> </w:t>
      </w:r>
      <w:r w:rsidRPr="00087A72">
        <w:rPr>
          <w:u w:val="single"/>
        </w:rPr>
        <w:t>Recognizing that culture, in the sense of “cultural decolonization” does not overlap perfectly with artistic practices, Garneau goes on to delineate the extra-rational potential of art, which he implies is the specific capacity of aesthetic practices: “Art is the site of intolerable research, the laboratory of odd ideas, of sensual and intuitive study, and of production that exceeds the boundaries of conventional disciplines, protocols and imaginaries…in the making and appreciation of art there is a space of difference,</w:t>
      </w:r>
      <w:r w:rsidRPr="00087A72">
        <w:rPr>
          <w:sz w:val="16"/>
        </w:rPr>
        <w:t xml:space="preserve"> even resistance, where people can find refuge from the ideas that otherwise rule them.”</w:t>
      </w:r>
      <w:bookmarkStart w:id="53" w:name="_ftnref28"/>
      <w:r w:rsidRPr="00087A72">
        <w:rPr>
          <w:sz w:val="16"/>
        </w:rPr>
        <w:fldChar w:fldCharType="begin"/>
      </w:r>
      <w:r w:rsidRPr="00087A72">
        <w:rPr>
          <w:sz w:val="16"/>
        </w:rPr>
        <w:instrText xml:space="preserve"> HYPERLINK "http://artseverywhere.ca/2016/03/23/1218/" \l "_ftn28" </w:instrText>
      </w:r>
      <w:r w:rsidRPr="00087A72">
        <w:rPr>
          <w:sz w:val="16"/>
        </w:rPr>
        <w:fldChar w:fldCharType="separate"/>
      </w:r>
      <w:r w:rsidRPr="00087A72">
        <w:rPr>
          <w:rStyle w:val="Hyperlink"/>
          <w:sz w:val="16"/>
        </w:rPr>
        <w:t>[28]</w:t>
      </w:r>
      <w:r w:rsidRPr="00087A72">
        <w:rPr>
          <w:sz w:val="16"/>
        </w:rPr>
        <w:fldChar w:fldCharType="end"/>
      </w:r>
      <w:bookmarkEnd w:id="53"/>
      <w:r w:rsidRPr="00087A72">
        <w:rPr>
          <w:sz w:val="16"/>
        </w:rPr>
        <w:t xml:space="preserve"> The space of </w:t>
      </w:r>
      <w:r w:rsidRPr="00087A72">
        <w:rPr>
          <w:u w:val="single"/>
        </w:rPr>
        <w:t>art is a space of possibility where ideas need not be grounded in the facts of the way the world is, where ideas can be proposed aside from feasibility concerns and outside of regular social protocols</w:t>
      </w:r>
      <w:r w:rsidRPr="00087A72">
        <w:rPr>
          <w:sz w:val="16"/>
        </w:rPr>
        <w:t xml:space="preserve">. It allows for propositions to be made that resist articulation elsewhere, such as in the realm of politics proper. Granted, not all art makes claims to radical politics, but Garneau seems to be suggesting that some art does make this claim and that in some cases, the impulse succeeds </w:t>
      </w:r>
      <w:r w:rsidRPr="00087A72">
        <w:rPr>
          <w:u w:val="single"/>
        </w:rPr>
        <w:t xml:space="preserve">by shifting the terms of what is conceived of as possible. Art can become a root for an idea, where the terms of its possible manifestation shift. </w:t>
      </w:r>
    </w:p>
    <w:p w:rsidR="00792F86" w:rsidRPr="00087A72" w:rsidRDefault="00792F86" w:rsidP="00792F86">
      <w:pPr>
        <w:pStyle w:val="Heading3"/>
      </w:pPr>
      <w:r w:rsidRPr="00087A72">
        <w:t>Border Art Solves – Surrealism</w:t>
      </w:r>
    </w:p>
    <w:p w:rsidR="00792F86" w:rsidRPr="00087A72" w:rsidRDefault="00792F86" w:rsidP="00792F86">
      <w:pPr>
        <w:pStyle w:val="Heading4"/>
      </w:pPr>
      <w:r w:rsidRPr="00087A72">
        <w:t>Surrealist art is key to opening up new modes of thinking and promotes ontological change through breaking down categorical thinking. This means that any psychoanalysis will be useless. This is the unique, and only effective anti-colonialist movement.</w:t>
      </w:r>
    </w:p>
    <w:p w:rsidR="00792F86" w:rsidRPr="00087A72" w:rsidRDefault="00792F86" w:rsidP="00792F86">
      <w:r w:rsidRPr="00087A72">
        <w:rPr>
          <w:rStyle w:val="Style13ptBold"/>
        </w:rPr>
        <w:t>Kunda 10</w:t>
      </w:r>
      <w:r w:rsidRPr="00087A72">
        <w:t>—(Maria, studies art studies and criticism and Bataille at Tasmania, “Surrealism and Anti-Colonialism”, pp 252-255 [E.W.])</w:t>
      </w:r>
    </w:p>
    <w:p w:rsidR="00792F86" w:rsidRPr="00087A72" w:rsidRDefault="00792F86" w:rsidP="00792F86">
      <w:pPr>
        <w:rPr>
          <w:sz w:val="16"/>
        </w:rPr>
      </w:pPr>
      <w:r w:rsidRPr="00087A72">
        <w:rPr>
          <w:u w:val="single"/>
        </w:rPr>
        <w:t>By and large history has judged Surrealism impatiently,</w:t>
      </w:r>
      <w:r w:rsidRPr="00087A72">
        <w:rPr>
          <w:sz w:val="16"/>
        </w:rPr>
        <w:t xml:space="preserve"> as a series of errors and failures: a project that failed to reconcile art and life, a failed bid to couple revolutionary activism to artistic expression and, more lately, as an unwittingly ‘primitivist’ bid to construct a non-Western aesthetics. In his reconsideration of Surrealism in the 1940s, </w:t>
      </w:r>
      <w:r w:rsidRPr="00087A72">
        <w:rPr>
          <w:u w:val="single"/>
        </w:rPr>
        <w:t>Bataille recognised that Surrealism is characterised by its propensity for error and continuation, and in this he saw great power</w:t>
      </w:r>
      <w:r w:rsidRPr="00087A72">
        <w:rPr>
          <w:sz w:val="16"/>
        </w:rPr>
        <w:t xml:space="preserve">. I do not think he was being perverse for the sake of it. Precisely because it stops short of utopianism, </w:t>
      </w:r>
      <w:r w:rsidRPr="00087A72">
        <w:rPr>
          <w:u w:val="single"/>
        </w:rPr>
        <w:t>Surrealism provides the coordinates for pursuing a positive future, one that is not preconceived or designed, but negotiated</w:t>
      </w:r>
      <w:r w:rsidRPr="00087A72">
        <w:rPr>
          <w:sz w:val="16"/>
        </w:rPr>
        <w:t xml:space="preserve">. As such it is not, properly speaking, programmatic. </w:t>
      </w:r>
      <w:r w:rsidRPr="00087A72">
        <w:rPr>
          <w:u w:val="single"/>
        </w:rPr>
        <w:t>There is no political end in sight, no end of history. Surrealism does not take us to a postmodernist impasse. It places us in a terrain of perpetual trial and error in the negotiation of the political aspects of aesthetic and social terms</w:t>
      </w:r>
      <w:r w:rsidRPr="00087A72">
        <w:rPr>
          <w:sz w:val="16"/>
        </w:rPr>
        <w:t xml:space="preserve">. Rather than providing us with criteria for accomplishing formal resolution, the Surrealist path pushes toward visualising what cannot yet be seen or experienced. In this thesis I have sought to take up some common charges of Surrealism’s various political failures, and I hope I have achieved an exposition of how very partial these accounts appear today and shown that they need to be reclassified and re-shelved – as standard texts on the subject of Surrealism no longer but as artefacts symptomatic of the longstanding grip of Marxist (or neo-Marxist) narrative, which needs to be B 253 relativised. By contrast to the authoritative texts in Chapter One, </w:t>
      </w:r>
      <w:r w:rsidRPr="00087A72">
        <w:rPr>
          <w:u w:val="single"/>
        </w:rPr>
        <w:t>I considered latter day cultural studies approaches in Chapter Two that decry the ‘primitivism’ of Surrealism. These fall short of approaching a post-colonial discourse, in so far as we can draw little or nothing from them about how to proceed toward a future, only a judgement on the past</w:t>
      </w:r>
      <w:r w:rsidRPr="00087A72">
        <w:rPr>
          <w:sz w:val="16"/>
        </w:rPr>
        <w:t>. To paraphrase Bataille on Existentialism, it is not clear what sort of energies such critiques are intended to support. Nonetheless, there seems to be an insistence and urgency to this brand of scholarship</w:t>
      </w:r>
      <w:r w:rsidRPr="00087A72">
        <w:rPr>
          <w:u w:val="single"/>
        </w:rPr>
        <w:t>, and I entered into a little speculation as to why Surrealism is still so comprehensively pilloried and read against its own intentions in the name of ‘deconstruction’</w:t>
      </w:r>
      <w:r w:rsidRPr="00087A72">
        <w:rPr>
          <w:sz w:val="16"/>
        </w:rPr>
        <w:t xml:space="preserve">. While I suppose that Marxist approaches to Surrealism are a symptom of leftist disillusionment projected onto Surrealism, repudiations of Surrealism as ‘primitivist’ arouse a suspicion that this line of attack is itself an expression of a fear of difference: a fear of the implications of genuine encounters across difference, and a fear of confronting the fact that racism persists within us all. I argued in this thesis that Surrealism provides us with better models for proceeding than those of many of its critics. Another key aspect of Surrealism that Bataille appreciated positively by the early 1940s is </w:t>
      </w:r>
      <w:r w:rsidRPr="00087A72">
        <w:rPr>
          <w:u w:val="single"/>
        </w:rPr>
        <w:t>that Surrealism is always confronted by its own alterity. By the 1940s Surrealism had accumulated its own hindsight which allows us to theorise its relation to non-Western cultures, as well our own inter cultural relations. The understanding of this structure of Surrealism cannot be properly appreciated apart from a psychoanalysis: a psychoanalytic logic extended to the social arena.</w:t>
      </w:r>
      <w:r w:rsidRPr="00087A72">
        <w:rPr>
          <w:sz w:val="16"/>
        </w:rPr>
        <w:t xml:space="preserve"> The peculiar and often paradoxical lyricism of Surrealism, at its most volatile and effective, can teeter on an edge between the sublime and the pornographic. </w:t>
      </w:r>
      <w:r w:rsidRPr="00087A72">
        <w:rPr>
          <w:u w:val="single"/>
        </w:rPr>
        <w:t>This aesthetic register, often very raw and revealing of great cultural dissonance as well as psychic conflict, can encompass love, passion, ecstasy and monstrous violence.</w:t>
      </w:r>
      <w:r w:rsidRPr="00087A72">
        <w:rPr>
          <w:sz w:val="16"/>
        </w:rPr>
        <w:t xml:space="preserve"> The Surrealists took these human emotions and staged them in a fashion that went beyond the individualistic address of Romanticism and into a realm that posited the ongoing importance of affect in social life</w:t>
      </w:r>
      <w:r w:rsidRPr="00087A72">
        <w:rPr>
          <w:u w:val="single"/>
        </w:rPr>
        <w:t>. By taking a long view of Surrealism, the central chapters (Four to Six), present a picture of the development and propulsion of Surrealism’s brand of anti-colonialism and its poetics of alterity from the 1920s until the 1960s</w:t>
      </w:r>
      <w:r w:rsidRPr="00087A72">
        <w:rPr>
          <w:sz w:val="16"/>
        </w:rPr>
        <w:t xml:space="preserve">. This is a trajectory that is not, to my knowledge, delineated anywhere else, and it is here that I claim the main contribution by this thesis to its field of research. </w:t>
      </w:r>
      <w:r w:rsidRPr="00087A72">
        <w:rPr>
          <w:u w:val="single"/>
        </w:rPr>
        <w:t>Throughout the development of my argument about anti-colonialism I have underscored the Surrealist position</w:t>
      </w:r>
      <w:r w:rsidRPr="00087A72">
        <w:rPr>
          <w:sz w:val="16"/>
        </w:rPr>
        <w:t xml:space="preserve">: that 254 historical transformation cannot be fully effected in political action, and nor can it take place through conscious activity alone. Breton consistently maintained that as well as an eye to the past, political will necessarily requires leaps of the imagination to be effective. </w:t>
      </w:r>
      <w:r w:rsidRPr="00087A72">
        <w:rPr>
          <w:u w:val="single"/>
        </w:rPr>
        <w:t>Historical Surrealism established itself as a movement devoted to exploding established categories and thus it compels the ongoing revivification of human thought and experience beyond what is apparently possible in the present moment. Surrealist praxis entails the creation of conditions that support ontological change by collapsing categorical thinking and courting difference, a theme that has been roundly rehearsed in the thesis, with reference to particular tracts and other statements</w:t>
      </w:r>
      <w:r w:rsidRPr="00087A72">
        <w:rPr>
          <w:sz w:val="16"/>
        </w:rPr>
        <w:t xml:space="preserve">, and with regard to the play of signification as discussed in relation to selected periodicals and exhibitions. I have sought to provide a picture </w:t>
      </w:r>
      <w:r w:rsidRPr="00087A72">
        <w:rPr>
          <w:u w:val="single"/>
        </w:rPr>
        <w:t>of Surrealism as ultimately not so much utopian – though utopianism is certainly an important aspect of it at times – but, following Foucault, as offering us means that might best be described as heterotopic. Taking the ‘long view’ approach has necessarily meant that some material evidence of Surrealism’s anti-colonialism has been summarily treated here, and some omitted altogether.</w:t>
      </w:r>
      <w:r w:rsidRPr="00087A72">
        <w:rPr>
          <w:sz w:val="16"/>
        </w:rPr>
        <w:t xml:space="preserve"> In many instances avenues for contextual or related discussion have been relegated to footnotes. My central focus on Breton’s primary explication of Surrealism was determined by the data, as his observations and reconsiderations over time and the debates in which he was involved link together various positions (sometimes more sophisticated and forceful than his own) of other Surrealists and ‘dissidents’. </w:t>
      </w:r>
      <w:r w:rsidRPr="00087A72">
        <w:rPr>
          <w:u w:val="single"/>
        </w:rPr>
        <w:t>While I have inflected my narrative by incorporating some eloquent discussions, by Bataille and Leiris for example, such references were rather fleeting and invite further elaboration. The Collège de Sociologie, Contre-Attaque and Acéphale are episodes of the 1930s to which I have given only cursory coverage, but they disclose a great deal more about Surrealist (or para-Surrealist) ideas about the occult, ritual and social psychology</w:t>
      </w:r>
      <w:r w:rsidRPr="00087A72">
        <w:rPr>
          <w:sz w:val="16"/>
        </w:rPr>
        <w:t xml:space="preserve"> – themes closely related to, or inseparable from, Surrealist ‘primitivism’ in relation to the politics of the day. Similarly, the Martinican periodical Tropiques offers numerous statements that specify Surrealism’s position in the 1940s with respect to racial oppression and cultural imperialism, and these too I have touched on lightly. </w:t>
      </w:r>
      <w:r w:rsidRPr="00087A72">
        <w:rPr>
          <w:u w:val="single"/>
        </w:rPr>
        <w:t>To fully draw out the anti-colonial aspects of Surrealism in its theoretical aspect, these textual outputs, along with further extant documents by Bataille and Leiris from the 1950s, demand to be more amply described and analysed 255 than I have had the space to do in the context of this thesis.1</w:t>
      </w:r>
      <w:r w:rsidRPr="00087A72">
        <w:rPr>
          <w:sz w:val="16"/>
        </w:rPr>
        <w:t xml:space="preserve"> These are directions for future research. My other claim to originality is in the way I have taken up the idea of the Surrealist repressed and demonstrated its utility for analysing contemporary art in the Australian situation. I chose to discuss celebrated artists in the final chapter, but my observations have broader applicability to contemporary art making and curating, not only in this country. Numerous artists now work within a register that projects toward a postcolonial subjectivity. Though we live at a point in history when the colonial age has supposedly long since ended, it is still very much around us and within us. Surrealism put the means at our disposal to negotiate external and internal oppression with passion and intellect.</w:t>
      </w:r>
    </w:p>
    <w:p w:rsidR="00D66B35" w:rsidRPr="00087A72" w:rsidRDefault="00D66B35" w:rsidP="00496C79">
      <w:pPr>
        <w:pStyle w:val="Heading2"/>
      </w:pPr>
      <w:r w:rsidRPr="00087A72">
        <w:t>TOPR – Deleuze</w:t>
      </w:r>
    </w:p>
    <w:p w:rsidR="00032E5A" w:rsidRPr="00087A72" w:rsidRDefault="00032E5A" w:rsidP="00D66B35">
      <w:pPr>
        <w:pStyle w:val="Heading3"/>
      </w:pPr>
      <w:r w:rsidRPr="00087A72">
        <w:t>Molar Identities Turn</w:t>
      </w:r>
    </w:p>
    <w:p w:rsidR="00032E5A" w:rsidRPr="00087A72" w:rsidRDefault="00032E5A" w:rsidP="00032E5A">
      <w:pPr>
        <w:pStyle w:val="Heading4"/>
      </w:pPr>
      <w:r w:rsidRPr="00087A72">
        <w:t>Whiteness sustains itself by imposing molar identity. The Grid of Faciality positions bodies on a static, predetermined framework of culturally constructed significations in the binary pair of settler/colonialist. Ontological strategies trap bodies in stasis and foreclose radical change.</w:t>
      </w:r>
    </w:p>
    <w:p w:rsidR="00032E5A" w:rsidRPr="00087A72" w:rsidRDefault="00032E5A" w:rsidP="00032E5A">
      <w:pPr>
        <w:rPr>
          <w:rFonts w:cstheme="majorHAnsi"/>
          <w:b/>
          <w:bCs/>
          <w:sz w:val="26"/>
        </w:rPr>
      </w:pPr>
      <w:r w:rsidRPr="00087A72">
        <w:rPr>
          <w:rStyle w:val="Style13ptBold"/>
          <w:rFonts w:cstheme="majorHAnsi"/>
        </w:rPr>
        <w:t xml:space="preserve">Massumi 2 </w:t>
      </w:r>
      <w:r w:rsidRPr="00087A72">
        <w:t>(</w:t>
      </w:r>
      <w:r w:rsidRPr="00087A72">
        <w:rPr>
          <w:rFonts w:cstheme="majorHAnsi"/>
        </w:rPr>
        <w:t>Brian, Professor of Communication at the University of Montreal, “Parables for the Virtual: Movement, Affect, Sensation.” Durham, NC: Duke University Press pp. 11-12)</w:t>
      </w:r>
    </w:p>
    <w:p w:rsidR="00032E5A" w:rsidRPr="00087A72" w:rsidRDefault="00032E5A" w:rsidP="00032E5A">
      <w:pPr>
        <w:rPr>
          <w:rFonts w:cstheme="majorHAnsi"/>
        </w:rPr>
      </w:pPr>
      <w:r w:rsidRPr="00087A72">
        <w:rPr>
          <w:rFonts w:cstheme="majorHAnsi"/>
        </w:rPr>
        <w:t xml:space="preserve">‘The Body.’’ What is it to The Subject? Not the qualities of its moving experience. But rather, in keeping with the extrinsic approach, its posi- tioning. </w:t>
      </w:r>
      <w:r w:rsidRPr="00087A72">
        <w:rPr>
          <w:rStyle w:val="StyleUnderline"/>
          <w:rFonts w:cstheme="majorHAnsi"/>
        </w:rPr>
        <w:t xml:space="preserve">Ideological accounts of subject formation emphasize systemic structurings. The focus on the systemic had to be brought back down to earth in order to be able to integrate into the account </w:t>
      </w:r>
      <w:r w:rsidRPr="00087A72">
        <w:rPr>
          <w:rFonts w:cstheme="majorHAnsi"/>
        </w:rPr>
        <w:t xml:space="preserve">the local </w:t>
      </w:r>
      <w:r w:rsidRPr="00087A72">
        <w:rPr>
          <w:rStyle w:val="StyleUnderline"/>
          <w:rFonts w:cstheme="majorHAnsi"/>
        </w:rPr>
        <w:t xml:space="preserve">cultural differences and </w:t>
      </w:r>
      <w:r w:rsidRPr="00087A72">
        <w:rPr>
          <w:rFonts w:cstheme="majorHAnsi"/>
        </w:rPr>
        <w:t>the</w:t>
      </w:r>
      <w:r w:rsidRPr="00087A72">
        <w:rPr>
          <w:rStyle w:val="StyleUnderline"/>
          <w:rFonts w:cstheme="majorHAnsi"/>
        </w:rPr>
        <w:t xml:space="preserve"> practices of resistance</w:t>
      </w:r>
      <w:r w:rsidRPr="00087A72">
        <w:rPr>
          <w:rFonts w:cstheme="majorHAnsi"/>
        </w:rPr>
        <w:t xml:space="preserve"> </w:t>
      </w:r>
      <w:r w:rsidRPr="00087A72">
        <w:rPr>
          <w:rStyle w:val="StyleUnderline"/>
          <w:rFonts w:cstheme="majorHAnsi"/>
        </w:rPr>
        <w:t xml:space="preserve">they </w:t>
      </w:r>
      <w:r w:rsidRPr="00087A72">
        <w:rPr>
          <w:rFonts w:cstheme="majorHAnsi"/>
        </w:rPr>
        <w:t xml:space="preserve">may </w:t>
      </w:r>
      <w:r w:rsidRPr="00087A72">
        <w:rPr>
          <w:rStyle w:val="StyleUnderline"/>
          <w:rFonts w:cstheme="majorHAnsi"/>
        </w:rPr>
        <w:t xml:space="preserve">harbor. The concept of ‘‘positionality’’ was widely developed for this purpose. Signifying subject formation according to the dominant structure was often thought of in terms of ‘‘coding.’’ Coding in turn came to be thought of in terms of positioning on a grid. </w:t>
      </w:r>
      <w:r w:rsidRPr="00087A72">
        <w:rPr>
          <w:rStyle w:val="Emphasis"/>
          <w:rFonts w:cstheme="majorHAnsi"/>
        </w:rPr>
        <w:t>The grid was conceived as an oppositional frame- work of culturally constructed significations: male versus female, black versus white, gay versus straight</w:t>
      </w:r>
      <w:r w:rsidRPr="00087A72">
        <w:rPr>
          <w:rFonts w:cstheme="majorHAnsi"/>
        </w:rPr>
        <w:t xml:space="preserve">, and so on. </w:t>
      </w:r>
      <w:r w:rsidRPr="00087A72">
        <w:rPr>
          <w:rStyle w:val="Emphasis"/>
          <w:rFonts w:cstheme="majorHAnsi"/>
        </w:rPr>
        <w:t xml:space="preserve">A body corresponded to a ‘‘site’’ on the grid </w:t>
      </w:r>
      <w:r w:rsidRPr="00087A72">
        <w:rPr>
          <w:rStyle w:val="StyleUnderline"/>
          <w:rFonts w:cstheme="majorHAnsi"/>
        </w:rPr>
        <w:t xml:space="preserve">defined by an overlapping of one term from each pair. </w:t>
      </w:r>
      <w:r w:rsidRPr="00087A72">
        <w:rPr>
          <w:rStyle w:val="Emphasis"/>
          <w:rFonts w:cstheme="majorHAnsi"/>
        </w:rPr>
        <w:t>The body came to be defined by its pinning to the grid</w:t>
      </w:r>
      <w:r w:rsidRPr="00087A72">
        <w:rPr>
          <w:rFonts w:cstheme="majorHAnsi"/>
        </w:rPr>
        <w:t xml:space="preserve">. Proponents of this model often cited its ability to link body-sites into a ‘‘geography’’ of culture that tempered the universalizing tendencies of ideology. </w:t>
      </w:r>
      <w:r w:rsidRPr="00087A72">
        <w:rPr>
          <w:rStyle w:val="StyleUnderline"/>
          <w:rFonts w:cstheme="majorHAnsi"/>
        </w:rPr>
        <w:t>The sites</w:t>
      </w:r>
      <w:r w:rsidRPr="00087A72">
        <w:rPr>
          <w:rFonts w:cstheme="majorHAnsi"/>
        </w:rPr>
        <w:t xml:space="preserve">, it is true, </w:t>
      </w:r>
      <w:r w:rsidRPr="00087A72">
        <w:rPr>
          <w:rStyle w:val="StyleUnderline"/>
          <w:rFonts w:cstheme="majorHAnsi"/>
        </w:rPr>
        <w:t xml:space="preserve">are multiple. </w:t>
      </w:r>
      <w:r w:rsidRPr="00087A72">
        <w:rPr>
          <w:rStyle w:val="Emphasis"/>
          <w:rFonts w:cstheme="majorHAnsi"/>
        </w:rPr>
        <w:t>But aren’t they still combinatorial permutations on an overarching definitional framework? Aren’t the</w:t>
      </w:r>
      <w:r w:rsidRPr="00087A72">
        <w:rPr>
          <w:rFonts w:cstheme="majorHAnsi"/>
        </w:rPr>
        <w:t xml:space="preserve"> possibilities for </w:t>
      </w:r>
      <w:r w:rsidRPr="00087A72">
        <w:rPr>
          <w:rStyle w:val="Emphasis"/>
          <w:rFonts w:cstheme="majorHAnsi"/>
        </w:rPr>
        <w:t>the entire gamut of cultural emplacements</w:t>
      </w:r>
      <w:r w:rsidRPr="00087A72">
        <w:rPr>
          <w:rFonts w:cstheme="majorHAnsi"/>
        </w:rPr>
        <w:t xml:space="preserve">, including the ‘‘sub- versive’’ ones, </w:t>
      </w:r>
      <w:r w:rsidRPr="00087A72">
        <w:rPr>
          <w:rStyle w:val="Emphasis"/>
          <w:rFonts w:cstheme="majorHAnsi"/>
        </w:rPr>
        <w:t>precoded into the ideological master structure</w:t>
      </w:r>
      <w:r w:rsidRPr="00087A72">
        <w:rPr>
          <w:rStyle w:val="StyleUnderline"/>
          <w:rFonts w:cstheme="majorHAnsi"/>
        </w:rPr>
        <w:t>? Is the body as linked to a particular subject position anything more than a local embodiment of ideology?</w:t>
      </w:r>
      <w:r w:rsidRPr="00087A72">
        <w:rPr>
          <w:rFonts w:cstheme="majorHAnsi"/>
        </w:rPr>
        <w:t xml:space="preserve"> Where has the potential for change gone? </w:t>
      </w:r>
      <w:r w:rsidRPr="00087A72">
        <w:rPr>
          <w:rStyle w:val="Emphasis"/>
          <w:rFonts w:cstheme="majorHAnsi"/>
        </w:rPr>
        <w:t>How does a body perform its way out of a definitional framework</w:t>
      </w:r>
      <w:r w:rsidRPr="00087A72">
        <w:rPr>
          <w:rStyle w:val="StyleUnderline"/>
          <w:rFonts w:cstheme="majorHAnsi"/>
        </w:rPr>
        <w:t xml:space="preserve"> that is not only responsible for its very ‘‘construction,’’ but seems to prescript every possible signifying and countersignifying move as a selection from a repertoire of possible permutations</w:t>
      </w:r>
      <w:r w:rsidRPr="00087A72">
        <w:rPr>
          <w:rFonts w:cstheme="majorHAnsi"/>
        </w:rPr>
        <w:t xml:space="preserve"> on a limited set of predetermined terms? How can the grid itself change? How can what the system has pin- pointedly determined flip over into a determining role capable of acting on the systemic level? </w:t>
      </w:r>
      <w:r w:rsidRPr="00087A72">
        <w:rPr>
          <w:rStyle w:val="StyleUnderline"/>
          <w:rFonts w:cstheme="majorHAnsi"/>
        </w:rPr>
        <w:t xml:space="preserve">The aim of the positionality model was to open a window on local resistance in the name of change. But the problem of change returned with a vengeance. </w:t>
      </w:r>
      <w:r w:rsidRPr="00087A72">
        <w:rPr>
          <w:rStyle w:val="Emphasis"/>
          <w:rFonts w:cstheme="majorHAnsi"/>
        </w:rPr>
        <w:t>Because every body-subject was so de- terminately local, it was boxed into its site on the culture map. Gridlock.</w:t>
      </w:r>
      <w:r w:rsidRPr="00087A72">
        <w:rPr>
          <w:rFonts w:cstheme="majorHAnsi"/>
        </w:rPr>
        <w:t xml:space="preserve"> The idea of </w:t>
      </w:r>
      <w:r w:rsidRPr="00087A72">
        <w:rPr>
          <w:rStyle w:val="StyleUnderline"/>
          <w:rFonts w:cstheme="majorHAnsi"/>
        </w:rPr>
        <w:t xml:space="preserve">positionality begins by subtracting movement from the picture. This catches the body in </w:t>
      </w:r>
      <w:r w:rsidRPr="00087A72">
        <w:rPr>
          <w:rStyle w:val="Emphasis"/>
          <w:rFonts w:cstheme="majorHAnsi"/>
        </w:rPr>
        <w:t>cultural freeze-frame.</w:t>
      </w:r>
      <w:r w:rsidRPr="00087A72">
        <w:rPr>
          <w:rStyle w:val="StyleUnderline"/>
          <w:rFonts w:cstheme="majorHAnsi"/>
        </w:rPr>
        <w:t xml:space="preserve"> The point of explanatory departure is a pinpointing, a zero-point of stasis. When posi- tioning of any kind comes a determining first, movement comes a prob- lematic secon</w:t>
      </w:r>
      <w:r w:rsidRPr="00087A72">
        <w:rPr>
          <w:rFonts w:cstheme="majorHAnsi"/>
        </w:rPr>
        <w:t xml:space="preserve">d. After all is signified and sited, </w:t>
      </w:r>
      <w:r w:rsidRPr="00087A72">
        <w:rPr>
          <w:rStyle w:val="StyleUnderline"/>
          <w:rFonts w:cstheme="majorHAnsi"/>
        </w:rPr>
        <w:t>there is the nagging prob- lem of how to add movement back into the picture.</w:t>
      </w:r>
      <w:r w:rsidRPr="00087A72">
        <w:rPr>
          <w:rFonts w:cstheme="majorHAnsi"/>
        </w:rPr>
        <w:t xml:space="preserve"> But </w:t>
      </w:r>
      <w:r w:rsidRPr="00087A72">
        <w:rPr>
          <w:rStyle w:val="StyleUnderline"/>
          <w:rFonts w:cstheme="majorHAnsi"/>
        </w:rPr>
        <w:t xml:space="preserve">adding movement to stasis is about as easy as multiplying a number by zero and getting a positive product. </w:t>
      </w:r>
      <w:r w:rsidRPr="00087A72">
        <w:rPr>
          <w:rFonts w:cstheme="majorHAnsi"/>
        </w:rPr>
        <w:t xml:space="preserve">Of course, </w:t>
      </w:r>
      <w:r w:rsidRPr="00087A72">
        <w:rPr>
          <w:rStyle w:val="StyleUnderline"/>
          <w:rFonts w:cstheme="majorHAnsi"/>
        </w:rPr>
        <w:t>a body occupying one position on the grid might succeed in making a move to occupy another position</w:t>
      </w:r>
      <w:r w:rsidRPr="00087A72">
        <w:rPr>
          <w:rFonts w:cstheme="majorHAnsi"/>
        </w:rPr>
        <w:t xml:space="preserve">. In fact, certain normative progressions, such as that from child to adult, are coded in. But </w:t>
      </w:r>
      <w:r w:rsidRPr="00087A72">
        <w:rPr>
          <w:rStyle w:val="StyleUnderline"/>
          <w:rFonts w:cstheme="majorHAnsi"/>
        </w:rPr>
        <w:t xml:space="preserve">this doesn’t change the fact that </w:t>
      </w:r>
      <w:r w:rsidRPr="00087A72">
        <w:rPr>
          <w:rStyle w:val="Emphasis"/>
          <w:rFonts w:cstheme="majorHAnsi"/>
        </w:rPr>
        <w:t>what defines the body is not the movement itself, only its beginning and endpoints</w:t>
      </w:r>
      <w:r w:rsidRPr="00087A72">
        <w:rPr>
          <w:rStyle w:val="StyleUnderline"/>
          <w:rFonts w:cstheme="majorHAnsi"/>
        </w:rPr>
        <w:t>. Movement is entirely subordinated to the positions it connects.</w:t>
      </w:r>
      <w:r w:rsidRPr="00087A72">
        <w:rPr>
          <w:rFonts w:cstheme="majorHAnsi"/>
        </w:rPr>
        <w:t xml:space="preserve"> These are predefined. Adding movement like this adds nothing at all. You just get two successive states: multiples of zero. </w:t>
      </w:r>
      <w:r w:rsidRPr="00087A72">
        <w:rPr>
          <w:rStyle w:val="StyleUnderline"/>
          <w:rFonts w:cstheme="majorHAnsi"/>
        </w:rPr>
        <w:t>The very notion of movement as qualitative transformation is lacking. There is ‘‘displacement,’’ but no transformation; it is as if the body simply leaps from one definition to the next.</w:t>
      </w:r>
      <w:r w:rsidRPr="00087A72">
        <w:rPr>
          <w:rFonts w:cstheme="majorHAnsi"/>
        </w:rPr>
        <w:t xml:space="preserve"> Since </w:t>
      </w:r>
      <w:r w:rsidRPr="00087A72">
        <w:rPr>
          <w:rStyle w:val="StyleUnderline"/>
          <w:rFonts w:cstheme="majorHAnsi"/>
        </w:rPr>
        <w:t>the positional model’s</w:t>
      </w:r>
      <w:r w:rsidRPr="00087A72">
        <w:rPr>
          <w:rFonts w:cstheme="majorHAnsi"/>
        </w:rPr>
        <w:t xml:space="preserve"> defini- tional framework is punctual, it simply </w:t>
      </w:r>
      <w:r w:rsidRPr="00087A72">
        <w:rPr>
          <w:rStyle w:val="StyleUnderline"/>
          <w:rFonts w:cstheme="majorHAnsi"/>
        </w:rPr>
        <w:t>can’t attribute a reality to the interval, whose crossing is a continuity</w:t>
      </w:r>
      <w:r w:rsidRPr="00087A72">
        <w:rPr>
          <w:rFonts w:cstheme="majorHAnsi"/>
        </w:rPr>
        <w:t xml:space="preserve"> (or nothing). The space of the crossing, </w:t>
      </w:r>
      <w:r w:rsidRPr="00087A72">
        <w:rPr>
          <w:rStyle w:val="StyleUnderline"/>
          <w:rFonts w:cstheme="majorHAnsi"/>
        </w:rPr>
        <w:t>the gaps between positions on the grid, falls into a theoretical no-body’s land. Also lacking is the notion that if there is qualitative move- ment of the body, it as directly concerns sensings as significations</w:t>
      </w:r>
      <w:r w:rsidRPr="00087A72">
        <w:rPr>
          <w:rFonts w:cstheme="majorHAnsi"/>
        </w:rPr>
        <w:t xml:space="preserve">. Add to this the fact that matter, bodily or otherwise, never figures into the ac- count as such. </w:t>
      </w:r>
      <w:r w:rsidRPr="00087A72">
        <w:rPr>
          <w:rStyle w:val="StyleUnderline"/>
          <w:rFonts w:cstheme="majorHAnsi"/>
        </w:rPr>
        <w:t>Even though many of the approaches in question charac- terize themselves as materialisms, matter can only enter in indirectly: as mediated.</w:t>
      </w:r>
      <w:r w:rsidRPr="00087A72">
        <w:rPr>
          <w:rFonts w:cstheme="majorHAnsi"/>
        </w:rPr>
        <w:t xml:space="preserve"> Matter, movement, body, sensation. Multiple mediated miss.</w:t>
      </w:r>
    </w:p>
    <w:p w:rsidR="00D66B35" w:rsidRPr="00087A72" w:rsidRDefault="00D66B35" w:rsidP="00D66B35">
      <w:pPr>
        <w:pStyle w:val="Heading3"/>
      </w:pPr>
      <w:r w:rsidRPr="00087A72">
        <w:t>Permutation</w:t>
      </w:r>
    </w:p>
    <w:p w:rsidR="00032E5A" w:rsidRPr="00087A72" w:rsidRDefault="00032E5A" w:rsidP="00032E5A">
      <w:pPr>
        <w:pStyle w:val="Heading4"/>
      </w:pPr>
      <w:r w:rsidRPr="00087A72">
        <w:t>Perm: Do both – Prefer a constant Becoming which can create coalitions and alliances that overcome the alternative’s failed binarist approach – this acts to re-actualize Indigenous ways of life, epistemologies, languages, and traditions.</w:t>
      </w:r>
    </w:p>
    <w:p w:rsidR="00032E5A" w:rsidRPr="00087A72" w:rsidRDefault="00032E5A" w:rsidP="00032E5A">
      <w:pPr>
        <w:rPr>
          <w:rStyle w:val="Style13ptBold"/>
        </w:rPr>
      </w:pPr>
      <w:r w:rsidRPr="00087A72">
        <w:rPr>
          <w:rStyle w:val="Style13ptBold"/>
        </w:rPr>
        <w:t xml:space="preserve">Svirsky 14 </w:t>
      </w:r>
      <w:r w:rsidRPr="00087A72">
        <w:t>(Marcelo, lecturer in international studies at the School of Humanities and Social Inquiry, University of Wollongong. “On the study of collaborative struggles in settler societies.” Pp. 441-445)</w:t>
      </w:r>
    </w:p>
    <w:p w:rsidR="00032E5A" w:rsidRPr="00087A72" w:rsidRDefault="00032E5A" w:rsidP="00032E5A">
      <w:r w:rsidRPr="00087A72">
        <w:t xml:space="preserve">Lastly, Alsaafin’s political discourse anchors itself in the problematic waters of identity: ‘The struggle cannot be considered a “joint” struggle because the Israeli anarchists who attend the protests don’t even identify themselves as Israelis to begin with, so the term doesn’t make much sense anyway.’ 57 Alsaafin misses the point that the anarchists join the struggle precisely from a political disposition that breaks away from Israeli political consensus and thus, they truly do not claim to ‘represent’ Israeli society. If we were to follow Alsaafin’s logic, joint struggle would exist only if the Palestinian counterparts can be considered ‘true’ Israelis. Assuming that by ‘true’ Israelis Alsaafin has in mind the kind of Israelis manufacturing and maintaining Zionist hegemony, the anarchists thus do not qualify for the job as they are rightly considered renegades. Strictly to follow Alsaafin’s formula, for the struggle to be perceived as a joint activist enterprise, Zionists and Palestinians should be seen struggling shoulder to shoulder against the colonial machines of Israel. This not only makes no sense, but surely, this is not Alsaafin’s intention, as she clarifies in another passage: ‘There must be an understanding of what the Palestinian struggle is about, specifically so that liberal Zionists won’t waste their time coming to protests all in the name of “peace” and “the two-state solution”.’ 58 I could not agree more, but as a result of Alsaafin’s logic, as Jewish–Israeli – either anti-Zionist or a true Zionist – one’s contribution cannot count as making the struggle collaborative, and then, as default, the struggle remains a purely Palestinian concern, action and responsibility. And this perhaps is the only sincere conclusion we may give to explain Alsaafin’s political position on the question of collaborative alliances, but then, obviously, no rubber bullets or tear gas can credit activists with the proper credentials to become a part in the struggle. FitzMaurice elaborates a better justification for the opposition to collaborative alliances which, as does Alsaafin’s, moors itself to identity claims.59 Drawing on his personal experiences and research on Aboriginal peoples in Canada, FitzMaurice aligns these understandings with Albert Memmi’s rejection60 of the possibility of a white ‘refuser’ ally and resolutely states that ‘the only manner of genuinely relating to Aboriginal people as a white person is to fully acknowledge one’s intrinsic, always/already complicity in the current racial and colonial project, and to simply step aside’ (italics added).61 FitzMaurice constructs the relation of whites to Aboriginal people by making guilt (arising from complicity) a threshold of nonparticipation (to step aside). My point is that </w:t>
      </w:r>
      <w:r w:rsidRPr="00087A72">
        <w:rPr>
          <w:rStyle w:val="StyleUnderline"/>
        </w:rPr>
        <w:t>acknowledging our ongoing complicity and colonial gratification cannot be the only credentials of a white activist.</w:t>
      </w:r>
      <w:r w:rsidRPr="00087A72">
        <w:t xml:space="preserve"> Should the relationships between communities trapped in settler colonialism be rebuilt on another trap, that of bad-conscience? FitzMaurice is right that the white ‘refuser’ is embedded in the ‘structural and material advantages of colonial power and privilege’, 62 but he closes down political imagination and action by making this state of embedded-ness an inescapable state of affairs. ‘Stepping aside’ means that, being trapped within the history and present of their collective identity, whites are then condemned to carry the cross, and wait. Both FitzMaurice and Memmi </w:t>
      </w:r>
      <w:r w:rsidRPr="00087A72">
        <w:rPr>
          <w:rStyle w:val="StyleUnderline"/>
        </w:rPr>
        <w:t>claim that ‘one cannot be both a coloniser and an ally’</w:t>
      </w:r>
      <w:r w:rsidRPr="00087A72">
        <w:t>, 63 but</w:t>
      </w:r>
      <w:r w:rsidRPr="00087A72">
        <w:rPr>
          <w:rStyle w:val="StyleUnderline"/>
        </w:rPr>
        <w:t xml:space="preserve"> this perception holds only if we imagine people in terms of their assigned historical roles and categories, hang on them the burden, but not the creativity of life, and obstinately choose to ignore their wide political engagements and the experimentations that transcend ‘original’ social positionings</w:t>
      </w:r>
      <w:r w:rsidRPr="00087A72">
        <w:t xml:space="preserve">. </w:t>
      </w:r>
      <w:r w:rsidRPr="00087A72">
        <w:rPr>
          <w:rStyle w:val="StyleUnderline"/>
        </w:rPr>
        <w:t>The main problem with identitarian politics in struggles for decolonisation is that it ‘leaves intact the forces it deals with by simply moving them from one place to another’</w:t>
      </w:r>
      <w:r w:rsidRPr="00087A72">
        <w:t xml:space="preserve">; 64 </w:t>
      </w:r>
      <w:r w:rsidRPr="00087A72">
        <w:rPr>
          <w:rStyle w:val="StyleUnderline"/>
        </w:rPr>
        <w:t>namely, it moves the dividing lines of segregation from the field of colonial-settlerism into the field of the struggle against it.</w:t>
      </w:r>
      <w:r w:rsidRPr="00087A72">
        <w:t xml:space="preserve"> The previous sections offered a critique of the main arguments that base a rejection of collaborative alliances of resistance. Summing-up, the activist division of labour assumption fails to meet the conditions of the structure of oppression when it is conceived as an ethnic division of labour, since it echoes that structure instead of challenging it; though still an argument with divisive effects, the autonomy claim deserves careful attention in the tactics of activists; the anti-normalisation opposition is resolvable by adopting the distinction between co-existence and co-resistance; and lastly, the analysis above shown that </w:t>
      </w:r>
      <w:r w:rsidRPr="00087A72">
        <w:rPr>
          <w:rStyle w:val="StyleUnderline"/>
        </w:rPr>
        <w:t xml:space="preserve">ethno-national identity as a strong theme in decolonisation revives the dichotomies that defines settler colonialism in the first place. </w:t>
      </w:r>
      <w:r w:rsidRPr="00087A72">
        <w:t xml:space="preserve">All in all, the arguments against collaboration are traversed by a leitmotif. This is the </w:t>
      </w:r>
      <w:r w:rsidRPr="00087A72">
        <w:rPr>
          <w:rStyle w:val="StyleUnderline"/>
        </w:rPr>
        <w:t>identitarian sentiment that drives activists to see themselves and others, first of all, as representatives of communities with a preconceived history and a defined political agenda that must be defended and promoted, and only to a lesser extent as agents of social transformation. Essentially, the main problem with accounts of reality that funnel practice and analysis through a utilitarian metrics of identity is that the understanding of social change as a common and collective phenomenon that traverses and transcends tribalism is stifled.</w:t>
      </w:r>
      <w:r w:rsidRPr="00087A72">
        <w:t xml:space="preserve"> In my analysis of Arab–Jewish bilingual schools in Israel I have noted that the impetus to overcome the segregation that in the first place brought families from the two communities to embark in such a promising adventure becomes nonetheless overshadowed by the very practices of identity these schools have lately adopted. These new practices accentuate the visibility of sectarian belonging and divisions which the schools were supposed to dismantle.65 As we saw in previous sections, identitydriven fencing effects – steaming from the passions to voice and heighten belongingness, arise also when the coloniser is the one claiming recognition for a sort of identity fabricated through the colonisatory process. Israel’s insistence to be recognised as a Jewish state, set as a precondition for the achievement of agreements with the Palestinian leadership is also an illustration of that phenomenon. Israel as a Jewish state is the name of 100 years of colonisation of Palestine; so the claim to be recognised as such is tantamount to demanding the continuation of the colonial relations of power. In this respect, it is important to distinguish between the rights of a people to live on a specific tract of land and their right to demand recognition of their intrinsic character, as, for instance, demanding recognition of a collective identity and ways of life that are synonymous with colonial pillage and elimination is oxymoronic to decolonisation. However, it is crucial to anchor a conceptual-political difference between the repetitive and separatist passions of belongingness and identity on the one hand, and the efforts to rescue and revive a depredated culture on the other. </w:t>
      </w:r>
      <w:r w:rsidRPr="00087A72">
        <w:rPr>
          <w:rStyle w:val="StyleUnderline"/>
        </w:rPr>
        <w:t>The pretence of binarism to reflect both as if they were one must be rejected. While the first reterritorialises the binaries and divisions that settlerism worked hard to produce, the second is part and parcel of decolonisation</w:t>
      </w:r>
      <w:r w:rsidRPr="00087A72">
        <w:t xml:space="preserve">. Colonising projects, particularly </w:t>
      </w:r>
      <w:r w:rsidRPr="00087A72">
        <w:rPr>
          <w:rStyle w:val="StyleUnderline"/>
        </w:rPr>
        <w:t>settlerist ones, have involved the destruction of indigenous cultures and forms of life, not to mention the physical annihilation of peoples and institutions, and the pillage of historical assets. So the re-actualisation of indigenous ways of life, their epistemologies, languages and traditions, and the repossession of material assets, are logical and necessary aspects in any process of decolonisation, along with other decolonisatory goals</w:t>
      </w:r>
      <w:r w:rsidRPr="00087A72">
        <w:t xml:space="preserve"> – certainly desegregation and economic redistribution. Is binarism to pave the way? </w:t>
      </w:r>
      <w:r w:rsidRPr="00087A72">
        <w:rPr>
          <w:rStyle w:val="StyleUnderline"/>
        </w:rPr>
        <w:t>By relaying on the works of Deleuze and Guattari,66 my aim is to offer an account of collaborative alliances that focuses on the relations between acting subjects and their productions, rather than on the identity of the subject</w:t>
      </w:r>
      <w:r w:rsidRPr="00087A72">
        <w:t xml:space="preserve">. These relations should be seen as transformative as long as they have an industrious impact on the decolonisatory goal of doing away with settlerist ways of life. I would like to suggest that focusing on the relations between acting subjects and their productions is also a way to re-conceive the concept and study of subjectivity. By subjectivity we generally refer to the ways by which different dimensions of our identity and of our modes of being are constructed, where by our, a subject is assumed, either an individual or a collective one. Since the 1960s the notion of subjectivity has fuelled the study of the processes of formation of the subject. However, as Papadopoulos explains, most critical traditions to subjectivity – from critical psychology and critical social psychology to critical theory – ‘by challenging prevalent modes of subjectification’ they found themselves underpinning what they question.67 In these theories, subjectivity often falls back to reflect their targets of critique, identity and consciousness. The challenge, is it suggested, is to </w:t>
      </w:r>
      <w:r w:rsidRPr="00087A72">
        <w:rPr>
          <w:rStyle w:val="StyleUnderline"/>
        </w:rPr>
        <w:t>conceptualise subjectivity in ways that make possible to think about the individual and the community without constraining that thinking by identity and its passions</w:t>
      </w:r>
      <w:r w:rsidRPr="00087A72">
        <w:t xml:space="preserve">. </w:t>
      </w:r>
      <w:r w:rsidRPr="00087A72">
        <w:rPr>
          <w:rStyle w:val="StyleUnderline"/>
        </w:rPr>
        <w:t>This already gives us with a direction: decolonisation – or doing away with settler-colonial ways of life – is primarily about creating and exploiting new fields of immanence and modes of being, rather than deconstructing the terms ‘dominant in the production of identity and consciousness’ 68 that nurture and maintain settler-colonial ways of life.</w:t>
      </w:r>
      <w:r w:rsidRPr="00087A72">
        <w:t xml:space="preserve"> The conceptual authority of binarism is thus repositioned. Working on Deleuze and Guattari, Simone Bignall persuasively argues that Deleuze and Guattari’s ‘positive conceptualisation of causal difference and creative desire offers an alternative view of ontological process … [that] gives rise to a theory of complex relational embodiment enabling multifaceted, interactive and affective forms of subjectivity,’ which Bignall articulates as suitable for a theory of anti-colonial transformative action.69 In this approach, ‘the subject’ is not only procesual, but also relational – it is something formed between individuals as a result of the way they affect one another in ‘concrete situations of engagement’. 70 The subject as the self is here replaced by a relational and complex entity, always in construction. As Bignall explains, </w:t>
      </w:r>
      <w:r w:rsidRPr="00087A72">
        <w:rPr>
          <w:rStyle w:val="StyleUnderline"/>
        </w:rPr>
        <w:t>Complex entities are entirely defined by their relations, and individuality is a function of the multiple relationships into which a body enters. However, a relation will never combine participating bodies in their entirety, but only partially and contextually …</w:t>
      </w:r>
      <w:r w:rsidRPr="00087A72">
        <w:t xml:space="preserve"> Complex bodies meet in piecemeal and selective ways, influenced by context.71 According to Bignall, when </w:t>
      </w:r>
      <w:r w:rsidRPr="00087A72">
        <w:rPr>
          <w:rStyle w:val="StyleUnderline"/>
        </w:rPr>
        <w:t>subjects follow their ‘complexity’ instead of their racial, national or ethnic narrowness, collaborative political relations may be constructed: common grounds are achieved by a selective process through which agreeable ways of relating assemble together. In this approach, we do not look at individuals negotiating their political positions simply as members of fixed categories, but rather, their interaction gives rise to complex bodies constituted by shifting relations with others.</w:t>
      </w:r>
      <w:r w:rsidRPr="00087A72">
        <w:t xml:space="preserve"> This is not an ‘intersubject’, one that finds its resolution in a perfect communication between oppositional subjects – in a unification that either finally eliminates difference altogether or encompasses it ‘within an overriding structure of identity’. 72 But, as Deleuze states, ‘there is no intersubjectivity except an artistic one,’ 73 – only an incomplete process invested in a sort of continuous apprenticeship. If not the subject, and not the intersubject, what then? There is a third dimension of knowledge at work here. ‘Concrete situations of engagement’, to use Bignall’s terminology, produce not only relations between the terms (subjects and objects) but tangible common and collective products arise from them as well – practices, institutions, and sorts of creative sociabilities. </w:t>
      </w:r>
      <w:r w:rsidRPr="00087A72">
        <w:rPr>
          <w:rStyle w:val="StyleUnderline"/>
        </w:rPr>
        <w:t>The practices of protest against the Wall in the West Bank, the Israeli BDS chapter, the Arab–Jewish bilingual schools, the Popular Committee for Boycotting the Knesset Elections, the Jaffa chapter of the global One Democratic State organisation, just to mention a few,74 are all social products that in their functions, they carve existential territories that defy and put behind the fate binarism assigns to each of us</w:t>
      </w:r>
      <w:r w:rsidRPr="00087A72">
        <w:t xml:space="preserve">. Yet, these are created not without the critical role played by the historical memory of, and the political context reflected in binarism. Importantly, a new world of relations is created between collective products and the acting subjects. Then, for instance, what is interesting about Arab–Jewish bilingual schools in Israel – as a form of collaborative alliance, is not just how this alliance re-assigns public value to the identities of the partners; and none singularity should be assumed as an intrinsic result of the engagement in itself. Rather, the significance of this collective production lies in the relations it entertains with the different subjects. These relations become transformative whenever they initiate an </w:t>
      </w:r>
      <w:r w:rsidRPr="00087A72">
        <w:rPr>
          <w:rStyle w:val="StyleUnderline"/>
        </w:rPr>
        <w:t xml:space="preserve">effect on the internal compositions of the subjects’ individualities, in turn affecting back their collective productions. </w:t>
      </w:r>
      <w:r w:rsidRPr="00087A72">
        <w:t xml:space="preserve">This is a third dimension of knowledge, beyond the epistemology of dominant formations (identity and other hegemonic forms as binarism) and that of intersubjective fantasies. The matrix of subjectivity made up by the acting subjects, their collective productions, and the relations of transformation between these terms is the empirical assemblage to be studied. Such a conceptual perspective on subjectivity stresses movement and process, or as Bignall has it, ‘a “styling” of becoming’ of subjects.75 In this view, there cannot be a constant subject standing before experience as this alleged constancy is constantly displaced by experience. This view is shared by Engin Isin who claims that conceptualising citizenship as political subjectivity shifts our attention from fixed categories by which we have come to understand or inherit citizenship, to the struggles through which these categories themselves have become stakes … Rather than asking ‘who is the citizen’ the question then becomes ‘what makes the citizen?’ Surely not any collective production, collaborative alliances inclusive, carries along their relations transformative effects on the acting subjects and on their reciprocal relations. In What is Philosophy? Deleuze and Guattari distinguish between novelists and great novelists, and more generally, between artists and great artists. The great artist is the one ‘who invents unknown or unrecognised affects and brings them to light as the becoming of his characters.’ 77 In the same vein, </w:t>
      </w:r>
      <w:r w:rsidRPr="00087A72">
        <w:rPr>
          <w:rStyle w:val="StyleUnderline"/>
        </w:rPr>
        <w:t>I would like to claim that there are social collective productions and also great ones; politics as aesthetics. The great collective production is the one that incurs in the creation of ‘sublime errors’, 78 perceived as such only by the dominant model and its advocates. Those inventions in collaborative alliances that bring about a migration of thought and action away from settlerism and its reterritorialising dichotomies,</w:t>
      </w:r>
      <w:r w:rsidRPr="00087A72">
        <w:t xml:space="preserve"> those that transport the body through uncharted zones and intensities where racial or ethnic identifications function as a stone thrown at the fortress and nothing else, those creations are great collective productions. These are, for Deleuze and Guattari, percepts and affects. By assembling a composition that discharges a bloc of sensation, they neutralise the power of current perceptions: ‘The composite sensation, made up of percepts and affects, deterritorializes the system of opinion that brought together dominant perceptions and affections within a natural, historical, and social milieu.’ 79 Political greatness lies in the independence of the ‘thing’ created. The percept-affect compound is independent of its agents and their relations: ‘Percepts and affects are independent of a state of those who experience them … they are beings whose validity lies in themselves and exceeds any lived.’ 80 The political greatness of the Arab–Jewish school diminishes as it houses ascribed identities and the pre-set agendas of its creators. The law of creation, as Deleuze and Guattari insist, is that ‘the compound must stand up on its own’. 81 It is primary the fabulation of other presents and not memory and replication, the action ‘the work of politics’ must trigger. Thus, we study the re-positioning of our political subjectivities in regard questions of inclusion-exclusion, equality and relations of power, authority and government, questions of social justice and so forth. In order to diagnose the collaborative alliance we look for migrations – of perceptions and affectivity, of thought and action – and how these assemblages relate to the destabilisation of settler-colonial ways of life. </w:t>
      </w:r>
      <w:r w:rsidRPr="00087A72">
        <w:rPr>
          <w:rStyle w:val="StyleUnderline"/>
        </w:rPr>
        <w:t>Such a diagnosis of settler societies cannot be inferred just by following the logics of binarism</w:t>
      </w:r>
      <w:r w:rsidRPr="00087A72">
        <w:t xml:space="preserve">. </w:t>
      </w:r>
      <w:r w:rsidRPr="00087A72">
        <w:rPr>
          <w:rStyle w:val="StyleUnderline"/>
        </w:rPr>
        <w:t>To insist on polarity as the organising God of political life in settler-colonial societies is to deny both colonisers and colonised the possibility of other presents</w:t>
      </w:r>
      <w:r w:rsidRPr="00087A72">
        <w:t xml:space="preserve">. Critical oppositionality is not denied by adopting a theoretical perspective grounded on collaborative struggles. But in addition, this stir of theory charges that binarism with new political possibilities. As Francesca Merlan asked long ago, Will Aboriginality necessarily be stripped of all cultural and political significance if Aborigines and others recognize continuing shifts in subjectivity and practice among them, as among others, and do not re-order all such shifts in terms of a binary Aboriginal-Other opposition?82 </w:t>
      </w:r>
    </w:p>
    <w:p w:rsidR="00D66B35" w:rsidRPr="00087A72" w:rsidRDefault="00D66B35" w:rsidP="00D66B35">
      <w:pPr>
        <w:pStyle w:val="Heading4"/>
      </w:pPr>
      <w:r w:rsidRPr="00087A72">
        <w:t>Deleuzian lines of flight are not in opposition to Indigenous scholarship, but rather rupture the strange-hold of Western academia on the production of knowledge. This self-implosion of the problematic tendencies of the Western subject acts in a parallel vector to Indigenous scholarship without encroaching on it.</w:t>
      </w:r>
    </w:p>
    <w:p w:rsidR="00D66B35" w:rsidRPr="00087A72" w:rsidRDefault="00D66B35" w:rsidP="00D66B35">
      <w:pPr>
        <w:rPr>
          <w:i/>
        </w:rPr>
      </w:pPr>
      <w:r w:rsidRPr="00087A72">
        <w:rPr>
          <w:rStyle w:val="Style13ptBold"/>
        </w:rPr>
        <w:t xml:space="preserve">Dorries and Ruddick 18 </w:t>
      </w:r>
      <w:r w:rsidRPr="00087A72">
        <w:t xml:space="preserve">(Heather, Assistant Professor in the School of Public Policy and Administration. Indigenous politics and policy; Indigenous-Canada relations. Sue Ruddick, Associate Professor, Department of Geography, CSUS. “Between concept and context: reading Gilles Deleuze and Leanna Simpson in their in/commensurabilities” </w:t>
      </w:r>
      <w:r w:rsidRPr="00087A72">
        <w:rPr>
          <w:i/>
        </w:rPr>
        <w:t>Cultural Geographies)</w:t>
      </w:r>
    </w:p>
    <w:p w:rsidR="00D66B35" w:rsidRPr="00087A72" w:rsidRDefault="00D66B35" w:rsidP="00D66B35">
      <w:pPr>
        <w:rPr>
          <w:sz w:val="10"/>
        </w:rPr>
      </w:pPr>
      <w:r w:rsidRPr="00087A72">
        <w:rPr>
          <w:sz w:val="10"/>
        </w:rPr>
        <w:t xml:space="preserve">Deleuzian philosophy seems to want to escape the West. As Buchanan notes, ‘In his own description of his student days, Deleuze said he belonged to a generation, “that was more or less bludgeoned to death with the history of philosophy”’.28 What </w:t>
      </w:r>
      <w:r w:rsidRPr="00087A72">
        <w:rPr>
          <w:rStyle w:val="StyleUnderline"/>
        </w:rPr>
        <w:t>Deleuze objected to was the repressive way this history of philosophy was used to wrap thought in the straightjacket of the imperative injunction</w:t>
      </w:r>
      <w:r w:rsidRPr="00087A72">
        <w:rPr>
          <w:sz w:val="10"/>
        </w:rPr>
        <w:t xml:space="preserve"> ‘you can’t do this until you’ve read that’, which all students are familiar with. Deleuze, as a reader, is largely focused on dismantling his master’s house using the master’s tool – in some ways similar to the approach of Althusser because he remains strictly within the terrain of what he is reading. But this is different than an Althusserian symptomatic reading because it pushes the strengths of a work in a different direction rather than diagnosing its weaknesses. This is a kind of jujitsu. Rather than looking at how the field of vision in a work also functions to occlude other insights (a symptomatic reading), </w:t>
      </w:r>
      <w:r w:rsidRPr="00087A72">
        <w:rPr>
          <w:rStyle w:val="StyleUnderline"/>
        </w:rPr>
        <w:t>it intends to manipulate the opponent’s force against him, using that force to propel the reading in a direction it was going but did not intend to go fully</w:t>
      </w:r>
      <w:r w:rsidRPr="00087A72">
        <w:rPr>
          <w:sz w:val="10"/>
        </w:rPr>
        <w:t xml:space="preserve">. Bignall and Patton suggest Deleuze (and Guattari by extension) have been ‘condemned for . . . lack of explicit engagement with the body of postcolonial thought’ or alternately the ‘appropriation and intellectualization’ of Indigenous life experience;29 and for scholars such as Caren Kaplan, have displayed a ‘disturbing continuation of the Western fascination with primitivism’.30 This </w:t>
      </w:r>
      <w:r w:rsidRPr="00087A72">
        <w:rPr>
          <w:rStyle w:val="StyleUnderline"/>
        </w:rPr>
        <w:t>critique would be,</w:t>
      </w:r>
      <w:r w:rsidRPr="00087A72">
        <w:rPr>
          <w:sz w:val="10"/>
        </w:rPr>
        <w:t xml:space="preserve"> perhaps, </w:t>
      </w:r>
      <w:r w:rsidRPr="00087A72">
        <w:rPr>
          <w:rStyle w:val="StyleUnderline"/>
        </w:rPr>
        <w:t>justified were Deleuze and Guattari’s framework commenting on or directed at Indigenous politics. But we don’t believe it is. It is rather a sabotage from within, probing the psychic life of power</w:t>
      </w:r>
      <w:r w:rsidRPr="00087A72">
        <w:rPr>
          <w:sz w:val="10"/>
        </w:rPr>
        <w:t xml:space="preserve"> (to borrow from Butler31) </w:t>
      </w:r>
      <w:r w:rsidRPr="00087A72">
        <w:rPr>
          <w:rStyle w:val="StyleUnderline"/>
        </w:rPr>
        <w:t>that permeates the subjectivities of those living with/under capitalist axiomatic for its strengths and its weaknesses</w:t>
      </w:r>
      <w:r w:rsidRPr="00087A72">
        <w:rPr>
          <w:sz w:val="10"/>
        </w:rPr>
        <w:t xml:space="preserve">. Deleuze and, more importantly, Deleuze and Guattari’s two volumes of ‘schizoanalytics’ – AntiOedipus and A Thousand Plateaus – are directed at uncovering the molar and molecular processes that pervade subjectivities of those who live ‘under’ capitalism; processes that organize those subjectivities. Their intention (as Foucault would put it) is </w:t>
      </w:r>
      <w:r w:rsidRPr="00087A72">
        <w:rPr>
          <w:rStyle w:val="StyleUnderline"/>
        </w:rPr>
        <w:t>to develop an anti-repressive form of politics that begins first and foremost by fighting ‘the fascism in us all</w:t>
      </w:r>
      <w:r w:rsidRPr="00087A72">
        <w:rPr>
          <w:sz w:val="10"/>
        </w:rPr>
        <w:t xml:space="preserve">, in our heads and in our everyday behavior, the fascism that causes us to love power, to desire the very thing that dominates and exploits us’.32 Their concern is to put into play a myriad of forms, processes that underpin and sustain the capitalist axiomatic and that block or recapture even those political projects that attempt to escape it. Their text is not directed at specific subjects (the bourgeois, the White, the male) so much as Western subjectivities – </w:t>
      </w:r>
      <w:r w:rsidRPr="00087A72">
        <w:rPr>
          <w:rStyle w:val="StyleUnderline"/>
        </w:rPr>
        <w:t>subject positions that colonize the consciousness even of those it dominates</w:t>
      </w:r>
      <w:r w:rsidRPr="00087A72">
        <w:rPr>
          <w:sz w:val="10"/>
        </w:rPr>
        <w:t xml:space="preserve">. Colebrook would say that At the heart of capital is the unit of the oedipal individual, the self whose desires can ultimately be explained and translated through one single, quantifiable and exchangeable value. What is repressed is not our humanity and individuality; it is the idea of the human individual that represses chaotic, inhuman and dynamic difference: ‘Man must constitute himself through the repression of the intense germinal influx, the great biocosmic memory that threatens to deluge every attempt at collectivity’ (Deleuze &amp; Guattari 1983, p. 190).33 Their political prescription is not directed at ‘others’ although they suggest minorities do undergo a process of transformation: Even blacks, as the Black Panthers said, must become-black. Even women must become-woman. Even Jews must become-Jewish (it certainly takes more than a state) and that those political movements by their very existence begin to trouble and destabilize the impact the subject positions of those in power that transformative politics, oppositional movements of minoritarians affect. (But if this is the case, then becoming-Jewish necessarily affects the non-Jew as much as the Jew. Becoming-woman necessary affects men as much as women.)34 Thus, </w:t>
      </w:r>
      <w:r w:rsidRPr="00087A72">
        <w:rPr>
          <w:rStyle w:val="StyleUnderline"/>
        </w:rPr>
        <w:t>Deleuze and Guattari have for the most part seen themselves as working against Western thinking, royal science, working from a minoritarian position, trying to wrest a line of flight a different meaning from the tomes of Western philosophy</w:t>
      </w:r>
      <w:r w:rsidRPr="00087A72">
        <w:rPr>
          <w:sz w:val="10"/>
        </w:rPr>
        <w:t xml:space="preserve">. In this sense, perhaps we might view the concerns raised by Wuthnow and others as an important warning to those who would make too easy a reduction – Deleuze and Guattari’s project is not about speaking for, to, or even about the ‘other’ or a directive for Indigenous politics, and Wuthnow is right to object to this kind of application. </w:t>
      </w:r>
      <w:r w:rsidRPr="00087A72">
        <w:rPr>
          <w:rStyle w:val="StyleUnderline"/>
        </w:rPr>
        <w:t>But might it be used to think a settler alliance, in a self-implosion of the problematic tendencies of the Western subject?</w:t>
      </w:r>
      <w:r w:rsidRPr="00087A72">
        <w:rPr>
          <w:sz w:val="10"/>
        </w:rPr>
        <w:t xml:space="preserve"> </w:t>
      </w:r>
      <w:r w:rsidRPr="00087A72">
        <w:rPr>
          <w:rStyle w:val="StyleUnderline"/>
        </w:rPr>
        <w:t>This would be a true conversation around that implosion</w:t>
      </w:r>
      <w:r w:rsidRPr="00087A72">
        <w:rPr>
          <w:sz w:val="10"/>
        </w:rPr>
        <w:t xml:space="preserve">, and is one that Wuthnow does not consider. To return to Wuthnow’s question that inspired us at the outset – can they speak to one another at all? For Wuthnow, central notions of Deleuzian thinking, such as ‘nomad thought’, can operate to enact what Vandana Shiva has termed a ‘politics of disappearance’ of local or Indigenous knowledge systems (Shiva 1993:9) and experiences, thereby delegitimizing the politics that might arise out of those experiences and ways of knowing.35 It is clear, moreover, that Deleuze and Guattari want to be read by allies, ‘we’re looking for allies’36 but are agnostic about who reads them. Not because they do not care, but because they feel it is out of their control ‘there’s no more point complaining in advance about misinterpretations, since you can’t predict them, than fighting against them once they’re made. It’s better to get on with something else, to work with people going in the same direction’.37 But how do Deleuze and Guattari suggest they want to be read? Although there is a widespread belief that Deleuze and Guattari suggested that A Thousand Plateaus could be read like a record, simply sampled for its favorite parts, the credit goes largely to their translator Brian Massumi, in his introduction. Massumi writes in his translator’s foreword: What do you do with a book that dedicates an entire chapter to music and animal behavior – and then claims that it isn’t a chapter? That presents itself as a network of ‘plateaus’ that are precisely dated, but can be read in any order? That deploys a complex technical vocabulary drawn from a wide range of disciplines in the sciences, mathematics, and the humanities, but whose authors recommend that you read it as you would listen to a record? . . . The reader is invited to follow each section to the plateau that rises from the smooth space of its composition, and to move from one plateau to the next at pleasure. But it is just as good to ignore the heights.38 Deleuze and Guattari, however, are somewhat more cryptic with their instructions, in a foreword that simply states [the book] is composed not of chapters but of ‘plateaus’. We will try to explain why later on (and also why the texts are dated). To a certain extent, these plateaus may be read independently of one another, except the conclusion, which should be read at the end.39 That said, Massumi is perhaps not far off in his assessment. We take this from the description of what a ‘book’ is: Deleuze and Guattari view the book as an assemblage, with all the implied properties – lines of articulation, lines of flight – a book as multiplicity – a vision that would certainly invite a selective reading – ‘a book forms a rhizome with the world’.40 We will never ask what a book means, as signified or signifier; we will not look for anything to understand in it. We will ask what it functions with, in connection with what other things it does or does not transmit intensities, in which other multiplicities its own are inserted and metamorphosed, and with what bodies without organs it makes its own converge. A book exists only through the outside and on the outside. A book itself is a little machine.41 They suggest there are broadly two kinds of reading [which might be thought of as root and rhizome]: one which looks to what the book signifies, what it ‘means’, the other which looks at not only how it works but also how it works for the reader. This, the rhizomatic or intensive reading, would seem not to depend on the kind of book that it is (given that all books are assemblages) but rather the manner of reading even though they suggest there are different types of books – warmachine books and state-apparatus books or (what amounts to the same thing) radicle books and root books. In an oeuvre (perhaps by extension within a book itself), they take the ruptures, breaks, displacements, dead ends to be as important as the breakthroughs: one has to understand the ‘failures’ as part of the process. You have to take the work as a whole, to try and follow rather than judge it, see where it branches out in different directions, where it gets bogged down, moves forward, makes a breakthrough; you have to accept it, welcome it, as a whole.42 But do different types of books invite different kinds of reading? Do Deleuze and Guattari anticipate a certain kind of audience in their reading, or a certain kind of text to engage? The invitation to </w:t>
      </w:r>
      <w:r w:rsidRPr="00087A72">
        <w:rPr>
          <w:rStyle w:val="StyleUnderline"/>
        </w:rPr>
        <w:t>effectively selectively engage concepts and ideas (implied by Massumi) and put them into a rhizomatic engagement with other texts can be understood as a gesture against the overbearing canon of Western philosophy – a rebellion against the imperative injunction</w:t>
      </w:r>
      <w:r w:rsidRPr="00087A72">
        <w:rPr>
          <w:sz w:val="10"/>
        </w:rPr>
        <w:t xml:space="preserve">. Used as a strategy of engaging Indigenous philosophy, however, we would argue it risks repeating the wound of colonialism, an act of theft or appropriation </w:t>
      </w:r>
    </w:p>
    <w:p w:rsidR="009F0BAC" w:rsidRPr="00087A72" w:rsidRDefault="009F0BAC" w:rsidP="00496C79">
      <w:pPr>
        <w:pStyle w:val="Heading2"/>
      </w:pPr>
      <w:r w:rsidRPr="00087A72">
        <w:t>TOPR – Maiming</w:t>
      </w:r>
    </w:p>
    <w:p w:rsidR="009F0BAC" w:rsidRPr="00087A72" w:rsidRDefault="009F0BAC" w:rsidP="009F0BAC">
      <w:pPr>
        <w:pStyle w:val="Heading3"/>
      </w:pPr>
      <w:r w:rsidRPr="00087A72">
        <w:t>Disability Root Cause</w:t>
      </w:r>
    </w:p>
    <w:p w:rsidR="009F0BAC" w:rsidRPr="00087A72" w:rsidRDefault="009F0BAC" w:rsidP="009F0BAC">
      <w:pPr>
        <w:pStyle w:val="Heading4"/>
      </w:pPr>
      <w:r w:rsidRPr="00087A72">
        <w:t xml:space="preserve">The terrain of illness and disability maps the bodies of indigenous people as abnormal, furthering the colonization process of indigenous peoples and their land. </w:t>
      </w:r>
    </w:p>
    <w:p w:rsidR="009F0BAC" w:rsidRPr="00087A72" w:rsidRDefault="009F0BAC" w:rsidP="009F0BAC">
      <w:pPr>
        <w:widowControl w:val="0"/>
        <w:autoSpaceDE w:val="0"/>
        <w:autoSpaceDN w:val="0"/>
        <w:adjustRightInd w:val="0"/>
        <w:spacing w:after="240" w:line="360" w:lineRule="atLeast"/>
      </w:pPr>
      <w:r w:rsidRPr="00087A72">
        <w:rPr>
          <w:rFonts w:eastAsiaTheme="majorEastAsia" w:cstheme="majorBidi"/>
          <w:b/>
          <w:bCs/>
          <w:sz w:val="26"/>
          <w:szCs w:val="26"/>
        </w:rPr>
        <w:t>Greensmith 12</w:t>
      </w:r>
      <w:r w:rsidRPr="00087A72">
        <w:t xml:space="preserve"> (Cameron, Assistant Professor in the Department of Social Work and Human Services at Kennesaw State University “Pathologizing Indigeneity in the Caledonia “Crisis”” </w:t>
      </w:r>
      <w:r w:rsidRPr="00087A72">
        <w:rPr>
          <w:i/>
        </w:rPr>
        <w:t>CJDS</w:t>
      </w:r>
      <w:r w:rsidRPr="00087A72">
        <w:t xml:space="preserve"> 1.2 pp. 20-23) IA</w:t>
      </w:r>
    </w:p>
    <w:p w:rsidR="009F0BAC" w:rsidRPr="00087A72" w:rsidRDefault="009F0BAC" w:rsidP="009F0BAC">
      <w:pPr>
        <w:rPr>
          <w:sz w:val="16"/>
        </w:rPr>
      </w:pPr>
      <w:r w:rsidRPr="00087A72">
        <w:rPr>
          <w:sz w:val="16"/>
        </w:rPr>
        <w:t xml:space="preserve">There is little disability studies scholarship that addresses the imbrication of Indigeneity and disability in Canada.1 In this essay, I hope to offer some means of addressing this oversight. </w:t>
      </w:r>
      <w:r w:rsidRPr="00087A72">
        <w:rPr>
          <w:rStyle w:val="StyleUnderline"/>
        </w:rPr>
        <w:t>The terrain of illness and disability as it is mapped onto Indigenous peoples</w:t>
      </w:r>
      <w:r w:rsidRPr="00087A72">
        <w:rPr>
          <w:sz w:val="16"/>
        </w:rPr>
        <w:t xml:space="preserve"> in Canada </w:t>
      </w:r>
      <w:r w:rsidRPr="00087A72">
        <w:rPr>
          <w:rStyle w:val="StyleUnderline"/>
        </w:rPr>
        <w:t>continues to operate under the banner of Western biomedicine</w:t>
      </w:r>
      <w:r w:rsidRPr="00087A72">
        <w:rPr>
          <w:sz w:val="16"/>
        </w:rPr>
        <w:t xml:space="preserve"> (Waldram, Herring, &amp; Young, 2006). </w:t>
      </w:r>
      <w:r w:rsidRPr="00087A72">
        <w:rPr>
          <w:rStyle w:val="StyleUnderline"/>
        </w:rPr>
        <w:t>Disabilities Indigenous peoples experience are individualized and pathologized on/in their bodies</w:t>
      </w:r>
      <w:r w:rsidRPr="00087A72">
        <w:rPr>
          <w:sz w:val="16"/>
        </w:rPr>
        <w:t xml:space="preserve"> (Razack, 2011; Cowlishaw, 2003). Razack (2011) and Morgensen (2010) borrow from Mbembe’s (2003) necropolitics and write that Indigenous peoples are understood by settlers to be already dead and therefore beyond receiving biomedical intervention. Lawrence and Dua (2005) suggest that settlers are both white and people of colour with the understanding that settlers, as Europeans, descendents of slaves, people in the diaspora, migrants and refugees, occupy different relationships to the land. Not withstanding their typically divergent sociopolitical and geographical locations, settlers (of colour and white) continue to participate in projects of settlement on Indigenous territory (Haig-Brown, 2009; Lawrence and Dua, 2005). In white settler Australia, Meekosha (2004) argues that the theoretical approach of post- colonialism within disability studies can account for the disabling conditions experienced by Indigenous peoples. In the context of the Canadian nation-state, which was founded on European conquest of Indigenous territories (Razack, 2002a; Wolf, 1999), I want to move beyond a post- colonial analysis. A post-colonial framework does not account for ongoing colonialism experienced by Indigenous peoples (Driskill, 2010; Smith, 1999). As a settler nation, </w:t>
      </w:r>
      <w:r w:rsidRPr="00087A72">
        <w:rPr>
          <w:rStyle w:val="StyleUnderline"/>
        </w:rPr>
        <w:t>Canada historically has and continues to evict and/or forcibly assimilate Indigenous peoples through regimes of identity formation like the Indian Act</w:t>
      </w:r>
      <w:r w:rsidRPr="00087A72">
        <w:rPr>
          <w:sz w:val="16"/>
        </w:rPr>
        <w:t xml:space="preserve"> (Lawrence, 2003); physical and sexual abuse experienced in residential schools (Haig-Brown, 2006); and assimilating Indigenous peoples onto reserves (LeRat &amp; Ungar, 2005). Yet there are also less apparent means of assimilation and coercive identity-formation, such as those distilled in the June 11, 2008 “Canada’s Day of Apology” made by Prime Minister Stephen Harper to residential school survivors. Settlers in Canada are typically unwilling to critically engage with their own positions as settlers (Schick and St. Denis, 2005). As Milley (2009:np) writes, “Canadian national narratives cast the blame and responsibility for racism and colonialism on the shoulders of a few “bad” white people”. Understanding Canada as a “white settler society” (Razack, 2002a), I utilize a mixed theoretical approach to include decolonization and disability studies to engage with the entanglement of Indigeneity and disability. Decolonization can be defined as the “ongoing, radical resistance against colonialism that includes struggles for land, redress, self-determination, healing historical trauma, cultural continuance, and reconciliation” (Driskill, 2010: 69). A disability studies approach “locates disability in the midst of physical and cultural environments and does not reproduce the belief that disability is simply in impaired bodies” and minds (Titchkosky and Aubrecht, 2009:179). Indeed, as Snyder and Mitchell (2006) suggest, disability studies contributes to a reformation and remaking of disability in social, legal, scientific and medical contexts, which typically associate disability with abnormalcy. Disability studies interrogate the taken-for-granted relations that have come to construct disability through social and cultural surroundings (Titchkosky and Michalko, 2009). The incorporation of these two theoretical standpoints utilizes the critical scholarship within disability studies and recognizes settler colonial power structures to make observable Indigeneity, which is typically underrepresented within academia, including the field of disability studies. This paper asks: 1) How does the violence of settler colonialism remain immune to scrutiny through the pathologization of Indigenous peoples? 2) How does disability manifest in the Canadian news media’s depictions of the Caledonia "crisis"? By addressing these two questions the imbrication of disability and Indigeneity will be made observable. In this way, this paper aims to show how the violent use of </w:t>
      </w:r>
      <w:r w:rsidRPr="00087A72">
        <w:rPr>
          <w:rStyle w:val="Emphasis"/>
        </w:rPr>
        <w:t>disability tropes continues to mark Indigenous peoples as abnormal</w:t>
      </w:r>
      <w:r w:rsidRPr="00087A72">
        <w:rPr>
          <w:rStyle w:val="StyleUnderline"/>
        </w:rPr>
        <w:t>, as well as marginalize people for whom psychiatric labels matter.</w:t>
      </w:r>
      <w:r w:rsidRPr="00087A72">
        <w:rPr>
          <w:sz w:val="16"/>
        </w:rPr>
        <w:t xml:space="preserve"> Ultimately, by producing2 Indigenous peoples as disruptive, abnormal, and pathologized due to their protesting, settlers can continue to understand themselves as rightful owners of Indigenous territory. Exposing the ableism in the Canadian news media serves to illustrate how </w:t>
      </w:r>
      <w:r w:rsidRPr="00087A72">
        <w:rPr>
          <w:rStyle w:val="StyleUnderline"/>
        </w:rPr>
        <w:t>disability tropes are used to further the colonization process of Indigenous peoples and their land, and continue to silence Indigenous rights, and Indigenous peoples with disabilities</w:t>
      </w:r>
      <w:r w:rsidRPr="00087A72">
        <w:rPr>
          <w:sz w:val="16"/>
        </w:rPr>
        <w:t xml:space="preserve">. As I begin, I want to clarify some of my terminology. In this essay, I have chosen to use the term Indigenous, rather then Aboriginal, because the term Indigenous signals belonging and connection to land. Anderson (2007: 144) suggests that “Indigenous status [...] is predicated upon – a history of colonization and dispossession, with consequent resistance and adaptation to invaders and settlers” . Aboriginal as an identity category has been created by the colonial Canadian state as an ideological and legal assimilative category to construct Indigenous peoples as Indians (Alfred, 2005). Also, when I write about </w:t>
      </w:r>
      <w:r w:rsidRPr="00087A72">
        <w:rPr>
          <w:rStyle w:val="StyleUnderline"/>
        </w:rPr>
        <w:t>“disability tropes” in this essay, I refer to all the ways that disability is used in order to render bodies and minds “excessive, insufficient, or inappropriate on the basis of their impairments (actual or perceived)”</w:t>
      </w:r>
      <w:r w:rsidRPr="00087A72">
        <w:rPr>
          <w:sz w:val="16"/>
        </w:rPr>
        <w:t xml:space="preserve"> (Snyder and Mitchell, 2006:178). </w:t>
      </w:r>
      <w:r w:rsidRPr="00087A72">
        <w:rPr>
          <w:rStyle w:val="StyleUnderline"/>
        </w:rPr>
        <w:t>Disability tropes will be engaged with to evoke the seemingly everyday and ordinary manifestations of disability that need to be unsettled, since it is here where disability and Indigeneity make new meanings as they are read together differently.</w:t>
      </w:r>
      <w:r w:rsidRPr="00087A72">
        <w:rPr>
          <w:sz w:val="16"/>
        </w:rPr>
        <w:t xml:space="preserve"> I now turn to one particular example in order to expose the workings of settler colonialism today through the production of tropes that situate Indigenous peoples as disruptive, abnormal, and pathologized in the Canadian news media. In particular, the Caledonia “crisis” from 2006 – 2007 lends itself to critical inquiry since the manifestations of disability surrounding ownership of land evokes both ableism and settler colonialism. </w:t>
      </w:r>
    </w:p>
    <w:p w:rsidR="009F0BAC" w:rsidRPr="00087A72" w:rsidRDefault="009F0BAC" w:rsidP="009F0BAC">
      <w:pPr>
        <w:pStyle w:val="Heading4"/>
      </w:pPr>
      <w:r w:rsidRPr="00087A72">
        <w:t xml:space="preserve">Disability cannot be represented alone because it manifests among people of diverse subjectivities: Protests in Caledonia prove how disability is perceived among indigenous peoples. </w:t>
      </w:r>
    </w:p>
    <w:p w:rsidR="009F0BAC" w:rsidRPr="00087A72" w:rsidRDefault="009F0BAC" w:rsidP="009F0BAC">
      <w:pPr>
        <w:widowControl w:val="0"/>
        <w:autoSpaceDE w:val="0"/>
        <w:autoSpaceDN w:val="0"/>
        <w:adjustRightInd w:val="0"/>
        <w:spacing w:after="240" w:line="360" w:lineRule="atLeast"/>
      </w:pPr>
      <w:r w:rsidRPr="00087A72">
        <w:rPr>
          <w:rFonts w:eastAsiaTheme="majorEastAsia" w:cstheme="majorBidi"/>
          <w:b/>
          <w:bCs/>
          <w:sz w:val="26"/>
          <w:szCs w:val="26"/>
        </w:rPr>
        <w:t>Greensmith 12</w:t>
      </w:r>
      <w:r w:rsidRPr="00087A72">
        <w:t xml:space="preserve"> (Cameron, Assistant Professor in the Department of Social Work and Human Services at Kennesaw State University “Pathologizing Indigeneity in the Caledonia “Crisis”” </w:t>
      </w:r>
      <w:r w:rsidRPr="00087A72">
        <w:rPr>
          <w:i/>
        </w:rPr>
        <w:t>CJDS</w:t>
      </w:r>
      <w:r w:rsidRPr="00087A72">
        <w:t xml:space="preserve"> 1.2 pp. 23-28) IA</w:t>
      </w:r>
    </w:p>
    <w:p w:rsidR="009F0BAC" w:rsidRPr="00087A72" w:rsidRDefault="009F0BAC" w:rsidP="009F0BAC">
      <w:pPr>
        <w:rPr>
          <w:rStyle w:val="StyleUnderline"/>
        </w:rPr>
      </w:pPr>
      <w:r w:rsidRPr="00087A72">
        <w:rPr>
          <w:sz w:val="16"/>
        </w:rPr>
        <w:t>In Caledonia, Ontario, the Douglas Creek Estates (DCE) housing development was set to begin its construction on February 28th, 2006 (Vyce, 2010; Milley, 2009). The housing development sparked fury in the Indigenous population living in Caledonia and the nearby Six Nations reserve, who understood themselves as inhabitants of that particular allotment of land. Indigenous peoples took it upon themselves to protest the housing development and the 200-year old treaty that connects Six Nations peoples to that land (Vyce, 2010; Milley, 2009</w:t>
      </w:r>
      <w:r w:rsidRPr="00087A72">
        <w:rPr>
          <w:rStyle w:val="StyleUnderline"/>
        </w:rPr>
        <w:t xml:space="preserve">). In order to combat the construction of the DCE, approximately two-dozen Indigenous peoples peacefully protested the housing development </w:t>
      </w:r>
      <w:r w:rsidRPr="00087A72">
        <w:rPr>
          <w:sz w:val="16"/>
        </w:rPr>
        <w:t xml:space="preserve">(Vyce, 2010). Milley (2009) argues that the </w:t>
      </w:r>
      <w:r w:rsidRPr="00087A72">
        <w:rPr>
          <w:rStyle w:val="Emphasis"/>
        </w:rPr>
        <w:t>Caledonia residents perceived Indigenous peoples to be “criminal and terrorists,” with no real or concrete understanding as to why the activism was happening. Instead, residents viewed it as an inconvenience. The protests in Caledonia, Ontario demonstrate white settler narratives of Indigenous peoples as violent, irrational and pre-modern</w:t>
      </w:r>
      <w:r w:rsidRPr="00087A72">
        <w:rPr>
          <w:sz w:val="16"/>
        </w:rPr>
        <w:t xml:space="preserve">. Vyce (2010) suggests Caledonia is not the only example of Indigenous peoples speaking back to the Canadian state and writes, “across Canada [Indigenous peoples] have been actively engaged in counter-colonial forms of political struggle” (p. 1). But what is the Caledonia “crisis?” Why did Indigenous peoples start to riot and speak back to settlers about their claims to Turtle Island? In March 2006, Henco Industries wanted to see the DCE housing project completed and applied for an injunction ordering all protestors off the housing development property by March 9th, 2006 (Vyce, 2010). Indigenous peoples decided not to vacate the DCE and refused to comply with the court order (Vyce, 2010). On April 20th, 2006 “two hundred [Ontario Provincial Police (OPP)] officers conducted a pre-dawn raid on the DCE in an attempt to enforce the court injunction and to forcibly remove protestors from the disputed land” (Vyce, 2010: 9). Nine Indigenous peoples were arrested for trespassing. Hundreds of Indigenous peoples came from the Six Nations reserve in order to demonstrate their own connection to Turtle Island, encouraging the OPP to back down and retreat from the DCE (Vyce, 2010). </w:t>
      </w:r>
      <w:r w:rsidRPr="00087A72">
        <w:rPr>
          <w:rStyle w:val="Emphasis"/>
        </w:rPr>
        <w:t>Indigenous peoples saw themselves as peaceful protesters who were trying to have the federal government understand and recognize the 200-year old treaty they agreed upon at settler-contact.</w:t>
      </w:r>
      <w:r w:rsidRPr="00087A72">
        <w:rPr>
          <w:sz w:val="16"/>
        </w:rPr>
        <w:t xml:space="preserve"> They were trying to demonstrate that the land the DCE was trying to develop on was Indigenous territory. The OPP tried to forcefully stop Indigenous peoples from peacefully protesting and some Indigenous peoples found ways to develop stronger tactics to show the federal government and Caledonia settlers that their land claims needed to be recognized and respected. Indigenous protesters barricaded major access routes in and around Caledonia for a six-week period. Blocking a VIA railway line and engaging in other forms of activism (Vyce, 2010) was portrayed by Canadian news media as reckless and dangerous. Interviewee 3 in Vyce (2010: 28) commented on the protests in Caledonia: Don’t stop me from picking up my kid from school...[S]topping the people is not going to make us more sympathetic to your cause. It’s just going to annoy people...There’s going to be certain factions who say, I agree with what you’re doing...but the overwhelming faction are going to say, you’re screwing up my day, get off the road and go home...Write a letter. Described as “screwing up,” “annoying” and “stopping” childcare or other routines, Indigenous protesters were constructed as irrational and abnormal for their behaviours. The protests by Indigenous peoples disrupt the notion that Canada has always been and continues to be a free and democratic nation by making observable the land injustices in Caledonia, Ontario. Schick and St. Denis (2005: 302) state: “In popular imagery, Canada is constructed as generous and tolerant by “giving away” land to white settlers. The image is necessary to cover over and forget that the land was taken by coercive means through a process that depended on inferiorizing and racializing [Indigenous] people[s]” . In contrast, the stories told in the Canadian news media can be read as normative representations of “problem” Indians (LaRocque, 1993) and their disturbing and violent behaviours. They can alternatively be examined through textual analysis to show how disability tropes constitute Indigenous issues and peoples as sheer limit (Titchkosky, 2007) which manages to construct Indigenous peoples as problems of a pathological bent. It is important, then, to engage in a critical conversation with Canadian news media as a cultural process whereby Eurocentric understandings of being in the world regarding both Indigenous identities and conceptualizations of disability are produced and reproduced. On July 6th, 2011 the Ontario government agreed to pay Caledonia settlers and business owners a total of 20 million dollars for the damages caused by the protests (Edwards and Talaga, 2011). Yet this reimbursement received by Caledonia settlers furthers the disavowal of Indigenous treaty rights and access to Indigenous territory, thus continuing settler colonial violence. Below, through my analysis of news media texts, I will attempt to chart some of the ways that Indigenous peoples were represented from the first day of non-violent protest in 2006, up until this seeming “conclusion” in 2011. Texts can be described as “popular texts readily available to literate consumers of mass media, that is, mainstream news papers, magazines, and government documents generated for general public use or consumption” (Titchkosky, 2007: 26). Texts can be used to “articulate our local doings to the translocally organized forms that coordinate our consciousness” (Smith, 2006: 66). Social and cultural texts, like those found in the news media in Canada, reflect and shape the meaning of both disability and Indigeneity to their audiences. By reading Canadian news media as a social text, Titchkosky (2007: 25) suggests that disability can be addressed as a “socially oriented activity of accomplishing meaning” . These meanings from the media typically homogenize a sense of belonging or “Canadian” subjectivity through dominant representations and mythologies reflected in everyday encounters with the news (Jiwani, 2005). News media organize how subjects should interact with their everyday lives and normalize that very interaction through taken-for-granted cultural practices. It is the everyday, mundane, assumptive encounters with Canadian news media that need to be interrogated to show how disability is and is not being written about. I utilize Titchkosky (2007) who is provoked by Grosz’ (2003: 22) iteration of “...how to think, write, and read differently...” . Titchkosky (2007: 7) writes, Words on disability are themselves a doing, are themselves a way of knowing; such words reside among us and help to make our fate as embodied beings. From this comes the need to stay in touch with common and ordinary expressions of disability, and to uncover the type of people and type of world those expressions presuppose. Titchkosky (2007) suggests that disability is made to mean many things through the use of divergent social and cultural texts and thus it is important to pay particular attention to the use of words and narratives to describe and make disability (dis)appear in the everyday. Yet, as Titchkosky (2007) argues, </w:t>
      </w:r>
      <w:r w:rsidRPr="00087A72">
        <w:rPr>
          <w:rStyle w:val="Emphasis"/>
        </w:rPr>
        <w:t>disability cannot be represented alone, it too manifests among people through their diverse embodied subjectivities of gender, race, colonialism, sexuality, class, etc.</w:t>
      </w:r>
      <w:r w:rsidRPr="00087A72">
        <w:rPr>
          <w:sz w:val="16"/>
        </w:rPr>
        <w:t xml:space="preserve"> Titchkosky (2007) suggests that </w:t>
      </w:r>
      <w:r w:rsidRPr="00087A72">
        <w:rPr>
          <w:rStyle w:val="StyleUnderline"/>
        </w:rPr>
        <w:t>the act of reading and writing disability allows for a more nuanced analysis that moves away from simple identifications. By reading between the lines and against the grain, preconceived notions of disability and Indigeneity in the Canadian news media can be troubled.</w:t>
      </w:r>
      <w:r w:rsidRPr="00087A72">
        <w:rPr>
          <w:rStyle w:val="Emphasis"/>
        </w:rPr>
        <w:t xml:space="preserve"> </w:t>
      </w:r>
      <w:r w:rsidRPr="00087A72">
        <w:rPr>
          <w:sz w:val="16"/>
        </w:rPr>
        <w:t xml:space="preserve">Reading Canadian news media – CBC News, Maclean’s Magazine, and Global News – with a national and international scope, ableism and settler colonialism manifest in everyday sociocultural interactions to reproduce narratives of “problem” Indigenous peoples that allow settlers to continue living on Indigenous territories. Cultural texts need to be engaged with since it is these narratives, which individualize disability as “inability, lack, and loss” (Titchkosky, 2007, p. 8); as something that only happens to some people. Cultural texts act to re/present Indigenous peoples as disruptive to the Canadian national mythology. Within the Canadian mythology of multiculturalism, Indigenous peoples are typically represented as another “racial minority” among many (Lawrence and Dua, 2005). This perception continues to marginalize ongoing land claims, and to divert attention from conquest and settler colonial violence (Lawrence and Dua, 2005; Schick and St. Denis, 2005). There is a paradoxical relationship within Canadian news media, wherein abnormalcy, irrationality and pathology are read in the Canadian news media about activism, protest and violence. </w:t>
      </w:r>
      <w:r w:rsidRPr="00087A72">
        <w:rPr>
          <w:rStyle w:val="Emphasis"/>
        </w:rPr>
        <w:t>Disability tropes are used to justify the ongoing naturalization of Indigenous peoples as belonging to “spaces of prostitution, crime, sex, and violence”</w:t>
      </w:r>
      <w:r w:rsidRPr="00087A72">
        <w:rPr>
          <w:sz w:val="16"/>
        </w:rPr>
        <w:t xml:space="preserve"> (Razack, 2002b:143). As Titchkosky (2007: 39 ) </w:t>
      </w:r>
      <w:r w:rsidRPr="00087A72">
        <w:rPr>
          <w:rStyle w:val="StyleUnderline"/>
        </w:rPr>
        <w:t xml:space="preserve">suggests, by reading disability in social texts differently, processes of normalization can be questioned since certain peoples are cast as “not normal, different, [and] out of the ordinary” ( emphasis added). </w:t>
      </w:r>
      <w:r w:rsidRPr="00087A72">
        <w:rPr>
          <w:sz w:val="16"/>
        </w:rPr>
        <w:t xml:space="preserve">I turn now to a consideration of what this disruption appears like in the particular textual manifestations of the Caledonia “crisis.” I also examine how Canadian news media representations that pathologize this disruption reconstitute the national Canadian mythology as normal and render Indigenous peoples as disturbingly out of the ordinary. I will be </w:t>
      </w:r>
      <w:r w:rsidRPr="00087A72">
        <w:rPr>
          <w:rStyle w:val="StyleUnderline"/>
        </w:rPr>
        <w:t xml:space="preserve">reading disability differently to show how disability manifests through depictions of Indigenous peoples in Caledonia, Ontario, to devalue and disavow both disability and Indigeneity. </w:t>
      </w:r>
    </w:p>
    <w:p w:rsidR="009F0BAC" w:rsidRPr="00087A72" w:rsidRDefault="009F0BAC" w:rsidP="009F0BAC">
      <w:pPr>
        <w:pStyle w:val="Heading4"/>
      </w:pPr>
      <w:r w:rsidRPr="00087A72">
        <w:t xml:space="preserve">Textualizing disability to indigeneity reveals a construction of indigenous people as abnormal and violent, thus casting their connections to the land and treaties as illegitimate. </w:t>
      </w:r>
    </w:p>
    <w:p w:rsidR="009F0BAC" w:rsidRPr="00087A72" w:rsidRDefault="009F0BAC" w:rsidP="009F0BAC">
      <w:pPr>
        <w:widowControl w:val="0"/>
        <w:autoSpaceDE w:val="0"/>
        <w:autoSpaceDN w:val="0"/>
        <w:adjustRightInd w:val="0"/>
        <w:spacing w:after="240" w:line="360" w:lineRule="atLeast"/>
      </w:pPr>
      <w:r w:rsidRPr="00087A72">
        <w:rPr>
          <w:rFonts w:eastAsiaTheme="majorEastAsia" w:cstheme="majorBidi"/>
          <w:b/>
          <w:bCs/>
          <w:sz w:val="26"/>
          <w:szCs w:val="26"/>
        </w:rPr>
        <w:t>Greensmith 12</w:t>
      </w:r>
      <w:r w:rsidRPr="00087A72">
        <w:t xml:space="preserve"> (Cameron, Assistant Professor in the Department of Social Work and Human Services at Kennesaw State University “Pathologizing Indigeneity in the Caledonia “Crisis”” </w:t>
      </w:r>
      <w:r w:rsidRPr="00087A72">
        <w:rPr>
          <w:i/>
        </w:rPr>
        <w:t>CJDS</w:t>
      </w:r>
      <w:r w:rsidRPr="00087A72">
        <w:t xml:space="preserve"> 1.2 pp. 28-32) IA</w:t>
      </w:r>
    </w:p>
    <w:p w:rsidR="009F0BAC" w:rsidRPr="00087A72" w:rsidRDefault="009F0BAC" w:rsidP="009F0BAC">
      <w:pPr>
        <w:rPr>
          <w:sz w:val="16"/>
        </w:rPr>
      </w:pPr>
      <w:r w:rsidRPr="00087A72">
        <w:rPr>
          <w:sz w:val="16"/>
        </w:rPr>
        <w:t xml:space="preserve">In Caledonia news media reports, Indigenous peoples are overtly represented as “violent,” “dangerous,” “uncontrollable,” “criminal,” “abnormal,” “disruptions,” “problems,” “irrational,” and “deviant” (Macleans.ca staff, 2007; “Police Arrest,” 2007; “Aboriginal protesters,” 2006; CanWest News Service, 2006; “Caledonia suspects,” 2006; Krauss, 2006; and “Rally organizer,” 2006). </w:t>
      </w:r>
      <w:r w:rsidRPr="00087A72">
        <w:rPr>
          <w:rStyle w:val="StyleUnderline"/>
        </w:rPr>
        <w:t>Indigenous peoples are represented in the Canadian news media as “problems” where their claims to sovereignty and rights to land are belittled. Disability tropes are one powerful way that this occurs.</w:t>
      </w:r>
      <w:r w:rsidRPr="00087A72">
        <w:rPr>
          <w:sz w:val="16"/>
        </w:rPr>
        <w:t xml:space="preserve"> Consider the following news media depictions of the Caledonia “crisis” – Ontario considers mediator for native land dispute May 3rd (“Ontario considers,” 2007), Caledonia suspects may be holed up on reserve June 12th (“Caledonia suspects,” 2006), and Caledonia protests will lead to violence, politicians warn October 11th (CanWest News Service, 2006). 1. “Meanwhile, Haldimand County Mayor Marie Trainer said federal and provincial governments must be reminded Caledonia is "still hurting." People can't enjoy their backyards since many back on to the occupied land, she said, adding that some businesses are losing up to $50,000 a month. "They need some help," Trainer said. "The people of Caledonia need normalcy back in their lives"” (Macleans.ca staff, 2007); 2. “The Haudenosaunee are a people of peace and do not condone violence of any form. Our prayers and concern are with those who were injured during the outbreaks today. A peaceful co-existence with our neighbours and the safety of all remain at the paramount of our concerns” (“Caledonia suspects,” 2006); 3. “Former Ontario premier David Peterson, appointed by the province to negotiate an end to the land dispute, suggested last month the planned march is the work of wackos. There are a lot of wackos in society” (CanWest News Service, 2006); and 4. “You’re screwing up my day, get off the road and go home” (Interviewee 3 in Vyce, 2010:28). In the texts above, </w:t>
      </w:r>
      <w:r w:rsidRPr="00087A72">
        <w:rPr>
          <w:rStyle w:val="StyleUnderline"/>
        </w:rPr>
        <w:t>disability may not appear as obvious as the overt belittling representations of Indigenous peoples offered. Instead, disability manifests to show how a normal and natural Canadian culture should be imagined. The ordinary, seemingly everyday manifestations of disability in Canadian news media may not appear as disability tropes to the reader at first glance.</w:t>
      </w:r>
      <w:r w:rsidRPr="00087A72">
        <w:rPr>
          <w:sz w:val="16"/>
        </w:rPr>
        <w:t xml:space="preserve"> As Titchkosky (2011: 74) suggests, “The mundane efficacy of the merely say-able allows such sayings to slip past individuality. Indeed, speakers of the say-able are perhaps better regarded as a conduit of types of cultural understanding – an understanding that the say-able is where cultural understandings reside” . These four ordinary quotations will be critically engaged with to show how </w:t>
      </w:r>
      <w:r w:rsidRPr="00087A72">
        <w:rPr>
          <w:rStyle w:val="StyleUnderline"/>
        </w:rPr>
        <w:t>abnormalcy, irrationality and pathology orient readers to understand disability as it is mapped onto Indigenous bodies and minds.</w:t>
      </w:r>
      <w:r w:rsidRPr="00087A72">
        <w:rPr>
          <w:sz w:val="16"/>
        </w:rPr>
        <w:t xml:space="preserve"> Clearly </w:t>
      </w:r>
      <w:r w:rsidRPr="00087A72">
        <w:rPr>
          <w:rStyle w:val="StyleUnderline"/>
        </w:rPr>
        <w:t>these ordinary narratives are doing a normalizing work to produce Indigenous peoples as “problems” of a pathological bent. Here I focus on these particular narratives, what narratives do, how readers of Canadian news media typically interact with these narratives and how disability comes to appear in these narratives.</w:t>
      </w:r>
      <w:r w:rsidRPr="00087A72">
        <w:rPr>
          <w:sz w:val="16"/>
        </w:rPr>
        <w:t xml:space="preserve"> In the first quotation the Caledonia “crisis” is made present through abnormalcy and its presence is unwanted. Caledonia residents require normalcy and it evokes settlers as rightful inhabitants of the land. Normalcy is needed to control, regulate and sanitize the protesting. </w:t>
      </w:r>
      <w:r w:rsidRPr="00087A72">
        <w:rPr>
          <w:rStyle w:val="StyleUnderline"/>
        </w:rPr>
        <w:t>To construct Caledonia as a place of normalcy requires settlers to continually want and desire normalcy in their lives. Whether knowingly, or unknowingly, settlers continue to disavow Indigenous activism by requiring normalcy. This contributes to the continual elimination and extinction of Indigenous peoples (Smith, 2008).</w:t>
      </w:r>
      <w:r w:rsidRPr="00087A72">
        <w:rPr>
          <w:sz w:val="16"/>
        </w:rPr>
        <w:t xml:space="preserve"> By being political and raising awareness about ongoing colonization and inequitable land claims, Indigenous peoples’ bodies and minds are understood to be abnormal. The “routines” of hundreds of years of Indigenous habitation are subordinated to the “normal routines” of the settlers. By needing normalcy in Caledonia, settlers can ignore the ongoing violence done to Indigenous peoples. </w:t>
      </w:r>
      <w:r w:rsidRPr="00087A72">
        <w:rPr>
          <w:rStyle w:val="StyleUnderline"/>
        </w:rPr>
        <w:t>Depicting Indigenous peoples as “screwing” with normalcy and routine (like childcare) pathologizes the Caledonia “crisis” and Indigenous peoples. Disability tropes are evoked through the need for normalcy in the lives of Caledonia residents.</w:t>
      </w:r>
      <w:r w:rsidRPr="00087A72">
        <w:rPr>
          <w:sz w:val="16"/>
        </w:rPr>
        <w:t xml:space="preserve"> The conditions in which the Caledonia “crisis” is happening are disabling conditions, which are evoked through irrationality, violence, and abnormality. These conceptions of disability manifest as lack (Titchkosky, 2007). </w:t>
      </w:r>
      <w:r w:rsidRPr="00087A72">
        <w:rPr>
          <w:rStyle w:val="StyleUnderline"/>
        </w:rPr>
        <w:t>The Indigenous peoples’ activism in Caledonia required settlers to engage with the inequitable conditions that pathologize Indigenous peoples, and thus produce disability.</w:t>
      </w:r>
      <w:r w:rsidRPr="00087A72">
        <w:rPr>
          <w:sz w:val="16"/>
        </w:rPr>
        <w:t xml:space="preserve"> Abnormalcy and normalcy work to produce one another. To bring normalcy into consciousness also does the same to abnormalcy. </w:t>
      </w:r>
      <w:r w:rsidRPr="00087A72">
        <w:rPr>
          <w:rStyle w:val="StyleUnderline"/>
        </w:rPr>
        <w:t>By placing Indigenous peoples into the margins through their pathology – understanding them as disabled – Caledonia residents can remain in a peaceful state of normalcy and actively produce the activism as a disruption to settlers’ everyday.</w:t>
      </w:r>
      <w:r w:rsidRPr="00087A72">
        <w:rPr>
          <w:sz w:val="16"/>
        </w:rPr>
        <w:t xml:space="preserve"> By needing normalcy, disability becomes unwanted and undesirable. </w:t>
      </w:r>
      <w:r w:rsidRPr="00087A72">
        <w:rPr>
          <w:rStyle w:val="Emphasis"/>
        </w:rPr>
        <w:t>It is the present absences and absent presences of disability that are evoked in the iteration of normalcy.</w:t>
      </w:r>
      <w:r w:rsidRPr="00087A72">
        <w:rPr>
          <w:sz w:val="16"/>
        </w:rPr>
        <w:t xml:space="preserve"> To desire normalcy is to disavow abnormalcy. To remove abnormalcy from the physical space of Caledonia suggests that disruption is unwanted and undesirable and thus creates a facade of normalcy that continues to devalue and marginalize Indigenous struggles for sovereignty and land. Producing who is desirable and undesirable in Caledonia is evoked in quotation two. This quotation speaks to the above analysis, which situates irrationality and pathology onto certain Indigenous bodies and minds. In particular, this quotation re/presents the rational Indigenous peoples as docile and willing to cooperate with settlers. The violent, irrational, and uncontrollable Indigenous peoples in Caledonia are evicted from their Indigeneity and from their reason due to their activism. </w:t>
      </w:r>
      <w:r w:rsidRPr="00087A72">
        <w:rPr>
          <w:rStyle w:val="Emphasis"/>
        </w:rPr>
        <w:t>Pathology comes to mark a few Indigenous peoples as “problems,” suggesting that the rest of the Indigenous peoples are normal, and therefore, not disabled</w:t>
      </w:r>
      <w:r w:rsidRPr="00087A72">
        <w:rPr>
          <w:rStyle w:val="StyleUnderline"/>
        </w:rPr>
        <w:t>.</w:t>
      </w:r>
      <w:r w:rsidRPr="00087A72">
        <w:rPr>
          <w:sz w:val="16"/>
        </w:rPr>
        <w:t xml:space="preserve"> Through this quotation, Caledonia becomes an isolated site where Indigenous peoples protesting do not represent all of the Indigenous populations in Canada. Disability in this case is produced, once again, as something that is undesirable</w:t>
      </w:r>
      <w:r w:rsidRPr="00087A72">
        <w:rPr>
          <w:rStyle w:val="Emphasis"/>
        </w:rPr>
        <w:t>. If the representations of Indigenous peoples are constructed as abnormal and violent, their connections to land and their desire for treaties to be honored will be cast as illegitimate. Disability becomes produced as something and/or someone who is unwanted</w:t>
      </w:r>
      <w:r w:rsidRPr="00087A72">
        <w:rPr>
          <w:rStyle w:val="StyleUnderline"/>
        </w:rPr>
        <w:t>.</w:t>
      </w:r>
      <w:r w:rsidRPr="00087A72">
        <w:rPr>
          <w:sz w:val="16"/>
        </w:rPr>
        <w:t xml:space="preserve"> In not wanting disability, in producing it as “abject,” what is being done to disability? Kristeva (1982: 4) describes the abject as “what disturbs identity, system, order. What does not respect boards, positions, rules.” </w:t>
      </w:r>
      <w:r w:rsidRPr="00087A72">
        <w:rPr>
          <w:rStyle w:val="StyleUnderline"/>
        </w:rPr>
        <w:t>Disability becomes a thing used to show how settlers and Indigenous people alike need to be understood as normal. Abnormalcy is evoked in a few people who cannot and will not contain or control their values, beliefs and bodies. Disability is used to show how normalcy is needed and wanted in Caledonia.</w:t>
      </w:r>
      <w:r w:rsidRPr="00087A72">
        <w:rPr>
          <w:sz w:val="16"/>
        </w:rPr>
        <w:t xml:space="preserve"> </w:t>
      </w:r>
      <w:r w:rsidRPr="00087A72">
        <w:rPr>
          <w:rStyle w:val="StyleUnderline"/>
        </w:rPr>
        <w:t>This normalcy is excavated by an ongoing settler colonial project that requires Indigenous people to evict their Indigeneity from their bodies.</w:t>
      </w:r>
      <w:r w:rsidRPr="00087A72">
        <w:rPr>
          <w:sz w:val="16"/>
        </w:rPr>
        <w:t xml:space="preserve"> To echo Razack (2011), Indigeneity becomes pathology. Indigenous peoples are pathologized in the third quotation as “wackos” (CanWest News Service, 2006). Indigenous peoples are rendered pathological through their irrational and uncontrollable behaviours as they riot to defend and honour their Indigenous territory. “Wacko” in the context of the Caledonia “crisis” is used as a pathologizing trope to define Indigenous peoples as weird, different and irrational. </w:t>
      </w:r>
      <w:r w:rsidRPr="00087A72">
        <w:rPr>
          <w:rStyle w:val="StyleUnderline"/>
        </w:rPr>
        <w:t>The pathologizing trope “wacko” specifically works to delegitimize the Indigenous peoples’ activism and to mark Indigenous peoples as disabled.</w:t>
      </w:r>
      <w:r w:rsidRPr="00087A72">
        <w:rPr>
          <w:sz w:val="16"/>
        </w:rPr>
        <w:t xml:space="preserve"> By producing Indigenous peoples as crazy, where “crazy” serves as an unquestioned and unquestionable way to dismiss difference, their continued activism around access to land and human rights is constructed as pathology. The Indigenous mind becomes a pathologized mind. Therefore, settlers use pathologizing tropes in order to produce Indigenous peoples as defective and reckless and in turn construct settlers as rightful inhabitants and owners of the land. If the commonsense belief in pathology as a legitimately excluded and delegitimized person is suspended, the way pathology is used to transform politics into personal problems is made observable. In turn, it becomes apparent how Indigenous people as a whole are depicted as problems. </w:t>
      </w:r>
    </w:p>
    <w:p w:rsidR="009F0BAC" w:rsidRPr="00087A72" w:rsidRDefault="009F0BAC" w:rsidP="009F0BAC"/>
    <w:p w:rsidR="009F0BAC" w:rsidRPr="00087A72" w:rsidRDefault="009F0BAC" w:rsidP="009F0BAC">
      <w:pPr>
        <w:pStyle w:val="Heading4"/>
      </w:pPr>
      <w:r w:rsidRPr="00087A72">
        <w:t>Disability is made to enter as that which can produce the pathologized Indian and the rational settler subject, legitimizing settler violence.</w:t>
      </w:r>
    </w:p>
    <w:p w:rsidR="009F0BAC" w:rsidRPr="00087A72" w:rsidRDefault="009F0BAC" w:rsidP="009F0BAC">
      <w:pPr>
        <w:widowControl w:val="0"/>
        <w:autoSpaceDE w:val="0"/>
        <w:autoSpaceDN w:val="0"/>
        <w:adjustRightInd w:val="0"/>
        <w:spacing w:after="240" w:line="360" w:lineRule="atLeast"/>
      </w:pPr>
      <w:r w:rsidRPr="00087A72">
        <w:rPr>
          <w:rFonts w:eastAsiaTheme="majorEastAsia" w:cstheme="majorBidi"/>
          <w:b/>
          <w:bCs/>
          <w:sz w:val="26"/>
          <w:szCs w:val="26"/>
        </w:rPr>
        <w:t>Greensmith 12</w:t>
      </w:r>
      <w:r w:rsidRPr="00087A72">
        <w:t xml:space="preserve"> (Cameron, Assistant Professor in the Department of Social Work and Human Services at Kennesaw State University “Pathologizing Indigeneity in the Caledonia “Crisis”” </w:t>
      </w:r>
      <w:r w:rsidRPr="00087A72">
        <w:rPr>
          <w:i/>
        </w:rPr>
        <w:t>CJDS</w:t>
      </w:r>
      <w:r w:rsidRPr="00087A72">
        <w:t xml:space="preserve"> 1.2 pp. 32-36) IA</w:t>
      </w:r>
    </w:p>
    <w:p w:rsidR="009F0BAC" w:rsidRPr="00087A72" w:rsidRDefault="009F0BAC" w:rsidP="009F0BAC">
      <w:pPr>
        <w:rPr>
          <w:sz w:val="16"/>
        </w:rPr>
      </w:pPr>
      <w:r w:rsidRPr="00087A72">
        <w:rPr>
          <w:sz w:val="16"/>
        </w:rPr>
        <w:t xml:space="preserve">Irrationalizing claims to land and bodily control is a central theme in the Caledonia “crisis” within the Canadian news media. </w:t>
      </w:r>
      <w:r w:rsidRPr="00087A72">
        <w:rPr>
          <w:rStyle w:val="Emphasis"/>
        </w:rPr>
        <w:t>Disability is made to enter as that which can produce Indigenous peoples as pathological – “mad,” irrational and “crazy.”</w:t>
      </w:r>
      <w:r w:rsidRPr="00087A72">
        <w:rPr>
          <w:sz w:val="16"/>
        </w:rPr>
        <w:t xml:space="preserve"> Wilderson (2010) finds a relevant connection to Indigineity and madness when discussing an encounter with a Native American man as he was attending university. Wilderson (2010: 1) writes “On the ground in front of him was an upside-down hat and a sign informing pedestrians that here they could settle the “Land Lease Accounts” that they had neglected to settle all of their lives. He too, was ‘crazy’” . </w:t>
      </w:r>
      <w:r w:rsidRPr="00087A72">
        <w:rPr>
          <w:rStyle w:val="StyleUnderline"/>
        </w:rPr>
        <w:t>The Native American man is calling upon settlers to take responsibility for their colonization of Indigenous territory and by doing so is perceived by onlookers (and by Wilderson?) as “crazy.” Leaving the politics of recognition aside, the Native American is pathologized as “crazy” by ensuring that settler colonialism enters into the consciousness of settlers he encounters. Yet, the disabling trope of “crazy” is put to work here to devalue and marginalize the Native American man who is speaking about land</w:t>
      </w:r>
      <w:r w:rsidRPr="00087A72">
        <w:rPr>
          <w:sz w:val="16"/>
        </w:rPr>
        <w:t>. In bringing land and conquest into the consciousness of settlers, the Native American man is understood to be “mad.” Madness is constructed to be irrationality and much is stripped from anyone’s historical connection to the land. “Mad” -- as an unquestioned bad state of affairs -- is thus both produced as such and used as such to delegitimize any form of questioning regarding whose land it really is. Wilderson (2010: 2) continues, “Thus, [the Native American man] would have to be crazy, crazy enough to call not merely the actions of the world but the world itself to account, and to account for [him] no less!”. When Indigenous people speak out against settler colonialism, why is it that their actions are understood as being “crazy</w:t>
      </w:r>
      <w:r w:rsidRPr="00087A72">
        <w:rPr>
          <w:rStyle w:val="StyleUnderline"/>
        </w:rPr>
        <w:t>?” In Caledonia, the term “wacko” is used to belittle the activism and rioting done by Indigenous peoples. “Crazy” or “wacko” also does a particular form of work, as Wilderson (2010) suggests when pathologizing terms are used to depict Indigenous peoples, Indigeneity is brought into consciousness. “Crazy” as an identity marker produces certain people labeled with “mental illness” or “psychiatric diagnoses” as “ill.”</w:t>
      </w:r>
      <w:r w:rsidRPr="00087A72">
        <w:rPr>
          <w:sz w:val="16"/>
        </w:rPr>
        <w:t xml:space="preserve"> By using “crazy,” pathology is naturalized in/on the body and does not take into account the normalizing conditions and everyday cultural representations that produce Indigenous peoples as different in North America. “Crazy” also creates division between rationality and irrationality, those who can blend into regimes of normalcy, that is, regulate their own bodies and minds, can pass as normal. “Crazy” then, is a production of a deviation from bodily control within a Eurocentric ideology that associates rationality and reason with those who can come to control and regulate their bodies and minds. As Fernando (2003) argues, pathology is also written on non-Eurocentric peoples, traditions and beliefs on a global scale. Indigenous and colonized peoples’ cultural ways of knowing and healing are understood as inferior and abnormal to Eurocentric forms of knowledge and healing. By casting Indigenous peoples as pathology, settlers can continue to conceptualize Canada as a nation with no genocidal past. Therefore, land claims are merely a result of Indigenous pathology, for who else wants to “screw” with normalcy? The pathologization of Indigenous peoples cannot and will not be understood a result of settler colonialism. Thus, locating pathology in the bodies and minds of Indigenous peoples renders their behaviours, actions and discussions around land disingenuous. Razack (2011) writes about the disavowal of colonial violence in the medicalization of the deaths of Indigenous men in police custody in British Columbia. Razack (2011: 21) addresses the imbrication of disability and Indigeneity and writes “Aboriginality disturbs, as does disability, and Aboriginality reminds settlers of something they know but would rather not, and indeed cannot know if they are to continue a colonial relationship.” As Razack (2011) suggests, </w:t>
      </w:r>
      <w:r w:rsidRPr="00087A72">
        <w:rPr>
          <w:rStyle w:val="StyleUnderline"/>
        </w:rPr>
        <w:t>Indigenous bodies and minds are pathologized and cannot be understood as having the ability to proclaim sovereignty and self-determination.</w:t>
      </w:r>
      <w:r w:rsidRPr="00087A72">
        <w:rPr>
          <w:sz w:val="16"/>
        </w:rPr>
        <w:t xml:space="preserve"> </w:t>
      </w:r>
      <w:r w:rsidRPr="00087A72">
        <w:rPr>
          <w:rStyle w:val="StyleUnderline"/>
        </w:rPr>
        <w:t>The pathologization of Indigenous peoples is enacted through multiple regimes of violence: through the ability to cast Indigenous peoples as abnormal, misrecognizing Indigenous claims to land, and the use of disability tropes that place people with disabilities within places of marginality and lack</w:t>
      </w:r>
      <w:r w:rsidRPr="00087A72">
        <w:rPr>
          <w:sz w:val="16"/>
        </w:rPr>
        <w:t xml:space="preserve">. Therefore, echoing Razack (2011; 2002b) and Edmonds (2010), Indigenous peoples are assumed to naturally belong to spaces of pathology. The disability tropes used within the Caledonia news media places settlers into positions of power over Indigenous peoples, where they can understand themselves as rightful owners of the land. While Cowlishaw (2003: 119) does not explicitly speak to issues of disability, she does speak to the relationship between activism and violence: “The riot defines the good liberal citizen’s internalization of the legal notion that violent settlement of disputes is wrong because it breaches the principles of rationality and purpose.” Therefore, Indigenous peoples are constructed as irrational and dangerous due to the perceived violence they are engaged in against the DCEs in Caledonia, Ontario. As a result, pathology is pinned onto Indigenous bodies and minds. </w:t>
      </w:r>
      <w:r w:rsidRPr="00087A72">
        <w:rPr>
          <w:rStyle w:val="Emphasis"/>
        </w:rPr>
        <w:t>Conversely, through the use of disability tropes settlers are understood to be rational, legitimizing the violence done to Indigenous peoples, cultures and lands.</w:t>
      </w:r>
      <w:r w:rsidRPr="00087A72">
        <w:rPr>
          <w:sz w:val="16"/>
        </w:rPr>
        <w:t xml:space="preserve"> Whether the violence done by Indigenous peoples was justifiable or extreme, that is not a discussion I want to have. Instead, the representations of Indigenous activism in the Canadian news media in the Caledonia “crisis” lends itself to inquiry, precisely through the collision between discursive constructions of Indigeneity, pathology and violence. Violence is typically acceptable when the aim is to control, scare and regulate (Cowlishaw, 2003). The continual violence done by settlers is rationalized as a means of control and regulation. Here volatile, disabled, and pathologized bodies and minds “can also seem dangerous because they are perceived as out of control” (Garland-Thomson, 1997: 37). </w:t>
      </w:r>
    </w:p>
    <w:p w:rsidR="009F0BAC" w:rsidRPr="00087A72" w:rsidRDefault="009F0BAC" w:rsidP="009F0BAC">
      <w:pPr>
        <w:pStyle w:val="Heading4"/>
      </w:pPr>
      <w:r w:rsidRPr="00087A72">
        <w:t>Disability is the structure which justifies settler colonial violence. Palestine proves this in the way Israel responds with excessive force.</w:t>
      </w:r>
    </w:p>
    <w:p w:rsidR="009F0BAC" w:rsidRPr="00087A72" w:rsidRDefault="009F0BAC" w:rsidP="009F0BAC">
      <w:pPr>
        <w:rPr>
          <w:rStyle w:val="StyleUnderline"/>
          <w:u w:val="none"/>
        </w:rPr>
      </w:pPr>
      <w:r w:rsidRPr="00087A72">
        <w:rPr>
          <w:rStyle w:val="Style13ptBold"/>
        </w:rPr>
        <w:t xml:space="preserve">Jaffee 16 </w:t>
      </w:r>
      <w:r w:rsidRPr="00087A72">
        <w:rPr>
          <w:rStyle w:val="StyleUnderline"/>
          <w:u w:val="none"/>
        </w:rPr>
        <w:t>[Laura Jordan, PhD student in Cultural Foundations of Education, “Disrupting Global Disability frameworks: settler-colonialism and the geopolitics of disability in Palestine/ Israel” Disability &amp; Society, Vol 31, No. 1, (116-130)]</w:t>
      </w:r>
    </w:p>
    <w:p w:rsidR="009F0BAC" w:rsidRPr="00087A72" w:rsidRDefault="009F0BAC" w:rsidP="009F0BAC">
      <w:r w:rsidRPr="00087A72">
        <w:rPr>
          <w:u w:val="single"/>
        </w:rPr>
        <w:t>The field of disability studies has long critiqued medical models of disability, which pathologize disability as a problem located in ‘abnormal’ bodies and minds that should be ‘fixed’ through individualized medical intervention</w:t>
      </w:r>
      <w:r w:rsidRPr="00087A72">
        <w:t xml:space="preserve"> (Davis 2010). Alternatively</w:t>
      </w:r>
      <w:r w:rsidRPr="00087A72">
        <w:rPr>
          <w:u w:val="single"/>
        </w:rPr>
        <w:t>, many disability studies scholars advocate social approaches to disability that, most broadly, view disability as socially constructed and emphasize the societal and environmental barriers to participation that render individuals disabled. Recent critical disability studies scholarship, demonstrating how dominant models problematically depoliticize disability, has begun to shed light on the insufficiency of a Eurocentric disability studies for representing and responding to disability in global contexts</w:t>
      </w:r>
      <w:r w:rsidRPr="00087A72">
        <w:t xml:space="preserve"> (Connell 2011; Erevelles 2011; Meekosha 2011; Meekosha and Soldatic 2011; Soldatic 2013). Putting these recent critiques in conversation with disability studies scholarship regarding Palestine/Israel, I argue that </w:t>
      </w:r>
      <w:r w:rsidRPr="00087A72">
        <w:rPr>
          <w:u w:val="single"/>
        </w:rPr>
        <w:t>disability oppression is inextricably intertwined with the Israeli state’s settler-colonial project in the region</w:t>
      </w:r>
      <w:r w:rsidRPr="00087A72">
        <w:t xml:space="preserve">. I highlight </w:t>
      </w:r>
      <w:r w:rsidRPr="00087A72">
        <w:rPr>
          <w:u w:val="single"/>
        </w:rPr>
        <w:t xml:space="preserve">the disabling of Palestinians living under military occupation in Gaza through state-sanctioned violence to insist that disability studies needs to attend to the specific geopolitical dynamics at play in settler-colonial contexts. Both an individualized medical model of disability and a narrowly construed social model, which has recently gained traction largely consequent of advocacy and activism in the Global North, fail to account for the ways in which disability is entangled with geopolitics and, in particular, how disability injustice is bound up with settler-coloniality </w:t>
      </w:r>
      <w:r w:rsidRPr="00087A72">
        <w:t xml:space="preserve">(Meekosha and Soldatic 2011; Soldatic 2013). These dominant models of disability restrict how disability is read and interpreted in the settler-colonial context of Palestine/Israel and, subsequently, fundamentally circumscribe imagined and imaginable notions of disability justice. </w:t>
      </w:r>
      <w:r w:rsidRPr="00087A72">
        <w:rPr>
          <w:u w:val="single"/>
        </w:rPr>
        <w:t>Within Palestine, Israeli settler-colonialism is contingent upon ‘disabling’ the Palestinian population and, further, the tactics employed to marginalize and oppress Palestinians serve to reify ableist conceptions that equate disability with deficiency. Because the construction of a subhuman Palestinian identity relies on and reinforces hegemonic conceptions of disability as deficiency</w:t>
      </w:r>
      <w:r w:rsidRPr="00087A72">
        <w:t>, I proffer, dismantling one demands the renunciation of both. This article begins with a discussion of recent disability studies scholarship that politicizes global disability and, specifically, highlights the shortcomings of disability studies work that fails to understand disability as the radical embodiment of social dynamics and historical and political processes (Connell 2011</w:t>
      </w:r>
      <w:r w:rsidRPr="00087A72">
        <w:rPr>
          <w:u w:val="single"/>
        </w:rPr>
        <w:t>). While such works importantly center neocolonial forces and globalized capitalism in their critiques, there remains a dearth of scholarship that attends to the nexus of disability and settler-colonialism</w:t>
      </w:r>
      <w:r w:rsidRPr="00087A72">
        <w:t xml:space="preserve">. I thus go on to discuss recent disability studies scholarship emerging from Israel and demonstrate that this work largely ignores the interrelation of disability and the settler-colonial structure of the Israeli state. Using a disability studies optic, I situate </w:t>
      </w:r>
      <w:r w:rsidRPr="00087A72">
        <w:rPr>
          <w:u w:val="single"/>
        </w:rPr>
        <w:t>the dehumanization of Palestinians integral to the creation of the state by juxtaposing the construction of a strong, able-bodied Israeli identity</w:t>
      </w:r>
      <w:r w:rsidRPr="00087A72">
        <w:t xml:space="preserve"> Downloaded by [Flinders University of South Australia] at 10:22 10 March 2016 118 L.J. Jaffee with the widespread production of disability among Palestinians</w:t>
      </w:r>
      <w:r w:rsidRPr="00087A72">
        <w:rPr>
          <w:u w:val="single"/>
        </w:rPr>
        <w:t>. I suggest that the creation of the Israeli state involved/involves passing disabling portrayals onto Palestinians and argue, further, that combating ableist logics which equate disability with deficiency necessitates combating the dehumanization of Palestinians that reproduces such logics.</w:t>
      </w:r>
      <w:r w:rsidRPr="00087A72">
        <w:t xml:space="preserve"> The subsequent section highlights the material production of disablement by delineating how the disabling of Palestinians is deployed as a military tactic by the Israeli Defense Forces (IDF). Drawing on media portrayals of disability in Gaza, I then suggest that </w:t>
      </w:r>
      <w:r w:rsidRPr="00087A72">
        <w:rPr>
          <w:u w:val="single"/>
        </w:rPr>
        <w:t>these problematic depictions perpetuate paternalistic conceptions of people with disabilities as passive and apolitical. The enmeshment of dominant logics of disability with projects of setter-colonial state formation demonstrates the incommensurability of liberation from disability oppression with settler-colonialism, and suggests grounds for meaningful solidarity between activists rejecting ableism and those resisting settler-colonial forces.</w:t>
      </w:r>
      <w:r w:rsidRPr="00087A72">
        <w:t xml:space="preserve"> I want to preface this discussion by acknowledging that this article addresses a breadth of topics linking disability and settler-coloniality in Palestine and, consequently, many of the arguments made are undoubtedly and necessarily incomplete. My intention in </w:t>
      </w:r>
      <w:r w:rsidRPr="00087A72">
        <w:rPr>
          <w:u w:val="single"/>
        </w:rPr>
        <w:t>attending to a broad range of issues, however partially, is to open up further lines of inquiry into the geopolitical particularities of disability and settler-colonialism in the region and, more broadly, to reiterate the importance of attending to geopolitical specificity in future disability studies theory and disability activism (Meekosha 2011). Realizing desirable crip futures (Kafer 2013), wherein disability is no longer constructed as a deficit but instead understood as a possibility, necessitates attending to and rejecting the ways in which disabling is presently employed as a mechanism for oppression in global contexts</w:t>
      </w:r>
      <w:r w:rsidRPr="00087A72">
        <w:t>.</w:t>
      </w:r>
    </w:p>
    <w:p w:rsidR="009F0BAC" w:rsidRPr="00087A72" w:rsidRDefault="009F0BAC" w:rsidP="009F0BAC">
      <w:pPr>
        <w:rPr>
          <w:sz w:val="16"/>
        </w:rPr>
      </w:pPr>
    </w:p>
    <w:p w:rsidR="00EC4346" w:rsidRPr="00087A72" w:rsidRDefault="00EC4346" w:rsidP="009F0BAC">
      <w:pPr>
        <w:pStyle w:val="Heading3"/>
      </w:pPr>
      <w:r w:rsidRPr="00087A72">
        <w:t>Permutation – Decolonial Disability Theory</w:t>
      </w:r>
    </w:p>
    <w:p w:rsidR="00EC4346" w:rsidRPr="00087A72" w:rsidRDefault="00EC4346" w:rsidP="00EC4346">
      <w:pPr>
        <w:pStyle w:val="Heading4"/>
      </w:pPr>
      <w:r w:rsidRPr="00087A72">
        <w:t>A decolonial disability theory is the best way to de-stigmatize the idea of ‘toxicity’. This way we can get rid of the idea of a ‘constitutional deserving gene’ that is promoted through the view of settler colonialism and also promote the idea that toxicity is actually a good thing—this proves that the perm solves</w:t>
      </w:r>
    </w:p>
    <w:p w:rsidR="00EC4346" w:rsidRPr="00087A72" w:rsidRDefault="00EC4346" w:rsidP="00EC4346">
      <w:r w:rsidRPr="00087A72">
        <w:rPr>
          <w:rStyle w:val="Style13ptBold"/>
        </w:rPr>
        <w:t>Chen 15</w:t>
      </w:r>
      <w:r w:rsidRPr="00087A72">
        <w:t xml:space="preserve">—(Mel, Associate Professor in the department of Gender and Women’s Studies at UCBerkeley, “Unpacking intoxication, racialising disability”, </w:t>
      </w:r>
      <w:r w:rsidRPr="00087A72">
        <w:rPr>
          <w:i/>
        </w:rPr>
        <w:t>Medical Humanities</w:t>
      </w:r>
      <w:r w:rsidRPr="00087A72">
        <w:t>, 41, no.1, pp 28-29 [E.W.])</w:t>
      </w:r>
    </w:p>
    <w:p w:rsidR="00EC4346" w:rsidRPr="00087A72" w:rsidRDefault="00EC4346" w:rsidP="00EC4346">
      <w:pPr>
        <w:rPr>
          <w:u w:val="single"/>
        </w:rPr>
      </w:pPr>
      <w:r w:rsidRPr="00087A72">
        <w:rPr>
          <w:u w:val="single"/>
        </w:rPr>
        <w:t>If we a priori concur that opium is a categorically ‘bad’ substance and that all research judgments of human actions should follow from it, we may lose something in the analysis</w:t>
      </w:r>
      <w:r w:rsidRPr="00087A72">
        <w:rPr>
          <w:sz w:val="16"/>
        </w:rPr>
        <w:t>. I am less advocating for value neutrality within research than for analytically breaking up a terrain in which toxins, particularly within biomedical perspectives, would seem templatically and exclusively to cause damage</w:t>
      </w:r>
      <w:r w:rsidRPr="00087A72">
        <w:rPr>
          <w:u w:val="single"/>
        </w:rPr>
        <w:t>. The full range of contemporary opium derivatives—opiates—straddles the biopolitical divide between legitimised medical management and criminalised use, a divide that reﬂects in signiﬁcant part the competing interests of major stakeholders in healthcare industries, prison industrial complexes and welfare states, to take just a few;</w:t>
      </w:r>
      <w:r w:rsidRPr="00087A72">
        <w:rPr>
          <w:sz w:val="16"/>
        </w:rPr>
        <w:t xml:space="preserve"> furthermore, the very history of opium use is diverse. Finally, I wonder what it would mean to also say that opium has its own inhuman temporality when acting biochemically within human bodies. </w:t>
      </w:r>
      <w:r w:rsidRPr="00087A72">
        <w:rPr>
          <w:u w:val="single"/>
        </w:rPr>
        <w:t>Inhuman, certainly, being the condition of biochemically at work ‘in’ a human; but also involuting human temporalities and percepts and other indexical orientations, and decentering a normative embodied temporality.</w:t>
      </w:r>
      <w:r w:rsidRPr="00087A72">
        <w:rPr>
          <w:sz w:val="16"/>
        </w:rPr>
        <w:t xml:space="preserve"> Considering the affectivity of various substances, in and through the bodies of their hosts, while applying a critically disabled perspective on the demand to satisfy health and performance norms, opens some new possibilities of thinking about governance, welfare, medicine and self-determination. What I hope to have shown above—necessarily brieﬂy—is </w:t>
      </w:r>
      <w:r w:rsidRPr="00087A72">
        <w:rPr>
          <w:u w:val="single"/>
        </w:rPr>
        <w:t>the range of hidden potentials that continue to reside in medicalised concepts due to colonial logics of development, time, sexuality and race that reach substantively into the contemporary period. A discursive and medical history of toxicity is beyond the scope of this paper; rather, its goal is to exemplify the rich interanimations of ‘toxins’ and ‘toxicities</w:t>
      </w:r>
      <w:r w:rsidRPr="00087A72">
        <w:rPr>
          <w:sz w:val="16"/>
        </w:rPr>
        <w:t>,’ the repulsive dynamics of racism, and temporalised modes of control (chronicities), whether in the clinic or in the trafﬁc of contentious transnationality. In all examples, it is a production of the toxic, whether or not speciﬁc chemicals are invoked, that bears imagining in the whole; to only manage toxins as biochemical processes might be to unwittingly collude with the dynamics that produced them</w:t>
      </w:r>
      <w:r w:rsidRPr="00087A72">
        <w:rPr>
          <w:u w:val="single"/>
        </w:rPr>
        <w:t>. I suggest that the line between toxicity and intoxication not only should be addressed and rethought; in particular, I suggest that intoxication—rather than toxicity’s absence in the form of ‘non-toxic’—be considered the ‘unmarked’ (as in, the ambient or default) variety of the living, in a way that aligns however oddly with what is called neurodiversity in contemporary revisions of disability</w:t>
      </w:r>
      <w:r w:rsidRPr="00087A72">
        <w:rPr>
          <w:sz w:val="16"/>
        </w:rPr>
        <w:t>.10 To presume intoxication, rather than nontoxicity, is to adopt an environmentalist presumption that not all can be known about the more or less universally shared condition of living with ‘contaminants’</w:t>
      </w:r>
      <w:r w:rsidRPr="00087A72">
        <w:rPr>
          <w:u w:val="single"/>
        </w:rPr>
        <w:t>; to reject clear divisions between body and mind; and to forego the tempting categorisation of purity for subjects deemed ‘healthful’ or exempt from the classiﬁcation of severity. This revision has consequences for the body norm of, on the one hand, classed and racialised bodily purity</w:t>
      </w:r>
      <w:r w:rsidRPr="00087A72">
        <w:rPr>
          <w:sz w:val="16"/>
        </w:rPr>
        <w:t xml:space="preserve"> (which comes in opportunistically, for instance, to supplement or haunt Western depictions of West African communities affected by Ebola); and pharmaceutical tuning in the interest of capitalistic productivity, which works as a kind of companion to intoxication within zones of privilege</w:t>
      </w:r>
      <w:r w:rsidRPr="00087A72">
        <w:rPr>
          <w:u w:val="single"/>
        </w:rPr>
        <w:t>. In a general sense, we might see at play in the scenes above an assemblage of racial notions, temporalities and biochemical constituents that I understand together as ‘racial tuning’. This is to reiterate that toxins, or poisons, have a rich and mixed history</w:t>
      </w:r>
      <w:r w:rsidRPr="00087A72">
        <w:rPr>
          <w:sz w:val="16"/>
        </w:rPr>
        <w:t>; they are curative, as in vaccines; they are injurious to the ‘health’-desiring or health-exemplifying individual</w:t>
      </w:r>
      <w:r w:rsidRPr="00087A72">
        <w:rPr>
          <w:u w:val="single"/>
        </w:rPr>
        <w:t>; they are biopolitically brought to bear on certain populations considered constitutionally deserving of them.</w:t>
      </w:r>
      <w:r w:rsidRPr="00087A72">
        <w:rPr>
          <w:sz w:val="16"/>
        </w:rPr>
        <w:t xml:space="preserve"> It is relevant here to consider temporal resonances between certain bodies and the ‘medicalised’ or pre-medicalised coercions upon those bodies</w:t>
      </w:r>
      <w:r w:rsidRPr="00087A72">
        <w:rPr>
          <w:u w:val="single"/>
        </w:rPr>
        <w:t>: for instance, the queered reproductivity of disabled women or women of colour or indigenous women who are sterilised in the name of eugenic betterment (of obviously another population); the containment of alcoholisms and other substance attachments as part of impoverished lifeworlds whose source is governmental, racist and settler-colonialist rather than merely explainable by a ‘constitutionally deserving gene’</w:t>
      </w:r>
      <w:r w:rsidRPr="00087A72">
        <w:rPr>
          <w:sz w:val="16"/>
        </w:rPr>
        <w:t xml:space="preserve"> understood in terms of, say, alcoholic proclivity among Native Americans. </w:t>
      </w:r>
      <w:r w:rsidRPr="00087A72">
        <w:rPr>
          <w:u w:val="single"/>
        </w:rPr>
        <w:t>The possibility of a genetic explanation yielded decades of disproportionate genetic research on American Indian groups in ignorance of other critically important factors that ultimately rejected genetic dominance</w:t>
      </w:r>
      <w:r w:rsidRPr="00087A72">
        <w:rPr>
          <w:sz w:val="16"/>
        </w:rPr>
        <w:t xml:space="preserve">; popular understanding continues to support this belief.11 </w:t>
      </w:r>
      <w:r w:rsidRPr="00087A72">
        <w:rPr>
          <w:u w:val="single"/>
        </w:rPr>
        <w:t>The complicated dynamics of the increasing dominance of genetic models for medicine as well as for issues such as indigenous sovereignty continue to be explored by a number of scholars in science studies</w:t>
      </w:r>
      <w:r w:rsidRPr="00087A72">
        <w:rPr>
          <w:sz w:val="16"/>
        </w:rPr>
        <w:t xml:space="preserve"> including Kim Tallbear.12 Advocates of prenatal testing will often privilege the fantasy of a nondisabled future by implicitly or explicitly positioning disability as the sloughed-off dredges of a perfect non-disabled future world, as Alison Kafer and other disability theorists of ‘futures’ have argued.13 Advances in technology are often explicitly tied to the elimination of a bodily or intellectual difference that is templatically understood as undesirable. Recently, news of a new more reliable test for Down syndrome has emerged.14 </w:t>
      </w:r>
      <w:r w:rsidRPr="00087A72">
        <w:rPr>
          <w:u w:val="single"/>
        </w:rPr>
        <w:t>Its politics of life and death and comparative value, understood through the language of ‘risk’, were contradictory at ﬁrst glance, then easily mappable from the point of view of critical disability studies</w:t>
      </w:r>
      <w:r w:rsidRPr="00087A72">
        <w:rPr>
          <w:sz w:val="16"/>
        </w:rPr>
        <w:t xml:space="preserve">. For this new test, the possibility to abort an undesired fetus due to a reliable positive test result for </w:t>
      </w:r>
      <w:r w:rsidRPr="00087A72">
        <w:rPr>
          <w:u w:val="single"/>
        </w:rPr>
        <w:t>Down syndrome for ‘high-risk mothers’ was an advantage over other inferior tests that had greater ‘risk’ of miscarriage—that is, one would not want to abort a fetus that might have been ‘healthy’. That futurity also bears the weight of postraciality, one that we can identify in visions of the technophilic future that have been critiqued in afrofuturist scholarship as being implicitly about the ‘cleansing’ of marked raciality. Along with the burgeoning of sensing methods, as the detection of toxicity</w:t>
      </w:r>
      <w:r w:rsidRPr="00087A72">
        <w:rPr>
          <w:sz w:val="16"/>
        </w:rPr>
        <w:t xml:space="preserve"> (as aerial pollution, as bodily intruder) becomes distributed in a number of senses: across a populace and government (through neoliberalisation), and through time and space, what narratives of danger, expulsion, fatalism are built and what desires are they connected to? Ultimately, what kinds of racialised, sexualised, temporalised acting citizens do these make, and what are or will be their investments in a fantasied future populace that looks and acts a speciﬁc way and not others? INTOXICATED METHOD In closing, I wonder whether one lesson may be about allowing ourselves to become, say, ‘intoxicated’ by the opium—temporally ingesting and thinking with its inter-human temporalities, its urgent demands, its soothings, its very pace. </w:t>
      </w:r>
      <w:r w:rsidRPr="00087A72">
        <w:rPr>
          <w:u w:val="single"/>
        </w:rPr>
        <w:t>In practice, this means to approach not only the critical boundaries of the toxic versus the non-toxic, but to explore the affects and other categorical blurrings in that production of the toxic. For toxic assets as well as for opium, this means to examine not only the toxic–non-toxic axis, but others of equal importance, such as disability–debility</w:t>
      </w:r>
      <w:r w:rsidRPr="00087A72">
        <w:rPr>
          <w:sz w:val="16"/>
        </w:rPr>
        <w:t xml:space="preserve">, incident–chronicity, human–inhuman, constitution–interconstitution, quickening–slowing. In every move from a ﬁrst to a second term, a sharply deﬁned exceptional state </w:t>
      </w:r>
      <w:r w:rsidRPr="00087A72">
        <w:rPr>
          <w:u w:val="single"/>
        </w:rPr>
        <w:t>shifts towards something much more complex, inviting estrangement from privileged values.</w:t>
      </w:r>
      <w:r w:rsidRPr="00087A72">
        <w:rPr>
          <w:sz w:val="16"/>
        </w:rPr>
        <w:t xml:space="preserve"> What, above, seems potentially an indulgence becomes more justiﬁed in the context of a critically disabled provocation to ask about the workings of our own memory and, more generally, intellectual apparatus.15 If critical medical humanities calls for examining the knowledge forms of notions of health, illness and disability, one might be led to reﬂect on the methods of medical humanities research, particularly given medical humanities’s early ethical motivation to humanise the scene of treatment in the clinic. </w:t>
      </w:r>
      <w:r w:rsidRPr="00087A72">
        <w:rPr>
          <w:u w:val="single"/>
        </w:rPr>
        <w:t>In the case of toxicity, what might it mean to design our own embodied approach, whether we call it witnessing, approximation, occupation, to the living or dead subjects of our study</w:t>
      </w:r>
      <w:r w:rsidRPr="00087A72">
        <w:rPr>
          <w:sz w:val="16"/>
        </w:rPr>
        <w:t xml:space="preserve">? What if we were to consider, for instance, the iterativity of cognitive and perceptual effort that accompanies some forms of intoxication? This is not an attempt to advocate for a kind of sensory cosmopolitanism as a way of ‘understanding’ the lives of interest, but rather approximating a method that may converse with other people’s methods of survival and/or thriving, to recognise, for instance, the trade in alternative temporalities and perceptions that may already be present. </w:t>
      </w:r>
      <w:r w:rsidRPr="00087A72">
        <w:rPr>
          <w:u w:val="single"/>
        </w:rPr>
        <w:t>This provocation is of course tentative, but inﬂected by a deeper reﬂection fostered by disability studies: that even while it is absolutely problematic to attribute a priori intellectual ‘deﬁciency’, it is equally problematic to assume that none involved have been thinking in difference;</w:t>
      </w:r>
      <w:r w:rsidRPr="00087A72">
        <w:rPr>
          <w:sz w:val="16"/>
        </w:rPr>
        <w:t xml:space="preserve"> both are the products of the radical segregation of the observer. And further: </w:t>
      </w:r>
      <w:r w:rsidRPr="00087A72">
        <w:rPr>
          <w:u w:val="single"/>
        </w:rPr>
        <w:t>What does it mean to elect or enact a kind of cognitive idealism in the work we do if or when we know this is not always our thinking home</w:t>
      </w:r>
      <w:r w:rsidRPr="00087A72">
        <w:rPr>
          <w:sz w:val="16"/>
        </w:rPr>
        <w:t xml:space="preserve">, not always a reliable capacity? And is this kind of struggle to perform cognitive idealism different from the ‘hard work’ required of any specialty? I would wager that it is. As a scholar with an illness that produces variable cognitive impairment, whose occupation is temporally stringent enough to require my working during these variances of capacity, I have been led by necessity to meditate on reigning presumptions of research method, in particular on the ways that idealities of scholarship value cognitive elaboration, purity and clear thought. </w:t>
      </w:r>
      <w:r w:rsidRPr="00087A72">
        <w:rPr>
          <w:u w:val="single"/>
        </w:rPr>
        <w:t>Disability theory urges the unravelling of ableist methodologies; and besides the corporeal experimentation that we could describe as the practice of allopathic medicine, a decolonial approach avoids the positing of hierarchies of ‘medicating’ systems</w:t>
      </w:r>
      <w:r w:rsidRPr="00087A72">
        <w:rPr>
          <w:sz w:val="16"/>
        </w:rPr>
        <w:t xml:space="preserve"> (for instance, the prioritising of allopathy over other entrenched systems). </w:t>
      </w:r>
      <w:r w:rsidRPr="00087A72">
        <w:rPr>
          <w:u w:val="single"/>
        </w:rPr>
        <w:t>A decolonial disability theory may ultimately avoid the positing of a particular, idealised, uniquely temporalised cognition as one of its methodological givens and relax into the dual modes of intoxication and intellectual difference.</w:t>
      </w:r>
    </w:p>
    <w:p w:rsidR="009F0BAC" w:rsidRPr="00087A72" w:rsidRDefault="009F0BAC" w:rsidP="009F0BAC">
      <w:pPr>
        <w:pStyle w:val="Heading3"/>
      </w:pPr>
      <w:r w:rsidRPr="00087A72">
        <w:t>Permutation</w:t>
      </w:r>
    </w:p>
    <w:p w:rsidR="009F0BAC" w:rsidRPr="00087A72" w:rsidRDefault="009F0BAC" w:rsidP="009F0BAC">
      <w:pPr>
        <w:pStyle w:val="Heading4"/>
      </w:pPr>
      <w:r w:rsidRPr="00087A72">
        <w:t xml:space="preserve">Disability studies scholars should challenge the use of pathology. Only by utilizing a decolonial disability studies approach can we engage in a critical inquiry that centralizes ongoing settler colonialism and resistance strategies. </w:t>
      </w:r>
    </w:p>
    <w:p w:rsidR="009F0BAC" w:rsidRPr="00087A72" w:rsidRDefault="009F0BAC" w:rsidP="009F0BAC">
      <w:pPr>
        <w:widowControl w:val="0"/>
        <w:autoSpaceDE w:val="0"/>
        <w:autoSpaceDN w:val="0"/>
        <w:adjustRightInd w:val="0"/>
        <w:spacing w:after="240" w:line="360" w:lineRule="atLeast"/>
      </w:pPr>
      <w:r w:rsidRPr="00087A72">
        <w:rPr>
          <w:rFonts w:eastAsiaTheme="majorEastAsia" w:cstheme="majorBidi"/>
          <w:b/>
          <w:bCs/>
          <w:sz w:val="26"/>
          <w:szCs w:val="26"/>
        </w:rPr>
        <w:t>Greensmith 12</w:t>
      </w:r>
      <w:r w:rsidRPr="00087A72">
        <w:t xml:space="preserve"> (Cameron, Assistant Professor in the Department of Social Work and Human Services at Kennesaw State University “Pathologizing Indigeneity in the Caledonia “Crisis”” </w:t>
      </w:r>
      <w:r w:rsidRPr="00087A72">
        <w:rPr>
          <w:i/>
        </w:rPr>
        <w:t>CJDS</w:t>
      </w:r>
      <w:r w:rsidRPr="00087A72">
        <w:t xml:space="preserve"> 1.2 pp. 36-38) IA</w:t>
      </w:r>
    </w:p>
    <w:p w:rsidR="009F0BAC" w:rsidRPr="00087A72" w:rsidRDefault="009F0BAC" w:rsidP="009F0BAC">
      <w:pPr>
        <w:rPr>
          <w:u w:val="single"/>
        </w:rPr>
      </w:pPr>
      <w:r w:rsidRPr="00087A72">
        <w:rPr>
          <w:sz w:val="16"/>
        </w:rPr>
        <w:t xml:space="preserve">In the Caledonia “crisis” Canadian </w:t>
      </w:r>
      <w:r w:rsidRPr="00087A72">
        <w:rPr>
          <w:rStyle w:val="Emphasis"/>
        </w:rPr>
        <w:t>disability studies makes observable the ableism and settler colonialism in everyday interactions with culture</w:t>
      </w:r>
      <w:r w:rsidRPr="00087A72">
        <w:rPr>
          <w:sz w:val="16"/>
        </w:rPr>
        <w:t xml:space="preserve"> (e.g. Canadian news media). </w:t>
      </w:r>
      <w:r w:rsidRPr="00087A72">
        <w:rPr>
          <w:rStyle w:val="StyleUnderline"/>
        </w:rPr>
        <w:t>In situating disability in social and cultural relationships</w:t>
      </w:r>
      <w:r w:rsidRPr="00087A72">
        <w:rPr>
          <w:sz w:val="16"/>
        </w:rPr>
        <w:t xml:space="preserve">, McGuire (2010: np) writes </w:t>
      </w:r>
      <w:r w:rsidRPr="00087A72">
        <w:rPr>
          <w:rStyle w:val="StyleUnderline"/>
        </w:rPr>
        <w:t>“disability marks different bodies in different and relational ways; systems of ableism come into contact with racialized bodies, queer bodies, classed bodies, gendered bodies, bodies that have already been touched by other (and perhaps multiple) systems of oppression.”</w:t>
      </w:r>
      <w:r w:rsidRPr="00087A72">
        <w:rPr>
          <w:sz w:val="16"/>
        </w:rPr>
        <w:t xml:space="preserve"> As McGuire (2010) suggests, </w:t>
      </w:r>
      <w:r w:rsidRPr="00087A72">
        <w:rPr>
          <w:rStyle w:val="StyleUnderline"/>
        </w:rPr>
        <w:t>it is the moments of intersection that show how disability is being evoked as pathology</w:t>
      </w:r>
      <w:r w:rsidRPr="00087A72">
        <w:rPr>
          <w:sz w:val="16"/>
        </w:rPr>
        <w:t xml:space="preserve"> in the Caledonia crisis </w:t>
      </w:r>
      <w:r w:rsidRPr="00087A72">
        <w:rPr>
          <w:rStyle w:val="StyleUnderline"/>
        </w:rPr>
        <w:t xml:space="preserve">to mark Indigenous activism and thus a people irrational and abnormal. </w:t>
      </w:r>
      <w:r w:rsidRPr="00087A72">
        <w:rPr>
          <w:sz w:val="16"/>
        </w:rPr>
        <w:t xml:space="preserve">Specifically, in the Caledonia “crisis” in 2006 – 2007 both disability and Indigeneity are Othered in order for settlers on Indigenous territory to conceive of themselves as rightful inhabitants and owners of that land. </w:t>
      </w:r>
      <w:r w:rsidRPr="00087A72">
        <w:rPr>
          <w:rStyle w:val="Emphasis"/>
        </w:rPr>
        <w:t>Decolonial disability studies makes observable the ways in which abelist tropes are used within the Canadian news media, tropes that would typically be unquestioned in the everyday. By engaging with a decolonial disability studies perspective, scholars can challenge the on-going disenfranchisement and stigmatization of Indigenous sovereignty, self- determination, and access to land in Canada, and on a global scale</w:t>
      </w:r>
      <w:r w:rsidRPr="00087A72">
        <w:rPr>
          <w:sz w:val="16"/>
        </w:rPr>
        <w:t xml:space="preserve"> This paper has argued that cultural texts come to produce many meanings of ableism and settler colonialism, and in the case of the Caledonia “crisis” come to reproduce commonsense understandings of Indigenous peoples’ bodies and minds as being in a perpetual state of abnormalcy. By using disability tropes to disavow Indigenous peoples, disability is understood and reproduced as lack (Titchkosky, 2007). By engaging with seemingly everyday encounters with Indigenous peoples’ activism and violence, disability and pathology can be read within social and cultural texts, as being culturally produced and thus, disability can be engaged with and thought through differently. My recommendations for doing decolonial disability studies are twofold. Firstly, </w:t>
      </w:r>
      <w:r w:rsidRPr="00087A72">
        <w:rPr>
          <w:rStyle w:val="StyleUnderline"/>
        </w:rPr>
        <w:t>disability studies scholars must move beyond identity politics in order to engage with and trouble race, conceptualizations of nation, and colonialism as they are imbricated with disability</w:t>
      </w:r>
      <w:r w:rsidRPr="00087A72">
        <w:rPr>
          <w:sz w:val="16"/>
        </w:rPr>
        <w:t xml:space="preserve">. Erevelles and Minear (2010: 132) write in the context of the USA, but their work also relates to the context of Canada where race has been associated with disability in order to justify “the brutality of slavery, colonialism, and neocolonialism.” In order to engage with Indigeneity, settlers must “think about matters of restitution, their own decolonization, and what it might mean to transform their complicity in ongoing dispossession” (Cannon, 2011: np). </w:t>
      </w:r>
      <w:r w:rsidRPr="00087A72">
        <w:rPr>
          <w:rStyle w:val="Emphasis"/>
        </w:rPr>
        <w:t>By taking responsibility for settler colonialism within disability studies scholarship, settlers doing work within disability studies can engage in coalition building with Indigenous scholars and communities to amend the paucity of literature that engages with Indigeneity and disability. Disability studies scholars and activists can challenge the application of disability stigma – the use of pathology – to show how colonial oppression and ableism still exists</w:t>
      </w:r>
      <w:r w:rsidRPr="00087A72">
        <w:rPr>
          <w:sz w:val="16"/>
        </w:rPr>
        <w:t xml:space="preserve"> within Canada. Secondly, </w:t>
      </w:r>
      <w:r w:rsidRPr="00087A72">
        <w:rPr>
          <w:rStyle w:val="StyleUnderline"/>
        </w:rPr>
        <w:t>disability scholars can critically engage with the lived realities of Indigenous peoples with disabilities. There is a dearth of critical disability studies scholarship engaging with Indigeneity directly, which continues to present Indigenous peoples with disabilities as unworthy of inquiry. Therefore, by understanding that Indigeneity as pathology is an on-going production</w:t>
      </w:r>
      <w:r w:rsidRPr="00087A72">
        <w:rPr>
          <w:sz w:val="16"/>
        </w:rPr>
        <w:t xml:space="preserve"> in Canada (Razack, 2011), </w:t>
      </w:r>
      <w:r w:rsidRPr="00087A72">
        <w:rPr>
          <w:rStyle w:val="StyleUnderline"/>
        </w:rPr>
        <w:t>disability studies scholars can theorize with Indigenous peoples with disabilities to make observable Indigenous experience in disability studies scholarship</w:t>
      </w:r>
      <w:r w:rsidRPr="00087A72">
        <w:rPr>
          <w:sz w:val="16"/>
        </w:rPr>
        <w:t xml:space="preserve">. By addressing the imbrication of disability and Indigeneity, disability studies scholars might ensure that they recognize and positively resituate the experiences of Indigenous peoples with disabilities. Therefore, </w:t>
      </w:r>
      <w:r w:rsidRPr="00087A72">
        <w:rPr>
          <w:rStyle w:val="StyleUnderline"/>
        </w:rPr>
        <w:t xml:space="preserve">by utilizing a decolonial disability studies approach, disability studies scholars and activists can engage in critical inquiry that centralizes ongoing settler colonialism experienced and resistance strategies adopted by Indigenous peoples with or without disabilities. </w:t>
      </w:r>
    </w:p>
    <w:p w:rsidR="00792F86" w:rsidRPr="00087A72" w:rsidRDefault="00792F86" w:rsidP="00496C79">
      <w:pPr>
        <w:pStyle w:val="Heading2"/>
      </w:pPr>
      <w:r w:rsidRPr="00087A72">
        <w:t>TOPR – Queer Migrations</w:t>
      </w:r>
    </w:p>
    <w:p w:rsidR="000314EC" w:rsidRPr="00087A72" w:rsidRDefault="000314EC" w:rsidP="00792F86">
      <w:pPr>
        <w:pStyle w:val="Heading3"/>
      </w:pPr>
      <w:r w:rsidRPr="00087A72">
        <w:t>Cisheteronormative Native Studies Impact</w:t>
      </w:r>
    </w:p>
    <w:p w:rsidR="000314EC" w:rsidRPr="00087A72" w:rsidRDefault="000314EC" w:rsidP="000314EC">
      <w:pPr>
        <w:pStyle w:val="Heading4"/>
      </w:pPr>
      <w:r w:rsidRPr="00087A72">
        <w:t>Exclusion of queer theory/studies within Native Studies emboldens heteronormativity within the field.</w:t>
      </w:r>
    </w:p>
    <w:p w:rsidR="000314EC" w:rsidRPr="00087A72" w:rsidRDefault="000314EC" w:rsidP="000314EC">
      <w:r w:rsidRPr="00087A72">
        <w:rPr>
          <w:rStyle w:val="Style13ptBold"/>
        </w:rPr>
        <w:t>Smith 16</w:t>
      </w:r>
      <w:r w:rsidRPr="00087A72">
        <w:t xml:space="preserve"> Andrea, </w:t>
      </w:r>
      <w:hyperlink r:id="rId31" w:history="1">
        <w:r w:rsidRPr="00087A72">
          <w:rPr>
            <w:rStyle w:val="Hyperlink"/>
          </w:rPr>
          <w:t>University of California, Riverside | UCR</w:t>
        </w:r>
      </w:hyperlink>
      <w:r w:rsidRPr="00087A72">
        <w:t> · </w:t>
      </w:r>
      <w:hyperlink r:id="rId32" w:history="1">
        <w:r w:rsidRPr="00087A72">
          <w:rPr>
            <w:rStyle w:val="Hyperlink"/>
          </w:rPr>
          <w:t>Department of Ethnic Studies</w:t>
        </w:r>
      </w:hyperlink>
      <w:r w:rsidRPr="00087A72">
        <w:t>, “Queer Theory and Native Studies The Heteronormativity of Settler Colonialism”, A Journal of Gay and Lesbian Studies, Issue #1, PP 6</w:t>
      </w:r>
    </w:p>
    <w:p w:rsidR="000314EC" w:rsidRPr="00087A72" w:rsidRDefault="000314EC" w:rsidP="000314EC">
      <w:pPr>
        <w:rPr>
          <w:rFonts w:cs="Arial"/>
          <w:sz w:val="16"/>
          <w:szCs w:val="28"/>
        </w:rPr>
      </w:pP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Native</w:t>
      </w:r>
      <w:r w:rsidRPr="00087A72">
        <w:rPr>
          <w:rFonts w:cs="Arial"/>
          <w:b/>
          <w:sz w:val="28"/>
          <w:szCs w:val="28"/>
          <w:u w:val="single"/>
        </w:rPr>
        <w:t xml:space="preserve"> </w:t>
      </w:r>
      <w:r w:rsidRPr="00087A72">
        <w:rPr>
          <w:rFonts w:eastAsia="Calibri" w:cs="Arial"/>
          <w:b/>
          <w:sz w:val="28"/>
          <w:szCs w:val="28"/>
          <w:u w:val="single"/>
        </w:rPr>
        <w:t>studies</w:t>
      </w:r>
      <w:r w:rsidRPr="00087A72">
        <w:rPr>
          <w:rFonts w:cs="Arial"/>
          <w:b/>
          <w:sz w:val="28"/>
          <w:szCs w:val="28"/>
          <w:u w:val="single"/>
        </w:rPr>
        <w:t xml:space="preserve"> </w:t>
      </w:r>
      <w:r w:rsidRPr="00087A72">
        <w:rPr>
          <w:rFonts w:eastAsia="Calibri" w:cs="Arial"/>
          <w:b/>
          <w:sz w:val="28"/>
          <w:szCs w:val="28"/>
          <w:u w:val="single"/>
        </w:rPr>
        <w:t>and</w:t>
      </w:r>
      <w:r w:rsidRPr="00087A72">
        <w:rPr>
          <w:rFonts w:cs="Arial"/>
          <w:b/>
          <w:sz w:val="28"/>
          <w:szCs w:val="28"/>
          <w:u w:val="single"/>
        </w:rPr>
        <w:t xml:space="preserve"> </w:t>
      </w:r>
      <w:r w:rsidRPr="00087A72">
        <w:rPr>
          <w:rFonts w:eastAsia="Calibri" w:cs="Arial"/>
          <w:b/>
          <w:sz w:val="28"/>
          <w:szCs w:val="28"/>
          <w:u w:val="single"/>
        </w:rPr>
        <w:t>queer</w:t>
      </w:r>
      <w:r w:rsidRPr="00087A72">
        <w:rPr>
          <w:rFonts w:cs="Arial"/>
          <w:b/>
          <w:sz w:val="28"/>
          <w:szCs w:val="28"/>
          <w:u w:val="single"/>
        </w:rPr>
        <w:t xml:space="preserve"> </w:t>
      </w:r>
      <w:r w:rsidRPr="00087A72">
        <w:rPr>
          <w:rFonts w:eastAsia="Calibri" w:cs="Arial"/>
          <w:b/>
          <w:sz w:val="28"/>
          <w:szCs w:val="28"/>
          <w:u w:val="single"/>
        </w:rPr>
        <w:t>theorist</w:t>
      </w:r>
      <w:r w:rsidRPr="00087A72">
        <w:rPr>
          <w:rFonts w:cs="Arial"/>
          <w:b/>
          <w:sz w:val="28"/>
          <w:szCs w:val="28"/>
          <w:u w:val="single"/>
        </w:rPr>
        <w:t xml:space="preserve"> </w:t>
      </w:r>
      <w:r w:rsidRPr="00087A72">
        <w:rPr>
          <w:rFonts w:eastAsia="Calibri" w:cs="Arial"/>
          <w:b/>
          <w:sz w:val="28"/>
          <w:szCs w:val="28"/>
          <w:u w:val="single"/>
        </w:rPr>
        <w:t>Chris</w:t>
      </w:r>
      <w:r w:rsidRPr="00087A72">
        <w:rPr>
          <w:rFonts w:cs="Arial"/>
          <w:b/>
          <w:sz w:val="28"/>
          <w:szCs w:val="28"/>
          <w:u w:val="single"/>
        </w:rPr>
        <w:t xml:space="preserve"> </w:t>
      </w:r>
      <w:r w:rsidRPr="00087A72">
        <w:rPr>
          <w:rFonts w:eastAsia="Calibri" w:cs="Arial"/>
          <w:b/>
          <w:sz w:val="28"/>
          <w:szCs w:val="28"/>
          <w:u w:val="single"/>
        </w:rPr>
        <w:t>Finley</w:t>
      </w:r>
      <w:r w:rsidRPr="00087A72">
        <w:rPr>
          <w:rFonts w:cs="Arial"/>
          <w:b/>
          <w:sz w:val="28"/>
          <w:szCs w:val="28"/>
          <w:u w:val="single"/>
        </w:rPr>
        <w:t xml:space="preserve"> </w:t>
      </w:r>
      <w:r w:rsidRPr="00087A72">
        <w:rPr>
          <w:rFonts w:eastAsia="Calibri" w:cs="Arial"/>
          <w:b/>
          <w:sz w:val="28"/>
          <w:szCs w:val="28"/>
          <w:u w:val="single"/>
        </w:rPr>
        <w:t>challenges</w:t>
      </w:r>
      <w:r w:rsidRPr="00087A72">
        <w:rPr>
          <w:rFonts w:cs="Arial"/>
          <w:b/>
          <w:sz w:val="28"/>
          <w:szCs w:val="28"/>
          <w:u w:val="single"/>
        </w:rPr>
        <w:t xml:space="preserve"> </w:t>
      </w:r>
      <w:r w:rsidRPr="00087A72">
        <w:rPr>
          <w:rFonts w:eastAsia="Calibri" w:cs="Arial"/>
          <w:b/>
          <w:sz w:val="28"/>
          <w:szCs w:val="28"/>
          <w:u w:val="single"/>
        </w:rPr>
        <w:t>Native</w:t>
      </w:r>
      <w:r w:rsidRPr="00087A72">
        <w:rPr>
          <w:rFonts w:cs="Arial"/>
          <w:b/>
          <w:sz w:val="28"/>
          <w:szCs w:val="28"/>
          <w:u w:val="single"/>
        </w:rPr>
        <w:t xml:space="preserve"> </w:t>
      </w:r>
      <w:r w:rsidRPr="00087A72">
        <w:rPr>
          <w:rFonts w:eastAsia="Calibri" w:cs="Arial"/>
          <w:b/>
          <w:sz w:val="28"/>
          <w:szCs w:val="28"/>
          <w:u w:val="single"/>
        </w:rPr>
        <w:t>studies</w:t>
      </w:r>
      <w:r w:rsidRPr="00087A72">
        <w:rPr>
          <w:rFonts w:cs="Arial"/>
          <w:b/>
          <w:sz w:val="28"/>
          <w:szCs w:val="28"/>
          <w:u w:val="single"/>
        </w:rPr>
        <w:t xml:space="preserve"> </w:t>
      </w:r>
      <w:r w:rsidRPr="00087A72">
        <w:rPr>
          <w:rFonts w:eastAsia="Calibri" w:cs="Arial"/>
          <w:b/>
          <w:sz w:val="28"/>
          <w:szCs w:val="28"/>
          <w:u w:val="single"/>
        </w:rPr>
        <w:t>scholars</w:t>
      </w:r>
      <w:r w:rsidRPr="00087A72">
        <w:rPr>
          <w:rFonts w:cs="Arial"/>
          <w:b/>
          <w:sz w:val="28"/>
          <w:szCs w:val="28"/>
          <w:u w:val="single"/>
        </w:rPr>
        <w:t xml:space="preserve"> </w:t>
      </w:r>
      <w:r w:rsidRPr="00087A72">
        <w:rPr>
          <w:rFonts w:eastAsia="Calibri" w:cs="Arial"/>
          <w:b/>
          <w:sz w:val="28"/>
          <w:szCs w:val="28"/>
          <w:u w:val="single"/>
        </w:rPr>
        <w:t>to</w:t>
      </w:r>
      <w:r w:rsidRPr="00087A72">
        <w:rPr>
          <w:rFonts w:cs="Arial"/>
          <w:b/>
          <w:sz w:val="28"/>
          <w:szCs w:val="28"/>
          <w:u w:val="single"/>
        </w:rPr>
        <w:t xml:space="preserve"> </w:t>
      </w:r>
      <w:r w:rsidRPr="00087A72">
        <w:rPr>
          <w:rFonts w:eastAsia="Calibri" w:cs="Arial"/>
          <w:b/>
          <w:sz w:val="28"/>
          <w:szCs w:val="28"/>
          <w:u w:val="single"/>
        </w:rPr>
        <w:t>integrate</w:t>
      </w:r>
      <w:r w:rsidRPr="00087A72">
        <w:rPr>
          <w:rFonts w:cs="Arial"/>
          <w:b/>
          <w:sz w:val="28"/>
          <w:szCs w:val="28"/>
          <w:u w:val="single"/>
        </w:rPr>
        <w:t xml:space="preserve"> </w:t>
      </w:r>
      <w:r w:rsidRPr="00087A72">
        <w:rPr>
          <w:rFonts w:eastAsia="Calibri" w:cs="Arial"/>
          <w:b/>
          <w:sz w:val="28"/>
          <w:szCs w:val="28"/>
          <w:u w:val="single"/>
        </w:rPr>
        <w:t>queer</w:t>
      </w:r>
      <w:r w:rsidRPr="00087A72">
        <w:rPr>
          <w:rFonts w:cs="Arial"/>
          <w:b/>
          <w:sz w:val="28"/>
          <w:szCs w:val="28"/>
          <w:u w:val="single"/>
        </w:rPr>
        <w:t xml:space="preserve"> </w:t>
      </w:r>
      <w:r w:rsidRPr="00087A72">
        <w:rPr>
          <w:rFonts w:eastAsia="Calibri" w:cs="Arial"/>
          <w:b/>
          <w:sz w:val="28"/>
          <w:szCs w:val="28"/>
          <w:u w:val="single"/>
        </w:rPr>
        <w:t>theory</w:t>
      </w:r>
      <w:r w:rsidRPr="00087A72">
        <w:rPr>
          <w:rFonts w:cs="Arial"/>
          <w:b/>
          <w:sz w:val="28"/>
          <w:szCs w:val="28"/>
          <w:u w:val="single"/>
        </w:rPr>
        <w:t xml:space="preserve"> </w:t>
      </w:r>
      <w:r w:rsidRPr="00087A72">
        <w:rPr>
          <w:rFonts w:eastAsia="Calibri" w:cs="Arial"/>
          <w:b/>
          <w:sz w:val="28"/>
          <w:szCs w:val="28"/>
          <w:u w:val="single"/>
        </w:rPr>
        <w:t>into</w:t>
      </w:r>
      <w:r w:rsidRPr="00087A72">
        <w:rPr>
          <w:rFonts w:cs="Arial"/>
          <w:b/>
          <w:sz w:val="28"/>
          <w:szCs w:val="28"/>
          <w:u w:val="single"/>
        </w:rPr>
        <w:t xml:space="preserve"> </w:t>
      </w:r>
      <w:r w:rsidRPr="00087A72">
        <w:rPr>
          <w:rFonts w:eastAsia="Calibri" w:cs="Arial"/>
          <w:b/>
          <w:sz w:val="28"/>
          <w:szCs w:val="28"/>
          <w:u w:val="single"/>
        </w:rPr>
        <w:t>their</w:t>
      </w:r>
      <w:r w:rsidRPr="00087A72">
        <w:rPr>
          <w:rFonts w:cs="Arial"/>
          <w:b/>
          <w:sz w:val="28"/>
          <w:szCs w:val="28"/>
          <w:u w:val="single"/>
        </w:rPr>
        <w:t xml:space="preserve"> </w:t>
      </w:r>
      <w:r w:rsidRPr="00087A72">
        <w:rPr>
          <w:rFonts w:eastAsia="Calibri" w:cs="Arial"/>
          <w:b/>
          <w:sz w:val="28"/>
          <w:szCs w:val="28"/>
          <w:u w:val="single"/>
        </w:rPr>
        <w:t>work</w:t>
      </w:r>
      <w:r w:rsidRPr="00087A72">
        <w:rPr>
          <w:rFonts w:cs="Arial"/>
          <w:sz w:val="16"/>
          <w:szCs w:val="28"/>
        </w:rPr>
        <w:t xml:space="preserve">. </w:t>
      </w:r>
      <w:r w:rsidRPr="00087A72">
        <w:rPr>
          <w:rFonts w:eastAsia="Calibri" w:cs="Arial"/>
          <w:sz w:val="16"/>
          <w:szCs w:val="28"/>
        </w:rPr>
        <w:t>She</w:t>
      </w:r>
      <w:r w:rsidRPr="00087A72">
        <w:rPr>
          <w:rFonts w:cs="Arial"/>
          <w:sz w:val="16"/>
          <w:szCs w:val="28"/>
        </w:rPr>
        <w:t xml:space="preserve"> </w:t>
      </w:r>
      <w:r w:rsidRPr="00087A72">
        <w:rPr>
          <w:rFonts w:eastAsia="Calibri" w:cs="Arial"/>
          <w:sz w:val="16"/>
          <w:szCs w:val="28"/>
        </w:rPr>
        <w:t>notes</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while</w:t>
      </w:r>
      <w:r w:rsidRPr="00087A72">
        <w:rPr>
          <w:rFonts w:cs="Arial"/>
          <w:sz w:val="16"/>
          <w:szCs w:val="28"/>
        </w:rPr>
        <w:t xml:space="preserve"> </w:t>
      </w:r>
      <w:r w:rsidRPr="00087A72">
        <w:rPr>
          <w:rFonts w:eastAsia="Calibri" w:cs="Arial"/>
          <w:sz w:val="16"/>
          <w:szCs w:val="28"/>
        </w:rPr>
        <w:t>some</w:t>
      </w:r>
      <w:r w:rsidRPr="00087A72">
        <w:rPr>
          <w:rFonts w:cs="Arial"/>
          <w:sz w:val="16"/>
          <w:szCs w:val="28"/>
        </w:rPr>
        <w:t xml:space="preserve"> </w:t>
      </w:r>
      <w:r w:rsidRPr="00087A72">
        <w:rPr>
          <w:rFonts w:eastAsia="Calibri" w:cs="Arial"/>
          <w:sz w:val="16"/>
          <w:szCs w:val="28"/>
        </w:rPr>
        <w:t>scholars</w:t>
      </w:r>
      <w:r w:rsidRPr="00087A72">
        <w:rPr>
          <w:rFonts w:cs="Arial"/>
          <w:sz w:val="16"/>
          <w:szCs w:val="28"/>
        </w:rPr>
        <w:t xml:space="preserve"> </w:t>
      </w:r>
      <w:r w:rsidRPr="00087A72">
        <w:rPr>
          <w:rFonts w:eastAsia="Calibri" w:cs="Arial"/>
          <w:sz w:val="16"/>
          <w:szCs w:val="28"/>
        </w:rPr>
        <w:t>discuss</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status</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gender</w:t>
      </w:r>
      <w:r w:rsidRPr="00087A72">
        <w:rPr>
          <w:rFonts w:cs="Arial"/>
          <w:sz w:val="16"/>
          <w:szCs w:val="28"/>
        </w:rPr>
        <w:t xml:space="preserve"> </w:t>
      </w:r>
      <w:r w:rsidRPr="00087A72">
        <w:rPr>
          <w:rFonts w:eastAsia="Calibri" w:cs="Arial"/>
          <w:sz w:val="16"/>
          <w:szCs w:val="28"/>
        </w:rPr>
        <w:t>non-normative</w:t>
      </w:r>
      <w:r w:rsidRPr="00087A72">
        <w:rPr>
          <w:rFonts w:cs="Arial"/>
          <w:sz w:val="16"/>
          <w:szCs w:val="28"/>
        </w:rPr>
        <w:t xml:space="preserve"> </w:t>
      </w:r>
      <w:r w:rsidRPr="00087A72">
        <w:rPr>
          <w:rFonts w:eastAsia="Calibri" w:cs="Arial"/>
          <w:sz w:val="16"/>
          <w:szCs w:val="28"/>
        </w:rPr>
        <w:t>peoples</w:t>
      </w:r>
      <w:r w:rsidRPr="00087A72">
        <w:rPr>
          <w:rFonts w:cs="Arial"/>
          <w:sz w:val="16"/>
          <w:szCs w:val="28"/>
        </w:rPr>
        <w:t xml:space="preserve"> </w:t>
      </w:r>
      <w:r w:rsidRPr="00087A72">
        <w:rPr>
          <w:rFonts w:eastAsia="Calibri" w:cs="Arial"/>
          <w:sz w:val="16"/>
          <w:szCs w:val="28"/>
        </w:rPr>
        <w:t>within</w:t>
      </w:r>
      <w:r w:rsidRPr="00087A72">
        <w:rPr>
          <w:rFonts w:cs="Arial"/>
          <w:sz w:val="16"/>
          <w:szCs w:val="28"/>
        </w:rPr>
        <w:t xml:space="preserve"> </w:t>
      </w:r>
      <w:r w:rsidRPr="00087A72">
        <w:rPr>
          <w:rFonts w:eastAsia="Calibri" w:cs="Arial"/>
          <w:sz w:val="16"/>
          <w:szCs w:val="28"/>
        </w:rPr>
        <w:t>precolonial</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communities</w:t>
      </w:r>
      <w:r w:rsidRPr="00087A72">
        <w:rPr>
          <w:rFonts w:cs="Arial"/>
          <w:sz w:val="16"/>
          <w:szCs w:val="28"/>
        </w:rPr>
        <w:t xml:space="preserve">, </w:t>
      </w:r>
      <w:r w:rsidRPr="00087A72">
        <w:rPr>
          <w:rFonts w:eastAsia="Calibri" w:cs="Arial"/>
          <w:b/>
          <w:sz w:val="28"/>
          <w:szCs w:val="28"/>
          <w:u w:val="single"/>
        </w:rPr>
        <w:t>virtually</w:t>
      </w:r>
      <w:r w:rsidRPr="00087A72">
        <w:rPr>
          <w:rFonts w:cs="Arial"/>
          <w:b/>
          <w:sz w:val="28"/>
          <w:szCs w:val="28"/>
          <w:u w:val="single"/>
        </w:rPr>
        <w:t xml:space="preserve"> </w:t>
      </w:r>
      <w:r w:rsidRPr="00087A72">
        <w:rPr>
          <w:rFonts w:eastAsia="Calibri" w:cs="Arial"/>
          <w:b/>
          <w:sz w:val="28"/>
          <w:szCs w:val="28"/>
          <w:u w:val="single"/>
        </w:rPr>
        <w:t>no</w:t>
      </w:r>
      <w:r w:rsidRPr="00087A72">
        <w:rPr>
          <w:rFonts w:cs="Arial"/>
          <w:b/>
          <w:sz w:val="28"/>
          <w:szCs w:val="28"/>
          <w:u w:val="single"/>
        </w:rPr>
        <w:t xml:space="preserve"> </w:t>
      </w:r>
      <w:r w:rsidRPr="00087A72">
        <w:rPr>
          <w:rFonts w:eastAsia="Calibri" w:cs="Arial"/>
          <w:b/>
          <w:sz w:val="28"/>
          <w:szCs w:val="28"/>
          <w:u w:val="single"/>
        </w:rPr>
        <w:t>scholars</w:t>
      </w:r>
      <w:r w:rsidRPr="00087A72">
        <w:rPr>
          <w:rFonts w:cs="Arial"/>
          <w:b/>
          <w:sz w:val="28"/>
          <w:szCs w:val="28"/>
          <w:u w:val="single"/>
        </w:rPr>
        <w:t xml:space="preserve"> </w:t>
      </w:r>
      <w:r w:rsidRPr="00087A72">
        <w:rPr>
          <w:rFonts w:eastAsia="Calibri" w:cs="Arial"/>
          <w:b/>
          <w:sz w:val="28"/>
          <w:szCs w:val="28"/>
          <w:u w:val="single"/>
        </w:rPr>
        <w:t>engage</w:t>
      </w:r>
      <w:r w:rsidRPr="00087A72">
        <w:rPr>
          <w:rFonts w:cs="Arial"/>
          <w:b/>
          <w:sz w:val="28"/>
          <w:szCs w:val="28"/>
          <w:u w:val="single"/>
        </w:rPr>
        <w:t xml:space="preserve"> </w:t>
      </w:r>
      <w:r w:rsidRPr="00087A72">
        <w:rPr>
          <w:rFonts w:eastAsia="Calibri" w:cs="Arial"/>
          <w:b/>
          <w:sz w:val="28"/>
          <w:szCs w:val="28"/>
          <w:u w:val="single"/>
        </w:rPr>
        <w:t>queer</w:t>
      </w:r>
      <w:r w:rsidRPr="00087A72">
        <w:rPr>
          <w:rFonts w:cs="Arial"/>
          <w:b/>
          <w:sz w:val="28"/>
          <w:szCs w:val="28"/>
          <w:u w:val="single"/>
        </w:rPr>
        <w:t xml:space="preserve"> </w:t>
      </w:r>
      <w:r w:rsidRPr="00087A72">
        <w:rPr>
          <w:rFonts w:eastAsia="Calibri" w:cs="Arial"/>
          <w:b/>
          <w:sz w:val="28"/>
          <w:szCs w:val="28"/>
          <w:u w:val="single"/>
        </w:rPr>
        <w:t>theory</w:t>
      </w:r>
      <w:r w:rsidRPr="00087A72">
        <w:rPr>
          <w:rFonts w:cs="Arial"/>
          <w:sz w:val="16"/>
          <w:szCs w:val="28"/>
        </w:rPr>
        <w:t xml:space="preserve">. </w:t>
      </w:r>
      <w:r w:rsidRPr="00087A72">
        <w:rPr>
          <w:rFonts w:eastAsia="Calibri" w:cs="Arial"/>
          <w:b/>
          <w:sz w:val="28"/>
          <w:szCs w:val="28"/>
          <w:u w:val="single"/>
        </w:rPr>
        <w:t>This</w:t>
      </w:r>
      <w:r w:rsidRPr="00087A72">
        <w:rPr>
          <w:rFonts w:cs="Arial"/>
          <w:b/>
          <w:sz w:val="28"/>
          <w:szCs w:val="28"/>
          <w:u w:val="single"/>
        </w:rPr>
        <w:t xml:space="preserve"> </w:t>
      </w:r>
      <w:r w:rsidRPr="00087A72">
        <w:rPr>
          <w:rFonts w:eastAsia="Calibri" w:cs="Arial"/>
          <w:b/>
          <w:sz w:val="28"/>
          <w:szCs w:val="28"/>
          <w:u w:val="single"/>
        </w:rPr>
        <w:t>absence</w:t>
      </w:r>
      <w:r w:rsidRPr="00087A72">
        <w:rPr>
          <w:rFonts w:cs="Arial"/>
          <w:b/>
          <w:sz w:val="28"/>
          <w:szCs w:val="28"/>
          <w:u w:val="single"/>
        </w:rPr>
        <w:t xml:space="preserve"> </w:t>
      </w:r>
      <w:r w:rsidRPr="00087A72">
        <w:rPr>
          <w:rFonts w:eastAsia="Calibri" w:cs="Arial"/>
          <w:b/>
          <w:sz w:val="28"/>
          <w:szCs w:val="28"/>
          <w:u w:val="single"/>
        </w:rPr>
        <w:t>contributes</w:t>
      </w:r>
      <w:r w:rsidRPr="00087A72">
        <w:rPr>
          <w:rFonts w:cs="Arial"/>
          <w:b/>
          <w:sz w:val="28"/>
          <w:szCs w:val="28"/>
          <w:u w:val="single"/>
        </w:rPr>
        <w:t xml:space="preserve"> </w:t>
      </w:r>
      <w:r w:rsidRPr="00087A72">
        <w:rPr>
          <w:rFonts w:eastAsia="Calibri" w:cs="Arial"/>
          <w:b/>
          <w:sz w:val="28"/>
          <w:szCs w:val="28"/>
          <w:u w:val="single"/>
        </w:rPr>
        <w:t>to</w:t>
      </w:r>
      <w:r w:rsidRPr="00087A72">
        <w:rPr>
          <w:rFonts w:cs="Arial"/>
          <w:b/>
          <w:sz w:val="28"/>
          <w:szCs w:val="28"/>
          <w:u w:val="single"/>
        </w:rPr>
        <w:t xml:space="preserve"> </w:t>
      </w:r>
      <w:r w:rsidRPr="00087A72">
        <w:rPr>
          <w:rFonts w:eastAsia="Calibri" w:cs="Arial"/>
          <w:b/>
          <w:sz w:val="28"/>
          <w:szCs w:val="28"/>
          <w:u w:val="single"/>
        </w:rPr>
        <w:t>a</w:t>
      </w:r>
      <w:r w:rsidRPr="00087A72">
        <w:rPr>
          <w:rFonts w:cs="Arial"/>
          <w:b/>
          <w:sz w:val="28"/>
          <w:szCs w:val="28"/>
          <w:u w:val="single"/>
        </w:rPr>
        <w:t xml:space="preserve"> </w:t>
      </w:r>
      <w:r w:rsidRPr="00087A72">
        <w:rPr>
          <w:rFonts w:eastAsia="Calibri" w:cs="Arial"/>
          <w:b/>
          <w:sz w:val="28"/>
          <w:szCs w:val="28"/>
          <w:u w:val="single"/>
        </w:rPr>
        <w:t>heteronormative</w:t>
      </w:r>
      <w:r w:rsidRPr="00087A72">
        <w:rPr>
          <w:rFonts w:cs="Arial"/>
          <w:b/>
          <w:sz w:val="28"/>
          <w:szCs w:val="28"/>
          <w:u w:val="single"/>
        </w:rPr>
        <w:t xml:space="preserve"> </w:t>
      </w:r>
      <w:r w:rsidRPr="00087A72">
        <w:rPr>
          <w:rFonts w:eastAsia="Calibri" w:cs="Arial"/>
          <w:b/>
          <w:sz w:val="28"/>
          <w:szCs w:val="28"/>
          <w:u w:val="single"/>
        </w:rPr>
        <w:t>framing</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Native</w:t>
      </w:r>
      <w:r w:rsidRPr="00087A72">
        <w:rPr>
          <w:rFonts w:cs="Arial"/>
          <w:b/>
          <w:sz w:val="28"/>
          <w:szCs w:val="28"/>
          <w:u w:val="single"/>
        </w:rPr>
        <w:t xml:space="preserve"> </w:t>
      </w:r>
      <w:r w:rsidRPr="00087A72">
        <w:rPr>
          <w:rFonts w:eastAsia="Calibri" w:cs="Arial"/>
          <w:b/>
          <w:sz w:val="28"/>
          <w:szCs w:val="28"/>
          <w:u w:val="single"/>
        </w:rPr>
        <w:t>communities</w:t>
      </w:r>
      <w:r w:rsidRPr="00087A72">
        <w:rPr>
          <w:rFonts w:cs="Arial"/>
          <w:sz w:val="16"/>
          <w:szCs w:val="28"/>
        </w:rPr>
        <w:t>. “</w:t>
      </w:r>
      <w:r w:rsidRPr="00087A72">
        <w:rPr>
          <w:rFonts w:eastAsia="Calibri" w:cs="Arial"/>
          <w:sz w:val="16"/>
          <w:szCs w:val="28"/>
        </w:rPr>
        <w:t>It</w:t>
      </w:r>
      <w:r w:rsidRPr="00087A72">
        <w:rPr>
          <w:rFonts w:cs="Arial"/>
          <w:sz w:val="16"/>
          <w:szCs w:val="28"/>
        </w:rPr>
        <w:t xml:space="preserve"> </w:t>
      </w:r>
      <w:r w:rsidRPr="00087A72">
        <w:rPr>
          <w:rFonts w:eastAsia="Calibri" w:cs="Arial"/>
          <w:sz w:val="16"/>
          <w:szCs w:val="28"/>
        </w:rPr>
        <w:t>is</w:t>
      </w:r>
      <w:r w:rsidRPr="00087A72">
        <w:rPr>
          <w:rFonts w:cs="Arial"/>
          <w:sz w:val="16"/>
          <w:szCs w:val="28"/>
        </w:rPr>
        <w:t xml:space="preserve"> </w:t>
      </w:r>
      <w:r w:rsidRPr="00087A72">
        <w:rPr>
          <w:rFonts w:eastAsia="Calibri" w:cs="Arial"/>
          <w:sz w:val="16"/>
          <w:szCs w:val="28"/>
        </w:rPr>
        <w:t>time</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bring</w:t>
      </w:r>
      <w:r w:rsidRPr="00087A72">
        <w:rPr>
          <w:rFonts w:cs="Arial"/>
          <w:sz w:val="16"/>
          <w:szCs w:val="28"/>
        </w:rPr>
        <w:t xml:space="preserve"> ‘</w:t>
      </w:r>
      <w:r w:rsidRPr="00087A72">
        <w:rPr>
          <w:rFonts w:eastAsia="Calibri" w:cs="Arial"/>
          <w:sz w:val="16"/>
          <w:szCs w:val="28"/>
        </w:rPr>
        <w:t>sexy</w:t>
      </w:r>
      <w:r w:rsidRPr="00087A72">
        <w:rPr>
          <w:rFonts w:cs="Arial"/>
          <w:sz w:val="16"/>
          <w:szCs w:val="28"/>
        </w:rPr>
        <w:t xml:space="preserve"> </w:t>
      </w:r>
      <w:r w:rsidRPr="00087A72">
        <w:rPr>
          <w:rFonts w:eastAsia="Calibri" w:cs="Arial"/>
          <w:sz w:val="16"/>
          <w:szCs w:val="28"/>
        </w:rPr>
        <w:t>back</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quit</w:t>
      </w:r>
      <w:r w:rsidRPr="00087A72">
        <w:rPr>
          <w:rFonts w:cs="Arial"/>
          <w:sz w:val="16"/>
          <w:szCs w:val="28"/>
        </w:rPr>
        <w:t xml:space="preserve"> </w:t>
      </w:r>
      <w:r w:rsidRPr="00087A72">
        <w:rPr>
          <w:rFonts w:eastAsia="Calibri" w:cs="Arial"/>
          <w:sz w:val="16"/>
          <w:szCs w:val="28"/>
        </w:rPr>
        <w:t>pretending</w:t>
      </w:r>
      <w:r w:rsidRPr="00087A72">
        <w:rPr>
          <w:rFonts w:cs="Arial"/>
          <w:sz w:val="16"/>
          <w:szCs w:val="28"/>
        </w:rPr>
        <w:t xml:space="preserve"> </w:t>
      </w:r>
      <w:r w:rsidRPr="00087A72">
        <w:rPr>
          <w:rFonts w:eastAsia="Calibri" w:cs="Arial"/>
          <w:sz w:val="16"/>
          <w:szCs w:val="28"/>
        </w:rPr>
        <w:t>we</w:t>
      </w:r>
      <w:r w:rsidRPr="00087A72">
        <w:rPr>
          <w:rFonts w:cs="Arial"/>
          <w:sz w:val="16"/>
          <w:szCs w:val="28"/>
        </w:rPr>
        <w:t xml:space="preserve"> </w:t>
      </w:r>
      <w:r w:rsidRPr="00087A72">
        <w:rPr>
          <w:rFonts w:eastAsia="Calibri" w:cs="Arial"/>
          <w:sz w:val="16"/>
          <w:szCs w:val="28"/>
        </w:rPr>
        <w:t>are</w:t>
      </w:r>
      <w:r w:rsidRPr="00087A72">
        <w:rPr>
          <w:rFonts w:cs="Arial"/>
          <w:sz w:val="16"/>
          <w:szCs w:val="28"/>
        </w:rPr>
        <w:t xml:space="preserve"> </w:t>
      </w:r>
      <w:r w:rsidRPr="00087A72">
        <w:rPr>
          <w:rFonts w:eastAsia="Calibri" w:cs="Arial"/>
          <w:sz w:val="16"/>
          <w:szCs w:val="28"/>
        </w:rPr>
        <w:t>boring</w:t>
      </w:r>
      <w:r w:rsidRPr="00087A72">
        <w:rPr>
          <w:rFonts w:cs="Arial"/>
          <w:sz w:val="16"/>
          <w:szCs w:val="28"/>
        </w:rPr>
        <w:t xml:space="preserve">, </w:t>
      </w:r>
      <w:r w:rsidRPr="00087A72">
        <w:rPr>
          <w:rFonts w:eastAsia="Calibri" w:cs="Arial"/>
          <w:sz w:val="16"/>
          <w:szCs w:val="28"/>
        </w:rPr>
        <w:t>pure</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Victorian</w:t>
      </w:r>
      <w:r w:rsidRPr="00087A72">
        <w:rPr>
          <w:rFonts w:cs="Arial"/>
          <w:sz w:val="16"/>
          <w:szCs w:val="28"/>
        </w:rPr>
        <w:t>,”</w:t>
      </w:r>
      <w:r w:rsidRPr="00087A72">
        <w:rPr>
          <w:rFonts w:eastAsia="Calibri" w:cs="Arial"/>
          <w:sz w:val="16"/>
          <w:szCs w:val="28"/>
        </w:rPr>
        <w:t>Finley</w:t>
      </w:r>
      <w:r w:rsidRPr="00087A72">
        <w:rPr>
          <w:rFonts w:cs="Arial"/>
          <w:sz w:val="16"/>
          <w:szCs w:val="28"/>
        </w:rPr>
        <w:t xml:space="preserve"> </w:t>
      </w:r>
      <w:r w:rsidRPr="00087A72">
        <w:rPr>
          <w:rFonts w:eastAsia="Calibri" w:cs="Arial"/>
          <w:sz w:val="16"/>
          <w:szCs w:val="28"/>
        </w:rPr>
        <w:t>writes</w:t>
      </w:r>
      <w:r w:rsidRPr="00087A72">
        <w:rPr>
          <w:rFonts w:cs="Arial"/>
          <w:sz w:val="16"/>
          <w:szCs w:val="28"/>
        </w:rPr>
        <w:t>. “</w:t>
      </w:r>
      <w:r w:rsidRPr="00087A72">
        <w:rPr>
          <w:rFonts w:eastAsia="Calibri" w:cs="Arial"/>
          <w:sz w:val="16"/>
          <w:szCs w:val="28"/>
        </w:rPr>
        <w:t>We</w:t>
      </w:r>
      <w:r w:rsidRPr="00087A72">
        <w:rPr>
          <w:rFonts w:cs="Arial"/>
          <w:sz w:val="16"/>
          <w:szCs w:val="28"/>
        </w:rPr>
        <w:t xml:space="preserve"> </w:t>
      </w:r>
      <w:r w:rsidRPr="00087A72">
        <w:rPr>
          <w:rFonts w:eastAsia="Calibri" w:cs="Arial"/>
          <w:sz w:val="16"/>
          <w:szCs w:val="28"/>
        </w:rPr>
        <w:t>are</w:t>
      </w:r>
      <w:r w:rsidRPr="00087A72">
        <w:rPr>
          <w:rFonts w:cs="Arial"/>
          <w:sz w:val="16"/>
          <w:szCs w:val="28"/>
        </w:rPr>
        <w:t xml:space="preserve"> </w:t>
      </w:r>
      <w:r w:rsidRPr="00087A72">
        <w:rPr>
          <w:rFonts w:eastAsia="Calibri" w:cs="Arial"/>
          <w:sz w:val="16"/>
          <w:szCs w:val="28"/>
        </w:rPr>
        <w:t>alive</w:t>
      </w:r>
      <w:r w:rsidRPr="00087A72">
        <w:rPr>
          <w:rFonts w:cs="Arial"/>
          <w:sz w:val="16"/>
          <w:szCs w:val="28"/>
        </w:rPr>
        <w:t xml:space="preserve">, </w:t>
      </w:r>
      <w:r w:rsidRPr="00087A72">
        <w:rPr>
          <w:rFonts w:eastAsia="Calibri" w:cs="Arial"/>
          <w:sz w:val="16"/>
          <w:szCs w:val="28"/>
        </w:rPr>
        <w:t>we</w:t>
      </w:r>
      <w:r w:rsidRPr="00087A72">
        <w:rPr>
          <w:rFonts w:cs="Arial"/>
          <w:sz w:val="16"/>
          <w:szCs w:val="28"/>
        </w:rPr>
        <w:t xml:space="preserve"> </w:t>
      </w:r>
      <w:r w:rsidRPr="00087A72">
        <w:rPr>
          <w:rFonts w:eastAsia="Calibri" w:cs="Arial"/>
          <w:sz w:val="16"/>
          <w:szCs w:val="28"/>
        </w:rPr>
        <w:t>are</w:t>
      </w:r>
      <w:r w:rsidRPr="00087A72">
        <w:rPr>
          <w:rFonts w:cs="Arial"/>
          <w:sz w:val="16"/>
          <w:szCs w:val="28"/>
        </w:rPr>
        <w:t xml:space="preserve"> </w:t>
      </w:r>
      <w:r w:rsidRPr="00087A72">
        <w:rPr>
          <w:rFonts w:eastAsia="Calibri" w:cs="Arial"/>
          <w:sz w:val="16"/>
          <w:szCs w:val="28"/>
        </w:rPr>
        <w:t>sexy</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b/>
          <w:sz w:val="28"/>
          <w:szCs w:val="28"/>
          <w:u w:val="single"/>
        </w:rPr>
        <w:t>some</w:t>
      </w:r>
      <w:r w:rsidRPr="00087A72">
        <w:rPr>
          <w:rFonts w:cs="Arial"/>
          <w:b/>
          <w:sz w:val="28"/>
          <w:szCs w:val="28"/>
          <w:u w:val="single"/>
        </w:rPr>
        <w:t xml:space="preserve"> </w:t>
      </w:r>
      <w:r w:rsidRPr="00087A72">
        <w:rPr>
          <w:rFonts w:eastAsia="Calibri" w:cs="Arial"/>
          <w:b/>
          <w:sz w:val="28"/>
          <w:szCs w:val="28"/>
          <w:u w:val="single"/>
        </w:rPr>
        <w:t>Natives</w:t>
      </w:r>
      <w:r w:rsidRPr="00087A72">
        <w:rPr>
          <w:rFonts w:cs="Arial"/>
          <w:b/>
          <w:sz w:val="28"/>
          <w:szCs w:val="28"/>
          <w:u w:val="single"/>
        </w:rPr>
        <w:t xml:space="preserve"> </w:t>
      </w:r>
      <w:r w:rsidRPr="00087A72">
        <w:rPr>
          <w:rFonts w:eastAsia="Calibri" w:cs="Arial"/>
          <w:b/>
          <w:sz w:val="28"/>
          <w:szCs w:val="28"/>
          <w:u w:val="single"/>
        </w:rPr>
        <w:t>are</w:t>
      </w:r>
      <w:r w:rsidRPr="00087A72">
        <w:rPr>
          <w:rFonts w:cs="Arial"/>
          <w:b/>
          <w:sz w:val="28"/>
          <w:szCs w:val="28"/>
          <w:u w:val="single"/>
        </w:rPr>
        <w:t xml:space="preserve"> </w:t>
      </w:r>
      <w:r w:rsidRPr="00087A72">
        <w:rPr>
          <w:rFonts w:eastAsia="Calibri" w:cs="Arial"/>
          <w:b/>
          <w:sz w:val="28"/>
          <w:szCs w:val="28"/>
          <w:u w:val="single"/>
        </w:rPr>
        <w:t>queer</w:t>
      </w:r>
      <w:r w:rsidRPr="00087A72">
        <w:rPr>
          <w:rFonts w:cs="Arial"/>
          <w:b/>
          <w:sz w:val="28"/>
          <w:szCs w:val="28"/>
          <w:u w:val="single"/>
        </w:rPr>
        <w:t>.</w:t>
      </w:r>
      <w:r w:rsidRPr="00087A72">
        <w:rPr>
          <w:rFonts w:cs="Arial"/>
          <w:sz w:val="16"/>
          <w:szCs w:val="28"/>
        </w:rPr>
        <w:t xml:space="preserve">”1 </w:t>
      </w:r>
      <w:r w:rsidRPr="00087A72">
        <w:rPr>
          <w:rFonts w:eastAsia="Calibri" w:cs="Arial"/>
          <w:sz w:val="16"/>
          <w:szCs w:val="28"/>
        </w:rPr>
        <w:t>Furthermore</w:t>
      </w:r>
      <w:r w:rsidRPr="00087A72">
        <w:rPr>
          <w:rFonts w:cs="Arial"/>
          <w:sz w:val="16"/>
          <w:szCs w:val="28"/>
        </w:rPr>
        <w:t xml:space="preserve">, </w:t>
      </w:r>
      <w:r w:rsidRPr="00087A72">
        <w:rPr>
          <w:rFonts w:eastAsia="Calibri" w:cs="Arial"/>
          <w:sz w:val="16"/>
          <w:szCs w:val="28"/>
        </w:rPr>
        <w:t>she</w:t>
      </w:r>
      <w:r w:rsidRPr="00087A72">
        <w:rPr>
          <w:rFonts w:cs="Arial"/>
          <w:sz w:val="16"/>
          <w:szCs w:val="28"/>
        </w:rPr>
        <w:t xml:space="preserve"> </w:t>
      </w:r>
      <w:r w:rsidRPr="00087A72">
        <w:rPr>
          <w:rFonts w:eastAsia="Calibri" w:cs="Arial"/>
          <w:sz w:val="16"/>
          <w:szCs w:val="28"/>
        </w:rPr>
        <w:t>notes</w:t>
      </w:r>
      <w:r w:rsidRPr="00087A72">
        <w:rPr>
          <w:rFonts w:cs="Arial"/>
          <w:sz w:val="16"/>
          <w:szCs w:val="28"/>
        </w:rPr>
        <w:t xml:space="preserve">, </w:t>
      </w:r>
      <w:r w:rsidRPr="00087A72">
        <w:rPr>
          <w:rFonts w:eastAsia="Calibri" w:cs="Arial"/>
          <w:sz w:val="16"/>
          <w:szCs w:val="28"/>
        </w:rPr>
        <w:t>while</w:t>
      </w:r>
      <w:r w:rsidRPr="00087A72">
        <w:rPr>
          <w:rFonts w:cs="Arial"/>
          <w:sz w:val="16"/>
          <w:szCs w:val="28"/>
        </w:rPr>
        <w:t xml:space="preserve"> </w:t>
      </w:r>
      <w:r w:rsidRPr="00087A72">
        <w:rPr>
          <w:rFonts w:eastAsia="Calibri" w:cs="Arial"/>
          <w:sz w:val="16"/>
          <w:szCs w:val="28"/>
        </w:rPr>
        <w:t>there</w:t>
      </w:r>
      <w:r w:rsidRPr="00087A72">
        <w:rPr>
          <w:rFonts w:cs="Arial"/>
          <w:sz w:val="16"/>
          <w:szCs w:val="28"/>
        </w:rPr>
        <w:t xml:space="preserve"> </w:t>
      </w:r>
      <w:r w:rsidRPr="00087A72">
        <w:rPr>
          <w:rFonts w:eastAsia="Calibri" w:cs="Arial"/>
          <w:sz w:val="16"/>
          <w:szCs w:val="28"/>
        </w:rPr>
        <w:t>are</w:t>
      </w:r>
      <w:r w:rsidRPr="00087A72">
        <w:rPr>
          <w:rFonts w:cs="Arial"/>
          <w:sz w:val="16"/>
          <w:szCs w:val="28"/>
        </w:rPr>
        <w:t xml:space="preserve"> </w:t>
      </w:r>
      <w:r w:rsidRPr="00087A72">
        <w:rPr>
          <w:rFonts w:eastAsia="Calibri" w:cs="Arial"/>
          <w:sz w:val="16"/>
          <w:szCs w:val="28"/>
        </w:rPr>
        <w:t>emerging</w:t>
      </w:r>
      <w:r w:rsidRPr="00087A72">
        <w:rPr>
          <w:rFonts w:cs="Arial"/>
          <w:sz w:val="16"/>
          <w:szCs w:val="28"/>
        </w:rPr>
        <w:t xml:space="preserve"> </w:t>
      </w:r>
      <w:r w:rsidRPr="00087A72">
        <w:rPr>
          <w:rFonts w:eastAsia="Calibri" w:cs="Arial"/>
          <w:sz w:val="16"/>
          <w:szCs w:val="28"/>
        </w:rPr>
        <w:t>feminist</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decolonizing</w:t>
      </w:r>
      <w:r w:rsidRPr="00087A72">
        <w:rPr>
          <w:rFonts w:cs="Arial"/>
          <w:sz w:val="16"/>
          <w:szCs w:val="28"/>
        </w:rPr>
        <w:t xml:space="preserve"> </w:t>
      </w:r>
      <w:r w:rsidRPr="00087A72">
        <w:rPr>
          <w:rFonts w:eastAsia="Calibri" w:cs="Arial"/>
          <w:sz w:val="16"/>
          <w:szCs w:val="28"/>
        </w:rPr>
        <w:t>analyses</w:t>
      </w:r>
      <w:r w:rsidRPr="00087A72">
        <w:rPr>
          <w:rFonts w:cs="Arial"/>
          <w:sz w:val="16"/>
          <w:szCs w:val="28"/>
        </w:rPr>
        <w:t xml:space="preserve"> </w:t>
      </w:r>
      <w:r w:rsidRPr="00087A72">
        <w:rPr>
          <w:rFonts w:eastAsia="Calibri" w:cs="Arial"/>
          <w:sz w:val="16"/>
          <w:szCs w:val="28"/>
        </w:rPr>
        <w:t>within</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point</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gendered</w:t>
      </w:r>
      <w:r w:rsidRPr="00087A72">
        <w:rPr>
          <w:rFonts w:cs="Arial"/>
          <w:sz w:val="16"/>
          <w:szCs w:val="28"/>
        </w:rPr>
        <w:t xml:space="preserve"> </w:t>
      </w:r>
      <w:r w:rsidRPr="00087A72">
        <w:rPr>
          <w:rFonts w:eastAsia="Calibri" w:cs="Arial"/>
          <w:sz w:val="16"/>
          <w:szCs w:val="28"/>
        </w:rPr>
        <w:t>nature</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colonialism</w:t>
      </w:r>
      <w:r w:rsidRPr="00087A72">
        <w:rPr>
          <w:rFonts w:cs="Arial"/>
          <w:sz w:val="16"/>
          <w:szCs w:val="28"/>
        </w:rPr>
        <w:t xml:space="preserve">, </w:t>
      </w:r>
      <w:r w:rsidRPr="00087A72">
        <w:rPr>
          <w:rFonts w:eastAsia="Calibri" w:cs="Arial"/>
          <w:sz w:val="16"/>
          <w:szCs w:val="28"/>
        </w:rPr>
        <w:t>it</w:t>
      </w:r>
      <w:r w:rsidRPr="00087A72">
        <w:rPr>
          <w:rFonts w:cs="Arial"/>
          <w:sz w:val="16"/>
          <w:szCs w:val="28"/>
        </w:rPr>
        <w:t xml:space="preserve"> </w:t>
      </w:r>
      <w:r w:rsidRPr="00087A72">
        <w:rPr>
          <w:rFonts w:eastAsia="Calibri" w:cs="Arial"/>
          <w:sz w:val="16"/>
          <w:szCs w:val="28"/>
        </w:rPr>
        <w:t>is</w:t>
      </w:r>
      <w:r w:rsidRPr="00087A72">
        <w:rPr>
          <w:rFonts w:cs="Arial"/>
          <w:sz w:val="16"/>
          <w:szCs w:val="28"/>
        </w:rPr>
        <w:t xml:space="preserve"> </w:t>
      </w:r>
      <w:r w:rsidRPr="00087A72">
        <w:rPr>
          <w:rFonts w:eastAsia="Calibri" w:cs="Arial"/>
          <w:sz w:val="16"/>
          <w:szCs w:val="28"/>
        </w:rPr>
        <w:t>necessary</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extend</w:t>
      </w:r>
      <w:r w:rsidRPr="00087A72">
        <w:rPr>
          <w:rFonts w:cs="Arial"/>
          <w:sz w:val="16"/>
          <w:szCs w:val="28"/>
        </w:rPr>
        <w:t xml:space="preserve"> </w:t>
      </w:r>
      <w:r w:rsidRPr="00087A72">
        <w:rPr>
          <w:rFonts w:eastAsia="Calibri" w:cs="Arial"/>
          <w:sz w:val="16"/>
          <w:szCs w:val="28"/>
        </w:rPr>
        <w:t>this</w:t>
      </w:r>
      <w:r w:rsidRPr="00087A72">
        <w:rPr>
          <w:rFonts w:cs="Arial"/>
          <w:sz w:val="16"/>
          <w:szCs w:val="28"/>
        </w:rPr>
        <w:t xml:space="preserve"> </w:t>
      </w:r>
      <w:r w:rsidRPr="00087A72">
        <w:rPr>
          <w:rFonts w:eastAsia="Calibri" w:cs="Arial"/>
          <w:sz w:val="16"/>
          <w:szCs w:val="28"/>
        </w:rPr>
        <w:t>analysis</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examine</w:t>
      </w:r>
      <w:r w:rsidRPr="00087A72">
        <w:rPr>
          <w:rFonts w:cs="Arial"/>
          <w:sz w:val="16"/>
          <w:szCs w:val="28"/>
        </w:rPr>
        <w:t xml:space="preserve"> </w:t>
      </w:r>
      <w:r w:rsidRPr="00087A72">
        <w:rPr>
          <w:rFonts w:eastAsia="Calibri" w:cs="Arial"/>
          <w:sz w:val="16"/>
          <w:szCs w:val="28"/>
        </w:rPr>
        <w:t>how</w:t>
      </w:r>
      <w:r w:rsidRPr="00087A72">
        <w:rPr>
          <w:rFonts w:cs="Arial"/>
          <w:sz w:val="16"/>
          <w:szCs w:val="28"/>
        </w:rPr>
        <w:t xml:space="preserve"> </w:t>
      </w:r>
      <w:r w:rsidRPr="00087A72">
        <w:rPr>
          <w:rFonts w:eastAsia="Calibri" w:cs="Arial"/>
          <w:b/>
          <w:sz w:val="28"/>
          <w:szCs w:val="28"/>
          <w:u w:val="single"/>
        </w:rPr>
        <w:t>colonialism</w:t>
      </w:r>
      <w:r w:rsidRPr="00087A72">
        <w:rPr>
          <w:rFonts w:cs="Arial"/>
          <w:b/>
          <w:sz w:val="28"/>
          <w:szCs w:val="28"/>
          <w:u w:val="single"/>
        </w:rPr>
        <w:t xml:space="preserve"> </w:t>
      </w:r>
      <w:r w:rsidRPr="00087A72">
        <w:rPr>
          <w:rFonts w:eastAsia="Calibri" w:cs="Arial"/>
          <w:b/>
          <w:sz w:val="28"/>
          <w:szCs w:val="28"/>
          <w:u w:val="single"/>
        </w:rPr>
        <w:t>also</w:t>
      </w:r>
      <w:r w:rsidRPr="00087A72">
        <w:rPr>
          <w:rFonts w:cs="Arial"/>
          <w:b/>
          <w:sz w:val="28"/>
          <w:szCs w:val="28"/>
          <w:u w:val="single"/>
        </w:rPr>
        <w:t xml:space="preserve"> </w:t>
      </w:r>
      <w:r w:rsidRPr="00087A72">
        <w:rPr>
          <w:rFonts w:eastAsia="Calibri" w:cs="Arial"/>
          <w:b/>
          <w:sz w:val="28"/>
          <w:szCs w:val="28"/>
          <w:u w:val="single"/>
        </w:rPr>
        <w:t>queers</w:t>
      </w:r>
      <w:r w:rsidRPr="00087A72">
        <w:rPr>
          <w:rFonts w:cs="Arial"/>
          <w:b/>
          <w:sz w:val="28"/>
          <w:szCs w:val="28"/>
          <w:u w:val="single"/>
        </w:rPr>
        <w:t xml:space="preserve"> </w:t>
      </w:r>
      <w:r w:rsidRPr="00087A72">
        <w:rPr>
          <w:rFonts w:eastAsia="Calibri" w:cs="Arial"/>
          <w:b/>
          <w:sz w:val="28"/>
          <w:szCs w:val="28"/>
          <w:u w:val="single"/>
        </w:rPr>
        <w:t>Native</w:t>
      </w:r>
      <w:r w:rsidRPr="00087A72">
        <w:rPr>
          <w:rFonts w:cs="Arial"/>
          <w:b/>
          <w:sz w:val="28"/>
          <w:szCs w:val="28"/>
          <w:u w:val="single"/>
        </w:rPr>
        <w:t xml:space="preserve"> </w:t>
      </w:r>
      <w:r w:rsidRPr="00087A72">
        <w:rPr>
          <w:rFonts w:eastAsia="Calibri" w:cs="Arial"/>
          <w:b/>
          <w:sz w:val="28"/>
          <w:szCs w:val="28"/>
          <w:u w:val="single"/>
        </w:rPr>
        <w:t>peoples</w:t>
      </w:r>
      <w:r w:rsidRPr="00087A72">
        <w:rPr>
          <w:rFonts w:cs="Arial"/>
          <w:sz w:val="16"/>
          <w:szCs w:val="28"/>
        </w:rPr>
        <w:t xml:space="preserve">. </w:t>
      </w:r>
      <w:r w:rsidRPr="00087A72">
        <w:rPr>
          <w:rFonts w:eastAsia="Calibri" w:cs="Arial"/>
          <w:sz w:val="16"/>
          <w:szCs w:val="28"/>
        </w:rPr>
        <w:t>Thus,</w:t>
      </w:r>
      <w:r w:rsidRPr="00087A72">
        <w:rPr>
          <w:rFonts w:cs="Arial"/>
          <w:sz w:val="16"/>
          <w:szCs w:val="28"/>
        </w:rPr>
        <w:t xml:space="preserve"> </w:t>
      </w:r>
      <w:r w:rsidRPr="00087A72">
        <w:rPr>
          <w:rFonts w:eastAsia="Calibri" w:cs="Arial"/>
          <w:sz w:val="16"/>
          <w:szCs w:val="28"/>
        </w:rPr>
        <w:t>her</w:t>
      </w:r>
      <w:r w:rsidRPr="00087A72">
        <w:rPr>
          <w:rFonts w:cs="Arial"/>
          <w:sz w:val="16"/>
          <w:szCs w:val="28"/>
        </w:rPr>
        <w:t xml:space="preserve"> </w:t>
      </w:r>
      <w:r w:rsidRPr="00087A72">
        <w:rPr>
          <w:rFonts w:eastAsia="Calibri" w:cs="Arial"/>
          <w:sz w:val="16"/>
          <w:szCs w:val="28"/>
        </w:rPr>
        <w:t>charge</w:t>
      </w:r>
      <w:r w:rsidRPr="00087A72">
        <w:rPr>
          <w:rFonts w:cs="Arial"/>
          <w:sz w:val="16"/>
          <w:szCs w:val="28"/>
        </w:rPr>
        <w:t xml:space="preserve"> </w:t>
      </w:r>
      <w:r w:rsidRPr="00087A72">
        <w:rPr>
          <w:rFonts w:eastAsia="Calibri" w:cs="Arial"/>
          <w:sz w:val="16"/>
          <w:szCs w:val="28"/>
        </w:rPr>
        <w:t>goes</w:t>
      </w:r>
      <w:r w:rsidRPr="00087A72">
        <w:rPr>
          <w:rFonts w:cs="Arial"/>
          <w:sz w:val="16"/>
          <w:szCs w:val="28"/>
        </w:rPr>
        <w:t xml:space="preserve"> </w:t>
      </w:r>
      <w:r w:rsidRPr="00087A72">
        <w:rPr>
          <w:rFonts w:eastAsia="Calibri" w:cs="Arial"/>
          <w:sz w:val="16"/>
          <w:szCs w:val="28"/>
        </w:rPr>
        <w:t>beyond</w:t>
      </w:r>
      <w:r w:rsidRPr="00087A72">
        <w:rPr>
          <w:rFonts w:cs="Arial"/>
          <w:sz w:val="16"/>
          <w:szCs w:val="28"/>
        </w:rPr>
        <w:t xml:space="preserve"> </w:t>
      </w:r>
      <w:r w:rsidRPr="00087A72">
        <w:rPr>
          <w:rFonts w:eastAsia="Calibri" w:cs="Arial"/>
          <w:sz w:val="16"/>
          <w:szCs w:val="28"/>
        </w:rPr>
        <w:t>representing</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peoples</w:t>
      </w:r>
      <w:r w:rsidRPr="00087A72">
        <w:rPr>
          <w:rFonts w:cs="Arial"/>
          <w:sz w:val="16"/>
          <w:szCs w:val="28"/>
        </w:rPr>
        <w:t xml:space="preserve"> </w:t>
      </w:r>
      <w:r w:rsidRPr="00087A72">
        <w:rPr>
          <w:rFonts w:eastAsia="Calibri" w:cs="Arial"/>
          <w:sz w:val="16"/>
          <w:szCs w:val="28"/>
        </w:rPr>
        <w:t>within</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an</w:t>
      </w:r>
      <w:r w:rsidRPr="00087A72">
        <w:rPr>
          <w:rFonts w:cs="Arial"/>
          <w:sz w:val="16"/>
          <w:szCs w:val="28"/>
        </w:rPr>
        <w:t xml:space="preserve"> </w:t>
      </w:r>
      <w:r w:rsidRPr="00087A72">
        <w:rPr>
          <w:rFonts w:eastAsia="Calibri" w:cs="Arial"/>
          <w:sz w:val="16"/>
          <w:szCs w:val="28"/>
        </w:rPr>
        <w:t>important</w:t>
      </w:r>
      <w:r w:rsidRPr="00087A72">
        <w:rPr>
          <w:rFonts w:cs="Arial"/>
          <w:sz w:val="16"/>
          <w:szCs w:val="28"/>
        </w:rPr>
        <w:t xml:space="preserve"> </w:t>
      </w:r>
      <w:r w:rsidRPr="00087A72">
        <w:rPr>
          <w:rFonts w:eastAsia="Calibri" w:cs="Arial"/>
          <w:sz w:val="16"/>
          <w:szCs w:val="28"/>
        </w:rPr>
        <w:t>project</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b/>
          <w:sz w:val="28"/>
          <w:szCs w:val="28"/>
          <w:u w:val="single"/>
        </w:rPr>
        <w:t>call</w:t>
      </w:r>
      <w:r w:rsidRPr="00087A72">
        <w:rPr>
          <w:rFonts w:cs="Arial"/>
          <w:b/>
          <w:sz w:val="28"/>
          <w:szCs w:val="28"/>
          <w:u w:val="single"/>
        </w:rPr>
        <w:t xml:space="preserve"> </w:t>
      </w:r>
      <w:r w:rsidRPr="00087A72">
        <w:rPr>
          <w:rFonts w:eastAsia="Calibri" w:cs="Arial"/>
          <w:b/>
          <w:sz w:val="28"/>
          <w:szCs w:val="28"/>
          <w:u w:val="single"/>
        </w:rPr>
        <w:t>on</w:t>
      </w:r>
      <w:r w:rsidRPr="00087A72">
        <w:rPr>
          <w:rFonts w:cs="Arial"/>
          <w:b/>
          <w:sz w:val="28"/>
          <w:szCs w:val="28"/>
          <w:u w:val="single"/>
        </w:rPr>
        <w:t xml:space="preserve"> </w:t>
      </w:r>
      <w:r w:rsidRPr="00087A72">
        <w:rPr>
          <w:rFonts w:eastAsia="Calibri" w:cs="Arial"/>
          <w:b/>
          <w:sz w:val="28"/>
          <w:szCs w:val="28"/>
          <w:u w:val="single"/>
        </w:rPr>
        <w:t>all</w:t>
      </w:r>
      <w:r w:rsidRPr="00087A72">
        <w:rPr>
          <w:rFonts w:cs="Arial"/>
          <w:b/>
          <w:sz w:val="28"/>
          <w:szCs w:val="28"/>
          <w:u w:val="single"/>
        </w:rPr>
        <w:t xml:space="preserve"> </w:t>
      </w:r>
      <w:r w:rsidRPr="00087A72">
        <w:rPr>
          <w:rFonts w:eastAsia="Calibri" w:cs="Arial"/>
          <w:b/>
          <w:sz w:val="28"/>
          <w:szCs w:val="28"/>
          <w:u w:val="single"/>
        </w:rPr>
        <w:t>scholars</w:t>
      </w:r>
      <w:r w:rsidRPr="00087A72">
        <w:rPr>
          <w:rFonts w:cs="Arial"/>
          <w:b/>
          <w:sz w:val="28"/>
          <w:szCs w:val="28"/>
          <w:u w:val="single"/>
        </w:rPr>
        <w:t xml:space="preserve"> </w:t>
      </w:r>
      <w:r w:rsidRPr="00087A72">
        <w:rPr>
          <w:rFonts w:eastAsia="Calibri" w:cs="Arial"/>
          <w:b/>
          <w:sz w:val="28"/>
          <w:szCs w:val="28"/>
          <w:u w:val="single"/>
        </w:rPr>
        <w:t>to</w:t>
      </w:r>
      <w:r w:rsidRPr="00087A72">
        <w:rPr>
          <w:rFonts w:cs="Arial"/>
          <w:b/>
          <w:sz w:val="28"/>
          <w:szCs w:val="28"/>
          <w:u w:val="single"/>
        </w:rPr>
        <w:t xml:space="preserve"> </w:t>
      </w:r>
      <w:r w:rsidRPr="00087A72">
        <w:rPr>
          <w:rFonts w:eastAsia="Calibri" w:cs="Arial"/>
          <w:b/>
          <w:sz w:val="28"/>
          <w:szCs w:val="28"/>
          <w:u w:val="single"/>
        </w:rPr>
        <w:t>queer</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analytics</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settler</w:t>
      </w:r>
      <w:r w:rsidRPr="00087A72">
        <w:rPr>
          <w:rFonts w:cs="Arial"/>
          <w:b/>
          <w:sz w:val="28"/>
          <w:szCs w:val="28"/>
          <w:u w:val="single"/>
        </w:rPr>
        <w:t xml:space="preserve"> </w:t>
      </w:r>
      <w:r w:rsidRPr="00087A72">
        <w:rPr>
          <w:rFonts w:eastAsia="Calibri" w:cs="Arial"/>
          <w:b/>
          <w:sz w:val="28"/>
          <w:szCs w:val="28"/>
          <w:u w:val="single"/>
        </w:rPr>
        <w:t>colonialism</w:t>
      </w:r>
      <w:r w:rsidRPr="00087A72">
        <w:rPr>
          <w:rFonts w:cs="Arial"/>
          <w:sz w:val="16"/>
          <w:szCs w:val="28"/>
        </w:rPr>
        <w:t xml:space="preserve">. </w:t>
      </w:r>
      <w:r w:rsidRPr="00087A72">
        <w:rPr>
          <w:rFonts w:eastAsia="Calibri" w:cs="Arial"/>
          <w:sz w:val="16"/>
          <w:szCs w:val="28"/>
        </w:rPr>
        <w:t>Qwo</w:t>
      </w:r>
      <w:r w:rsidRPr="00087A72">
        <w:rPr>
          <w:rFonts w:cs="Arial"/>
          <w:sz w:val="16"/>
          <w:szCs w:val="28"/>
        </w:rPr>
        <w:t>-</w:t>
      </w:r>
      <w:r w:rsidRPr="00087A72">
        <w:rPr>
          <w:rFonts w:eastAsia="Calibri" w:cs="Arial"/>
          <w:sz w:val="16"/>
          <w:szCs w:val="28"/>
        </w:rPr>
        <w:t>Li</w:t>
      </w:r>
      <w:r w:rsidRPr="00087A72">
        <w:rPr>
          <w:rFonts w:cs="Arial"/>
          <w:sz w:val="16"/>
          <w:szCs w:val="28"/>
        </w:rPr>
        <w:t xml:space="preserve"> </w:t>
      </w:r>
      <w:r w:rsidRPr="00087A72">
        <w:rPr>
          <w:rFonts w:eastAsia="Calibri" w:cs="Arial"/>
          <w:sz w:val="16"/>
          <w:szCs w:val="28"/>
        </w:rPr>
        <w:t>Driskill</w:t>
      </w:r>
      <w:r w:rsidRPr="00087A72">
        <w:rPr>
          <w:rFonts w:cs="Arial"/>
          <w:sz w:val="16"/>
          <w:szCs w:val="28"/>
        </w:rPr>
        <w:t xml:space="preserve"> (</w:t>
      </w:r>
      <w:r w:rsidRPr="00087A72">
        <w:rPr>
          <w:rFonts w:eastAsia="Calibri" w:cs="Arial"/>
          <w:sz w:val="16"/>
          <w:szCs w:val="28"/>
        </w:rPr>
        <w:t>this</w:t>
      </w:r>
      <w:r w:rsidRPr="00087A72">
        <w:rPr>
          <w:rFonts w:cs="Arial"/>
          <w:sz w:val="16"/>
          <w:szCs w:val="28"/>
        </w:rPr>
        <w:t xml:space="preserve"> </w:t>
      </w:r>
      <w:r w:rsidRPr="00087A72">
        <w:rPr>
          <w:rFonts w:eastAsia="Calibri" w:cs="Arial"/>
          <w:sz w:val="16"/>
          <w:szCs w:val="28"/>
        </w:rPr>
        <w:t>issue</w:t>
      </w:r>
      <w:r w:rsidRPr="00087A72">
        <w:rPr>
          <w:rFonts w:cs="Arial"/>
          <w:sz w:val="16"/>
          <w:szCs w:val="28"/>
        </w:rPr>
        <w:t xml:space="preserve">) </w:t>
      </w:r>
      <w:r w:rsidRPr="00087A72">
        <w:rPr>
          <w:rFonts w:eastAsia="Calibri" w:cs="Arial"/>
          <w:sz w:val="16"/>
          <w:szCs w:val="28"/>
        </w:rPr>
        <w:t>further</w:t>
      </w:r>
      <w:r w:rsidRPr="00087A72">
        <w:rPr>
          <w:rFonts w:cs="Arial"/>
          <w:sz w:val="16"/>
          <w:szCs w:val="28"/>
        </w:rPr>
        <w:t xml:space="preserve"> </w:t>
      </w:r>
      <w:r w:rsidRPr="00087A72">
        <w:rPr>
          <w:rFonts w:eastAsia="Calibri" w:cs="Arial"/>
          <w:sz w:val="16"/>
          <w:szCs w:val="28"/>
        </w:rPr>
        <w:t>calls</w:t>
      </w:r>
      <w:r w:rsidRPr="00087A72">
        <w:rPr>
          <w:rFonts w:cs="Arial"/>
          <w:sz w:val="16"/>
          <w:szCs w:val="28"/>
        </w:rPr>
        <w:t xml:space="preserve"> </w:t>
      </w:r>
      <w:r w:rsidRPr="00087A72">
        <w:rPr>
          <w:rFonts w:eastAsia="Calibri" w:cs="Arial"/>
          <w:sz w:val="16"/>
          <w:szCs w:val="28"/>
        </w:rPr>
        <w:t>for</w:t>
      </w:r>
      <w:r w:rsidRPr="00087A72">
        <w:rPr>
          <w:rFonts w:cs="Arial"/>
          <w:sz w:val="16"/>
          <w:szCs w:val="28"/>
        </w:rPr>
        <w:t xml:space="preserve"> </w:t>
      </w:r>
      <w:r w:rsidRPr="00087A72">
        <w:rPr>
          <w:rFonts w:eastAsia="Calibri" w:cs="Arial"/>
          <w:sz w:val="16"/>
          <w:szCs w:val="28"/>
        </w:rPr>
        <w:t>developing</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two spirit</w:t>
      </w:r>
      <w:r w:rsidRPr="00087A72">
        <w:rPr>
          <w:rFonts w:cs="Arial"/>
          <w:sz w:val="16"/>
          <w:szCs w:val="28"/>
        </w:rPr>
        <w:t xml:space="preserve">” </w:t>
      </w:r>
      <w:r w:rsidRPr="00087A72">
        <w:rPr>
          <w:rFonts w:eastAsia="Calibri" w:cs="Arial"/>
          <w:sz w:val="16"/>
          <w:szCs w:val="28"/>
        </w:rPr>
        <w:t>critique</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remains</w:t>
      </w:r>
      <w:r w:rsidRPr="00087A72">
        <w:rPr>
          <w:rFonts w:cs="Arial"/>
          <w:sz w:val="16"/>
          <w:szCs w:val="28"/>
        </w:rPr>
        <w:t xml:space="preserve"> </w:t>
      </w:r>
      <w:r w:rsidRPr="00087A72">
        <w:rPr>
          <w:rFonts w:eastAsia="Calibri" w:cs="Arial"/>
          <w:sz w:val="16"/>
          <w:szCs w:val="28"/>
        </w:rPr>
        <w:t>in</w:t>
      </w:r>
      <w:r w:rsidRPr="00087A72">
        <w:rPr>
          <w:rFonts w:cs="Arial"/>
          <w:sz w:val="16"/>
          <w:szCs w:val="28"/>
        </w:rPr>
        <w:t xml:space="preserve"> </w:t>
      </w:r>
      <w:r w:rsidRPr="00087A72">
        <w:rPr>
          <w:rFonts w:eastAsia="Calibri" w:cs="Arial"/>
          <w:sz w:val="16"/>
          <w:szCs w:val="28"/>
        </w:rPr>
        <w:t>conversation</w:t>
      </w:r>
      <w:r w:rsidRPr="00087A72">
        <w:rPr>
          <w:rFonts w:cs="Arial"/>
          <w:sz w:val="16"/>
          <w:szCs w:val="28"/>
        </w:rPr>
        <w:t xml:space="preserve"> </w:t>
      </w:r>
      <w:r w:rsidRPr="00087A72">
        <w:rPr>
          <w:rFonts w:eastAsia="Calibri" w:cs="Arial"/>
          <w:sz w:val="16"/>
          <w:szCs w:val="28"/>
        </w:rPr>
        <w:t>with</w:t>
      </w:r>
      <w:r w:rsidRPr="00087A72">
        <w:rPr>
          <w:rFonts w:cs="Arial"/>
          <w:sz w:val="16"/>
          <w:szCs w:val="28"/>
        </w:rPr>
        <w:t xml:space="preserve">, </w:t>
      </w:r>
      <w:r w:rsidRPr="00087A72">
        <w:rPr>
          <w:rFonts w:eastAsia="Calibri" w:cs="Arial"/>
          <w:sz w:val="16"/>
          <w:szCs w:val="28"/>
        </w:rPr>
        <w:t>while</w:t>
      </w:r>
      <w:r w:rsidRPr="00087A72">
        <w:rPr>
          <w:rFonts w:cs="Arial"/>
          <w:sz w:val="16"/>
          <w:szCs w:val="28"/>
        </w:rPr>
        <w:t xml:space="preserve"> </w:t>
      </w:r>
      <w:r w:rsidRPr="00087A72">
        <w:rPr>
          <w:rFonts w:eastAsia="Calibri" w:cs="Arial"/>
          <w:sz w:val="16"/>
          <w:szCs w:val="28"/>
        </w:rPr>
        <w:t>also</w:t>
      </w:r>
      <w:r w:rsidRPr="00087A72">
        <w:rPr>
          <w:rFonts w:cs="Arial"/>
          <w:sz w:val="16"/>
          <w:szCs w:val="28"/>
        </w:rPr>
        <w:t xml:space="preserve"> </w:t>
      </w:r>
      <w:r w:rsidRPr="00087A72">
        <w:rPr>
          <w:rFonts w:eastAsia="Calibri" w:cs="Arial"/>
          <w:sz w:val="16"/>
          <w:szCs w:val="28"/>
        </w:rPr>
        <w:t>critically</w:t>
      </w:r>
      <w:r w:rsidRPr="00087A72">
        <w:rPr>
          <w:rFonts w:cs="Arial"/>
          <w:sz w:val="16"/>
          <w:szCs w:val="28"/>
        </w:rPr>
        <w:t xml:space="preserve"> </w:t>
      </w:r>
      <w:r w:rsidRPr="00087A72">
        <w:rPr>
          <w:rFonts w:eastAsia="Calibri" w:cs="Arial"/>
          <w:sz w:val="16"/>
          <w:szCs w:val="28"/>
        </w:rPr>
        <w:t>interrogating</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color</w:t>
      </w:r>
      <w:r w:rsidRPr="00087A72">
        <w:rPr>
          <w:rFonts w:cs="Arial"/>
          <w:sz w:val="16"/>
          <w:szCs w:val="28"/>
        </w:rPr>
        <w:t xml:space="preserve"> </w:t>
      </w:r>
      <w:r w:rsidRPr="00087A72">
        <w:rPr>
          <w:rFonts w:eastAsia="Calibri" w:cs="Arial"/>
          <w:sz w:val="16"/>
          <w:szCs w:val="28"/>
        </w:rPr>
        <w:t>critique</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theory</w:t>
      </w:r>
      <w:r w:rsidRPr="00087A72">
        <w:rPr>
          <w:rFonts w:cs="Arial"/>
          <w:sz w:val="16"/>
          <w:szCs w:val="28"/>
        </w:rPr>
        <w:t xml:space="preserve"> </w:t>
      </w:r>
      <w:r w:rsidRPr="00087A72">
        <w:rPr>
          <w:rFonts w:eastAsia="Calibri" w:cs="Arial"/>
          <w:sz w:val="16"/>
          <w:szCs w:val="28"/>
        </w:rPr>
        <w:t>has</w:t>
      </w:r>
      <w:r w:rsidRPr="00087A72">
        <w:rPr>
          <w:rFonts w:cs="Arial"/>
          <w:sz w:val="16"/>
          <w:szCs w:val="28"/>
        </w:rPr>
        <w:t xml:space="preserve"> </w:t>
      </w:r>
      <w:r w:rsidRPr="00087A72">
        <w:rPr>
          <w:rFonts w:eastAsia="Calibri" w:cs="Arial"/>
          <w:sz w:val="16"/>
          <w:szCs w:val="28"/>
        </w:rPr>
        <w:t>made</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critical</w:t>
      </w:r>
      <w:r w:rsidRPr="00087A72">
        <w:rPr>
          <w:rFonts w:cs="Arial"/>
          <w:sz w:val="16"/>
          <w:szCs w:val="28"/>
        </w:rPr>
        <w:t xml:space="preserve"> </w:t>
      </w:r>
      <w:r w:rsidRPr="00087A72">
        <w:rPr>
          <w:rFonts w:eastAsia="Calibri" w:cs="Arial"/>
          <w:sz w:val="16"/>
          <w:szCs w:val="28"/>
        </w:rPr>
        <w:t>intervention</w:t>
      </w:r>
      <w:r w:rsidRPr="00087A72">
        <w:rPr>
          <w:rFonts w:cs="Arial"/>
          <w:sz w:val="16"/>
          <w:szCs w:val="28"/>
        </w:rPr>
        <w:t xml:space="preserve"> </w:t>
      </w:r>
      <w:r w:rsidRPr="00087A72">
        <w:rPr>
          <w:rFonts w:eastAsia="Calibri" w:cs="Arial"/>
          <w:sz w:val="16"/>
          <w:szCs w:val="28"/>
        </w:rPr>
        <w:t>in</w:t>
      </w:r>
      <w:r w:rsidRPr="00087A72">
        <w:rPr>
          <w:rFonts w:cs="Arial"/>
          <w:sz w:val="16"/>
          <w:szCs w:val="28"/>
        </w:rPr>
        <w:t xml:space="preserve"> </w:t>
      </w:r>
      <w:r w:rsidRPr="00087A72">
        <w:rPr>
          <w:rFonts w:eastAsia="Calibri" w:cs="Arial"/>
          <w:sz w:val="16"/>
          <w:szCs w:val="28"/>
        </w:rPr>
        <w:t>LGBT</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by</w:t>
      </w:r>
      <w:r w:rsidRPr="00087A72">
        <w:rPr>
          <w:rFonts w:cs="Arial"/>
          <w:sz w:val="16"/>
          <w:szCs w:val="28"/>
        </w:rPr>
        <w:t xml:space="preserve"> </w:t>
      </w:r>
      <w:r w:rsidRPr="00087A72">
        <w:rPr>
          <w:rFonts w:eastAsia="Calibri" w:cs="Arial"/>
          <w:sz w:val="16"/>
          <w:szCs w:val="28"/>
        </w:rPr>
        <w:t>moving</w:t>
      </w:r>
      <w:r w:rsidRPr="00087A72">
        <w:rPr>
          <w:rFonts w:cs="Arial"/>
          <w:sz w:val="16"/>
          <w:szCs w:val="28"/>
        </w:rPr>
        <w:t xml:space="preserve"> </w:t>
      </w:r>
      <w:r w:rsidRPr="00087A72">
        <w:rPr>
          <w:rFonts w:eastAsia="Calibri" w:cs="Arial"/>
          <w:sz w:val="16"/>
          <w:szCs w:val="28"/>
        </w:rPr>
        <w:t>past</w:t>
      </w:r>
      <w:r w:rsidRPr="00087A72">
        <w:rPr>
          <w:rFonts w:cs="Arial"/>
          <w:sz w:val="16"/>
          <w:szCs w:val="28"/>
        </w:rPr>
        <w:t xml:space="preserve"> </w:t>
      </w:r>
      <w:r w:rsidRPr="00087A72">
        <w:rPr>
          <w:rFonts w:eastAsia="Calibri" w:cs="Arial"/>
          <w:sz w:val="16"/>
          <w:szCs w:val="28"/>
        </w:rPr>
        <w:t>simple</w:t>
      </w:r>
      <w:r w:rsidRPr="00087A72">
        <w:rPr>
          <w:rFonts w:cs="Arial"/>
          <w:sz w:val="16"/>
          <w:szCs w:val="28"/>
        </w:rPr>
        <w:t xml:space="preserve"> </w:t>
      </w:r>
      <w:r w:rsidRPr="00087A72">
        <w:rPr>
          <w:rFonts w:eastAsia="Calibri" w:cs="Arial"/>
          <w:sz w:val="16"/>
          <w:szCs w:val="28"/>
        </w:rPr>
        <w:t>identity</w:t>
      </w:r>
      <w:r w:rsidRPr="00087A72">
        <w:rPr>
          <w:rFonts w:cs="Arial"/>
          <w:sz w:val="16"/>
          <w:szCs w:val="28"/>
        </w:rPr>
        <w:t xml:space="preserve"> </w:t>
      </w:r>
      <w:r w:rsidRPr="00087A72">
        <w:rPr>
          <w:rFonts w:eastAsia="Calibri" w:cs="Arial"/>
          <w:sz w:val="16"/>
          <w:szCs w:val="28"/>
        </w:rPr>
        <w:t>politics</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interrogate</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logics</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heteronormativity</w:t>
      </w:r>
      <w:r w:rsidRPr="00087A72">
        <w:rPr>
          <w:rFonts w:cs="Arial"/>
          <w:sz w:val="16"/>
          <w:szCs w:val="28"/>
        </w:rPr>
        <w:t xml:space="preserve">. </w:t>
      </w:r>
      <w:r w:rsidRPr="00087A72">
        <w:rPr>
          <w:rFonts w:eastAsia="Calibri" w:cs="Arial"/>
          <w:sz w:val="16"/>
          <w:szCs w:val="28"/>
        </w:rPr>
        <w:t>According</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Michael</w:t>
      </w:r>
      <w:r w:rsidRPr="00087A72">
        <w:rPr>
          <w:rFonts w:cs="Arial"/>
          <w:sz w:val="16"/>
          <w:szCs w:val="28"/>
        </w:rPr>
        <w:t xml:space="preserve"> </w:t>
      </w:r>
      <w:r w:rsidRPr="00087A72">
        <w:rPr>
          <w:rFonts w:eastAsia="Calibri" w:cs="Arial"/>
          <w:sz w:val="16"/>
          <w:szCs w:val="28"/>
        </w:rPr>
        <w:t>Warner</w:t>
      </w:r>
      <w:r w:rsidRPr="00087A72">
        <w:rPr>
          <w:rFonts w:cs="Arial"/>
          <w:sz w:val="16"/>
          <w:szCs w:val="28"/>
        </w:rPr>
        <w:t>,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preference</w:t>
      </w:r>
      <w:r w:rsidRPr="00087A72">
        <w:rPr>
          <w:rFonts w:cs="Arial"/>
          <w:sz w:val="16"/>
          <w:szCs w:val="28"/>
        </w:rPr>
        <w:t xml:space="preserve"> </w:t>
      </w:r>
      <w:r w:rsidRPr="00087A72">
        <w:rPr>
          <w:rFonts w:eastAsia="Calibri" w:cs="Arial"/>
          <w:sz w:val="16"/>
          <w:szCs w:val="28"/>
        </w:rPr>
        <w:t>for</w:t>
      </w:r>
      <w:r w:rsidRPr="00087A72">
        <w:rPr>
          <w:rFonts w:cs="Arial"/>
          <w:sz w:val="16"/>
          <w:szCs w:val="28"/>
        </w:rPr>
        <w:t xml:space="preserve"> ‘</w:t>
      </w:r>
      <w:r w:rsidRPr="00087A72">
        <w:rPr>
          <w:rFonts w:eastAsia="Calibri" w:cs="Arial"/>
          <w:b/>
          <w:sz w:val="28"/>
          <w:szCs w:val="28"/>
          <w:u w:val="single"/>
        </w:rPr>
        <w:t>queer</w:t>
      </w:r>
      <w:r w:rsidRPr="00087A72">
        <w:rPr>
          <w:rFonts w:cs="Arial"/>
          <w:b/>
          <w:sz w:val="28"/>
          <w:szCs w:val="28"/>
          <w:u w:val="single"/>
        </w:rPr>
        <w:t xml:space="preserve"> </w:t>
      </w:r>
      <w:r w:rsidRPr="00087A72">
        <w:rPr>
          <w:rFonts w:eastAsia="Calibri" w:cs="Arial"/>
          <w:b/>
          <w:sz w:val="28"/>
          <w:szCs w:val="28"/>
          <w:u w:val="single"/>
        </w:rPr>
        <w:t>represents</w:t>
      </w:r>
      <w:r w:rsidRPr="00087A72">
        <w:rPr>
          <w:rFonts w:cs="Arial"/>
          <w:sz w:val="16"/>
          <w:szCs w:val="28"/>
        </w:rPr>
        <w:t xml:space="preserve">, </w:t>
      </w:r>
      <w:r w:rsidRPr="00087A72">
        <w:rPr>
          <w:rFonts w:eastAsia="Calibri" w:cs="Arial"/>
          <w:sz w:val="16"/>
          <w:szCs w:val="28"/>
        </w:rPr>
        <w:t>among</w:t>
      </w:r>
      <w:r w:rsidRPr="00087A72">
        <w:rPr>
          <w:rFonts w:cs="Arial"/>
          <w:sz w:val="16"/>
          <w:szCs w:val="28"/>
        </w:rPr>
        <w:t xml:space="preserve"> </w:t>
      </w:r>
      <w:r w:rsidRPr="00087A72">
        <w:rPr>
          <w:rFonts w:eastAsia="Calibri" w:cs="Arial"/>
          <w:sz w:val="16"/>
          <w:szCs w:val="28"/>
        </w:rPr>
        <w:t>other</w:t>
      </w:r>
      <w:r w:rsidRPr="00087A72">
        <w:rPr>
          <w:rFonts w:cs="Arial"/>
          <w:sz w:val="16"/>
          <w:szCs w:val="28"/>
        </w:rPr>
        <w:t xml:space="preserve"> </w:t>
      </w:r>
      <w:r w:rsidRPr="00087A72">
        <w:rPr>
          <w:rFonts w:eastAsia="Calibri" w:cs="Arial"/>
          <w:sz w:val="16"/>
          <w:szCs w:val="28"/>
        </w:rPr>
        <w:t>things</w:t>
      </w:r>
      <w:r w:rsidRPr="00087A72">
        <w:rPr>
          <w:rFonts w:cs="Arial"/>
          <w:sz w:val="16"/>
          <w:szCs w:val="28"/>
        </w:rPr>
        <w:t xml:space="preserve">, </w:t>
      </w:r>
      <w:r w:rsidRPr="00087A72">
        <w:rPr>
          <w:rFonts w:eastAsia="Calibri" w:cs="Arial"/>
          <w:b/>
          <w:sz w:val="28"/>
          <w:szCs w:val="28"/>
          <w:u w:val="single"/>
        </w:rPr>
        <w:t>an</w:t>
      </w:r>
      <w:r w:rsidRPr="00087A72">
        <w:rPr>
          <w:rFonts w:cs="Arial"/>
          <w:b/>
          <w:sz w:val="28"/>
          <w:szCs w:val="28"/>
          <w:u w:val="single"/>
        </w:rPr>
        <w:t xml:space="preserve"> </w:t>
      </w:r>
      <w:r w:rsidRPr="00087A72">
        <w:rPr>
          <w:rFonts w:eastAsia="Calibri" w:cs="Arial"/>
          <w:b/>
          <w:sz w:val="28"/>
          <w:szCs w:val="28"/>
          <w:u w:val="single"/>
        </w:rPr>
        <w:t>aggressive</w:t>
      </w:r>
      <w:r w:rsidRPr="00087A72">
        <w:rPr>
          <w:rFonts w:cs="Arial"/>
          <w:b/>
          <w:sz w:val="28"/>
          <w:szCs w:val="28"/>
          <w:u w:val="single"/>
        </w:rPr>
        <w:t xml:space="preserve"> </w:t>
      </w:r>
      <w:r w:rsidRPr="00087A72">
        <w:rPr>
          <w:rFonts w:eastAsia="Calibri" w:cs="Arial"/>
          <w:b/>
          <w:sz w:val="28"/>
          <w:szCs w:val="28"/>
          <w:u w:val="single"/>
        </w:rPr>
        <w:t>impulse</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generalization</w:t>
      </w:r>
      <w:r w:rsidRPr="00087A72">
        <w:rPr>
          <w:rFonts w:cs="Arial"/>
          <w:b/>
          <w:sz w:val="28"/>
          <w:szCs w:val="28"/>
          <w:u w:val="single"/>
        </w:rPr>
        <w:t xml:space="preserve">; </w:t>
      </w:r>
      <w:r w:rsidRPr="00087A72">
        <w:rPr>
          <w:rFonts w:eastAsia="Calibri" w:cs="Arial"/>
          <w:b/>
          <w:sz w:val="28"/>
          <w:szCs w:val="28"/>
          <w:u w:val="single"/>
        </w:rPr>
        <w:t>it</w:t>
      </w:r>
      <w:r w:rsidRPr="00087A72">
        <w:rPr>
          <w:rFonts w:cs="Arial"/>
          <w:b/>
          <w:sz w:val="28"/>
          <w:szCs w:val="28"/>
          <w:u w:val="single"/>
        </w:rPr>
        <w:t xml:space="preserve"> </w:t>
      </w:r>
      <w:r w:rsidRPr="00087A72">
        <w:rPr>
          <w:rFonts w:eastAsia="Calibri" w:cs="Arial"/>
          <w:b/>
          <w:sz w:val="28"/>
          <w:szCs w:val="28"/>
          <w:u w:val="single"/>
        </w:rPr>
        <w:t>rejects</w:t>
      </w:r>
      <w:r w:rsidRPr="00087A72">
        <w:rPr>
          <w:rFonts w:cs="Arial"/>
          <w:b/>
          <w:sz w:val="28"/>
          <w:szCs w:val="28"/>
          <w:u w:val="single"/>
        </w:rPr>
        <w:t xml:space="preserve"> </w:t>
      </w:r>
      <w:r w:rsidRPr="00087A72">
        <w:rPr>
          <w:rFonts w:eastAsia="Calibri" w:cs="Arial"/>
          <w:b/>
          <w:sz w:val="28"/>
          <w:szCs w:val="28"/>
          <w:u w:val="single"/>
        </w:rPr>
        <w:t>a</w:t>
      </w:r>
      <w:r w:rsidRPr="00087A72">
        <w:rPr>
          <w:rFonts w:cs="Arial"/>
          <w:b/>
          <w:sz w:val="28"/>
          <w:szCs w:val="28"/>
          <w:u w:val="single"/>
        </w:rPr>
        <w:t xml:space="preserve"> </w:t>
      </w:r>
      <w:r w:rsidRPr="00087A72">
        <w:rPr>
          <w:rFonts w:eastAsia="Calibri" w:cs="Arial"/>
          <w:b/>
          <w:sz w:val="28"/>
          <w:szCs w:val="28"/>
          <w:u w:val="single"/>
        </w:rPr>
        <w:t>minoritizing</w:t>
      </w:r>
      <w:r w:rsidRPr="00087A72">
        <w:rPr>
          <w:rFonts w:cs="Arial"/>
          <w:b/>
          <w:sz w:val="28"/>
          <w:szCs w:val="28"/>
          <w:u w:val="single"/>
        </w:rPr>
        <w:t xml:space="preserve"> </w:t>
      </w:r>
      <w:r w:rsidRPr="00087A72">
        <w:rPr>
          <w:rFonts w:eastAsia="Calibri" w:cs="Arial"/>
          <w:b/>
          <w:sz w:val="28"/>
          <w:szCs w:val="28"/>
          <w:u w:val="single"/>
        </w:rPr>
        <w:t>logic</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toleration</w:t>
      </w:r>
      <w:r w:rsidRPr="00087A72">
        <w:rPr>
          <w:rFonts w:cs="Arial"/>
          <w:b/>
          <w:sz w:val="28"/>
          <w:szCs w:val="28"/>
          <w:u w:val="single"/>
        </w:rPr>
        <w:t xml:space="preserve"> </w:t>
      </w:r>
      <w:r w:rsidRPr="00087A72">
        <w:rPr>
          <w:rFonts w:eastAsia="Calibri" w:cs="Arial"/>
          <w:b/>
          <w:sz w:val="28"/>
          <w:szCs w:val="28"/>
          <w:u w:val="single"/>
        </w:rPr>
        <w:t>or</w:t>
      </w:r>
      <w:r w:rsidRPr="00087A72">
        <w:rPr>
          <w:rFonts w:cs="Arial"/>
          <w:b/>
          <w:sz w:val="28"/>
          <w:szCs w:val="28"/>
          <w:u w:val="single"/>
        </w:rPr>
        <w:t xml:space="preserve"> </w:t>
      </w:r>
      <w:r w:rsidRPr="00087A72">
        <w:rPr>
          <w:rFonts w:eastAsia="Calibri" w:cs="Arial"/>
          <w:b/>
          <w:sz w:val="28"/>
          <w:szCs w:val="28"/>
          <w:u w:val="single"/>
        </w:rPr>
        <w:t>simple</w:t>
      </w:r>
      <w:r w:rsidRPr="00087A72">
        <w:rPr>
          <w:rFonts w:cs="Arial"/>
          <w:b/>
          <w:sz w:val="28"/>
          <w:szCs w:val="28"/>
          <w:u w:val="single"/>
        </w:rPr>
        <w:t xml:space="preserve"> </w:t>
      </w:r>
      <w:r w:rsidRPr="00087A72">
        <w:rPr>
          <w:rFonts w:eastAsia="Calibri" w:cs="Arial"/>
          <w:b/>
          <w:sz w:val="28"/>
          <w:szCs w:val="28"/>
          <w:u w:val="single"/>
        </w:rPr>
        <w:t>political</w:t>
      </w:r>
      <w:r w:rsidRPr="00087A72">
        <w:rPr>
          <w:rFonts w:cs="Arial"/>
          <w:b/>
          <w:sz w:val="28"/>
          <w:szCs w:val="28"/>
          <w:u w:val="single"/>
        </w:rPr>
        <w:t xml:space="preserve"> </w:t>
      </w:r>
      <w:r w:rsidRPr="00087A72">
        <w:rPr>
          <w:rFonts w:eastAsia="Calibri" w:cs="Arial"/>
          <w:b/>
          <w:sz w:val="28"/>
          <w:szCs w:val="28"/>
          <w:u w:val="single"/>
        </w:rPr>
        <w:t>interest</w:t>
      </w:r>
      <w:r w:rsidRPr="00087A72">
        <w:rPr>
          <w:rFonts w:cs="Arial"/>
          <w:b/>
          <w:sz w:val="28"/>
          <w:szCs w:val="28"/>
          <w:u w:val="single"/>
        </w:rPr>
        <w:t>-</w:t>
      </w:r>
      <w:r w:rsidRPr="00087A72">
        <w:rPr>
          <w:rFonts w:eastAsia="Calibri" w:cs="Arial"/>
          <w:b/>
          <w:sz w:val="28"/>
          <w:szCs w:val="28"/>
          <w:u w:val="single"/>
        </w:rPr>
        <w:t>representation</w:t>
      </w:r>
      <w:r w:rsidRPr="00087A72">
        <w:rPr>
          <w:rFonts w:cs="Arial"/>
          <w:b/>
          <w:sz w:val="28"/>
          <w:szCs w:val="28"/>
          <w:u w:val="single"/>
        </w:rPr>
        <w:t xml:space="preserve"> </w:t>
      </w:r>
      <w:r w:rsidRPr="00087A72">
        <w:rPr>
          <w:rFonts w:eastAsia="Calibri" w:cs="Arial"/>
          <w:b/>
          <w:sz w:val="28"/>
          <w:szCs w:val="28"/>
          <w:u w:val="single"/>
        </w:rPr>
        <w:t>in</w:t>
      </w:r>
      <w:r w:rsidRPr="00087A72">
        <w:rPr>
          <w:rFonts w:cs="Arial"/>
          <w:b/>
          <w:sz w:val="28"/>
          <w:szCs w:val="28"/>
          <w:u w:val="single"/>
        </w:rPr>
        <w:t xml:space="preserve"> </w:t>
      </w:r>
      <w:r w:rsidRPr="00087A72">
        <w:rPr>
          <w:rFonts w:eastAsia="Calibri" w:cs="Arial"/>
          <w:b/>
          <w:sz w:val="28"/>
          <w:szCs w:val="28"/>
          <w:u w:val="single"/>
        </w:rPr>
        <w:t>favor</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a</w:t>
      </w:r>
      <w:r w:rsidRPr="00087A72">
        <w:rPr>
          <w:rFonts w:cs="Arial"/>
          <w:b/>
          <w:sz w:val="28"/>
          <w:szCs w:val="28"/>
          <w:u w:val="single"/>
        </w:rPr>
        <w:t xml:space="preserve"> </w:t>
      </w:r>
      <w:r w:rsidRPr="00087A72">
        <w:rPr>
          <w:rFonts w:eastAsia="Calibri" w:cs="Arial"/>
          <w:b/>
          <w:sz w:val="28"/>
          <w:szCs w:val="28"/>
          <w:u w:val="single"/>
        </w:rPr>
        <w:t>more</w:t>
      </w:r>
      <w:r w:rsidRPr="00087A72">
        <w:rPr>
          <w:rFonts w:cs="Arial"/>
          <w:b/>
          <w:sz w:val="28"/>
          <w:szCs w:val="28"/>
          <w:u w:val="single"/>
        </w:rPr>
        <w:t xml:space="preserve"> </w:t>
      </w:r>
      <w:r w:rsidRPr="00087A72">
        <w:rPr>
          <w:rFonts w:eastAsia="Calibri" w:cs="Arial"/>
          <w:b/>
          <w:sz w:val="28"/>
          <w:szCs w:val="28"/>
          <w:u w:val="single"/>
        </w:rPr>
        <w:t>thorough</w:t>
      </w:r>
      <w:r w:rsidRPr="00087A72">
        <w:rPr>
          <w:rFonts w:cs="Arial"/>
          <w:b/>
          <w:sz w:val="28"/>
          <w:szCs w:val="28"/>
          <w:u w:val="single"/>
        </w:rPr>
        <w:t xml:space="preserve"> </w:t>
      </w:r>
      <w:r w:rsidRPr="00087A72">
        <w:rPr>
          <w:rFonts w:eastAsia="Calibri" w:cs="Arial"/>
          <w:b/>
          <w:sz w:val="28"/>
          <w:szCs w:val="28"/>
          <w:u w:val="single"/>
        </w:rPr>
        <w:t>resistance</w:t>
      </w:r>
      <w:r w:rsidRPr="00087A72">
        <w:rPr>
          <w:rFonts w:cs="Arial"/>
          <w:b/>
          <w:sz w:val="28"/>
          <w:szCs w:val="28"/>
          <w:u w:val="single"/>
        </w:rPr>
        <w:t xml:space="preserve"> </w:t>
      </w:r>
      <w:r w:rsidRPr="00087A72">
        <w:rPr>
          <w:rFonts w:eastAsia="Calibri" w:cs="Arial"/>
          <w:b/>
          <w:sz w:val="28"/>
          <w:szCs w:val="28"/>
          <w:u w:val="single"/>
        </w:rPr>
        <w:t>to</w:t>
      </w:r>
      <w:r w:rsidRPr="00087A72">
        <w:rPr>
          <w:rFonts w:cs="Arial"/>
          <w:b/>
          <w:sz w:val="28"/>
          <w:szCs w:val="28"/>
          <w:u w:val="single"/>
        </w:rPr>
        <w:t xml:space="preserve"> </w:t>
      </w:r>
      <w:r w:rsidRPr="00087A72">
        <w:rPr>
          <w:rFonts w:eastAsia="Calibri" w:cs="Arial"/>
          <w:b/>
          <w:sz w:val="28"/>
          <w:szCs w:val="28"/>
          <w:u w:val="single"/>
        </w:rPr>
        <w:t>regimes</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normal</w:t>
      </w:r>
      <w:r w:rsidRPr="00087A72">
        <w:rPr>
          <w:rFonts w:cs="Arial"/>
          <w:sz w:val="16"/>
          <w:szCs w:val="28"/>
        </w:rPr>
        <w:t xml:space="preserve">. </w:t>
      </w:r>
      <w:r w:rsidRPr="00087A72">
        <w:rPr>
          <w:rFonts w:eastAsia="Calibri" w:cs="Arial"/>
          <w:b/>
          <w:sz w:val="28"/>
          <w:szCs w:val="28"/>
          <w:u w:val="single"/>
        </w:rPr>
        <w:t>Native</w:t>
      </w:r>
      <w:r w:rsidRPr="00087A72">
        <w:rPr>
          <w:rFonts w:cs="Arial"/>
          <w:b/>
          <w:sz w:val="28"/>
          <w:szCs w:val="28"/>
          <w:u w:val="single"/>
        </w:rPr>
        <w:t xml:space="preserve"> </w:t>
      </w:r>
      <w:r w:rsidRPr="00087A72">
        <w:rPr>
          <w:rFonts w:eastAsia="Calibri" w:cs="Arial"/>
          <w:b/>
          <w:sz w:val="28"/>
          <w:szCs w:val="28"/>
          <w:u w:val="single"/>
        </w:rPr>
        <w:t>studies</w:t>
      </w:r>
      <w:r w:rsidRPr="00087A72">
        <w:rPr>
          <w:rFonts w:cs="Arial"/>
          <w:sz w:val="16"/>
          <w:szCs w:val="28"/>
        </w:rPr>
        <w:t xml:space="preserve">, </w:t>
      </w:r>
      <w:r w:rsidRPr="00087A72">
        <w:rPr>
          <w:rFonts w:eastAsia="Calibri" w:cs="Arial"/>
          <w:sz w:val="16"/>
          <w:szCs w:val="28"/>
        </w:rPr>
        <w:t>however</w:t>
      </w:r>
      <w:r w:rsidRPr="00087A72">
        <w:rPr>
          <w:rFonts w:cs="Arial"/>
          <w:sz w:val="16"/>
          <w:szCs w:val="28"/>
        </w:rPr>
        <w:t xml:space="preserve">, </w:t>
      </w:r>
      <w:r w:rsidRPr="00087A72">
        <w:rPr>
          <w:rFonts w:eastAsia="Calibri" w:cs="Arial"/>
          <w:sz w:val="16"/>
          <w:szCs w:val="28"/>
        </w:rPr>
        <w:t>has</w:t>
      </w:r>
      <w:r w:rsidRPr="00087A72">
        <w:rPr>
          <w:rFonts w:cs="Arial"/>
          <w:sz w:val="16"/>
          <w:szCs w:val="28"/>
        </w:rPr>
        <w:t xml:space="preserve"> </w:t>
      </w:r>
      <w:r w:rsidRPr="00087A72">
        <w:rPr>
          <w:rFonts w:eastAsia="Calibri" w:cs="Arial"/>
          <w:sz w:val="16"/>
          <w:szCs w:val="28"/>
        </w:rPr>
        <w:t>frequently</w:t>
      </w:r>
      <w:r w:rsidRPr="00087A72">
        <w:rPr>
          <w:rFonts w:cs="Arial"/>
          <w:sz w:val="16"/>
          <w:szCs w:val="28"/>
        </w:rPr>
        <w:t xml:space="preserve"> </w:t>
      </w:r>
      <w:r w:rsidRPr="00087A72">
        <w:rPr>
          <w:rFonts w:eastAsia="Calibri" w:cs="Arial"/>
          <w:sz w:val="16"/>
          <w:szCs w:val="28"/>
        </w:rPr>
        <w:t>intersected</w:t>
      </w:r>
      <w:r w:rsidRPr="00087A72">
        <w:rPr>
          <w:rFonts w:cs="Arial"/>
          <w:sz w:val="16"/>
          <w:szCs w:val="28"/>
        </w:rPr>
        <w:t xml:space="preserve"> </w:t>
      </w:r>
      <w:r w:rsidRPr="00087A72">
        <w:rPr>
          <w:rFonts w:eastAsia="Calibri" w:cs="Arial"/>
          <w:sz w:val="16"/>
          <w:szCs w:val="28"/>
        </w:rPr>
        <w:t>more</w:t>
      </w:r>
      <w:r w:rsidRPr="00087A72">
        <w:rPr>
          <w:rFonts w:cs="Arial"/>
          <w:sz w:val="16"/>
          <w:szCs w:val="28"/>
        </w:rPr>
        <w:t xml:space="preserve"> </w:t>
      </w:r>
      <w:r w:rsidRPr="00087A72">
        <w:rPr>
          <w:rFonts w:eastAsia="Calibri" w:cs="Arial"/>
          <w:sz w:val="16"/>
          <w:szCs w:val="28"/>
        </w:rPr>
        <w:t>with</w:t>
      </w:r>
      <w:r w:rsidRPr="00087A72">
        <w:rPr>
          <w:rFonts w:cs="Arial"/>
          <w:sz w:val="16"/>
          <w:szCs w:val="28"/>
        </w:rPr>
        <w:t xml:space="preserve"> </w:t>
      </w:r>
      <w:r w:rsidRPr="00087A72">
        <w:rPr>
          <w:rFonts w:eastAsia="Calibri" w:cs="Arial"/>
          <w:sz w:val="16"/>
          <w:szCs w:val="28"/>
        </w:rPr>
        <w:t>LGBT</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than</w:t>
      </w:r>
      <w:r w:rsidRPr="00087A72">
        <w:rPr>
          <w:rFonts w:cs="Arial"/>
          <w:sz w:val="16"/>
          <w:szCs w:val="28"/>
        </w:rPr>
        <w:t xml:space="preserve"> </w:t>
      </w:r>
      <w:r w:rsidRPr="00087A72">
        <w:rPr>
          <w:rFonts w:eastAsia="Calibri" w:cs="Arial"/>
          <w:sz w:val="16"/>
          <w:szCs w:val="28"/>
        </w:rPr>
        <w:t>with</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theory</w:t>
      </w:r>
      <w:r w:rsidRPr="00087A72">
        <w:rPr>
          <w:rFonts w:cs="Arial"/>
          <w:sz w:val="16"/>
          <w:szCs w:val="28"/>
        </w:rPr>
        <w:t xml:space="preserve"> </w:t>
      </w:r>
      <w:r w:rsidRPr="00087A72">
        <w:rPr>
          <w:rFonts w:eastAsia="Calibri" w:cs="Arial"/>
          <w:sz w:val="16"/>
          <w:szCs w:val="28"/>
        </w:rPr>
        <w:t>in</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it</w:t>
      </w:r>
      <w:r w:rsidRPr="00087A72">
        <w:rPr>
          <w:rFonts w:cs="Arial"/>
          <w:sz w:val="16"/>
          <w:szCs w:val="28"/>
        </w:rPr>
        <w:t xml:space="preserve"> </w:t>
      </w:r>
      <w:r w:rsidRPr="00087A72">
        <w:rPr>
          <w:rFonts w:eastAsia="Calibri" w:cs="Arial"/>
          <w:b/>
          <w:sz w:val="28"/>
          <w:szCs w:val="28"/>
          <w:u w:val="single"/>
        </w:rPr>
        <w:t>has</w:t>
      </w:r>
      <w:r w:rsidRPr="00087A72">
        <w:rPr>
          <w:rFonts w:cs="Arial"/>
          <w:b/>
          <w:sz w:val="28"/>
          <w:szCs w:val="28"/>
          <w:u w:val="single"/>
        </w:rPr>
        <w:t xml:space="preserve"> </w:t>
      </w:r>
      <w:r w:rsidRPr="00087A72">
        <w:rPr>
          <w:rFonts w:eastAsia="Calibri" w:cs="Arial"/>
          <w:b/>
          <w:sz w:val="28"/>
          <w:szCs w:val="28"/>
          <w:u w:val="single"/>
        </w:rPr>
        <w:t>tended</w:t>
      </w:r>
      <w:r w:rsidRPr="00087A72">
        <w:rPr>
          <w:rFonts w:cs="Arial"/>
          <w:b/>
          <w:sz w:val="28"/>
          <w:szCs w:val="28"/>
          <w:u w:val="single"/>
        </w:rPr>
        <w:t xml:space="preserve"> </w:t>
      </w:r>
      <w:r w:rsidRPr="00087A72">
        <w:rPr>
          <w:rFonts w:eastAsia="Calibri" w:cs="Arial"/>
          <w:b/>
          <w:sz w:val="28"/>
          <w:szCs w:val="28"/>
          <w:u w:val="single"/>
        </w:rPr>
        <w:t>to</w:t>
      </w:r>
      <w:r w:rsidRPr="00087A72">
        <w:rPr>
          <w:rFonts w:cs="Arial"/>
          <w:b/>
          <w:sz w:val="28"/>
          <w:szCs w:val="28"/>
          <w:u w:val="single"/>
        </w:rPr>
        <w:t xml:space="preserve"> </w:t>
      </w:r>
      <w:r w:rsidRPr="00087A72">
        <w:rPr>
          <w:rFonts w:eastAsia="Calibri" w:cs="Arial"/>
          <w:b/>
          <w:sz w:val="28"/>
          <w:szCs w:val="28"/>
          <w:u w:val="single"/>
        </w:rPr>
        <w:t>focus</w:t>
      </w:r>
      <w:r w:rsidRPr="00087A72">
        <w:rPr>
          <w:rFonts w:cs="Arial"/>
          <w:b/>
          <w:sz w:val="28"/>
          <w:szCs w:val="28"/>
          <w:u w:val="single"/>
        </w:rPr>
        <w:t xml:space="preserve"> </w:t>
      </w:r>
      <w:r w:rsidRPr="00087A72">
        <w:rPr>
          <w:rFonts w:eastAsia="Calibri" w:cs="Arial"/>
          <w:b/>
          <w:sz w:val="28"/>
          <w:szCs w:val="28"/>
          <w:u w:val="single"/>
        </w:rPr>
        <w:t>on</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status</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two</w:t>
      </w:r>
      <w:r w:rsidRPr="00087A72">
        <w:rPr>
          <w:rFonts w:cs="Arial"/>
          <w:b/>
          <w:sz w:val="28"/>
          <w:szCs w:val="28"/>
          <w:u w:val="single"/>
        </w:rPr>
        <w:t xml:space="preserve"> </w:t>
      </w:r>
      <w:r w:rsidRPr="00087A72">
        <w:rPr>
          <w:rFonts w:eastAsia="Calibri" w:cs="Arial"/>
          <w:b/>
          <w:sz w:val="28"/>
          <w:szCs w:val="28"/>
          <w:u w:val="single"/>
        </w:rPr>
        <w:t>spirit</w:t>
      </w:r>
      <w:r w:rsidRPr="00087A72">
        <w:rPr>
          <w:rFonts w:cs="Arial"/>
          <w:b/>
          <w:sz w:val="28"/>
          <w:szCs w:val="28"/>
          <w:u w:val="single"/>
        </w:rPr>
        <w:t xml:space="preserve">” </w:t>
      </w:r>
      <w:r w:rsidRPr="00087A72">
        <w:rPr>
          <w:rFonts w:eastAsia="Calibri" w:cs="Arial"/>
          <w:b/>
          <w:sz w:val="28"/>
          <w:szCs w:val="28"/>
          <w:u w:val="single"/>
        </w:rPr>
        <w:t>peoples</w:t>
      </w:r>
      <w:r w:rsidRPr="00087A72">
        <w:rPr>
          <w:rFonts w:cs="Arial"/>
          <w:b/>
          <w:sz w:val="28"/>
          <w:szCs w:val="28"/>
          <w:u w:val="single"/>
        </w:rPr>
        <w:t xml:space="preserve"> </w:t>
      </w:r>
      <w:r w:rsidRPr="00087A72">
        <w:rPr>
          <w:rFonts w:eastAsia="Calibri" w:cs="Arial"/>
          <w:b/>
          <w:sz w:val="28"/>
          <w:szCs w:val="28"/>
          <w:u w:val="single"/>
        </w:rPr>
        <w:t>within</w:t>
      </w:r>
      <w:r w:rsidRPr="00087A72">
        <w:rPr>
          <w:rFonts w:cs="Arial"/>
          <w:b/>
          <w:sz w:val="28"/>
          <w:szCs w:val="28"/>
          <w:u w:val="single"/>
        </w:rPr>
        <w:t xml:space="preserve"> </w:t>
      </w:r>
      <w:r w:rsidRPr="00087A72">
        <w:rPr>
          <w:rFonts w:eastAsia="Calibri" w:cs="Arial"/>
          <w:b/>
          <w:sz w:val="28"/>
          <w:szCs w:val="28"/>
          <w:u w:val="single"/>
        </w:rPr>
        <w:t>Native</w:t>
      </w:r>
      <w:r w:rsidRPr="00087A72">
        <w:rPr>
          <w:rFonts w:cs="Arial"/>
          <w:b/>
          <w:sz w:val="28"/>
          <w:szCs w:val="28"/>
          <w:u w:val="single"/>
        </w:rPr>
        <w:t xml:space="preserve"> </w:t>
      </w:r>
      <w:r w:rsidRPr="00087A72">
        <w:rPr>
          <w:rFonts w:eastAsia="Calibri" w:cs="Arial"/>
          <w:b/>
          <w:sz w:val="28"/>
          <w:szCs w:val="28"/>
          <w:u w:val="single"/>
        </w:rPr>
        <w:t>communities</w:t>
      </w:r>
      <w:r w:rsidRPr="00087A72">
        <w:rPr>
          <w:rFonts w:cs="Arial"/>
          <w:sz w:val="16"/>
          <w:szCs w:val="28"/>
        </w:rPr>
        <w:t xml:space="preserve">.3 </w:t>
      </w:r>
      <w:r w:rsidRPr="00087A72">
        <w:rPr>
          <w:rFonts w:eastAsia="Calibri" w:cs="Arial"/>
          <w:sz w:val="16"/>
          <w:szCs w:val="28"/>
        </w:rPr>
        <w:t>While</w:t>
      </w:r>
      <w:r w:rsidRPr="00087A72">
        <w:rPr>
          <w:rFonts w:cs="Arial"/>
          <w:sz w:val="16"/>
          <w:szCs w:val="28"/>
        </w:rPr>
        <w:t xml:space="preserve"> </w:t>
      </w:r>
      <w:r w:rsidRPr="00087A72">
        <w:rPr>
          <w:rFonts w:eastAsia="Calibri" w:cs="Arial"/>
          <w:sz w:val="16"/>
          <w:szCs w:val="28"/>
        </w:rPr>
        <w:t>this</w:t>
      </w:r>
      <w:r w:rsidRPr="00087A72">
        <w:rPr>
          <w:rFonts w:cs="Arial"/>
          <w:sz w:val="16"/>
          <w:szCs w:val="28"/>
        </w:rPr>
        <w:t xml:space="preserve"> </w:t>
      </w:r>
      <w:r w:rsidRPr="00087A72">
        <w:rPr>
          <w:rFonts w:eastAsia="Calibri" w:cs="Arial"/>
          <w:sz w:val="16"/>
          <w:szCs w:val="28"/>
        </w:rPr>
        <w:t>scholar</w:t>
      </w:r>
      <w:r w:rsidRPr="00087A72">
        <w:rPr>
          <w:rFonts w:cs="Arial"/>
          <w:sz w:val="16"/>
          <w:szCs w:val="28"/>
        </w:rPr>
        <w:t>-</w:t>
      </w:r>
      <w:r w:rsidRPr="00087A72">
        <w:rPr>
          <w:rFonts w:eastAsia="Calibri" w:cs="Arial"/>
          <w:sz w:val="16"/>
          <w:szCs w:val="28"/>
        </w:rPr>
        <w:t>ship</w:t>
      </w:r>
      <w:r w:rsidRPr="00087A72">
        <w:rPr>
          <w:rFonts w:cs="Arial"/>
          <w:sz w:val="16"/>
          <w:szCs w:val="28"/>
        </w:rPr>
        <w:t xml:space="preserve"> </w:t>
      </w:r>
      <w:r w:rsidRPr="00087A72">
        <w:rPr>
          <w:rFonts w:eastAsia="Calibri" w:cs="Arial"/>
          <w:sz w:val="16"/>
          <w:szCs w:val="28"/>
        </w:rPr>
        <w:t>is</w:t>
      </w:r>
      <w:r w:rsidRPr="00087A72">
        <w:rPr>
          <w:rFonts w:cs="Arial"/>
          <w:sz w:val="16"/>
          <w:szCs w:val="28"/>
        </w:rPr>
        <w:t xml:space="preserve"> </w:t>
      </w:r>
      <w:r w:rsidRPr="00087A72">
        <w:rPr>
          <w:rFonts w:eastAsia="Calibri" w:cs="Arial"/>
          <w:sz w:val="16"/>
          <w:szCs w:val="28"/>
        </w:rPr>
        <w:t>critically</w:t>
      </w:r>
      <w:r w:rsidRPr="00087A72">
        <w:rPr>
          <w:rFonts w:cs="Arial"/>
          <w:sz w:val="16"/>
          <w:szCs w:val="28"/>
        </w:rPr>
        <w:t xml:space="preserve"> </w:t>
      </w:r>
      <w:r w:rsidRPr="00087A72">
        <w:rPr>
          <w:rFonts w:eastAsia="Calibri" w:cs="Arial"/>
          <w:sz w:val="16"/>
          <w:szCs w:val="28"/>
        </w:rPr>
        <w:t>important</w:t>
      </w:r>
      <w:r w:rsidRPr="00087A72">
        <w:rPr>
          <w:rFonts w:cs="Arial"/>
          <w:sz w:val="16"/>
          <w:szCs w:val="28"/>
        </w:rPr>
        <w:t xml:space="preserve">, </w:t>
      </w:r>
      <w:r w:rsidRPr="00087A72">
        <w:rPr>
          <w:rFonts w:eastAsia="Calibri" w:cs="Arial"/>
          <w:sz w:val="16"/>
          <w:szCs w:val="28"/>
        </w:rPr>
        <w:t>I</w:t>
      </w:r>
      <w:r w:rsidRPr="00087A72">
        <w:rPr>
          <w:rFonts w:cs="Arial"/>
          <w:sz w:val="16"/>
          <w:szCs w:val="28"/>
        </w:rPr>
        <w:t xml:space="preserve"> </w:t>
      </w:r>
      <w:r w:rsidRPr="00087A72">
        <w:rPr>
          <w:rFonts w:eastAsia="Calibri" w:cs="Arial"/>
          <w:sz w:val="16"/>
          <w:szCs w:val="28"/>
        </w:rPr>
        <w:t>argue</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additionally</w:t>
      </w:r>
      <w:r w:rsidRPr="00087A72">
        <w:rPr>
          <w:rFonts w:cs="Arial"/>
          <w:sz w:val="16"/>
          <w:szCs w:val="28"/>
        </w:rPr>
        <w:t xml:space="preserve"> </w:t>
      </w:r>
      <w:r w:rsidRPr="00087A72">
        <w:rPr>
          <w:rFonts w:eastAsia="Calibri" w:cs="Arial"/>
          <w:sz w:val="16"/>
          <w:szCs w:val="28"/>
        </w:rPr>
        <w:t>has</w:t>
      </w:r>
      <w:r w:rsidRPr="00087A72">
        <w:rPr>
          <w:rFonts w:cs="Arial"/>
          <w:sz w:val="16"/>
          <w:szCs w:val="28"/>
        </w:rPr>
        <w:t xml:space="preserve"> </w:t>
      </w:r>
      <w:r w:rsidRPr="00087A72">
        <w:rPr>
          <w:rFonts w:eastAsia="Calibri" w:cs="Arial"/>
          <w:sz w:val="16"/>
          <w:szCs w:val="28"/>
        </w:rPr>
        <w:t>more</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contribute</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by</w:t>
      </w:r>
      <w:r w:rsidRPr="00087A72">
        <w:rPr>
          <w:rFonts w:cs="Arial"/>
          <w:sz w:val="16"/>
          <w:szCs w:val="28"/>
        </w:rPr>
        <w:t xml:space="preserve"> </w:t>
      </w:r>
      <w:r w:rsidRPr="00087A72">
        <w:rPr>
          <w:rFonts w:eastAsia="Calibri" w:cs="Arial"/>
          <w:sz w:val="16"/>
          <w:szCs w:val="28"/>
        </w:rPr>
        <w:t>unsettling</w:t>
      </w:r>
      <w:r w:rsidRPr="00087A72">
        <w:rPr>
          <w:rFonts w:cs="Arial"/>
          <w:sz w:val="16"/>
          <w:szCs w:val="28"/>
        </w:rPr>
        <w:t xml:space="preserve"> </w:t>
      </w:r>
      <w:r w:rsidRPr="00087A72">
        <w:rPr>
          <w:rFonts w:eastAsia="Calibri" w:cs="Arial"/>
          <w:sz w:val="16"/>
          <w:szCs w:val="28"/>
        </w:rPr>
        <w:t>settler</w:t>
      </w:r>
      <w:r w:rsidRPr="00087A72">
        <w:rPr>
          <w:rFonts w:cs="Arial"/>
          <w:sz w:val="16"/>
          <w:szCs w:val="28"/>
        </w:rPr>
        <w:t xml:space="preserve"> </w:t>
      </w:r>
      <w:r w:rsidRPr="00087A72">
        <w:rPr>
          <w:rFonts w:eastAsia="Calibri" w:cs="Arial"/>
          <w:sz w:val="16"/>
          <w:szCs w:val="28"/>
        </w:rPr>
        <w:t>colonialism</w:t>
      </w:r>
      <w:r w:rsidRPr="00087A72">
        <w:rPr>
          <w:rFonts w:cs="Arial"/>
          <w:sz w:val="16"/>
          <w:szCs w:val="28"/>
        </w:rPr>
        <w:t xml:space="preserve">. </w:t>
      </w:r>
      <w:r w:rsidRPr="00087A72">
        <w:rPr>
          <w:rFonts w:eastAsia="Calibri" w:cs="Arial"/>
          <w:sz w:val="16"/>
          <w:szCs w:val="28"/>
        </w:rPr>
        <w:t>At</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same</w:t>
      </w:r>
      <w:r w:rsidRPr="00087A72">
        <w:rPr>
          <w:rFonts w:cs="Arial"/>
          <w:sz w:val="16"/>
          <w:szCs w:val="28"/>
        </w:rPr>
        <w:t xml:space="preserve"> </w:t>
      </w:r>
      <w:r w:rsidRPr="00087A72">
        <w:rPr>
          <w:rFonts w:eastAsia="Calibri" w:cs="Arial"/>
          <w:sz w:val="16"/>
          <w:szCs w:val="28"/>
        </w:rPr>
        <w:t>time</w:t>
      </w:r>
      <w:r w:rsidRPr="00087A72">
        <w:rPr>
          <w:rFonts w:cs="Arial"/>
          <w:sz w:val="16"/>
          <w:szCs w:val="28"/>
        </w:rPr>
        <w:t xml:space="preserve">, </w:t>
      </w:r>
      <w:r w:rsidRPr="00087A72">
        <w:rPr>
          <w:rFonts w:eastAsia="Calibri" w:cs="Arial"/>
          <w:sz w:val="16"/>
          <w:szCs w:val="28"/>
        </w:rPr>
        <w:t>while</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theory</w:t>
      </w:r>
      <w:r w:rsidRPr="00087A72">
        <w:rPr>
          <w:rFonts w:cs="Arial"/>
          <w:sz w:val="16"/>
          <w:szCs w:val="28"/>
        </w:rPr>
        <w:t xml:space="preserve"> </w:t>
      </w:r>
      <w:r w:rsidRPr="00087A72">
        <w:rPr>
          <w:rFonts w:eastAsia="Calibri" w:cs="Arial"/>
          <w:sz w:val="16"/>
          <w:szCs w:val="28"/>
        </w:rPr>
        <w:t>does</w:t>
      </w:r>
      <w:r w:rsidRPr="00087A72">
        <w:rPr>
          <w:rFonts w:cs="Arial"/>
          <w:sz w:val="16"/>
          <w:szCs w:val="28"/>
        </w:rPr>
        <w:t xml:space="preserve"> </w:t>
      </w:r>
      <w:r w:rsidRPr="00087A72">
        <w:rPr>
          <w:rFonts w:eastAsia="Calibri" w:cs="Arial"/>
          <w:sz w:val="16"/>
          <w:szCs w:val="28"/>
        </w:rPr>
        <w:t>focus</w:t>
      </w:r>
      <w:r w:rsidRPr="00087A72">
        <w:rPr>
          <w:rFonts w:cs="Arial"/>
          <w:sz w:val="16"/>
          <w:szCs w:val="28"/>
        </w:rPr>
        <w:t xml:space="preserve"> </w:t>
      </w:r>
      <w:r w:rsidRPr="00087A72">
        <w:rPr>
          <w:rFonts w:eastAsia="Calibri" w:cs="Arial"/>
          <w:sz w:val="16"/>
          <w:szCs w:val="28"/>
        </w:rPr>
        <w:t>on</w:t>
      </w:r>
      <w:r w:rsidRPr="00087A72">
        <w:rPr>
          <w:rFonts w:cs="Arial"/>
          <w:sz w:val="16"/>
          <w:szCs w:val="28"/>
        </w:rPr>
        <w:t xml:space="preserve"> </w:t>
      </w:r>
      <w:r w:rsidRPr="00087A72">
        <w:rPr>
          <w:rFonts w:eastAsia="Calibri" w:cs="Arial"/>
          <w:sz w:val="16"/>
          <w:szCs w:val="28"/>
        </w:rPr>
        <w:t>normalizing</w:t>
      </w:r>
      <w:r w:rsidRPr="00087A72">
        <w:rPr>
          <w:rFonts w:cs="Arial"/>
          <w:sz w:val="16"/>
          <w:szCs w:val="28"/>
        </w:rPr>
        <w:t xml:space="preserve"> </w:t>
      </w:r>
      <w:r w:rsidRPr="00087A72">
        <w:rPr>
          <w:rFonts w:eastAsia="Calibri" w:cs="Arial"/>
          <w:sz w:val="16"/>
          <w:szCs w:val="28"/>
        </w:rPr>
        <w:t>logics</w:t>
      </w:r>
      <w:r w:rsidRPr="00087A72">
        <w:rPr>
          <w:rFonts w:cs="Arial"/>
          <w:sz w:val="16"/>
          <w:szCs w:val="28"/>
        </w:rPr>
        <w:t xml:space="preserve">, </w:t>
      </w:r>
      <w:r w:rsidRPr="00087A72">
        <w:rPr>
          <w:rFonts w:eastAsia="Calibri" w:cs="Arial"/>
          <w:sz w:val="16"/>
          <w:szCs w:val="28"/>
        </w:rPr>
        <w:t>even</w:t>
      </w:r>
      <w:r w:rsidRPr="00087A72">
        <w:rPr>
          <w:rFonts w:cs="Arial"/>
          <w:sz w:val="16"/>
          <w:szCs w:val="28"/>
        </w:rPr>
        <w:t xml:space="preserve"> </w:t>
      </w:r>
      <w:r w:rsidRPr="00087A72">
        <w:rPr>
          <w:rFonts w:eastAsia="Calibri" w:cs="Arial"/>
          <w:sz w:val="16"/>
          <w:szCs w:val="28"/>
        </w:rPr>
        <w:t>those</w:t>
      </w:r>
      <w:r w:rsidRPr="00087A72">
        <w:rPr>
          <w:rFonts w:cs="Arial"/>
          <w:sz w:val="16"/>
          <w:szCs w:val="28"/>
        </w:rPr>
        <w:t xml:space="preserve"> </w:t>
      </w:r>
      <w:r w:rsidRPr="00087A72">
        <w:rPr>
          <w:rFonts w:eastAsia="Calibri" w:cs="Arial"/>
          <w:sz w:val="16"/>
          <w:szCs w:val="28"/>
        </w:rPr>
        <w:t>engaged</w:t>
      </w:r>
      <w:r w:rsidRPr="00087A72">
        <w:rPr>
          <w:rFonts w:cs="Arial"/>
          <w:sz w:val="16"/>
          <w:szCs w:val="28"/>
        </w:rPr>
        <w:t xml:space="preserve"> </w:t>
      </w:r>
      <w:r w:rsidRPr="00087A72">
        <w:rPr>
          <w:rFonts w:eastAsia="Calibri" w:cs="Arial"/>
          <w:sz w:val="16"/>
          <w:szCs w:val="28"/>
        </w:rPr>
        <w:t>in</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color</w:t>
      </w:r>
      <w:r w:rsidRPr="00087A72">
        <w:rPr>
          <w:rFonts w:cs="Arial"/>
          <w:sz w:val="16"/>
          <w:szCs w:val="28"/>
        </w:rPr>
        <w:t xml:space="preserve"> </w:t>
      </w:r>
      <w:r w:rsidRPr="00087A72">
        <w:rPr>
          <w:rFonts w:eastAsia="Calibri" w:cs="Arial"/>
          <w:sz w:val="16"/>
          <w:szCs w:val="28"/>
        </w:rPr>
        <w:t>critique</w:t>
      </w:r>
      <w:r w:rsidRPr="00087A72">
        <w:rPr>
          <w:rFonts w:cs="Arial"/>
          <w:sz w:val="16"/>
          <w:szCs w:val="28"/>
        </w:rPr>
        <w:t xml:space="preserve"> </w:t>
      </w:r>
      <w:r w:rsidRPr="00087A72">
        <w:rPr>
          <w:rFonts w:eastAsia="Calibri" w:cs="Arial"/>
          <w:sz w:val="16"/>
          <w:szCs w:val="28"/>
        </w:rPr>
        <w:t>generally</w:t>
      </w:r>
      <w:r w:rsidRPr="00087A72">
        <w:rPr>
          <w:rFonts w:cs="Arial"/>
          <w:sz w:val="16"/>
          <w:szCs w:val="28"/>
        </w:rPr>
        <w:t xml:space="preserve"> </w:t>
      </w:r>
      <w:r w:rsidRPr="00087A72">
        <w:rPr>
          <w:rFonts w:eastAsia="Calibri" w:cs="Arial"/>
          <w:sz w:val="16"/>
          <w:szCs w:val="28"/>
        </w:rPr>
        <w:t>neglect</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normalizing</w:t>
      </w:r>
      <w:r w:rsidRPr="00087A72">
        <w:rPr>
          <w:rFonts w:cs="Arial"/>
          <w:sz w:val="16"/>
          <w:szCs w:val="28"/>
        </w:rPr>
        <w:t xml:space="preserve"> </w:t>
      </w:r>
      <w:r w:rsidRPr="00087A72">
        <w:rPr>
          <w:rFonts w:eastAsia="Calibri" w:cs="Arial"/>
          <w:sz w:val="16"/>
          <w:szCs w:val="28"/>
        </w:rPr>
        <w:t>logics</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settler</w:t>
      </w:r>
      <w:r w:rsidRPr="00087A72">
        <w:rPr>
          <w:rFonts w:cs="Arial"/>
          <w:sz w:val="16"/>
          <w:szCs w:val="28"/>
        </w:rPr>
        <w:t xml:space="preserve"> </w:t>
      </w:r>
      <w:r w:rsidRPr="00087A72">
        <w:rPr>
          <w:rFonts w:eastAsia="Calibri" w:cs="Arial"/>
          <w:sz w:val="16"/>
          <w:szCs w:val="28"/>
        </w:rPr>
        <w:t>colonialism</w:t>
      </w:r>
      <w:r w:rsidRPr="00087A72">
        <w:rPr>
          <w:rFonts w:cs="Arial"/>
          <w:sz w:val="16"/>
          <w:szCs w:val="28"/>
        </w:rPr>
        <w:t xml:space="preserve">, </w:t>
      </w:r>
      <w:r w:rsidRPr="00087A72">
        <w:rPr>
          <w:rFonts w:eastAsia="Calibri" w:cs="Arial"/>
          <w:sz w:val="16"/>
          <w:szCs w:val="28"/>
        </w:rPr>
        <w:t>particularly</w:t>
      </w:r>
      <w:r w:rsidRPr="00087A72">
        <w:rPr>
          <w:rFonts w:cs="Arial"/>
          <w:sz w:val="16"/>
          <w:szCs w:val="28"/>
        </w:rPr>
        <w:t xml:space="preserve"> </w:t>
      </w:r>
      <w:r w:rsidRPr="00087A72">
        <w:rPr>
          <w:rFonts w:eastAsia="Calibri" w:cs="Arial"/>
          <w:sz w:val="16"/>
          <w:szCs w:val="28"/>
        </w:rPr>
        <w:t>within</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U</w:t>
      </w:r>
      <w:r w:rsidRPr="00087A72">
        <w:rPr>
          <w:rFonts w:cs="Arial"/>
          <w:sz w:val="16"/>
          <w:szCs w:val="28"/>
        </w:rPr>
        <w:t>.</w:t>
      </w:r>
      <w:r w:rsidRPr="00087A72">
        <w:rPr>
          <w:rFonts w:eastAsia="Calibri" w:cs="Arial"/>
          <w:sz w:val="16"/>
          <w:szCs w:val="28"/>
        </w:rPr>
        <w:t>S</w:t>
      </w:r>
      <w:r w:rsidRPr="00087A72">
        <w:rPr>
          <w:rFonts w:cs="Arial"/>
          <w:sz w:val="16"/>
          <w:szCs w:val="28"/>
        </w:rPr>
        <w:t xml:space="preserve">. </w:t>
      </w:r>
      <w:r w:rsidRPr="00087A72">
        <w:rPr>
          <w:rFonts w:eastAsia="Calibri" w:cs="Arial"/>
          <w:sz w:val="16"/>
          <w:szCs w:val="28"/>
        </w:rPr>
        <w:t>context</w:t>
      </w:r>
      <w:r w:rsidRPr="00087A72">
        <w:rPr>
          <w:rFonts w:cs="Arial"/>
          <w:sz w:val="16"/>
          <w:szCs w:val="28"/>
        </w:rPr>
        <w:t xml:space="preserve">. </w:t>
      </w:r>
      <w:r w:rsidRPr="00087A72">
        <w:rPr>
          <w:rFonts w:eastAsia="Calibri" w:cs="Arial"/>
          <w:b/>
          <w:sz w:val="28"/>
          <w:szCs w:val="28"/>
          <w:u w:val="single"/>
        </w:rPr>
        <w:t>Queer</w:t>
      </w:r>
      <w:r w:rsidRPr="00087A72">
        <w:rPr>
          <w:rFonts w:cs="Arial"/>
          <w:b/>
          <w:sz w:val="28"/>
          <w:szCs w:val="28"/>
          <w:u w:val="single"/>
        </w:rPr>
        <w:t xml:space="preserve"> </w:t>
      </w:r>
      <w:r w:rsidRPr="00087A72">
        <w:rPr>
          <w:rFonts w:eastAsia="Calibri" w:cs="Arial"/>
          <w:b/>
          <w:sz w:val="28"/>
          <w:szCs w:val="28"/>
          <w:u w:val="single"/>
        </w:rPr>
        <w:t>theory</w:t>
      </w:r>
      <w:r w:rsidRPr="00087A72">
        <w:rPr>
          <w:rFonts w:cs="Arial"/>
          <w:b/>
          <w:sz w:val="28"/>
          <w:szCs w:val="28"/>
          <w:u w:val="single"/>
        </w:rPr>
        <w:t xml:space="preserve"> </w:t>
      </w:r>
      <w:r w:rsidRPr="00087A72">
        <w:rPr>
          <w:rFonts w:eastAsia="Calibri" w:cs="Arial"/>
          <w:b/>
          <w:sz w:val="28"/>
          <w:szCs w:val="28"/>
          <w:u w:val="single"/>
        </w:rPr>
        <w:t>and</w:t>
      </w:r>
      <w:r w:rsidRPr="00087A72">
        <w:rPr>
          <w:rFonts w:cs="Arial"/>
          <w:b/>
          <w:sz w:val="28"/>
          <w:szCs w:val="28"/>
          <w:u w:val="single"/>
        </w:rPr>
        <w:t xml:space="preserve"> </w:t>
      </w:r>
      <w:r w:rsidRPr="00087A72">
        <w:rPr>
          <w:rFonts w:eastAsia="Calibri" w:cs="Arial"/>
          <w:b/>
          <w:sz w:val="28"/>
          <w:szCs w:val="28"/>
          <w:u w:val="single"/>
        </w:rPr>
        <w:t>Native</w:t>
      </w:r>
      <w:r w:rsidRPr="00087A72">
        <w:rPr>
          <w:rFonts w:cs="Arial"/>
          <w:b/>
          <w:sz w:val="28"/>
          <w:szCs w:val="28"/>
          <w:u w:val="single"/>
        </w:rPr>
        <w:t xml:space="preserve"> </w:t>
      </w:r>
      <w:r w:rsidRPr="00087A72">
        <w:rPr>
          <w:rFonts w:eastAsia="Calibri" w:cs="Arial"/>
          <w:b/>
          <w:sz w:val="28"/>
          <w:szCs w:val="28"/>
          <w:u w:val="single"/>
        </w:rPr>
        <w:t>studies</w:t>
      </w:r>
      <w:r w:rsidRPr="00087A72">
        <w:rPr>
          <w:rFonts w:cs="Arial"/>
          <w:b/>
          <w:sz w:val="28"/>
          <w:szCs w:val="28"/>
          <w:u w:val="single"/>
        </w:rPr>
        <w:t xml:space="preserve"> </w:t>
      </w:r>
      <w:r w:rsidRPr="00087A72">
        <w:rPr>
          <w:rFonts w:eastAsia="Calibri" w:cs="Arial"/>
          <w:b/>
          <w:sz w:val="28"/>
          <w:szCs w:val="28"/>
          <w:u w:val="single"/>
        </w:rPr>
        <w:t>often</w:t>
      </w:r>
      <w:r w:rsidRPr="00087A72">
        <w:rPr>
          <w:rFonts w:cs="Arial"/>
          <w:b/>
          <w:sz w:val="28"/>
          <w:szCs w:val="28"/>
          <w:u w:val="single"/>
        </w:rPr>
        <w:t xml:space="preserve"> </w:t>
      </w:r>
      <w:r w:rsidRPr="00087A72">
        <w:rPr>
          <w:rFonts w:eastAsia="Calibri" w:cs="Arial"/>
          <w:b/>
          <w:sz w:val="28"/>
          <w:szCs w:val="28"/>
          <w:u w:val="single"/>
        </w:rPr>
        <w:t>do</w:t>
      </w:r>
      <w:r w:rsidRPr="00087A72">
        <w:rPr>
          <w:rFonts w:cs="Arial"/>
          <w:b/>
          <w:sz w:val="28"/>
          <w:szCs w:val="28"/>
          <w:u w:val="single"/>
        </w:rPr>
        <w:t xml:space="preserve"> </w:t>
      </w:r>
      <w:r w:rsidRPr="00087A72">
        <w:rPr>
          <w:rFonts w:eastAsia="Calibri" w:cs="Arial"/>
          <w:b/>
          <w:sz w:val="28"/>
          <w:szCs w:val="28"/>
          <w:u w:val="single"/>
        </w:rPr>
        <w:t>not</w:t>
      </w:r>
      <w:r w:rsidRPr="00087A72">
        <w:rPr>
          <w:rFonts w:cs="Arial"/>
          <w:b/>
          <w:sz w:val="28"/>
          <w:szCs w:val="28"/>
          <w:u w:val="single"/>
        </w:rPr>
        <w:t xml:space="preserve"> </w:t>
      </w:r>
      <w:r w:rsidRPr="00087A72">
        <w:rPr>
          <w:rFonts w:eastAsia="Calibri" w:cs="Arial"/>
          <w:b/>
          <w:sz w:val="28"/>
          <w:szCs w:val="28"/>
          <w:u w:val="single"/>
        </w:rPr>
        <w:t>intersect</w:t>
      </w:r>
      <w:r w:rsidRPr="00087A72">
        <w:rPr>
          <w:rFonts w:cs="Arial"/>
          <w:b/>
          <w:sz w:val="28"/>
          <w:szCs w:val="28"/>
          <w:u w:val="single"/>
        </w:rPr>
        <w:t xml:space="preserve"> </w:t>
      </w:r>
      <w:r w:rsidRPr="00087A72">
        <w:rPr>
          <w:rFonts w:eastAsia="Calibri" w:cs="Arial"/>
          <w:b/>
          <w:sz w:val="28"/>
          <w:szCs w:val="28"/>
          <w:u w:val="single"/>
        </w:rPr>
        <w:t>because</w:t>
      </w:r>
      <w:r w:rsidRPr="00087A72">
        <w:rPr>
          <w:rFonts w:cs="Arial"/>
          <w:b/>
          <w:sz w:val="28"/>
          <w:szCs w:val="28"/>
          <w:u w:val="single"/>
        </w:rPr>
        <w:t xml:space="preserve"> </w:t>
      </w:r>
      <w:r w:rsidRPr="00087A72">
        <w:rPr>
          <w:rFonts w:eastAsia="Calibri" w:cs="Arial"/>
          <w:b/>
          <w:sz w:val="28"/>
          <w:szCs w:val="28"/>
          <w:u w:val="single"/>
        </w:rPr>
        <w:t>Native</w:t>
      </w:r>
      <w:r w:rsidRPr="00087A72">
        <w:rPr>
          <w:rFonts w:cs="Arial"/>
          <w:b/>
          <w:sz w:val="28"/>
          <w:szCs w:val="28"/>
          <w:u w:val="single"/>
        </w:rPr>
        <w:t xml:space="preserve"> </w:t>
      </w:r>
      <w:r w:rsidRPr="00087A72">
        <w:rPr>
          <w:rFonts w:eastAsia="Calibri" w:cs="Arial"/>
          <w:b/>
          <w:sz w:val="28"/>
          <w:szCs w:val="28"/>
          <w:u w:val="single"/>
        </w:rPr>
        <w:t>studies</w:t>
      </w:r>
      <w:r w:rsidRPr="00087A72">
        <w:rPr>
          <w:rFonts w:cs="Arial"/>
          <w:b/>
          <w:sz w:val="28"/>
          <w:szCs w:val="28"/>
          <w:u w:val="single"/>
        </w:rPr>
        <w:t xml:space="preserve"> </w:t>
      </w:r>
      <w:r w:rsidRPr="00087A72">
        <w:rPr>
          <w:rFonts w:eastAsia="Calibri" w:cs="Arial"/>
          <w:b/>
          <w:sz w:val="28"/>
          <w:szCs w:val="28"/>
          <w:u w:val="single"/>
        </w:rPr>
        <w:t>is</w:t>
      </w:r>
      <w:r w:rsidRPr="00087A72">
        <w:rPr>
          <w:rFonts w:cs="Arial"/>
          <w:b/>
          <w:sz w:val="28"/>
          <w:szCs w:val="28"/>
          <w:u w:val="single"/>
        </w:rPr>
        <w:t xml:space="preserve"> </w:t>
      </w:r>
      <w:r w:rsidRPr="00087A72">
        <w:rPr>
          <w:rFonts w:eastAsia="Calibri" w:cs="Arial"/>
          <w:b/>
          <w:sz w:val="28"/>
          <w:szCs w:val="28"/>
          <w:u w:val="single"/>
        </w:rPr>
        <w:t>generally</w:t>
      </w:r>
      <w:r w:rsidRPr="00087A72">
        <w:rPr>
          <w:rFonts w:cs="Arial"/>
          <w:b/>
          <w:sz w:val="28"/>
          <w:szCs w:val="28"/>
          <w:u w:val="single"/>
        </w:rPr>
        <w:t xml:space="preserve"> </w:t>
      </w:r>
      <w:r w:rsidRPr="00087A72">
        <w:rPr>
          <w:rFonts w:eastAsia="Calibri" w:cs="Arial"/>
          <w:b/>
          <w:sz w:val="28"/>
          <w:szCs w:val="28"/>
          <w:u w:val="single"/>
        </w:rPr>
        <w:t>ethnographically</w:t>
      </w:r>
      <w:r w:rsidRPr="00087A72">
        <w:rPr>
          <w:rFonts w:cs="Arial"/>
          <w:b/>
          <w:sz w:val="28"/>
          <w:szCs w:val="28"/>
          <w:u w:val="single"/>
        </w:rPr>
        <w:t xml:space="preserve"> </w:t>
      </w:r>
      <w:r w:rsidRPr="00087A72">
        <w:rPr>
          <w:rFonts w:eastAsia="Calibri" w:cs="Arial"/>
          <w:b/>
          <w:sz w:val="28"/>
          <w:szCs w:val="28"/>
          <w:u w:val="single"/>
        </w:rPr>
        <w:t>entrapped</w:t>
      </w:r>
      <w:r w:rsidRPr="00087A72">
        <w:rPr>
          <w:rFonts w:cs="Arial"/>
          <w:b/>
          <w:sz w:val="28"/>
          <w:szCs w:val="28"/>
          <w:u w:val="single"/>
        </w:rPr>
        <w:t xml:space="preserve"> </w:t>
      </w:r>
      <w:r w:rsidRPr="00087A72">
        <w:rPr>
          <w:rFonts w:eastAsia="Calibri" w:cs="Arial"/>
          <w:b/>
          <w:sz w:val="28"/>
          <w:szCs w:val="28"/>
          <w:u w:val="single"/>
        </w:rPr>
        <w:t>within</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project</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studying</w:t>
      </w:r>
      <w:r w:rsidRPr="00087A72">
        <w:rPr>
          <w:rFonts w:cs="Arial"/>
          <w:b/>
          <w:sz w:val="28"/>
          <w:szCs w:val="28"/>
          <w:u w:val="single"/>
        </w:rPr>
        <w:t xml:space="preserve"> </w:t>
      </w:r>
      <w:r w:rsidRPr="00087A72">
        <w:rPr>
          <w:rFonts w:eastAsia="Calibri" w:cs="Arial"/>
          <w:b/>
          <w:sz w:val="28"/>
          <w:szCs w:val="28"/>
          <w:u w:val="single"/>
        </w:rPr>
        <w:t>Natives</w:t>
      </w:r>
      <w:r w:rsidRPr="00087A72">
        <w:rPr>
          <w:rFonts w:cs="Arial"/>
          <w:b/>
          <w:sz w:val="28"/>
          <w:szCs w:val="28"/>
          <w:u w:val="single"/>
        </w:rPr>
        <w:t>.</w:t>
      </w:r>
      <w:r w:rsidRPr="00087A72">
        <w:rPr>
          <w:rFonts w:cs="Arial"/>
          <w:sz w:val="16"/>
          <w:szCs w:val="28"/>
        </w:rPr>
        <w:t xml:space="preserve"> </w:t>
      </w:r>
      <w:r w:rsidRPr="00087A72">
        <w:rPr>
          <w:rFonts w:eastAsia="Calibri" w:cs="Arial"/>
          <w:sz w:val="16"/>
          <w:szCs w:val="28"/>
        </w:rPr>
        <w:t>In</w:t>
      </w:r>
      <w:r w:rsidRPr="00087A72">
        <w:rPr>
          <w:rFonts w:cs="Arial"/>
          <w:sz w:val="16"/>
          <w:szCs w:val="28"/>
        </w:rPr>
        <w:t xml:space="preserve"> </w:t>
      </w:r>
      <w:r w:rsidRPr="00087A72">
        <w:rPr>
          <w:rFonts w:eastAsia="Calibri" w:cs="Arial"/>
          <w:sz w:val="16"/>
          <w:szCs w:val="28"/>
        </w:rPr>
        <w:t>her</w:t>
      </w:r>
      <w:r w:rsidRPr="00087A72">
        <w:rPr>
          <w:rFonts w:cs="Arial"/>
          <w:sz w:val="16"/>
          <w:szCs w:val="28"/>
        </w:rPr>
        <w:t xml:space="preserve"> </w:t>
      </w:r>
      <w:r w:rsidRPr="00087A72">
        <w:rPr>
          <w:rFonts w:eastAsia="Calibri" w:cs="Arial"/>
          <w:sz w:val="16"/>
          <w:szCs w:val="28"/>
        </w:rPr>
        <w:t>groundbreaking</w:t>
      </w:r>
      <w:r w:rsidRPr="00087A72">
        <w:rPr>
          <w:rFonts w:cs="Arial"/>
          <w:sz w:val="16"/>
          <w:szCs w:val="28"/>
        </w:rPr>
        <w:t xml:space="preserve"> </w:t>
      </w:r>
      <w:r w:rsidRPr="00087A72">
        <w:rPr>
          <w:rFonts w:eastAsia="Calibri" w:cs="Arial"/>
          <w:sz w:val="16"/>
          <w:szCs w:val="28"/>
        </w:rPr>
        <w:t>work</w:t>
      </w:r>
      <w:r w:rsidRPr="00087A72">
        <w:rPr>
          <w:rFonts w:cs="Arial"/>
          <w:sz w:val="16"/>
          <w:szCs w:val="28"/>
        </w:rPr>
        <w:t xml:space="preserve"> </w:t>
      </w:r>
      <w:r w:rsidRPr="00087A72">
        <w:rPr>
          <w:rFonts w:eastAsia="Calibri" w:cs="Arial"/>
          <w:sz w:val="16"/>
          <w:szCs w:val="28"/>
        </w:rPr>
        <w:t>Toward</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Global</w:t>
      </w:r>
      <w:r w:rsidRPr="00087A72">
        <w:rPr>
          <w:rFonts w:cs="Arial"/>
          <w:sz w:val="16"/>
          <w:szCs w:val="28"/>
        </w:rPr>
        <w:t xml:space="preserve"> </w:t>
      </w:r>
      <w:r w:rsidRPr="00087A72">
        <w:rPr>
          <w:rFonts w:eastAsia="Calibri" w:cs="Arial"/>
          <w:sz w:val="16"/>
          <w:szCs w:val="28"/>
        </w:rPr>
        <w:t>Idea</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Race</w:t>
      </w:r>
      <w:r w:rsidRPr="00087A72">
        <w:rPr>
          <w:rFonts w:cs="Arial"/>
          <w:sz w:val="16"/>
          <w:szCs w:val="28"/>
        </w:rPr>
        <w:t xml:space="preserve">, </w:t>
      </w:r>
      <w:r w:rsidRPr="00087A72">
        <w:rPr>
          <w:rFonts w:eastAsia="Calibri" w:cs="Arial"/>
          <w:sz w:val="16"/>
          <w:szCs w:val="28"/>
        </w:rPr>
        <w:t>Denise</w:t>
      </w:r>
      <w:r w:rsidRPr="00087A72">
        <w:rPr>
          <w:rFonts w:cs="Arial"/>
          <w:sz w:val="16"/>
          <w:szCs w:val="28"/>
        </w:rPr>
        <w:t xml:space="preserve"> </w:t>
      </w:r>
      <w:r w:rsidRPr="00087A72">
        <w:rPr>
          <w:rFonts w:eastAsia="Calibri" w:cs="Arial"/>
          <w:sz w:val="16"/>
          <w:szCs w:val="28"/>
        </w:rPr>
        <w:t>Ferreira</w:t>
      </w:r>
      <w:r w:rsidRPr="00087A72">
        <w:rPr>
          <w:rFonts w:cs="Arial"/>
          <w:sz w:val="16"/>
          <w:szCs w:val="28"/>
        </w:rPr>
        <w:t xml:space="preserve"> </w:t>
      </w:r>
      <w:r w:rsidRPr="00087A72">
        <w:rPr>
          <w:rFonts w:eastAsia="Calibri" w:cs="Arial"/>
          <w:sz w:val="16"/>
          <w:szCs w:val="28"/>
        </w:rPr>
        <w:t>da</w:t>
      </w:r>
      <w:r w:rsidRPr="00087A72">
        <w:rPr>
          <w:rFonts w:cs="Arial"/>
          <w:sz w:val="16"/>
          <w:szCs w:val="28"/>
        </w:rPr>
        <w:t xml:space="preserve"> </w:t>
      </w:r>
      <w:r w:rsidRPr="00087A72">
        <w:rPr>
          <w:rFonts w:eastAsia="Calibri" w:cs="Arial"/>
          <w:sz w:val="16"/>
          <w:szCs w:val="28"/>
        </w:rPr>
        <w:t>Silva</w:t>
      </w:r>
      <w:r w:rsidRPr="00087A72">
        <w:rPr>
          <w:rFonts w:cs="Arial"/>
          <w:sz w:val="16"/>
          <w:szCs w:val="28"/>
        </w:rPr>
        <w:t xml:space="preserve"> </w:t>
      </w:r>
      <w:r w:rsidRPr="00087A72">
        <w:rPr>
          <w:rFonts w:eastAsia="Calibri" w:cs="Arial"/>
          <w:sz w:val="16"/>
          <w:szCs w:val="28"/>
        </w:rPr>
        <w:t>argues</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Western</w:t>
      </w:r>
      <w:r w:rsidRPr="00087A72">
        <w:rPr>
          <w:rFonts w:cs="Arial"/>
          <w:sz w:val="16"/>
          <w:szCs w:val="28"/>
        </w:rPr>
        <w:t xml:space="preserve"> </w:t>
      </w:r>
      <w:r w:rsidRPr="00087A72">
        <w:rPr>
          <w:rFonts w:eastAsia="Calibri" w:cs="Arial"/>
          <w:sz w:val="16"/>
          <w:szCs w:val="28"/>
        </w:rPr>
        <w:t>subject</w:t>
      </w:r>
      <w:r w:rsidRPr="00087A72">
        <w:rPr>
          <w:rFonts w:cs="Arial"/>
          <w:sz w:val="16"/>
          <w:szCs w:val="28"/>
        </w:rPr>
        <w:t xml:space="preserve"> </w:t>
      </w:r>
      <w:r w:rsidRPr="00087A72">
        <w:rPr>
          <w:rFonts w:eastAsia="Calibri" w:cs="Arial"/>
          <w:sz w:val="16"/>
          <w:szCs w:val="28"/>
        </w:rPr>
        <w:t>is</w:t>
      </w:r>
      <w:r w:rsidRPr="00087A72">
        <w:rPr>
          <w:rFonts w:cs="Arial"/>
          <w:sz w:val="16"/>
          <w:szCs w:val="28"/>
        </w:rPr>
        <w:t xml:space="preserve"> </w:t>
      </w:r>
      <w:r w:rsidRPr="00087A72">
        <w:rPr>
          <w:rFonts w:eastAsia="Calibri" w:cs="Arial"/>
          <w:sz w:val="16"/>
          <w:szCs w:val="28"/>
        </w:rPr>
        <w:t>fundamentally</w:t>
      </w:r>
      <w:r w:rsidRPr="00087A72">
        <w:rPr>
          <w:rFonts w:cs="Arial"/>
          <w:sz w:val="16"/>
          <w:szCs w:val="28"/>
        </w:rPr>
        <w:t xml:space="preserve"> </w:t>
      </w:r>
      <w:r w:rsidRPr="00087A72">
        <w:rPr>
          <w:rFonts w:eastAsia="Calibri" w:cs="Arial"/>
          <w:sz w:val="16"/>
          <w:szCs w:val="28"/>
        </w:rPr>
        <w:t>constituted</w:t>
      </w:r>
      <w:r w:rsidRPr="00087A72">
        <w:rPr>
          <w:rFonts w:cs="Arial"/>
          <w:sz w:val="16"/>
          <w:szCs w:val="28"/>
        </w:rPr>
        <w:t xml:space="preserve"> </w:t>
      </w:r>
      <w:r w:rsidRPr="00087A72">
        <w:rPr>
          <w:rFonts w:eastAsia="Calibri" w:cs="Arial"/>
          <w:sz w:val="16"/>
          <w:szCs w:val="28"/>
        </w:rPr>
        <w:t>through</w:t>
      </w:r>
      <w:r w:rsidRPr="00087A72">
        <w:rPr>
          <w:rFonts w:cs="Arial"/>
          <w:sz w:val="16"/>
          <w:szCs w:val="28"/>
        </w:rPr>
        <w:t xml:space="preserve"> </w:t>
      </w:r>
      <w:r w:rsidRPr="00087A72">
        <w:rPr>
          <w:rFonts w:eastAsia="Calibri" w:cs="Arial"/>
          <w:sz w:val="16"/>
          <w:szCs w:val="28"/>
        </w:rPr>
        <w:t>race</w:t>
      </w:r>
      <w:r w:rsidRPr="00087A72">
        <w:rPr>
          <w:rFonts w:cs="Arial"/>
          <w:sz w:val="16"/>
          <w:szCs w:val="28"/>
        </w:rPr>
        <w:t xml:space="preserve">.4 </w:t>
      </w:r>
      <w:r w:rsidRPr="00087A72">
        <w:rPr>
          <w:rFonts w:eastAsia="Calibri" w:cs="Arial"/>
          <w:sz w:val="16"/>
          <w:szCs w:val="28"/>
        </w:rPr>
        <w:t>Through</w:t>
      </w:r>
      <w:r w:rsidRPr="00087A72">
        <w:rPr>
          <w:rFonts w:cs="Arial"/>
          <w:sz w:val="16"/>
          <w:szCs w:val="28"/>
        </w:rPr>
        <w:t xml:space="preserve"> </w:t>
      </w:r>
      <w:r w:rsidRPr="00087A72">
        <w:rPr>
          <w:rFonts w:eastAsia="Calibri" w:cs="Arial"/>
          <w:sz w:val="16"/>
          <w:szCs w:val="28"/>
        </w:rPr>
        <w:t>her</w:t>
      </w:r>
      <w:r w:rsidRPr="00087A72">
        <w:rPr>
          <w:rFonts w:cs="Arial"/>
          <w:sz w:val="16"/>
          <w:szCs w:val="28"/>
        </w:rPr>
        <w:t xml:space="preserve"> </w:t>
      </w:r>
      <w:r w:rsidRPr="00087A72">
        <w:rPr>
          <w:rFonts w:eastAsia="Calibri" w:cs="Arial"/>
          <w:sz w:val="16"/>
          <w:szCs w:val="28"/>
        </w:rPr>
        <w:t>exhaustive</w:t>
      </w:r>
      <w:r w:rsidRPr="00087A72">
        <w:rPr>
          <w:rFonts w:cs="Arial"/>
          <w:sz w:val="16"/>
          <w:szCs w:val="28"/>
        </w:rPr>
        <w:t xml:space="preserve"> </w:t>
      </w:r>
      <w:r w:rsidRPr="00087A72">
        <w:rPr>
          <w:rFonts w:eastAsia="Calibri" w:cs="Arial"/>
          <w:sz w:val="16"/>
          <w:szCs w:val="28"/>
        </w:rPr>
        <w:t>account</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Enlightenment</w:t>
      </w:r>
      <w:r w:rsidRPr="00087A72">
        <w:rPr>
          <w:rFonts w:cs="Arial"/>
          <w:sz w:val="16"/>
          <w:szCs w:val="28"/>
        </w:rPr>
        <w:t xml:space="preserve"> </w:t>
      </w:r>
      <w:r w:rsidRPr="00087A72">
        <w:rPr>
          <w:rFonts w:eastAsia="Calibri" w:cs="Arial"/>
          <w:sz w:val="16"/>
          <w:szCs w:val="28"/>
        </w:rPr>
        <w:t>theory</w:t>
      </w:r>
      <w:r w:rsidRPr="00087A72">
        <w:rPr>
          <w:rFonts w:cs="Arial"/>
          <w:sz w:val="16"/>
          <w:szCs w:val="28"/>
        </w:rPr>
        <w:t xml:space="preserve">, </w:t>
      </w:r>
      <w:r w:rsidRPr="00087A72">
        <w:rPr>
          <w:rFonts w:eastAsia="Calibri" w:cs="Arial"/>
          <w:sz w:val="16"/>
          <w:szCs w:val="28"/>
        </w:rPr>
        <w:t>Silva</w:t>
      </w:r>
      <w:r w:rsidRPr="00087A72">
        <w:rPr>
          <w:rFonts w:cs="Arial"/>
          <w:sz w:val="16"/>
          <w:szCs w:val="28"/>
        </w:rPr>
        <w:t xml:space="preserve"> </w:t>
      </w:r>
      <w:r w:rsidRPr="00087A72">
        <w:rPr>
          <w:rFonts w:eastAsia="Calibri" w:cs="Arial"/>
          <w:sz w:val="16"/>
          <w:szCs w:val="28"/>
        </w:rPr>
        <w:t>demonstrates</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post</w:t>
      </w:r>
      <w:r w:rsidRPr="00087A72">
        <w:rPr>
          <w:rFonts w:cs="Arial"/>
          <w:sz w:val="16"/>
          <w:szCs w:val="28"/>
        </w:rPr>
        <w:t>-</w:t>
      </w:r>
      <w:r w:rsidRPr="00087A72">
        <w:rPr>
          <w:rFonts w:eastAsia="Calibri" w:cs="Arial"/>
          <w:sz w:val="16"/>
          <w:szCs w:val="28"/>
        </w:rPr>
        <w:t>Enlightenment</w:t>
      </w:r>
      <w:r w:rsidRPr="00087A72">
        <w:rPr>
          <w:rFonts w:cs="Arial"/>
          <w:sz w:val="16"/>
          <w:szCs w:val="28"/>
        </w:rPr>
        <w:t xml:space="preserve"> </w:t>
      </w:r>
      <w:r w:rsidRPr="00087A72">
        <w:rPr>
          <w:rFonts w:eastAsia="Calibri" w:cs="Arial"/>
          <w:sz w:val="16"/>
          <w:szCs w:val="28"/>
        </w:rPr>
        <w:t>version</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subject</w:t>
      </w:r>
      <w:r w:rsidRPr="00087A72">
        <w:rPr>
          <w:rFonts w:cs="Arial"/>
          <w:sz w:val="16"/>
          <w:szCs w:val="28"/>
        </w:rPr>
        <w:t xml:space="preserve">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self</w:t>
      </w:r>
      <w:r w:rsidRPr="00087A72">
        <w:rPr>
          <w:rFonts w:cs="Arial"/>
          <w:sz w:val="16"/>
          <w:szCs w:val="28"/>
        </w:rPr>
        <w:t>-</w:t>
      </w:r>
      <w:r w:rsidRPr="00087A72">
        <w:rPr>
          <w:rFonts w:eastAsia="Calibri" w:cs="Arial"/>
          <w:sz w:val="16"/>
          <w:szCs w:val="28"/>
        </w:rPr>
        <w:t>determined</w:t>
      </w:r>
      <w:r w:rsidRPr="00087A72">
        <w:rPr>
          <w:rFonts w:cs="Arial"/>
          <w:sz w:val="16"/>
          <w:szCs w:val="28"/>
        </w:rPr>
        <w:t xml:space="preserve"> </w:t>
      </w:r>
      <w:r w:rsidRPr="00087A72">
        <w:rPr>
          <w:rFonts w:eastAsia="Calibri" w:cs="Arial"/>
          <w:sz w:val="16"/>
          <w:szCs w:val="28"/>
        </w:rPr>
        <w:t>exists</w:t>
      </w:r>
      <w:r w:rsidRPr="00087A72">
        <w:rPr>
          <w:rFonts w:cs="Arial"/>
          <w:sz w:val="16"/>
          <w:szCs w:val="28"/>
        </w:rPr>
        <w:t xml:space="preserve"> </w:t>
      </w:r>
      <w:r w:rsidRPr="00087A72">
        <w:rPr>
          <w:rFonts w:eastAsia="Calibri" w:cs="Arial"/>
          <w:sz w:val="16"/>
          <w:szCs w:val="28"/>
        </w:rPr>
        <w:t>by</w:t>
      </w:r>
      <w:r w:rsidRPr="00087A72">
        <w:rPr>
          <w:rFonts w:cs="Arial"/>
          <w:sz w:val="16"/>
          <w:szCs w:val="28"/>
        </w:rPr>
        <w:t xml:space="preserve"> </w:t>
      </w:r>
      <w:r w:rsidRPr="00087A72">
        <w:rPr>
          <w:rFonts w:eastAsia="Calibri" w:cs="Arial"/>
          <w:sz w:val="16"/>
          <w:szCs w:val="28"/>
        </w:rPr>
        <w:t>situating</w:t>
      </w:r>
      <w:r w:rsidRPr="00087A72">
        <w:rPr>
          <w:rFonts w:cs="Arial"/>
          <w:sz w:val="16"/>
          <w:szCs w:val="28"/>
        </w:rPr>
        <w:t xml:space="preserve"> </w:t>
      </w:r>
      <w:r w:rsidRPr="00087A72">
        <w:rPr>
          <w:rFonts w:eastAsia="Calibri" w:cs="Arial"/>
          <w:sz w:val="16"/>
          <w:szCs w:val="28"/>
        </w:rPr>
        <w:t>itself</w:t>
      </w:r>
      <w:r w:rsidRPr="00087A72">
        <w:rPr>
          <w:rFonts w:cs="Arial"/>
          <w:sz w:val="16"/>
          <w:szCs w:val="28"/>
        </w:rPr>
        <w:t xml:space="preserve"> </w:t>
      </w:r>
      <w:r w:rsidRPr="00087A72">
        <w:rPr>
          <w:rFonts w:eastAsia="Calibri" w:cs="Arial"/>
          <w:sz w:val="16"/>
          <w:szCs w:val="28"/>
        </w:rPr>
        <w:t>against</w:t>
      </w:r>
      <w:r w:rsidRPr="00087A72">
        <w:rPr>
          <w:rFonts w:cs="Arial"/>
          <w:sz w:val="16"/>
          <w:szCs w:val="28"/>
        </w:rPr>
        <w:t xml:space="preserve"> “</w:t>
      </w:r>
      <w:r w:rsidRPr="00087A72">
        <w:rPr>
          <w:rFonts w:eastAsia="Calibri" w:cs="Arial"/>
          <w:sz w:val="16"/>
          <w:szCs w:val="28"/>
        </w:rPr>
        <w:t>affectable</w:t>
      </w:r>
      <w:r w:rsidRPr="00087A72">
        <w:rPr>
          <w:rFonts w:cs="Arial"/>
          <w:sz w:val="16"/>
          <w:szCs w:val="28"/>
        </w:rPr>
        <w:t xml:space="preserve"> </w:t>
      </w:r>
      <w:r w:rsidRPr="00087A72">
        <w:rPr>
          <w:rFonts w:eastAsia="Calibri" w:cs="Arial"/>
          <w:sz w:val="16"/>
          <w:szCs w:val="28"/>
        </w:rPr>
        <w:t>others</w:t>
      </w:r>
      <w:r w:rsidRPr="00087A72">
        <w:rPr>
          <w:rFonts w:cs="Arial"/>
          <w:sz w:val="16"/>
          <w:szCs w:val="28"/>
        </w:rPr>
        <w:t xml:space="preserve">” </w:t>
      </w:r>
      <w:r w:rsidRPr="00087A72">
        <w:rPr>
          <w:rFonts w:eastAsia="Calibri" w:cs="Arial"/>
          <w:sz w:val="16"/>
          <w:szCs w:val="28"/>
        </w:rPr>
        <w:t>who</w:t>
      </w:r>
      <w:r w:rsidRPr="00087A72">
        <w:rPr>
          <w:rFonts w:cs="Arial"/>
          <w:sz w:val="16"/>
          <w:szCs w:val="28"/>
        </w:rPr>
        <w:t xml:space="preserve"> </w:t>
      </w:r>
      <w:r w:rsidRPr="00087A72">
        <w:rPr>
          <w:rFonts w:eastAsia="Calibri" w:cs="Arial"/>
          <w:sz w:val="16"/>
          <w:szCs w:val="28"/>
        </w:rPr>
        <w:t>are</w:t>
      </w:r>
      <w:r w:rsidRPr="00087A72">
        <w:rPr>
          <w:rFonts w:cs="Arial"/>
          <w:sz w:val="16"/>
          <w:szCs w:val="28"/>
        </w:rPr>
        <w:t xml:space="preserve"> </w:t>
      </w:r>
      <w:r w:rsidRPr="00087A72">
        <w:rPr>
          <w:rFonts w:eastAsia="Calibri" w:cs="Arial"/>
          <w:sz w:val="16"/>
          <w:szCs w:val="28"/>
        </w:rPr>
        <w:t>subject</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natural</w:t>
      </w:r>
      <w:r w:rsidRPr="00087A72">
        <w:rPr>
          <w:rFonts w:cs="Arial"/>
          <w:sz w:val="16"/>
          <w:szCs w:val="28"/>
        </w:rPr>
        <w:t xml:space="preserve"> </w:t>
      </w:r>
      <w:r w:rsidRPr="00087A72">
        <w:rPr>
          <w:rFonts w:eastAsia="Calibri" w:cs="Arial"/>
          <w:sz w:val="16"/>
          <w:szCs w:val="28"/>
        </w:rPr>
        <w:t>conditions</w:t>
      </w:r>
      <w:r w:rsidRPr="00087A72">
        <w:rPr>
          <w:rFonts w:cs="Arial"/>
          <w:sz w:val="16"/>
          <w:szCs w:val="28"/>
        </w:rPr>
        <w:t xml:space="preserve">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well</w:t>
      </w:r>
      <w:r w:rsidRPr="00087A72">
        <w:rPr>
          <w:rFonts w:cs="Arial"/>
          <w:sz w:val="16"/>
          <w:szCs w:val="28"/>
        </w:rPr>
        <w:t xml:space="preserve">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self</w:t>
      </w:r>
      <w:r w:rsidRPr="00087A72">
        <w:rPr>
          <w:rFonts w:cs="Arial"/>
          <w:sz w:val="16"/>
          <w:szCs w:val="28"/>
        </w:rPr>
        <w:t>-</w:t>
      </w:r>
      <w:r w:rsidRPr="00087A72">
        <w:rPr>
          <w:rFonts w:eastAsia="Calibri" w:cs="Arial"/>
          <w:sz w:val="16"/>
          <w:szCs w:val="28"/>
        </w:rPr>
        <w:t>determined</w:t>
      </w:r>
      <w:r w:rsidRPr="00087A72">
        <w:rPr>
          <w:rFonts w:cs="Arial"/>
          <w:sz w:val="16"/>
          <w:szCs w:val="28"/>
        </w:rPr>
        <w:t xml:space="preserve"> </w:t>
      </w:r>
      <w:r w:rsidRPr="00087A72">
        <w:rPr>
          <w:rFonts w:eastAsia="Calibri" w:cs="Arial"/>
          <w:sz w:val="16"/>
          <w:szCs w:val="28"/>
        </w:rPr>
        <w:t>power</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Western</w:t>
      </w:r>
      <w:r w:rsidRPr="00087A72">
        <w:rPr>
          <w:rFonts w:cs="Arial"/>
          <w:sz w:val="16"/>
          <w:szCs w:val="28"/>
        </w:rPr>
        <w:t xml:space="preserve"> </w:t>
      </w:r>
      <w:r w:rsidRPr="00087A72">
        <w:rPr>
          <w:rFonts w:eastAsia="Calibri" w:cs="Arial"/>
          <w:sz w:val="16"/>
          <w:szCs w:val="28"/>
        </w:rPr>
        <w:t>subject</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central</w:t>
      </w:r>
      <w:r w:rsidRPr="00087A72">
        <w:rPr>
          <w:rFonts w:cs="Arial"/>
          <w:sz w:val="16"/>
          <w:szCs w:val="28"/>
        </w:rPr>
        <w:t xml:space="preserve"> </w:t>
      </w:r>
      <w:r w:rsidRPr="00087A72">
        <w:rPr>
          <w:rFonts w:eastAsia="Calibri" w:cs="Arial"/>
          <w:sz w:val="16"/>
          <w:szCs w:val="28"/>
        </w:rPr>
        <w:t>anxiety</w:t>
      </w:r>
      <w:r w:rsidRPr="00087A72">
        <w:rPr>
          <w:rFonts w:cs="Arial"/>
          <w:sz w:val="16"/>
          <w:szCs w:val="28"/>
        </w:rPr>
        <w:t xml:space="preserve"> </w:t>
      </w:r>
      <w:r w:rsidRPr="00087A72">
        <w:rPr>
          <w:rFonts w:eastAsia="Calibri" w:cs="Arial"/>
          <w:sz w:val="16"/>
          <w:szCs w:val="28"/>
        </w:rPr>
        <w:t>with</w:t>
      </w:r>
      <w:r w:rsidRPr="00087A72">
        <w:rPr>
          <w:rFonts w:cs="Arial"/>
          <w:sz w:val="16"/>
          <w:szCs w:val="28"/>
        </w:rPr>
        <w:t xml:space="preserve"> </w:t>
      </w:r>
      <w:r w:rsidRPr="00087A72">
        <w:rPr>
          <w:rFonts w:eastAsia="Calibri" w:cs="Arial"/>
          <w:sz w:val="16"/>
          <w:szCs w:val="28"/>
        </w:rPr>
        <w:t>which</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Western</w:t>
      </w:r>
      <w:r w:rsidRPr="00087A72">
        <w:rPr>
          <w:rFonts w:cs="Arial"/>
          <w:sz w:val="16"/>
          <w:szCs w:val="28"/>
        </w:rPr>
        <w:t xml:space="preserve"> </w:t>
      </w:r>
      <w:r w:rsidRPr="00087A72">
        <w:rPr>
          <w:rFonts w:eastAsia="Calibri" w:cs="Arial"/>
          <w:sz w:val="16"/>
          <w:szCs w:val="28"/>
        </w:rPr>
        <w:t>subject</w:t>
      </w:r>
      <w:r w:rsidRPr="00087A72">
        <w:rPr>
          <w:rFonts w:cs="Arial"/>
          <w:sz w:val="16"/>
          <w:szCs w:val="28"/>
        </w:rPr>
        <w:t xml:space="preserve"> </w:t>
      </w:r>
      <w:r w:rsidRPr="00087A72">
        <w:rPr>
          <w:rFonts w:eastAsia="Calibri" w:cs="Arial"/>
          <w:sz w:val="16"/>
          <w:szCs w:val="28"/>
        </w:rPr>
        <w:t>struggles</w:t>
      </w:r>
      <w:r w:rsidRPr="00087A72">
        <w:rPr>
          <w:rFonts w:cs="Arial"/>
          <w:sz w:val="16"/>
          <w:szCs w:val="28"/>
        </w:rPr>
        <w:t xml:space="preserve"> </w:t>
      </w:r>
      <w:r w:rsidRPr="00087A72">
        <w:rPr>
          <w:rFonts w:eastAsia="Calibri" w:cs="Arial"/>
          <w:sz w:val="16"/>
          <w:szCs w:val="28"/>
        </w:rPr>
        <w:t>is</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it</w:t>
      </w:r>
      <w:r w:rsidRPr="00087A72">
        <w:rPr>
          <w:rFonts w:cs="Arial"/>
          <w:sz w:val="16"/>
          <w:szCs w:val="28"/>
        </w:rPr>
        <w:t xml:space="preserve"> </w:t>
      </w:r>
      <w:r w:rsidRPr="00087A72">
        <w:rPr>
          <w:rFonts w:eastAsia="Calibri" w:cs="Arial"/>
          <w:sz w:val="16"/>
          <w:szCs w:val="28"/>
        </w:rPr>
        <w:t>is</w:t>
      </w:r>
      <w:r w:rsidRPr="00087A72">
        <w:rPr>
          <w:rFonts w:cs="Arial"/>
          <w:sz w:val="16"/>
          <w:szCs w:val="28"/>
        </w:rPr>
        <w:t xml:space="preserve">, </w:t>
      </w:r>
      <w:r w:rsidRPr="00087A72">
        <w:rPr>
          <w:rFonts w:eastAsia="Calibri" w:cs="Arial"/>
          <w:sz w:val="16"/>
          <w:szCs w:val="28"/>
        </w:rPr>
        <w:t>in</w:t>
      </w:r>
      <w:r w:rsidRPr="00087A72">
        <w:rPr>
          <w:rFonts w:cs="Arial"/>
          <w:sz w:val="16"/>
          <w:szCs w:val="28"/>
        </w:rPr>
        <w:t xml:space="preserve"> </w:t>
      </w:r>
      <w:r w:rsidRPr="00087A72">
        <w:rPr>
          <w:rFonts w:eastAsia="Calibri" w:cs="Arial"/>
          <w:sz w:val="16"/>
          <w:szCs w:val="28"/>
        </w:rPr>
        <w:t>fact</w:t>
      </w:r>
      <w:r w:rsidRPr="00087A72">
        <w:rPr>
          <w:rFonts w:cs="Arial"/>
          <w:sz w:val="16"/>
          <w:szCs w:val="28"/>
        </w:rPr>
        <w:t xml:space="preserve">, </w:t>
      </w:r>
      <w:r w:rsidRPr="00087A72">
        <w:rPr>
          <w:rFonts w:eastAsia="Calibri" w:cs="Arial"/>
          <w:sz w:val="16"/>
          <w:szCs w:val="28"/>
        </w:rPr>
        <w:t>not</w:t>
      </w:r>
      <w:r w:rsidRPr="00087A72">
        <w:rPr>
          <w:rFonts w:cs="Arial"/>
          <w:sz w:val="16"/>
          <w:szCs w:val="28"/>
        </w:rPr>
        <w:t xml:space="preserve"> </w:t>
      </w:r>
      <w:r w:rsidRPr="00087A72">
        <w:rPr>
          <w:rFonts w:eastAsia="Calibri" w:cs="Arial"/>
          <w:sz w:val="16"/>
          <w:szCs w:val="28"/>
        </w:rPr>
        <w:t>self</w:t>
      </w:r>
      <w:r w:rsidRPr="00087A72">
        <w:rPr>
          <w:rFonts w:cs="Arial"/>
          <w:sz w:val="16"/>
          <w:szCs w:val="28"/>
        </w:rPr>
        <w:t>-</w:t>
      </w:r>
      <w:r w:rsidRPr="00087A72">
        <w:rPr>
          <w:rFonts w:eastAsia="Calibri" w:cs="Arial"/>
          <w:sz w:val="16"/>
          <w:szCs w:val="28"/>
        </w:rPr>
        <w:t>determining</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Western</w:t>
      </w:r>
      <w:r w:rsidRPr="00087A72">
        <w:rPr>
          <w:rFonts w:cs="Arial"/>
          <w:sz w:val="16"/>
          <w:szCs w:val="28"/>
        </w:rPr>
        <w:t xml:space="preserve"> </w:t>
      </w:r>
      <w:r w:rsidRPr="00087A72">
        <w:rPr>
          <w:rFonts w:eastAsia="Calibri" w:cs="Arial"/>
          <w:sz w:val="16"/>
          <w:szCs w:val="28"/>
        </w:rPr>
        <w:t>subject</w:t>
      </w:r>
      <w:r w:rsidRPr="00087A72">
        <w:rPr>
          <w:rFonts w:cs="Arial"/>
          <w:sz w:val="16"/>
          <w:szCs w:val="28"/>
        </w:rPr>
        <w:t xml:space="preserve"> </w:t>
      </w:r>
      <w:r w:rsidRPr="00087A72">
        <w:rPr>
          <w:rFonts w:eastAsia="Calibri" w:cs="Arial"/>
          <w:sz w:val="16"/>
          <w:szCs w:val="28"/>
        </w:rPr>
        <w:t>differentiates</w:t>
      </w:r>
      <w:r w:rsidRPr="00087A72">
        <w:rPr>
          <w:rFonts w:cs="Arial"/>
          <w:sz w:val="16"/>
          <w:szCs w:val="28"/>
        </w:rPr>
        <w:t xml:space="preserve"> </w:t>
      </w:r>
      <w:r w:rsidRPr="00087A72">
        <w:rPr>
          <w:rFonts w:eastAsia="Calibri" w:cs="Arial"/>
          <w:sz w:val="16"/>
          <w:szCs w:val="28"/>
        </w:rPr>
        <w:t>itself</w:t>
      </w:r>
      <w:r w:rsidRPr="00087A72">
        <w:rPr>
          <w:rFonts w:cs="Arial"/>
          <w:sz w:val="16"/>
          <w:szCs w:val="28"/>
        </w:rPr>
        <w:t xml:space="preserve"> </w:t>
      </w:r>
      <w:r w:rsidRPr="00087A72">
        <w:rPr>
          <w:rFonts w:eastAsia="Calibri" w:cs="Arial"/>
          <w:sz w:val="16"/>
          <w:szCs w:val="28"/>
        </w:rPr>
        <w:t>from</w:t>
      </w:r>
      <w:r w:rsidRPr="00087A72">
        <w:rPr>
          <w:rFonts w:cs="Arial"/>
          <w:sz w:val="16"/>
          <w:szCs w:val="28"/>
        </w:rPr>
        <w:t xml:space="preserve"> </w:t>
      </w:r>
      <w:r w:rsidRPr="00087A72">
        <w:rPr>
          <w:rFonts w:eastAsia="Calibri" w:cs="Arial"/>
          <w:sz w:val="16"/>
          <w:szCs w:val="28"/>
        </w:rPr>
        <w:t>conditions</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affectability</w:t>
      </w:r>
      <w:r w:rsidRPr="00087A72">
        <w:rPr>
          <w:rFonts w:cs="Arial"/>
          <w:sz w:val="16"/>
          <w:szCs w:val="28"/>
        </w:rPr>
        <w:t xml:space="preserve">” </w:t>
      </w:r>
      <w:r w:rsidRPr="00087A72">
        <w:rPr>
          <w:rFonts w:eastAsia="Calibri" w:cs="Arial"/>
          <w:sz w:val="16"/>
          <w:szCs w:val="28"/>
        </w:rPr>
        <w:t>by</w:t>
      </w:r>
      <w:r w:rsidRPr="00087A72">
        <w:rPr>
          <w:rFonts w:cs="Arial"/>
          <w:sz w:val="16"/>
          <w:szCs w:val="28"/>
        </w:rPr>
        <w:t xml:space="preserve"> </w:t>
      </w:r>
      <w:r w:rsidRPr="00087A72">
        <w:rPr>
          <w:rFonts w:eastAsia="Calibri" w:cs="Arial"/>
          <w:sz w:val="16"/>
          <w:szCs w:val="28"/>
        </w:rPr>
        <w:t>separating</w:t>
      </w:r>
      <w:r w:rsidRPr="00087A72">
        <w:rPr>
          <w:rFonts w:cs="Arial"/>
          <w:sz w:val="16"/>
          <w:szCs w:val="28"/>
        </w:rPr>
        <w:t xml:space="preserve"> </w:t>
      </w:r>
      <w:r w:rsidRPr="00087A72">
        <w:rPr>
          <w:rFonts w:eastAsia="Calibri" w:cs="Arial"/>
          <w:sz w:val="16"/>
          <w:szCs w:val="28"/>
        </w:rPr>
        <w:t>from</w:t>
      </w:r>
      <w:r w:rsidRPr="00087A72">
        <w:rPr>
          <w:rFonts w:cs="Arial"/>
          <w:sz w:val="16"/>
          <w:szCs w:val="28"/>
        </w:rPr>
        <w:t xml:space="preserve"> </w:t>
      </w:r>
      <w:r w:rsidRPr="00087A72">
        <w:rPr>
          <w:rFonts w:eastAsia="Calibri" w:cs="Arial"/>
          <w:sz w:val="16"/>
          <w:szCs w:val="28"/>
        </w:rPr>
        <w:t>affectable</w:t>
      </w:r>
      <w:r w:rsidRPr="00087A72">
        <w:rPr>
          <w:rFonts w:cs="Arial"/>
          <w:sz w:val="16"/>
          <w:szCs w:val="28"/>
        </w:rPr>
        <w:t xml:space="preserve"> </w:t>
      </w:r>
      <w:r w:rsidRPr="00087A72">
        <w:rPr>
          <w:rFonts w:eastAsia="Calibri" w:cs="Arial"/>
          <w:sz w:val="16"/>
          <w:szCs w:val="28"/>
        </w:rPr>
        <w:t>others</w:t>
      </w:r>
      <w:r w:rsidRPr="00087A72">
        <w:rPr>
          <w:rFonts w:cs="Arial"/>
          <w:sz w:val="16"/>
          <w:szCs w:val="28"/>
        </w:rPr>
        <w:t xml:space="preserve"> — </w:t>
      </w:r>
      <w:r w:rsidRPr="00087A72">
        <w:rPr>
          <w:rFonts w:eastAsia="Calibri" w:cs="Arial"/>
          <w:sz w:val="16"/>
          <w:szCs w:val="28"/>
        </w:rPr>
        <w:t>this</w:t>
      </w:r>
      <w:r w:rsidRPr="00087A72">
        <w:rPr>
          <w:rFonts w:cs="Arial"/>
          <w:sz w:val="16"/>
          <w:szCs w:val="28"/>
        </w:rPr>
        <w:t xml:space="preserve"> </w:t>
      </w:r>
      <w:r w:rsidRPr="00087A72">
        <w:rPr>
          <w:rFonts w:eastAsia="Calibri" w:cs="Arial"/>
          <w:sz w:val="16"/>
          <w:szCs w:val="28"/>
        </w:rPr>
        <w:t>separation</w:t>
      </w:r>
      <w:r w:rsidRPr="00087A72">
        <w:rPr>
          <w:rFonts w:cs="Arial"/>
          <w:sz w:val="16"/>
          <w:szCs w:val="28"/>
        </w:rPr>
        <w:t xml:space="preserve"> </w:t>
      </w:r>
      <w:r w:rsidRPr="00087A72">
        <w:rPr>
          <w:rFonts w:eastAsia="Calibri" w:cs="Arial"/>
          <w:sz w:val="16"/>
          <w:szCs w:val="28"/>
        </w:rPr>
        <w:t>being</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fundamentally</w:t>
      </w:r>
      <w:r w:rsidRPr="00087A72">
        <w:rPr>
          <w:rFonts w:cs="Arial"/>
          <w:sz w:val="16"/>
          <w:szCs w:val="28"/>
        </w:rPr>
        <w:t xml:space="preserve"> </w:t>
      </w:r>
      <w:r w:rsidRPr="00087A72">
        <w:rPr>
          <w:rFonts w:eastAsia="Calibri" w:cs="Arial"/>
          <w:sz w:val="16"/>
          <w:szCs w:val="28"/>
        </w:rPr>
        <w:t>racial</w:t>
      </w:r>
      <w:r w:rsidRPr="00087A72">
        <w:rPr>
          <w:rFonts w:cs="Arial"/>
          <w:sz w:val="16"/>
          <w:szCs w:val="28"/>
        </w:rPr>
        <w:t xml:space="preserve"> </w:t>
      </w:r>
      <w:r w:rsidRPr="00087A72">
        <w:rPr>
          <w:rFonts w:eastAsia="Calibri" w:cs="Arial"/>
          <w:sz w:val="16"/>
          <w:szCs w:val="28"/>
        </w:rPr>
        <w:t>one</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Western</w:t>
      </w:r>
      <w:r w:rsidRPr="00087A72">
        <w:rPr>
          <w:rFonts w:cs="Arial"/>
          <w:sz w:val="16"/>
          <w:szCs w:val="28"/>
        </w:rPr>
        <w:t xml:space="preserve"> </w:t>
      </w:r>
      <w:r w:rsidRPr="00087A72">
        <w:rPr>
          <w:rFonts w:eastAsia="Calibri" w:cs="Arial"/>
          <w:sz w:val="16"/>
          <w:szCs w:val="28"/>
        </w:rPr>
        <w:t>subject</w:t>
      </w:r>
      <w:r w:rsidRPr="00087A72">
        <w:rPr>
          <w:rFonts w:cs="Arial"/>
          <w:sz w:val="16"/>
          <w:szCs w:val="28"/>
        </w:rPr>
        <w:t xml:space="preserve"> </w:t>
      </w:r>
      <w:r w:rsidRPr="00087A72">
        <w:rPr>
          <w:rFonts w:eastAsia="Calibri" w:cs="Arial"/>
          <w:sz w:val="16"/>
          <w:szCs w:val="28"/>
        </w:rPr>
        <w:t>is</w:t>
      </w:r>
      <w:r w:rsidRPr="00087A72">
        <w:rPr>
          <w:rFonts w:cs="Arial"/>
          <w:sz w:val="16"/>
          <w:szCs w:val="28"/>
        </w:rPr>
        <w:t xml:space="preserve"> </w:t>
      </w:r>
      <w:r w:rsidRPr="00087A72">
        <w:rPr>
          <w:rFonts w:eastAsia="Calibri" w:cs="Arial"/>
          <w:sz w:val="16"/>
          <w:szCs w:val="28"/>
        </w:rPr>
        <w:t>universal</w:t>
      </w:r>
      <w:r w:rsidRPr="00087A72">
        <w:rPr>
          <w:rFonts w:cs="Arial"/>
          <w:sz w:val="16"/>
          <w:szCs w:val="28"/>
        </w:rPr>
        <w:t xml:space="preserve">, </w:t>
      </w:r>
      <w:r w:rsidRPr="00087A72">
        <w:rPr>
          <w:rFonts w:eastAsia="Calibri" w:cs="Arial"/>
          <w:sz w:val="16"/>
          <w:szCs w:val="28"/>
        </w:rPr>
        <w:t>while</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racialized</w:t>
      </w:r>
      <w:r w:rsidRPr="00087A72">
        <w:rPr>
          <w:rFonts w:cs="Arial"/>
          <w:sz w:val="16"/>
          <w:szCs w:val="28"/>
        </w:rPr>
        <w:t xml:space="preserve"> </w:t>
      </w:r>
      <w:r w:rsidRPr="00087A72">
        <w:rPr>
          <w:rFonts w:eastAsia="Calibri" w:cs="Arial"/>
          <w:sz w:val="16"/>
          <w:szCs w:val="28"/>
        </w:rPr>
        <w:t>subject</w:t>
      </w:r>
      <w:r w:rsidRPr="00087A72">
        <w:rPr>
          <w:rFonts w:cs="Arial"/>
          <w:sz w:val="16"/>
          <w:szCs w:val="28"/>
        </w:rPr>
        <w:t xml:space="preserve"> </w:t>
      </w:r>
      <w:r w:rsidRPr="00087A72">
        <w:rPr>
          <w:rFonts w:eastAsia="Calibri" w:cs="Arial"/>
          <w:sz w:val="16"/>
          <w:szCs w:val="28"/>
        </w:rPr>
        <w:t>is</w:t>
      </w:r>
      <w:r w:rsidRPr="00087A72">
        <w:rPr>
          <w:rFonts w:cs="Arial"/>
          <w:sz w:val="16"/>
          <w:szCs w:val="28"/>
        </w:rPr>
        <w:t xml:space="preserve"> </w:t>
      </w:r>
      <w:r w:rsidRPr="00087A72">
        <w:rPr>
          <w:rFonts w:eastAsia="Calibri" w:cs="Arial"/>
          <w:sz w:val="16"/>
          <w:szCs w:val="28"/>
        </w:rPr>
        <w:t>particular</w:t>
      </w:r>
      <w:r w:rsidRPr="00087A72">
        <w:rPr>
          <w:rFonts w:cs="Arial"/>
          <w:sz w:val="16"/>
          <w:szCs w:val="28"/>
        </w:rPr>
        <w:t xml:space="preserve">, </w:t>
      </w:r>
      <w:r w:rsidRPr="00087A72">
        <w:rPr>
          <w:rFonts w:eastAsia="Calibri" w:cs="Arial"/>
          <w:sz w:val="16"/>
          <w:szCs w:val="28"/>
        </w:rPr>
        <w:t>but</w:t>
      </w:r>
      <w:r w:rsidRPr="00087A72">
        <w:rPr>
          <w:rFonts w:cs="Arial"/>
          <w:sz w:val="16"/>
          <w:szCs w:val="28"/>
        </w:rPr>
        <w:t xml:space="preserve"> </w:t>
      </w:r>
      <w:r w:rsidRPr="00087A72">
        <w:rPr>
          <w:rFonts w:eastAsia="Calibri" w:cs="Arial"/>
          <w:sz w:val="16"/>
          <w:szCs w:val="28"/>
        </w:rPr>
        <w:t>aspires</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be</w:t>
      </w:r>
      <w:r w:rsidRPr="00087A72">
        <w:rPr>
          <w:rFonts w:cs="Arial"/>
          <w:sz w:val="16"/>
          <w:szCs w:val="28"/>
        </w:rPr>
        <w:t xml:space="preserve"> </w:t>
      </w:r>
      <w:r w:rsidRPr="00087A72">
        <w:rPr>
          <w:rFonts w:eastAsia="Calibri" w:cs="Arial"/>
          <w:sz w:val="16"/>
          <w:szCs w:val="28"/>
        </w:rPr>
        <w:t>universal</w:t>
      </w:r>
      <w:r w:rsidRPr="00087A72">
        <w:rPr>
          <w:rFonts w:cs="Arial"/>
          <w:sz w:val="16"/>
          <w:szCs w:val="28"/>
        </w:rPr>
        <w:t xml:space="preserve">. </w:t>
      </w:r>
      <w:r w:rsidRPr="00087A72">
        <w:rPr>
          <w:rFonts w:eastAsia="Calibri" w:cs="Arial"/>
          <w:sz w:val="16"/>
          <w:szCs w:val="28"/>
        </w:rPr>
        <w:t>Silva</w:t>
      </w:r>
      <w:r w:rsidRPr="00087A72">
        <w:rPr>
          <w:rFonts w:cs="Arial"/>
          <w:sz w:val="16"/>
          <w:szCs w:val="28"/>
        </w:rPr>
        <w:t>’</w:t>
      </w:r>
      <w:r w:rsidRPr="00087A72">
        <w:rPr>
          <w:rFonts w:eastAsia="Calibri" w:cs="Arial"/>
          <w:sz w:val="16"/>
          <w:szCs w:val="28"/>
        </w:rPr>
        <w:t>s</w:t>
      </w:r>
      <w:r w:rsidRPr="00087A72">
        <w:rPr>
          <w:rFonts w:cs="Arial"/>
          <w:sz w:val="16"/>
          <w:szCs w:val="28"/>
        </w:rPr>
        <w:t xml:space="preserve"> </w:t>
      </w:r>
      <w:r w:rsidRPr="00087A72">
        <w:rPr>
          <w:rFonts w:eastAsia="Calibri" w:cs="Arial"/>
          <w:sz w:val="16"/>
          <w:szCs w:val="28"/>
        </w:rPr>
        <w:t>critique</w:t>
      </w:r>
      <w:r w:rsidRPr="00087A72">
        <w:rPr>
          <w:rFonts w:cs="Arial"/>
          <w:sz w:val="16"/>
          <w:szCs w:val="28"/>
        </w:rPr>
        <w:t xml:space="preserve"> </w:t>
      </w:r>
      <w:r w:rsidRPr="00087A72">
        <w:rPr>
          <w:rFonts w:eastAsia="Calibri" w:cs="Arial"/>
          <w:sz w:val="16"/>
          <w:szCs w:val="28"/>
        </w:rPr>
        <w:t>suggests</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often</w:t>
      </w:r>
      <w:r w:rsidRPr="00087A72">
        <w:rPr>
          <w:rFonts w:cs="Arial"/>
          <w:sz w:val="16"/>
          <w:szCs w:val="28"/>
        </w:rPr>
        <w:t xml:space="preserve"> </w:t>
      </w:r>
      <w:r w:rsidRPr="00087A72">
        <w:rPr>
          <w:rFonts w:eastAsia="Calibri" w:cs="Arial"/>
          <w:sz w:val="16"/>
          <w:szCs w:val="28"/>
        </w:rPr>
        <w:t>does</w:t>
      </w:r>
      <w:r w:rsidRPr="00087A72">
        <w:rPr>
          <w:rFonts w:cs="Arial"/>
          <w:sz w:val="16"/>
          <w:szCs w:val="28"/>
        </w:rPr>
        <w:t xml:space="preserve"> </w:t>
      </w:r>
      <w:r w:rsidRPr="00087A72">
        <w:rPr>
          <w:rFonts w:eastAsia="Calibri" w:cs="Arial"/>
          <w:sz w:val="16"/>
          <w:szCs w:val="28"/>
        </w:rPr>
        <w:t>not</w:t>
      </w:r>
      <w:r w:rsidRPr="00087A72">
        <w:rPr>
          <w:rFonts w:cs="Arial"/>
          <w:sz w:val="16"/>
          <w:szCs w:val="28"/>
        </w:rPr>
        <w:t xml:space="preserve"> </w:t>
      </w:r>
      <w:r w:rsidRPr="00087A72">
        <w:rPr>
          <w:rFonts w:eastAsia="Calibri" w:cs="Arial"/>
          <w:sz w:val="16"/>
          <w:szCs w:val="28"/>
        </w:rPr>
        <w:t>question</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logics</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Western</w:t>
      </w:r>
      <w:r w:rsidRPr="00087A72">
        <w:rPr>
          <w:rFonts w:cs="Arial"/>
          <w:sz w:val="16"/>
          <w:szCs w:val="28"/>
        </w:rPr>
        <w:t xml:space="preserve"> </w:t>
      </w:r>
      <w:r w:rsidRPr="00087A72">
        <w:rPr>
          <w:rFonts w:eastAsia="Calibri" w:cs="Arial"/>
          <w:sz w:val="16"/>
          <w:szCs w:val="28"/>
        </w:rPr>
        <w:t>philosophy</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are</w:t>
      </w:r>
      <w:r w:rsidRPr="00087A72">
        <w:rPr>
          <w:rFonts w:cs="Arial"/>
          <w:sz w:val="16"/>
          <w:szCs w:val="28"/>
        </w:rPr>
        <w:t xml:space="preserve"> </w:t>
      </w:r>
      <w:r w:rsidRPr="00087A72">
        <w:rPr>
          <w:rFonts w:eastAsia="Calibri" w:cs="Arial"/>
          <w:sz w:val="16"/>
          <w:szCs w:val="28"/>
        </w:rPr>
        <w:t>premised</w:t>
      </w:r>
      <w:r w:rsidRPr="00087A72">
        <w:rPr>
          <w:rFonts w:cs="Arial"/>
          <w:sz w:val="16"/>
          <w:szCs w:val="28"/>
        </w:rPr>
        <w:t xml:space="preserve"> </w:t>
      </w:r>
      <w:r w:rsidRPr="00087A72">
        <w:rPr>
          <w:rFonts w:eastAsia="Calibri" w:cs="Arial"/>
          <w:sz w:val="16"/>
          <w:szCs w:val="28"/>
        </w:rPr>
        <w:t>on</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self</w:t>
      </w:r>
      <w:r w:rsidRPr="00087A72">
        <w:rPr>
          <w:rFonts w:cs="Arial"/>
          <w:sz w:val="16"/>
          <w:szCs w:val="28"/>
        </w:rPr>
        <w:t>-</w:t>
      </w:r>
      <w:r w:rsidRPr="00087A72">
        <w:rPr>
          <w:rFonts w:eastAsia="Calibri" w:cs="Arial"/>
          <w:sz w:val="16"/>
          <w:szCs w:val="28"/>
        </w:rPr>
        <w:t>determined</w:t>
      </w:r>
      <w:r w:rsidRPr="00087A72">
        <w:rPr>
          <w:rFonts w:cs="Arial"/>
          <w:sz w:val="16"/>
          <w:szCs w:val="28"/>
        </w:rPr>
        <w:t xml:space="preserve"> </w:t>
      </w:r>
      <w:r w:rsidRPr="00087A72">
        <w:rPr>
          <w:rFonts w:eastAsia="Calibri" w:cs="Arial"/>
          <w:sz w:val="16"/>
          <w:szCs w:val="28"/>
        </w:rPr>
        <w:t>subject</w:t>
      </w:r>
      <w:r w:rsidRPr="00087A72">
        <w:rPr>
          <w:rFonts w:cs="Arial"/>
          <w:sz w:val="16"/>
          <w:szCs w:val="28"/>
        </w:rPr>
        <w:t>’</w:t>
      </w:r>
      <w:r w:rsidRPr="00087A72">
        <w:rPr>
          <w:rFonts w:eastAsia="Calibri" w:cs="Arial"/>
          <w:sz w:val="16"/>
          <w:szCs w:val="28"/>
        </w:rPr>
        <w:t>s</w:t>
      </w:r>
      <w:r w:rsidRPr="00087A72">
        <w:rPr>
          <w:rFonts w:cs="Arial"/>
          <w:sz w:val="16"/>
          <w:szCs w:val="28"/>
        </w:rPr>
        <w:t xml:space="preserve"> </w:t>
      </w:r>
      <w:r w:rsidRPr="00087A72">
        <w:rPr>
          <w:rFonts w:eastAsia="Calibri" w:cs="Arial"/>
          <w:sz w:val="16"/>
          <w:szCs w:val="28"/>
        </w:rPr>
        <w:t>aspirations</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achieve</w:t>
      </w:r>
      <w:r w:rsidRPr="00087A72">
        <w:rPr>
          <w:rFonts w:cs="Arial"/>
          <w:sz w:val="16"/>
          <w:szCs w:val="28"/>
        </w:rPr>
        <w:t xml:space="preserve"> </w:t>
      </w:r>
      <w:r w:rsidRPr="00087A72">
        <w:rPr>
          <w:rFonts w:eastAsia="Calibri" w:cs="Arial"/>
          <w:sz w:val="16"/>
          <w:szCs w:val="28"/>
        </w:rPr>
        <w:t>universality</w:t>
      </w:r>
      <w:r w:rsidRPr="00087A72">
        <w:rPr>
          <w:rFonts w:cs="Arial"/>
          <w:sz w:val="16"/>
          <w:szCs w:val="28"/>
        </w:rPr>
        <w:t xml:space="preserve">. </w:t>
      </w:r>
      <w:r w:rsidRPr="00087A72">
        <w:rPr>
          <w:rFonts w:eastAsia="Calibri" w:cs="Arial"/>
          <w:sz w:val="16"/>
          <w:szCs w:val="28"/>
        </w:rPr>
        <w:t>Consequently</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often</w:t>
      </w:r>
      <w:r w:rsidRPr="00087A72">
        <w:rPr>
          <w:rFonts w:cs="Arial"/>
          <w:sz w:val="16"/>
          <w:szCs w:val="28"/>
        </w:rPr>
        <w:t xml:space="preserve"> </w:t>
      </w:r>
      <w:r w:rsidRPr="00087A72">
        <w:rPr>
          <w:rFonts w:eastAsia="Calibri" w:cs="Arial"/>
          <w:sz w:val="16"/>
          <w:szCs w:val="28"/>
        </w:rPr>
        <w:t>rests</w:t>
      </w:r>
      <w:r w:rsidRPr="00087A72">
        <w:rPr>
          <w:rFonts w:cs="Arial"/>
          <w:sz w:val="16"/>
          <w:szCs w:val="28"/>
        </w:rPr>
        <w:t xml:space="preserve"> </w:t>
      </w:r>
      <w:r w:rsidRPr="00087A72">
        <w:rPr>
          <w:rFonts w:eastAsia="Calibri" w:cs="Arial"/>
          <w:sz w:val="16"/>
          <w:szCs w:val="28"/>
        </w:rPr>
        <w:t>on</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subject</w:t>
      </w:r>
      <w:r w:rsidRPr="00087A72">
        <w:rPr>
          <w:rFonts w:cs="Arial"/>
          <w:sz w:val="16"/>
          <w:szCs w:val="28"/>
        </w:rPr>
        <w:t xml:space="preserve"> </w:t>
      </w:r>
      <w:r w:rsidRPr="00087A72">
        <w:rPr>
          <w:rFonts w:eastAsia="Calibri" w:cs="Arial"/>
          <w:sz w:val="16"/>
          <w:szCs w:val="28"/>
        </w:rPr>
        <w:t>awaiting</w:t>
      </w:r>
      <w:r w:rsidRPr="00087A72">
        <w:rPr>
          <w:rFonts w:cs="Arial"/>
          <w:sz w:val="16"/>
          <w:szCs w:val="28"/>
        </w:rPr>
        <w:t xml:space="preserve"> </w:t>
      </w:r>
      <w:r w:rsidRPr="00087A72">
        <w:rPr>
          <w:rFonts w:eastAsia="Calibri" w:cs="Arial"/>
          <w:sz w:val="16"/>
          <w:szCs w:val="28"/>
        </w:rPr>
        <w:t>humanity</w:t>
      </w:r>
      <w:r w:rsidRPr="00087A72">
        <w:rPr>
          <w:rFonts w:cs="Arial"/>
          <w:sz w:val="16"/>
          <w:szCs w:val="28"/>
        </w:rPr>
        <w:t xml:space="preserve">. </w:t>
      </w:r>
      <w:r w:rsidRPr="00087A72">
        <w:rPr>
          <w:rFonts w:eastAsia="Calibri" w:cs="Arial"/>
          <w:sz w:val="16"/>
          <w:szCs w:val="28"/>
        </w:rPr>
        <w:t>In</w:t>
      </w:r>
      <w:r w:rsidRPr="00087A72">
        <w:rPr>
          <w:rFonts w:cs="Arial"/>
          <w:sz w:val="16"/>
          <w:szCs w:val="28"/>
        </w:rPr>
        <w:t xml:space="preserve"> </w:t>
      </w:r>
      <w:r w:rsidRPr="00087A72">
        <w:rPr>
          <w:rFonts w:eastAsia="Calibri" w:cs="Arial"/>
          <w:sz w:val="16"/>
          <w:szCs w:val="28"/>
        </w:rPr>
        <w:t>other</w:t>
      </w:r>
      <w:r w:rsidRPr="00087A72">
        <w:rPr>
          <w:rFonts w:cs="Arial"/>
          <w:sz w:val="16"/>
          <w:szCs w:val="28"/>
        </w:rPr>
        <w:t xml:space="preserve"> </w:t>
      </w:r>
      <w:r w:rsidRPr="00087A72">
        <w:rPr>
          <w:rFonts w:eastAsia="Calibri" w:cs="Arial"/>
          <w:sz w:val="16"/>
          <w:szCs w:val="28"/>
        </w:rPr>
        <w:t>words</w:t>
      </w:r>
      <w:r w:rsidRPr="00087A72">
        <w:rPr>
          <w:rFonts w:cs="Arial"/>
          <w:sz w:val="16"/>
          <w:szCs w:val="28"/>
        </w:rPr>
        <w:t xml:space="preserve">, </w:t>
      </w:r>
      <w:r w:rsidRPr="00087A72">
        <w:rPr>
          <w:rFonts w:eastAsia="Calibri" w:cs="Arial"/>
          <w:sz w:val="16"/>
          <w:szCs w:val="28"/>
        </w:rPr>
        <w:t>if</w:t>
      </w:r>
      <w:r w:rsidRPr="00087A72">
        <w:rPr>
          <w:rFonts w:cs="Arial"/>
          <w:sz w:val="16"/>
          <w:szCs w:val="28"/>
        </w:rPr>
        <w:t xml:space="preserve"> </w:t>
      </w:r>
      <w:r w:rsidRPr="00087A72">
        <w:rPr>
          <w:rFonts w:eastAsia="Calibri" w:cs="Arial"/>
          <w:sz w:val="16"/>
          <w:szCs w:val="28"/>
        </w:rPr>
        <w:t>people</w:t>
      </w:r>
      <w:r w:rsidRPr="00087A72">
        <w:rPr>
          <w:rFonts w:cs="Arial"/>
          <w:sz w:val="16"/>
          <w:szCs w:val="28"/>
        </w:rPr>
        <w:t xml:space="preserve"> </w:t>
      </w:r>
      <w:r w:rsidRPr="00087A72">
        <w:rPr>
          <w:rFonts w:eastAsia="Calibri" w:cs="Arial"/>
          <w:sz w:val="16"/>
          <w:szCs w:val="28"/>
        </w:rPr>
        <w:t>simply</w:t>
      </w:r>
      <w:r w:rsidRPr="00087A72">
        <w:rPr>
          <w:rFonts w:cs="Arial"/>
          <w:sz w:val="16"/>
          <w:szCs w:val="28"/>
        </w:rPr>
        <w:t xml:space="preserve"> </w:t>
      </w:r>
      <w:r w:rsidRPr="00087A72">
        <w:rPr>
          <w:rFonts w:eastAsia="Calibri" w:cs="Arial"/>
          <w:sz w:val="16"/>
          <w:szCs w:val="28"/>
        </w:rPr>
        <w:t>understood</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peoples</w:t>
      </w:r>
      <w:r w:rsidRPr="00087A72">
        <w:rPr>
          <w:rFonts w:cs="Arial"/>
          <w:sz w:val="16"/>
          <w:szCs w:val="28"/>
        </w:rPr>
        <w:t xml:space="preserve"> </w:t>
      </w:r>
      <w:r w:rsidRPr="00087A72">
        <w:rPr>
          <w:rFonts w:eastAsia="Calibri" w:cs="Arial"/>
          <w:sz w:val="16"/>
          <w:szCs w:val="28"/>
        </w:rPr>
        <w:t>better</w:t>
      </w:r>
      <w:r w:rsidRPr="00087A72">
        <w:rPr>
          <w:rFonts w:cs="Arial"/>
          <w:sz w:val="16"/>
          <w:szCs w:val="28"/>
        </w:rPr>
        <w:t xml:space="preserve">, </w:t>
      </w:r>
      <w:r w:rsidRPr="00087A72">
        <w:rPr>
          <w:rFonts w:eastAsia="Calibri" w:cs="Arial"/>
          <w:sz w:val="16"/>
          <w:szCs w:val="28"/>
        </w:rPr>
        <w:t>Natives</w:t>
      </w:r>
      <w:r w:rsidRPr="00087A72">
        <w:rPr>
          <w:rFonts w:cs="Arial"/>
          <w:sz w:val="16"/>
          <w:szCs w:val="28"/>
        </w:rPr>
        <w:t xml:space="preserve"> </w:t>
      </w:r>
      <w:r w:rsidRPr="00087A72">
        <w:rPr>
          <w:rFonts w:eastAsia="Calibri" w:cs="Arial"/>
          <w:sz w:val="16"/>
          <w:szCs w:val="28"/>
        </w:rPr>
        <w:t>would</w:t>
      </w:r>
      <w:r w:rsidRPr="00087A72">
        <w:rPr>
          <w:rFonts w:cs="Arial"/>
          <w:sz w:val="16"/>
          <w:szCs w:val="28"/>
        </w:rPr>
        <w:t xml:space="preserve"> </w:t>
      </w:r>
      <w:r w:rsidRPr="00087A72">
        <w:rPr>
          <w:rFonts w:eastAsia="Calibri" w:cs="Arial"/>
          <w:sz w:val="16"/>
          <w:szCs w:val="28"/>
        </w:rPr>
        <w:t>then</w:t>
      </w:r>
      <w:r w:rsidRPr="00087A72">
        <w:rPr>
          <w:rFonts w:cs="Arial"/>
          <w:sz w:val="16"/>
          <w:szCs w:val="28"/>
        </w:rPr>
        <w:t xml:space="preserve"> </w:t>
      </w:r>
      <w:r w:rsidRPr="00087A72">
        <w:rPr>
          <w:rFonts w:eastAsia="Calibri" w:cs="Arial"/>
          <w:sz w:val="16"/>
          <w:szCs w:val="28"/>
        </w:rPr>
        <w:t>become</w:t>
      </w:r>
      <w:r w:rsidRPr="00087A72">
        <w:rPr>
          <w:rFonts w:cs="Arial"/>
          <w:sz w:val="16"/>
          <w:szCs w:val="28"/>
        </w:rPr>
        <w:t xml:space="preserve"> </w:t>
      </w:r>
      <w:r w:rsidRPr="00087A72">
        <w:rPr>
          <w:rFonts w:eastAsia="Calibri" w:cs="Arial"/>
          <w:sz w:val="16"/>
          <w:szCs w:val="28"/>
        </w:rPr>
        <w:t>fully</w:t>
      </w:r>
      <w:r w:rsidRPr="00087A72">
        <w:rPr>
          <w:rFonts w:cs="Arial"/>
          <w:sz w:val="16"/>
          <w:szCs w:val="28"/>
        </w:rPr>
        <w:t xml:space="preserve"> </w:t>
      </w:r>
      <w:r w:rsidRPr="00087A72">
        <w:rPr>
          <w:rFonts w:eastAsia="Calibri" w:cs="Arial"/>
          <w:sz w:val="16"/>
          <w:szCs w:val="28"/>
        </w:rPr>
        <w:t>human</w:t>
      </w:r>
      <w:r w:rsidRPr="00087A72">
        <w:rPr>
          <w:rFonts w:cs="Arial"/>
          <w:sz w:val="16"/>
          <w:szCs w:val="28"/>
        </w:rPr>
        <w:t xml:space="preserve"> — </w:t>
      </w:r>
      <w:r w:rsidRPr="00087A72">
        <w:rPr>
          <w:rFonts w:eastAsia="Calibri" w:cs="Arial"/>
          <w:sz w:val="16"/>
          <w:szCs w:val="28"/>
        </w:rPr>
        <w:t>they</w:t>
      </w:r>
      <w:r w:rsidRPr="00087A72">
        <w:rPr>
          <w:rFonts w:cs="Arial"/>
          <w:sz w:val="16"/>
          <w:szCs w:val="28"/>
        </w:rPr>
        <w:t xml:space="preserve"> </w:t>
      </w:r>
      <w:r w:rsidRPr="00087A72">
        <w:rPr>
          <w:rFonts w:eastAsia="Calibri" w:cs="Arial"/>
          <w:sz w:val="16"/>
          <w:szCs w:val="28"/>
        </w:rPr>
        <w:t>would</w:t>
      </w:r>
      <w:r w:rsidRPr="00087A72">
        <w:rPr>
          <w:rFonts w:cs="Arial"/>
          <w:sz w:val="16"/>
          <w:szCs w:val="28"/>
        </w:rPr>
        <w:t xml:space="preserve"> </w:t>
      </w:r>
      <w:r w:rsidRPr="00087A72">
        <w:rPr>
          <w:rFonts w:eastAsia="Calibri" w:cs="Arial"/>
          <w:sz w:val="16"/>
          <w:szCs w:val="28"/>
        </w:rPr>
        <w:t>be</w:t>
      </w:r>
      <w:r w:rsidRPr="00087A72">
        <w:rPr>
          <w:rFonts w:cs="Arial"/>
          <w:sz w:val="16"/>
          <w:szCs w:val="28"/>
        </w:rPr>
        <w:t xml:space="preserve"> </w:t>
      </w:r>
      <w:r w:rsidRPr="00087A72">
        <w:rPr>
          <w:rFonts w:eastAsia="Calibri" w:cs="Arial"/>
          <w:sz w:val="16"/>
          <w:szCs w:val="28"/>
        </w:rPr>
        <w:t>free</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self</w:t>
      </w:r>
      <w:r w:rsidRPr="00087A72">
        <w:rPr>
          <w:rFonts w:cs="Arial"/>
          <w:sz w:val="16"/>
          <w:szCs w:val="28"/>
        </w:rPr>
        <w:t>-</w:t>
      </w:r>
      <w:r w:rsidRPr="00087A72">
        <w:rPr>
          <w:rFonts w:eastAsia="Calibri" w:cs="Arial"/>
          <w:sz w:val="16"/>
          <w:szCs w:val="28"/>
        </w:rPr>
        <w:t>determining</w:t>
      </w:r>
      <w:r w:rsidRPr="00087A72">
        <w:rPr>
          <w:rFonts w:cs="Arial"/>
          <w:sz w:val="16"/>
          <w:szCs w:val="28"/>
        </w:rPr>
        <w:t xml:space="preserve">. </w:t>
      </w:r>
      <w:r w:rsidRPr="00087A72">
        <w:rPr>
          <w:rFonts w:eastAsia="Calibri" w:cs="Arial"/>
          <w:sz w:val="16"/>
          <w:szCs w:val="28"/>
        </w:rPr>
        <w:t>Unfortunately</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project</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aspiring</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humanity</w:t>
      </w:r>
      <w:r w:rsidRPr="00087A72">
        <w:rPr>
          <w:rFonts w:cs="Arial"/>
          <w:sz w:val="16"/>
          <w:szCs w:val="28"/>
        </w:rPr>
        <w:t xml:space="preserve">” </w:t>
      </w:r>
      <w:r w:rsidRPr="00087A72">
        <w:rPr>
          <w:rFonts w:eastAsia="Calibri" w:cs="Arial"/>
          <w:sz w:val="16"/>
          <w:szCs w:val="28"/>
        </w:rPr>
        <w:t>is</w:t>
      </w:r>
      <w:r w:rsidRPr="00087A72">
        <w:rPr>
          <w:rFonts w:cs="Arial"/>
          <w:sz w:val="16"/>
          <w:szCs w:val="28"/>
        </w:rPr>
        <w:t xml:space="preserve"> </w:t>
      </w:r>
      <w:r w:rsidRPr="00087A72">
        <w:rPr>
          <w:rFonts w:eastAsia="Calibri" w:cs="Arial"/>
          <w:sz w:val="16"/>
          <w:szCs w:val="28"/>
        </w:rPr>
        <w:t>always</w:t>
      </w:r>
      <w:r w:rsidRPr="00087A72">
        <w:rPr>
          <w:rFonts w:cs="Arial"/>
          <w:sz w:val="16"/>
          <w:szCs w:val="28"/>
        </w:rPr>
        <w:t xml:space="preserve"> </w:t>
      </w:r>
      <w:r w:rsidRPr="00087A72">
        <w:rPr>
          <w:rFonts w:eastAsia="Calibri" w:cs="Arial"/>
          <w:sz w:val="16"/>
          <w:szCs w:val="28"/>
        </w:rPr>
        <w:t>already</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racial</w:t>
      </w:r>
      <w:r w:rsidRPr="00087A72">
        <w:rPr>
          <w:rFonts w:cs="Arial"/>
          <w:sz w:val="16"/>
          <w:szCs w:val="28"/>
        </w:rPr>
        <w:t xml:space="preserve"> </w:t>
      </w:r>
      <w:r w:rsidRPr="00087A72">
        <w:rPr>
          <w:rFonts w:eastAsia="Calibri" w:cs="Arial"/>
          <w:sz w:val="16"/>
          <w:szCs w:val="28"/>
        </w:rPr>
        <w:t>project</w:t>
      </w:r>
      <w:r w:rsidRPr="00087A72">
        <w:rPr>
          <w:rFonts w:cs="Arial"/>
          <w:sz w:val="16"/>
          <w:szCs w:val="28"/>
        </w:rPr>
        <w:t xml:space="preserve">; </w:t>
      </w:r>
      <w:r w:rsidRPr="00087A72">
        <w:rPr>
          <w:rFonts w:eastAsia="Calibri" w:cs="Arial"/>
          <w:sz w:val="16"/>
          <w:szCs w:val="28"/>
        </w:rPr>
        <w:t>it</w:t>
      </w:r>
      <w:r w:rsidRPr="00087A72">
        <w:rPr>
          <w:rFonts w:cs="Arial"/>
          <w:sz w:val="16"/>
          <w:szCs w:val="28"/>
        </w:rPr>
        <w:t xml:space="preserve"> </w:t>
      </w:r>
      <w:r w:rsidRPr="00087A72">
        <w:rPr>
          <w:rFonts w:eastAsia="Calibri" w:cs="Arial"/>
          <w:sz w:val="16"/>
          <w:szCs w:val="28"/>
        </w:rPr>
        <w:t>is</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project</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aspires</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universality</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self</w:t>
      </w:r>
      <w:r w:rsidRPr="00087A72">
        <w:rPr>
          <w:rFonts w:cs="Arial"/>
          <w:sz w:val="16"/>
          <w:szCs w:val="28"/>
        </w:rPr>
        <w:t>-</w:t>
      </w:r>
      <w:r w:rsidRPr="00087A72">
        <w:rPr>
          <w:rFonts w:eastAsia="Calibri" w:cs="Arial"/>
          <w:sz w:val="16"/>
          <w:szCs w:val="28"/>
        </w:rPr>
        <w:t>determination</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can</w:t>
      </w:r>
      <w:r w:rsidRPr="00087A72">
        <w:rPr>
          <w:rFonts w:cs="Arial"/>
          <w:sz w:val="16"/>
          <w:szCs w:val="28"/>
        </w:rPr>
        <w:t xml:space="preserve"> </w:t>
      </w:r>
      <w:r w:rsidRPr="00087A72">
        <w:rPr>
          <w:rFonts w:eastAsia="Calibri" w:cs="Arial"/>
          <w:sz w:val="16"/>
          <w:szCs w:val="28"/>
        </w:rPr>
        <w:t>exist</w:t>
      </w:r>
      <w:r w:rsidRPr="00087A72">
        <w:rPr>
          <w:rFonts w:cs="Arial"/>
          <w:sz w:val="16"/>
          <w:szCs w:val="28"/>
        </w:rPr>
        <w:t xml:space="preserve"> </w:t>
      </w:r>
      <w:r w:rsidRPr="00087A72">
        <w:rPr>
          <w:rFonts w:eastAsia="Calibri" w:cs="Arial"/>
          <w:sz w:val="16"/>
          <w:szCs w:val="28"/>
        </w:rPr>
        <w:t>only</w:t>
      </w:r>
      <w:r w:rsidRPr="00087A72">
        <w:rPr>
          <w:rFonts w:cs="Arial"/>
          <w:sz w:val="16"/>
          <w:szCs w:val="28"/>
        </w:rPr>
        <w:t xml:space="preserve"> </w:t>
      </w:r>
      <w:r w:rsidRPr="00087A72">
        <w:rPr>
          <w:rFonts w:eastAsia="Calibri" w:cs="Arial"/>
          <w:sz w:val="16"/>
          <w:szCs w:val="28"/>
        </w:rPr>
        <w:t>over</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against</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particularity</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affectability</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other</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thus</w:t>
      </w:r>
      <w:r w:rsidRPr="00087A72">
        <w:rPr>
          <w:rFonts w:cs="Arial"/>
          <w:sz w:val="16"/>
          <w:szCs w:val="28"/>
        </w:rPr>
        <w:t xml:space="preserve"> </w:t>
      </w:r>
      <w:r w:rsidRPr="00087A72">
        <w:rPr>
          <w:rFonts w:eastAsia="Calibri" w:cs="Arial"/>
          <w:sz w:val="16"/>
          <w:szCs w:val="28"/>
        </w:rPr>
        <w:t>becomes</w:t>
      </w:r>
      <w:r w:rsidRPr="00087A72">
        <w:rPr>
          <w:rFonts w:cs="Arial"/>
          <w:sz w:val="16"/>
          <w:szCs w:val="28"/>
        </w:rPr>
        <w:t xml:space="preserve"> </w:t>
      </w:r>
      <w:r w:rsidRPr="00087A72">
        <w:rPr>
          <w:rFonts w:eastAsia="Calibri" w:cs="Arial"/>
          <w:sz w:val="16"/>
          <w:szCs w:val="28"/>
        </w:rPr>
        <w:t>trapped</w:t>
      </w:r>
      <w:r w:rsidRPr="00087A72">
        <w:rPr>
          <w:rFonts w:cs="Arial"/>
          <w:sz w:val="16"/>
          <w:szCs w:val="28"/>
        </w:rPr>
        <w:t xml:space="preserve"> </w:t>
      </w:r>
      <w:r w:rsidRPr="00087A72">
        <w:rPr>
          <w:rFonts w:eastAsia="Calibri" w:cs="Arial"/>
          <w:sz w:val="16"/>
          <w:szCs w:val="28"/>
        </w:rPr>
        <w:t>in</w:t>
      </w:r>
      <w:r w:rsidRPr="00087A72">
        <w:rPr>
          <w:rFonts w:cs="Arial"/>
          <w:sz w:val="16"/>
          <w:szCs w:val="28"/>
        </w:rPr>
        <w:t xml:space="preserve"> </w:t>
      </w:r>
      <w:r w:rsidRPr="00087A72">
        <w:rPr>
          <w:rFonts w:eastAsia="Calibri" w:cs="Arial"/>
          <w:sz w:val="16"/>
          <w:szCs w:val="28"/>
        </w:rPr>
        <w:t>ethnographic</w:t>
      </w:r>
      <w:r w:rsidRPr="00087A72">
        <w:rPr>
          <w:rFonts w:cs="Arial"/>
          <w:sz w:val="16"/>
          <w:szCs w:val="28"/>
        </w:rPr>
        <w:t xml:space="preserve"> </w:t>
      </w:r>
      <w:r w:rsidRPr="00087A72">
        <w:rPr>
          <w:rFonts w:eastAsia="Calibri" w:cs="Arial"/>
          <w:sz w:val="16"/>
          <w:szCs w:val="28"/>
        </w:rPr>
        <w:t>multiculturalism</w:t>
      </w:r>
      <w:r w:rsidRPr="00087A72">
        <w:rPr>
          <w:rFonts w:cs="Arial"/>
          <w:sz w:val="16"/>
          <w:szCs w:val="28"/>
        </w:rPr>
        <w:t xml:space="preserve">, </w:t>
      </w:r>
      <w:r w:rsidRPr="00087A72">
        <w:rPr>
          <w:rFonts w:eastAsia="Calibri" w:cs="Arial"/>
          <w:sz w:val="16"/>
          <w:szCs w:val="28"/>
        </w:rPr>
        <w:t>what</w:t>
      </w:r>
      <w:r w:rsidRPr="00087A72">
        <w:rPr>
          <w:rFonts w:cs="Arial"/>
          <w:sz w:val="16"/>
          <w:szCs w:val="28"/>
        </w:rPr>
        <w:t xml:space="preserve"> </w:t>
      </w:r>
      <w:r w:rsidRPr="00087A72">
        <w:rPr>
          <w:rFonts w:eastAsia="Calibri" w:cs="Arial"/>
          <w:sz w:val="16"/>
          <w:szCs w:val="28"/>
        </w:rPr>
        <w:t>Silva</w:t>
      </w:r>
      <w:r w:rsidRPr="00087A72">
        <w:rPr>
          <w:rFonts w:cs="Arial"/>
          <w:sz w:val="16"/>
          <w:szCs w:val="28"/>
        </w:rPr>
        <w:t xml:space="preserve"> </w:t>
      </w:r>
      <w:r w:rsidRPr="00087A72">
        <w:rPr>
          <w:rFonts w:eastAsia="Calibri" w:cs="Arial"/>
          <w:sz w:val="16"/>
          <w:szCs w:val="28"/>
        </w:rPr>
        <w:t>describes</w:t>
      </w:r>
      <w:r w:rsidRPr="00087A72">
        <w:rPr>
          <w:rFonts w:cs="Arial"/>
          <w:sz w:val="16"/>
          <w:szCs w:val="28"/>
        </w:rPr>
        <w:t xml:space="preserve">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neoliberal</w:t>
      </w:r>
      <w:r w:rsidRPr="00087A72">
        <w:rPr>
          <w:rFonts w:cs="Arial"/>
          <w:sz w:val="16"/>
          <w:szCs w:val="28"/>
        </w:rPr>
        <w:t xml:space="preserve"> </w:t>
      </w:r>
      <w:r w:rsidRPr="00087A72">
        <w:rPr>
          <w:rFonts w:eastAsia="Calibri" w:cs="Arial"/>
          <w:sz w:val="16"/>
          <w:szCs w:val="28"/>
        </w:rPr>
        <w:t>multicultural</w:t>
      </w:r>
      <w:r w:rsidRPr="00087A72">
        <w:rPr>
          <w:rFonts w:cs="Arial"/>
          <w:sz w:val="16"/>
          <w:szCs w:val="28"/>
        </w:rPr>
        <w:t xml:space="preserve">” </w:t>
      </w:r>
      <w:r w:rsidRPr="00087A72">
        <w:rPr>
          <w:rFonts w:eastAsia="Calibri" w:cs="Arial"/>
          <w:sz w:val="16"/>
          <w:szCs w:val="28"/>
        </w:rPr>
        <w:t>representation</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includes</w:t>
      </w:r>
      <w:r w:rsidRPr="00087A72">
        <w:rPr>
          <w:rFonts w:cs="Arial"/>
          <w:sz w:val="16"/>
          <w:szCs w:val="28"/>
        </w:rPr>
        <w:t xml:space="preserve"> </w:t>
      </w:r>
      <w:r w:rsidRPr="00087A72">
        <w:rPr>
          <w:rFonts w:eastAsia="Calibri" w:cs="Arial"/>
          <w:sz w:val="16"/>
          <w:szCs w:val="28"/>
        </w:rPr>
        <w:t>never</w:t>
      </w:r>
      <w:r w:rsidRPr="00087A72">
        <w:rPr>
          <w:rFonts w:cs="Arial"/>
          <w:sz w:val="16"/>
          <w:szCs w:val="28"/>
        </w:rPr>
        <w:t>-</w:t>
      </w:r>
      <w:r w:rsidRPr="00087A72">
        <w:rPr>
          <w:rFonts w:eastAsia="Calibri" w:cs="Arial"/>
          <w:sz w:val="16"/>
          <w:szCs w:val="28"/>
        </w:rPr>
        <w:t>before</w:t>
      </w:r>
      <w:r w:rsidRPr="00087A72">
        <w:rPr>
          <w:rFonts w:cs="Arial"/>
          <w:sz w:val="16"/>
          <w:szCs w:val="28"/>
        </w:rPr>
        <w:t>-</w:t>
      </w:r>
      <w:r w:rsidRPr="00087A72">
        <w:rPr>
          <w:rFonts w:eastAsia="Calibri" w:cs="Arial"/>
          <w:sz w:val="16"/>
          <w:szCs w:val="28"/>
        </w:rPr>
        <w:t>heard</w:t>
      </w:r>
      <w:r w:rsidRPr="00087A72">
        <w:rPr>
          <w:rFonts w:cs="Arial"/>
          <w:sz w:val="16"/>
          <w:szCs w:val="28"/>
        </w:rPr>
        <w:t xml:space="preserve"> </w:t>
      </w:r>
      <w:r w:rsidRPr="00087A72">
        <w:rPr>
          <w:rFonts w:eastAsia="Calibri" w:cs="Arial"/>
          <w:sz w:val="16"/>
          <w:szCs w:val="28"/>
        </w:rPr>
        <w:t>languages</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speak</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never</w:t>
      </w:r>
      <w:r w:rsidRPr="00087A72">
        <w:rPr>
          <w:rFonts w:cs="Arial"/>
          <w:sz w:val="16"/>
          <w:szCs w:val="28"/>
        </w:rPr>
        <w:t>-</w:t>
      </w:r>
      <w:r w:rsidRPr="00087A72">
        <w:rPr>
          <w:rFonts w:eastAsia="Calibri" w:cs="Arial"/>
          <w:sz w:val="16"/>
          <w:szCs w:val="28"/>
        </w:rPr>
        <w:t>before</w:t>
      </w:r>
      <w:r w:rsidRPr="00087A72">
        <w:rPr>
          <w:rFonts w:cs="Arial"/>
          <w:sz w:val="16"/>
          <w:szCs w:val="28"/>
        </w:rPr>
        <w:t>-</w:t>
      </w:r>
      <w:r w:rsidRPr="00087A72">
        <w:rPr>
          <w:rFonts w:eastAsia="Calibri" w:cs="Arial"/>
          <w:sz w:val="16"/>
          <w:szCs w:val="28"/>
        </w:rPr>
        <w:t>heard</w:t>
      </w:r>
      <w:r w:rsidRPr="00087A72">
        <w:rPr>
          <w:rFonts w:cs="Arial"/>
          <w:sz w:val="16"/>
          <w:szCs w:val="28"/>
        </w:rPr>
        <w:t xml:space="preserve"> </w:t>
      </w:r>
      <w:r w:rsidRPr="00087A72">
        <w:rPr>
          <w:rFonts w:eastAsia="Calibri" w:cs="Arial"/>
          <w:sz w:val="16"/>
          <w:szCs w:val="28"/>
        </w:rPr>
        <w:t>things</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actualize</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never</w:t>
      </w:r>
      <w:r w:rsidRPr="00087A72">
        <w:rPr>
          <w:rFonts w:cs="Arial"/>
          <w:sz w:val="16"/>
          <w:szCs w:val="28"/>
        </w:rPr>
        <w:t>-</w:t>
      </w:r>
      <w:r w:rsidRPr="00087A72">
        <w:rPr>
          <w:rFonts w:eastAsia="Calibri" w:cs="Arial"/>
          <w:sz w:val="16"/>
          <w:szCs w:val="28"/>
        </w:rPr>
        <w:t>before</w:t>
      </w:r>
      <w:r w:rsidRPr="00087A72">
        <w:rPr>
          <w:rFonts w:cs="Arial"/>
          <w:sz w:val="16"/>
          <w:szCs w:val="28"/>
        </w:rPr>
        <w:t>-</w:t>
      </w:r>
      <w:r w:rsidRPr="00087A72">
        <w:rPr>
          <w:rFonts w:eastAsia="Calibri" w:cs="Arial"/>
          <w:sz w:val="16"/>
          <w:szCs w:val="28"/>
        </w:rPr>
        <w:t>known</w:t>
      </w:r>
      <w:r w:rsidRPr="00087A72">
        <w:rPr>
          <w:rFonts w:cs="Arial"/>
          <w:sz w:val="16"/>
          <w:szCs w:val="28"/>
        </w:rPr>
        <w:t xml:space="preserve"> </w:t>
      </w:r>
      <w:r w:rsidRPr="00087A72">
        <w:rPr>
          <w:rFonts w:eastAsia="Calibri" w:cs="Arial"/>
          <w:sz w:val="16"/>
          <w:szCs w:val="28"/>
        </w:rPr>
        <w:t>consciousness</w:t>
      </w:r>
      <w:r w:rsidRPr="00087A72">
        <w:rPr>
          <w:rFonts w:cs="Arial"/>
          <w:sz w:val="16"/>
          <w:szCs w:val="28"/>
        </w:rPr>
        <w:t xml:space="preserve">.”5 </w:t>
      </w:r>
      <w:r w:rsidRPr="00087A72">
        <w:rPr>
          <w:rFonts w:eastAsia="Calibri" w:cs="Arial"/>
          <w:sz w:val="16"/>
          <w:szCs w:val="28"/>
        </w:rPr>
        <w:t>This</w:t>
      </w:r>
      <w:r w:rsidRPr="00087A72">
        <w:rPr>
          <w:rFonts w:cs="Arial"/>
          <w:sz w:val="16"/>
          <w:szCs w:val="28"/>
        </w:rPr>
        <w:t xml:space="preserve"> </w:t>
      </w:r>
      <w:r w:rsidRPr="00087A72">
        <w:rPr>
          <w:rFonts w:eastAsia="Calibri" w:cs="Arial"/>
          <w:sz w:val="16"/>
          <w:szCs w:val="28"/>
        </w:rPr>
        <w:t>representation</w:t>
      </w:r>
      <w:r w:rsidRPr="00087A72">
        <w:rPr>
          <w:rFonts w:cs="Arial"/>
          <w:sz w:val="16"/>
          <w:szCs w:val="28"/>
        </w:rPr>
        <w:t xml:space="preserve">, </w:t>
      </w:r>
      <w:r w:rsidRPr="00087A72">
        <w:rPr>
          <w:rFonts w:eastAsia="Calibri" w:cs="Arial"/>
          <w:sz w:val="16"/>
          <w:szCs w:val="28"/>
        </w:rPr>
        <w:t>which</w:t>
      </w:r>
      <w:r w:rsidRPr="00087A72">
        <w:rPr>
          <w:rFonts w:cs="Arial"/>
          <w:sz w:val="16"/>
          <w:szCs w:val="28"/>
        </w:rPr>
        <w:t xml:space="preserve"> </w:t>
      </w:r>
      <w:r w:rsidRPr="00087A72">
        <w:rPr>
          <w:rFonts w:eastAsia="Calibri" w:cs="Arial"/>
          <w:sz w:val="16"/>
          <w:szCs w:val="28"/>
        </w:rPr>
        <w:t>attempts</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demonstrate</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peoples</w:t>
      </w:r>
      <w:r w:rsidRPr="00087A72">
        <w:rPr>
          <w:rFonts w:cs="Arial"/>
          <w:sz w:val="16"/>
          <w:szCs w:val="28"/>
        </w:rPr>
        <w:t xml:space="preserve">’ </w:t>
      </w:r>
      <w:r w:rsidRPr="00087A72">
        <w:rPr>
          <w:rFonts w:eastAsia="Calibri" w:cs="Arial"/>
          <w:sz w:val="16"/>
          <w:szCs w:val="28"/>
        </w:rPr>
        <w:t>worthiness</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being</w:t>
      </w:r>
      <w:r w:rsidRPr="00087A72">
        <w:rPr>
          <w:rFonts w:cs="Arial"/>
          <w:sz w:val="16"/>
          <w:szCs w:val="28"/>
        </w:rPr>
        <w:t xml:space="preserve"> </w:t>
      </w:r>
      <w:r w:rsidRPr="00087A72">
        <w:rPr>
          <w:rFonts w:eastAsia="Calibri" w:cs="Arial"/>
          <w:sz w:val="16"/>
          <w:szCs w:val="28"/>
        </w:rPr>
        <w:t>universal</w:t>
      </w:r>
      <w:r w:rsidRPr="00087A72">
        <w:rPr>
          <w:rFonts w:cs="Arial"/>
          <w:sz w:val="16"/>
          <w:szCs w:val="28"/>
        </w:rPr>
        <w:t xml:space="preserve"> </w:t>
      </w:r>
      <w:r w:rsidRPr="00087A72">
        <w:rPr>
          <w:rFonts w:eastAsia="Calibri" w:cs="Arial"/>
          <w:sz w:val="16"/>
          <w:szCs w:val="28"/>
        </w:rPr>
        <w:t>subjects</w:t>
      </w:r>
      <w:r w:rsidRPr="00087A72">
        <w:rPr>
          <w:rFonts w:cs="Arial"/>
          <w:sz w:val="16"/>
          <w:szCs w:val="28"/>
        </w:rPr>
        <w:t xml:space="preserve">, </w:t>
      </w:r>
      <w:r w:rsidRPr="00087A72">
        <w:rPr>
          <w:rFonts w:eastAsia="Calibri" w:cs="Arial"/>
          <w:sz w:val="16"/>
          <w:szCs w:val="28"/>
        </w:rPr>
        <w:t>actually</w:t>
      </w:r>
      <w:r w:rsidRPr="00087A72">
        <w:rPr>
          <w:rFonts w:cs="Arial"/>
          <w:sz w:val="16"/>
          <w:szCs w:val="28"/>
        </w:rPr>
        <w:t xml:space="preserve"> </w:t>
      </w:r>
      <w:r w:rsidRPr="00087A72">
        <w:rPr>
          <w:rFonts w:eastAsia="Calibri" w:cs="Arial"/>
          <w:sz w:val="16"/>
          <w:szCs w:val="28"/>
        </w:rPr>
        <w:t>rests</w:t>
      </w:r>
      <w:r w:rsidRPr="00087A72">
        <w:rPr>
          <w:rFonts w:cs="Arial"/>
          <w:sz w:val="16"/>
          <w:szCs w:val="28"/>
        </w:rPr>
        <w:t xml:space="preserve"> </w:t>
      </w:r>
      <w:r w:rsidRPr="00087A72">
        <w:rPr>
          <w:rFonts w:eastAsia="Calibri" w:cs="Arial"/>
          <w:sz w:val="16"/>
          <w:szCs w:val="28"/>
        </w:rPr>
        <w:t>on</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logic</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peoples</w:t>
      </w:r>
      <w:r w:rsidRPr="00087A72">
        <w:rPr>
          <w:rFonts w:cs="Arial"/>
          <w:sz w:val="16"/>
          <w:szCs w:val="28"/>
        </w:rPr>
        <w:t xml:space="preserve"> </w:t>
      </w:r>
      <w:r w:rsidRPr="00087A72">
        <w:rPr>
          <w:rFonts w:eastAsia="Calibri" w:cs="Arial"/>
          <w:sz w:val="16"/>
          <w:szCs w:val="28"/>
        </w:rPr>
        <w:t>are</w:t>
      </w:r>
      <w:r w:rsidRPr="00087A72">
        <w:rPr>
          <w:rFonts w:cs="Arial"/>
          <w:sz w:val="16"/>
          <w:szCs w:val="28"/>
        </w:rPr>
        <w:t xml:space="preserve"> </w:t>
      </w:r>
      <w:r w:rsidRPr="00087A72">
        <w:rPr>
          <w:rFonts w:eastAsia="Calibri" w:cs="Arial"/>
          <w:sz w:val="16"/>
          <w:szCs w:val="28"/>
        </w:rPr>
        <w:t>equivalent</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nature</w:t>
      </w:r>
      <w:r w:rsidRPr="00087A72">
        <w:rPr>
          <w:rFonts w:cs="Arial"/>
          <w:sz w:val="16"/>
          <w:szCs w:val="28"/>
        </w:rPr>
        <w:t xml:space="preserve"> </w:t>
      </w:r>
      <w:r w:rsidRPr="00087A72">
        <w:rPr>
          <w:rFonts w:eastAsia="Calibri" w:cs="Arial"/>
          <w:sz w:val="16"/>
          <w:szCs w:val="28"/>
        </w:rPr>
        <w:t>itself</w:t>
      </w:r>
      <w:r w:rsidRPr="00087A72">
        <w:rPr>
          <w:rFonts w:cs="Arial"/>
          <w:sz w:val="16"/>
          <w:szCs w:val="28"/>
        </w:rPr>
        <w:t xml:space="preserve">, </w:t>
      </w:r>
      <w:r w:rsidRPr="00087A72">
        <w:rPr>
          <w:rFonts w:eastAsia="Calibri" w:cs="Arial"/>
          <w:sz w:val="16"/>
          <w:szCs w:val="28"/>
        </w:rPr>
        <w:t>things</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be</w:t>
      </w:r>
      <w:r w:rsidRPr="00087A72">
        <w:rPr>
          <w:rFonts w:cs="Arial"/>
          <w:sz w:val="16"/>
          <w:szCs w:val="28"/>
        </w:rPr>
        <w:t xml:space="preserve"> </w:t>
      </w:r>
      <w:r w:rsidRPr="00087A72">
        <w:rPr>
          <w:rFonts w:eastAsia="Calibri" w:cs="Arial"/>
          <w:sz w:val="16"/>
          <w:szCs w:val="28"/>
        </w:rPr>
        <w:t>discovered</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have</w:t>
      </w:r>
      <w:r w:rsidRPr="00087A72">
        <w:rPr>
          <w:rFonts w:cs="Arial"/>
          <w:sz w:val="16"/>
          <w:szCs w:val="28"/>
        </w:rPr>
        <w:t xml:space="preserve"> </w:t>
      </w:r>
      <w:r w:rsidRPr="00087A72">
        <w:rPr>
          <w:rFonts w:eastAsia="Calibri" w:cs="Arial"/>
          <w:sz w:val="16"/>
          <w:szCs w:val="28"/>
        </w:rPr>
        <w:t>an</w:t>
      </w:r>
      <w:r w:rsidRPr="00087A72">
        <w:rPr>
          <w:rFonts w:cs="Arial"/>
          <w:sz w:val="16"/>
          <w:szCs w:val="28"/>
        </w:rPr>
        <w:t xml:space="preserve"> </w:t>
      </w:r>
      <w:r w:rsidRPr="00087A72">
        <w:rPr>
          <w:rFonts w:eastAsia="Calibri" w:cs="Arial"/>
          <w:sz w:val="16"/>
          <w:szCs w:val="28"/>
        </w:rPr>
        <w:t>essential</w:t>
      </w:r>
      <w:r w:rsidRPr="00087A72">
        <w:rPr>
          <w:rFonts w:cs="Arial"/>
          <w:sz w:val="16"/>
          <w:szCs w:val="28"/>
        </w:rPr>
        <w:t xml:space="preserve"> </w:t>
      </w:r>
      <w:r w:rsidRPr="00087A72">
        <w:rPr>
          <w:rFonts w:eastAsia="Calibri" w:cs="Arial"/>
          <w:sz w:val="16"/>
          <w:szCs w:val="28"/>
        </w:rPr>
        <w:t>truth</w:t>
      </w:r>
      <w:r w:rsidRPr="00087A72">
        <w:rPr>
          <w:rFonts w:cs="Arial"/>
          <w:sz w:val="16"/>
          <w:szCs w:val="28"/>
        </w:rPr>
        <w:t xml:space="preserve"> </w:t>
      </w:r>
      <w:r w:rsidRPr="00087A72">
        <w:rPr>
          <w:rFonts w:eastAsia="Calibri" w:cs="Arial"/>
          <w:sz w:val="16"/>
          <w:szCs w:val="28"/>
        </w:rPr>
        <w:t>or</w:t>
      </w:r>
      <w:r w:rsidRPr="00087A72">
        <w:rPr>
          <w:rFonts w:cs="Arial"/>
          <w:sz w:val="16"/>
          <w:szCs w:val="28"/>
        </w:rPr>
        <w:t xml:space="preserve"> </w:t>
      </w:r>
      <w:r w:rsidRPr="00087A72">
        <w:rPr>
          <w:rFonts w:eastAsia="Calibri" w:cs="Arial"/>
          <w:sz w:val="16"/>
          <w:szCs w:val="28"/>
        </w:rPr>
        <w:t>essence</w:t>
      </w:r>
      <w:r w:rsidRPr="00087A72">
        <w:rPr>
          <w:rFonts w:cs="Arial"/>
          <w:sz w:val="16"/>
          <w:szCs w:val="28"/>
        </w:rPr>
        <w:t xml:space="preserve">. </w:t>
      </w:r>
      <w:r w:rsidRPr="00087A72">
        <w:rPr>
          <w:rFonts w:eastAsia="Calibri" w:cs="Arial"/>
          <w:sz w:val="16"/>
          <w:szCs w:val="28"/>
        </w:rPr>
        <w:t>In</w:t>
      </w:r>
      <w:r w:rsidRPr="00087A72">
        <w:rPr>
          <w:rFonts w:cs="Arial"/>
          <w:sz w:val="16"/>
          <w:szCs w:val="28"/>
        </w:rPr>
        <w:t xml:space="preserve"> </w:t>
      </w:r>
      <w:r w:rsidRPr="00087A72">
        <w:rPr>
          <w:rFonts w:eastAsia="Calibri" w:cs="Arial"/>
          <w:sz w:val="16"/>
          <w:szCs w:val="28"/>
        </w:rPr>
        <w:t>other</w:t>
      </w:r>
      <w:r w:rsidRPr="00087A72">
        <w:rPr>
          <w:rFonts w:cs="Arial"/>
          <w:sz w:val="16"/>
          <w:szCs w:val="28"/>
        </w:rPr>
        <w:t xml:space="preserve"> </w:t>
      </w:r>
      <w:r w:rsidRPr="00087A72">
        <w:rPr>
          <w:rFonts w:eastAsia="Calibri" w:cs="Arial"/>
          <w:sz w:val="16"/>
          <w:szCs w:val="28"/>
        </w:rPr>
        <w:t>words</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very</w:t>
      </w:r>
      <w:r w:rsidRPr="00087A72">
        <w:rPr>
          <w:rFonts w:cs="Arial"/>
          <w:sz w:val="16"/>
          <w:szCs w:val="28"/>
        </w:rPr>
        <w:t xml:space="preserve"> </w:t>
      </w:r>
      <w:r w:rsidRPr="00087A72">
        <w:rPr>
          <w:rFonts w:eastAsia="Calibri" w:cs="Arial"/>
          <w:sz w:val="16"/>
          <w:szCs w:val="28"/>
        </w:rPr>
        <w:t>quest</w:t>
      </w:r>
      <w:r w:rsidRPr="00087A72">
        <w:rPr>
          <w:rFonts w:cs="Arial"/>
          <w:sz w:val="16"/>
          <w:szCs w:val="28"/>
        </w:rPr>
        <w:t xml:space="preserve"> </w:t>
      </w:r>
      <w:r w:rsidRPr="00087A72">
        <w:rPr>
          <w:rFonts w:eastAsia="Calibri" w:cs="Arial"/>
          <w:sz w:val="16"/>
          <w:szCs w:val="28"/>
        </w:rPr>
        <w:t>for</w:t>
      </w:r>
      <w:r w:rsidRPr="00087A72">
        <w:rPr>
          <w:rFonts w:cs="Arial"/>
          <w:sz w:val="16"/>
          <w:szCs w:val="28"/>
        </w:rPr>
        <w:t xml:space="preserve"> </w:t>
      </w:r>
      <w:r w:rsidRPr="00087A72">
        <w:rPr>
          <w:rFonts w:eastAsia="Calibri" w:cs="Arial"/>
          <w:sz w:val="16"/>
          <w:szCs w:val="28"/>
        </w:rPr>
        <w:t>full</w:t>
      </w:r>
      <w:r w:rsidRPr="00087A72">
        <w:rPr>
          <w:rFonts w:cs="Arial"/>
          <w:sz w:val="16"/>
          <w:szCs w:val="28"/>
        </w:rPr>
        <w:t xml:space="preserve"> </w:t>
      </w:r>
      <w:r w:rsidRPr="00087A72">
        <w:rPr>
          <w:rFonts w:eastAsia="Calibri" w:cs="Arial"/>
          <w:sz w:val="16"/>
          <w:szCs w:val="28"/>
        </w:rPr>
        <w:t>subjecthood</w:t>
      </w:r>
      <w:r w:rsidRPr="00087A72">
        <w:rPr>
          <w:rFonts w:cs="Arial"/>
          <w:sz w:val="16"/>
          <w:szCs w:val="28"/>
        </w:rPr>
        <w:t xml:space="preserve"> </w:t>
      </w:r>
      <w:r w:rsidRPr="00087A72">
        <w:rPr>
          <w:rFonts w:eastAsia="Calibri" w:cs="Arial"/>
          <w:sz w:val="16"/>
          <w:szCs w:val="28"/>
        </w:rPr>
        <w:t>implicit</w:t>
      </w:r>
      <w:r w:rsidRPr="00087A72">
        <w:rPr>
          <w:rFonts w:cs="Arial"/>
          <w:sz w:val="16"/>
          <w:szCs w:val="28"/>
        </w:rPr>
        <w:t xml:space="preserve"> </w:t>
      </w:r>
      <w:r w:rsidRPr="00087A72">
        <w:rPr>
          <w:rFonts w:eastAsia="Calibri" w:cs="Arial"/>
          <w:sz w:val="16"/>
          <w:szCs w:val="28"/>
        </w:rPr>
        <w:t>in</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ethnographic</w:t>
      </w:r>
      <w:r w:rsidRPr="00087A72">
        <w:rPr>
          <w:rFonts w:cs="Arial"/>
          <w:sz w:val="16"/>
          <w:szCs w:val="28"/>
        </w:rPr>
        <w:t xml:space="preserve"> </w:t>
      </w:r>
      <w:r w:rsidRPr="00087A72">
        <w:rPr>
          <w:rFonts w:eastAsia="Calibri" w:cs="Arial"/>
          <w:sz w:val="16"/>
          <w:szCs w:val="28"/>
        </w:rPr>
        <w:t>project</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tell</w:t>
      </w:r>
      <w:r w:rsidRPr="00087A72">
        <w:rPr>
          <w:rFonts w:cs="Arial"/>
          <w:sz w:val="16"/>
          <w:szCs w:val="28"/>
        </w:rPr>
        <w:t xml:space="preserve"> </w:t>
      </w:r>
      <w:r w:rsidRPr="00087A72">
        <w:rPr>
          <w:rFonts w:eastAsia="Calibri" w:cs="Arial"/>
          <w:sz w:val="16"/>
          <w:szCs w:val="28"/>
        </w:rPr>
        <w:t>our</w:t>
      </w:r>
      <w:r w:rsidRPr="00087A72">
        <w:rPr>
          <w:rFonts w:cs="Arial"/>
          <w:sz w:val="16"/>
          <w:szCs w:val="28"/>
        </w:rPr>
        <w:t xml:space="preserve"> “</w:t>
      </w:r>
      <w:r w:rsidRPr="00087A72">
        <w:rPr>
          <w:rFonts w:eastAsia="Calibri" w:cs="Arial"/>
          <w:sz w:val="16"/>
          <w:szCs w:val="28"/>
        </w:rPr>
        <w:t>truth</w:t>
      </w:r>
      <w:r w:rsidRPr="00087A72">
        <w:rPr>
          <w:rFonts w:cs="Arial"/>
          <w:sz w:val="16"/>
          <w:szCs w:val="28"/>
        </w:rPr>
        <w:t xml:space="preserve">” </w:t>
      </w:r>
      <w:r w:rsidRPr="00087A72">
        <w:rPr>
          <w:rFonts w:eastAsia="Calibri" w:cs="Arial"/>
          <w:sz w:val="16"/>
          <w:szCs w:val="28"/>
        </w:rPr>
        <w:t>is</w:t>
      </w:r>
      <w:r w:rsidRPr="00087A72">
        <w:rPr>
          <w:rFonts w:cs="Arial"/>
          <w:sz w:val="16"/>
          <w:szCs w:val="28"/>
        </w:rPr>
        <w:t xml:space="preserve"> </w:t>
      </w:r>
      <w:r w:rsidRPr="00087A72">
        <w:rPr>
          <w:rFonts w:eastAsia="Calibri" w:cs="Arial"/>
          <w:sz w:val="16"/>
          <w:szCs w:val="28"/>
        </w:rPr>
        <w:t>already</w:t>
      </w:r>
      <w:r w:rsidRPr="00087A72">
        <w:rPr>
          <w:rFonts w:cs="Arial"/>
          <w:sz w:val="16"/>
          <w:szCs w:val="28"/>
        </w:rPr>
        <w:t xml:space="preserve"> </w:t>
      </w:r>
      <w:r w:rsidRPr="00087A72">
        <w:rPr>
          <w:rFonts w:eastAsia="Calibri" w:cs="Arial"/>
          <w:sz w:val="16"/>
          <w:szCs w:val="28"/>
        </w:rPr>
        <w:t>premised</w:t>
      </w:r>
      <w:r w:rsidRPr="00087A72">
        <w:rPr>
          <w:rFonts w:cs="Arial"/>
          <w:sz w:val="16"/>
          <w:szCs w:val="28"/>
        </w:rPr>
        <w:t xml:space="preserve"> </w:t>
      </w:r>
      <w:r w:rsidRPr="00087A72">
        <w:rPr>
          <w:rFonts w:eastAsia="Calibri" w:cs="Arial"/>
          <w:sz w:val="16"/>
          <w:szCs w:val="28"/>
        </w:rPr>
        <w:t>on</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logic</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requires</w:t>
      </w:r>
      <w:r w:rsidRPr="00087A72">
        <w:rPr>
          <w:rFonts w:cs="Arial"/>
          <w:sz w:val="16"/>
          <w:szCs w:val="28"/>
        </w:rPr>
        <w:t xml:space="preserve"> </w:t>
      </w:r>
      <w:r w:rsidRPr="00087A72">
        <w:rPr>
          <w:rFonts w:eastAsia="Calibri" w:cs="Arial"/>
          <w:sz w:val="16"/>
          <w:szCs w:val="28"/>
        </w:rPr>
        <w:t>us</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be</w:t>
      </w:r>
      <w:r w:rsidRPr="00087A72">
        <w:rPr>
          <w:rFonts w:cs="Arial"/>
          <w:sz w:val="16"/>
          <w:szCs w:val="28"/>
        </w:rPr>
        <w:t xml:space="preserve"> </w:t>
      </w:r>
      <w:r w:rsidRPr="00087A72">
        <w:rPr>
          <w:rFonts w:eastAsia="Calibri" w:cs="Arial"/>
          <w:sz w:val="16"/>
          <w:szCs w:val="28"/>
        </w:rPr>
        <w:t>objects</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be</w:t>
      </w:r>
      <w:r w:rsidRPr="00087A72">
        <w:rPr>
          <w:rFonts w:cs="Arial"/>
          <w:sz w:val="16"/>
          <w:szCs w:val="28"/>
        </w:rPr>
        <w:t xml:space="preserve"> </w:t>
      </w:r>
      <w:r w:rsidRPr="00087A72">
        <w:rPr>
          <w:rFonts w:eastAsia="Calibri" w:cs="Arial"/>
          <w:sz w:val="16"/>
          <w:szCs w:val="28"/>
        </w:rPr>
        <w:t>discovered</w:t>
      </w:r>
      <w:r w:rsidRPr="00087A72">
        <w:rPr>
          <w:rFonts w:cs="Arial"/>
          <w:sz w:val="16"/>
          <w:szCs w:val="28"/>
        </w:rPr>
        <w:t xml:space="preserve">. </w:t>
      </w:r>
      <w:r w:rsidRPr="00087A72">
        <w:rPr>
          <w:rFonts w:eastAsia="Calibri" w:cs="Arial"/>
          <w:sz w:val="16"/>
          <w:szCs w:val="28"/>
        </w:rPr>
        <w:t>Furthermore</w:t>
      </w:r>
      <w:r w:rsidRPr="00087A72">
        <w:rPr>
          <w:rFonts w:cs="Arial"/>
          <w:sz w:val="16"/>
          <w:szCs w:val="28"/>
        </w:rPr>
        <w:t xml:space="preserve">, </w:t>
      </w:r>
      <w:r w:rsidRPr="00087A72">
        <w:rPr>
          <w:rFonts w:eastAsia="Calibri" w:cs="Arial"/>
          <w:sz w:val="16"/>
          <w:szCs w:val="28"/>
        </w:rPr>
        <w:t>within</w:t>
      </w:r>
      <w:r w:rsidRPr="00087A72">
        <w:rPr>
          <w:rFonts w:cs="Arial"/>
          <w:sz w:val="16"/>
          <w:szCs w:val="28"/>
        </w:rPr>
        <w:t xml:space="preserve"> </w:t>
      </w:r>
      <w:r w:rsidRPr="00087A72">
        <w:rPr>
          <w:rFonts w:eastAsia="Calibri" w:cs="Arial"/>
          <w:sz w:val="16"/>
          <w:szCs w:val="28"/>
        </w:rPr>
        <w:t>this</w:t>
      </w:r>
      <w:r w:rsidRPr="00087A72">
        <w:rPr>
          <w:rFonts w:cs="Arial"/>
          <w:sz w:val="16"/>
          <w:szCs w:val="28"/>
        </w:rPr>
        <w:t xml:space="preserve"> </w:t>
      </w:r>
      <w:r w:rsidRPr="00087A72">
        <w:rPr>
          <w:rFonts w:eastAsia="Calibri" w:cs="Arial"/>
          <w:sz w:val="16"/>
          <w:szCs w:val="28"/>
        </w:rPr>
        <w:t>colonial</w:t>
      </w:r>
      <w:r w:rsidRPr="00087A72">
        <w:rPr>
          <w:rFonts w:cs="Arial"/>
          <w:sz w:val="16"/>
          <w:szCs w:val="28"/>
        </w:rPr>
        <w:t xml:space="preserve"> </w:t>
      </w:r>
      <w:r w:rsidRPr="00087A72">
        <w:rPr>
          <w:rFonts w:eastAsia="Calibri" w:cs="Arial"/>
          <w:sz w:val="16"/>
          <w:szCs w:val="28"/>
        </w:rPr>
        <w:t>logic</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particularity</w:t>
      </w:r>
      <w:r w:rsidRPr="00087A72">
        <w:rPr>
          <w:rFonts w:cs="Arial"/>
          <w:sz w:val="16"/>
          <w:szCs w:val="28"/>
        </w:rPr>
        <w:t xml:space="preserve"> </w:t>
      </w:r>
      <w:r w:rsidRPr="00087A72">
        <w:rPr>
          <w:rFonts w:eastAsia="Calibri" w:cs="Arial"/>
          <w:sz w:val="16"/>
          <w:szCs w:val="28"/>
        </w:rPr>
        <w:t>cannot</w:t>
      </w:r>
      <w:r w:rsidRPr="00087A72">
        <w:rPr>
          <w:rFonts w:cs="Arial"/>
          <w:sz w:val="16"/>
          <w:szCs w:val="28"/>
        </w:rPr>
        <w:t xml:space="preserve"> </w:t>
      </w:r>
      <w:r w:rsidRPr="00087A72">
        <w:rPr>
          <w:rFonts w:eastAsia="Calibri" w:cs="Arial"/>
          <w:sz w:val="16"/>
          <w:szCs w:val="28"/>
        </w:rPr>
        <w:t>achieve</w:t>
      </w:r>
      <w:r w:rsidRPr="00087A72">
        <w:rPr>
          <w:rFonts w:cs="Arial"/>
          <w:sz w:val="16"/>
          <w:szCs w:val="28"/>
        </w:rPr>
        <w:t xml:space="preserve"> </w:t>
      </w:r>
      <w:r w:rsidRPr="00087A72">
        <w:rPr>
          <w:rFonts w:eastAsia="Calibri" w:cs="Arial"/>
          <w:sz w:val="16"/>
          <w:szCs w:val="28"/>
        </w:rPr>
        <w:t>universal</w:t>
      </w:r>
      <w:r w:rsidRPr="00087A72">
        <w:rPr>
          <w:rFonts w:cs="Arial"/>
          <w:sz w:val="16"/>
          <w:szCs w:val="28"/>
        </w:rPr>
        <w:t xml:space="preserve"> </w:t>
      </w:r>
      <w:r w:rsidRPr="00087A72">
        <w:rPr>
          <w:rFonts w:eastAsia="Calibri" w:cs="Arial"/>
          <w:sz w:val="16"/>
          <w:szCs w:val="28"/>
        </w:rPr>
        <w:t>humanity</w:t>
      </w:r>
      <w:r w:rsidRPr="00087A72">
        <w:rPr>
          <w:rFonts w:cs="Arial"/>
          <w:sz w:val="16"/>
          <w:szCs w:val="28"/>
        </w:rPr>
        <w:t xml:space="preserve"> </w:t>
      </w:r>
      <w:r w:rsidRPr="00087A72">
        <w:rPr>
          <w:rFonts w:eastAsia="Calibri" w:cs="Arial"/>
          <w:sz w:val="16"/>
          <w:szCs w:val="28"/>
        </w:rPr>
        <w:t>without</w:t>
      </w:r>
      <w:r w:rsidRPr="00087A72">
        <w:rPr>
          <w:rFonts w:cs="Arial"/>
          <w:sz w:val="16"/>
          <w:szCs w:val="28"/>
        </w:rPr>
        <w:t xml:space="preserve"> </w:t>
      </w:r>
      <w:r w:rsidRPr="00087A72">
        <w:rPr>
          <w:rFonts w:eastAsia="Calibri" w:cs="Arial"/>
          <w:sz w:val="16"/>
          <w:szCs w:val="28"/>
        </w:rPr>
        <w:t>becoming</w:t>
      </w:r>
      <w:r w:rsidRPr="00087A72">
        <w:rPr>
          <w:rFonts w:cs="Arial"/>
          <w:sz w:val="16"/>
          <w:szCs w:val="28"/>
        </w:rPr>
        <w:t xml:space="preserve"> “</w:t>
      </w:r>
      <w:r w:rsidRPr="00087A72">
        <w:rPr>
          <w:rFonts w:eastAsia="Calibri" w:cs="Arial"/>
          <w:sz w:val="16"/>
          <w:szCs w:val="28"/>
        </w:rPr>
        <w:t>inauthentic</w:t>
      </w:r>
      <w:r w:rsidRPr="00087A72">
        <w:rPr>
          <w:rFonts w:cs="Arial"/>
          <w:sz w:val="16"/>
          <w:szCs w:val="28"/>
        </w:rPr>
        <w:t xml:space="preserve">” </w:t>
      </w:r>
      <w:r w:rsidRPr="00087A72">
        <w:rPr>
          <w:rFonts w:eastAsia="Calibri" w:cs="Arial"/>
          <w:sz w:val="16"/>
          <w:szCs w:val="28"/>
        </w:rPr>
        <w:t>because</w:t>
      </w:r>
      <w:r w:rsidRPr="00087A72">
        <w:rPr>
          <w:rFonts w:cs="Arial"/>
          <w:sz w:val="16"/>
          <w:szCs w:val="28"/>
        </w:rPr>
        <w:t xml:space="preserve"> </w:t>
      </w:r>
      <w:r w:rsidRPr="00087A72">
        <w:rPr>
          <w:rFonts w:eastAsia="Calibri" w:cs="Arial"/>
          <w:sz w:val="16"/>
          <w:szCs w:val="28"/>
        </w:rPr>
        <w:t>Nativeness</w:t>
      </w:r>
      <w:r w:rsidRPr="00087A72">
        <w:rPr>
          <w:rFonts w:cs="Arial"/>
          <w:sz w:val="16"/>
          <w:szCs w:val="28"/>
        </w:rPr>
        <w:t xml:space="preserve"> </w:t>
      </w:r>
      <w:r w:rsidRPr="00087A72">
        <w:rPr>
          <w:rFonts w:eastAsia="Calibri" w:cs="Arial"/>
          <w:sz w:val="16"/>
          <w:szCs w:val="28"/>
        </w:rPr>
        <w:t>is</w:t>
      </w:r>
      <w:r w:rsidRPr="00087A72">
        <w:rPr>
          <w:rFonts w:cs="Arial"/>
          <w:sz w:val="16"/>
          <w:szCs w:val="28"/>
        </w:rPr>
        <w:t xml:space="preserve"> </w:t>
      </w:r>
      <w:r w:rsidRPr="00087A72">
        <w:rPr>
          <w:rFonts w:eastAsia="Calibri" w:cs="Arial"/>
          <w:sz w:val="16"/>
          <w:szCs w:val="28"/>
        </w:rPr>
        <w:t>already</w:t>
      </w:r>
      <w:r w:rsidRPr="00087A72">
        <w:rPr>
          <w:rFonts w:cs="Arial"/>
          <w:sz w:val="16"/>
          <w:szCs w:val="28"/>
        </w:rPr>
        <w:t xml:space="preserve"> </w:t>
      </w:r>
      <w:r w:rsidRPr="00087A72">
        <w:rPr>
          <w:rFonts w:eastAsia="Calibri" w:cs="Arial"/>
          <w:sz w:val="16"/>
          <w:szCs w:val="28"/>
        </w:rPr>
        <w:t>fundamentally</w:t>
      </w:r>
      <w:r w:rsidRPr="00087A72">
        <w:rPr>
          <w:rFonts w:cs="Arial"/>
          <w:sz w:val="16"/>
          <w:szCs w:val="28"/>
        </w:rPr>
        <w:t xml:space="preserve"> </w:t>
      </w:r>
      <w:r w:rsidRPr="00087A72">
        <w:rPr>
          <w:rFonts w:eastAsia="Calibri" w:cs="Arial"/>
          <w:sz w:val="16"/>
          <w:szCs w:val="28"/>
        </w:rPr>
        <w:t>constructed</w:t>
      </w:r>
      <w:r w:rsidRPr="00087A72">
        <w:rPr>
          <w:rFonts w:cs="Arial"/>
          <w:sz w:val="16"/>
          <w:szCs w:val="28"/>
        </w:rPr>
        <w:t xml:space="preserve">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other</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Western</w:t>
      </w:r>
      <w:r w:rsidRPr="00087A72">
        <w:rPr>
          <w:rFonts w:cs="Arial"/>
          <w:sz w:val="16"/>
          <w:szCs w:val="28"/>
        </w:rPr>
        <w:t xml:space="preserve"> </w:t>
      </w:r>
      <w:r w:rsidRPr="00087A72">
        <w:rPr>
          <w:rFonts w:eastAsia="Calibri" w:cs="Arial"/>
          <w:sz w:val="16"/>
          <w:szCs w:val="28"/>
        </w:rPr>
        <w:t>subjectivity</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use</w:t>
      </w:r>
      <w:r w:rsidRPr="00087A72">
        <w:rPr>
          <w:rFonts w:cs="Arial"/>
          <w:sz w:val="16"/>
          <w:szCs w:val="28"/>
        </w:rPr>
        <w:t xml:space="preserve"> </w:t>
      </w:r>
      <w:r w:rsidRPr="00087A72">
        <w:rPr>
          <w:rFonts w:eastAsia="Calibri" w:cs="Arial"/>
          <w:sz w:val="16"/>
          <w:szCs w:val="28"/>
        </w:rPr>
        <w:t>Silva</w:t>
      </w:r>
      <w:r w:rsidRPr="00087A72">
        <w:rPr>
          <w:rFonts w:cs="Arial"/>
          <w:sz w:val="16"/>
          <w:szCs w:val="28"/>
        </w:rPr>
        <w:t>’</w:t>
      </w:r>
      <w:r w:rsidRPr="00087A72">
        <w:rPr>
          <w:rFonts w:eastAsia="Calibri" w:cs="Arial"/>
          <w:sz w:val="16"/>
          <w:szCs w:val="28"/>
        </w:rPr>
        <w:t>s</w:t>
      </w:r>
      <w:r w:rsidRPr="00087A72">
        <w:rPr>
          <w:rFonts w:cs="Arial"/>
          <w:sz w:val="16"/>
          <w:szCs w:val="28"/>
        </w:rPr>
        <w:t xml:space="preserve"> </w:t>
      </w:r>
      <w:r w:rsidRPr="00087A72">
        <w:rPr>
          <w:rFonts w:eastAsia="Calibri" w:cs="Arial"/>
          <w:sz w:val="16"/>
          <w:szCs w:val="28"/>
        </w:rPr>
        <w:t>phrase</w:t>
      </w:r>
      <w:r w:rsidRPr="00087A72">
        <w:rPr>
          <w:rFonts w:cs="Arial"/>
          <w:sz w:val="16"/>
          <w:szCs w:val="28"/>
        </w:rPr>
        <w:t xml:space="preserve">, </w:t>
      </w:r>
      <w:r w:rsidRPr="00087A72">
        <w:rPr>
          <w:rFonts w:eastAsia="Calibri" w:cs="Arial"/>
          <w:sz w:val="16"/>
          <w:szCs w:val="28"/>
        </w:rPr>
        <w:t>ethnographic</w:t>
      </w:r>
      <w:r w:rsidRPr="00087A72">
        <w:rPr>
          <w:rFonts w:cs="Arial"/>
          <w:sz w:val="16"/>
          <w:szCs w:val="28"/>
        </w:rPr>
        <w:t xml:space="preserve"> </w:t>
      </w:r>
      <w:r w:rsidRPr="00087A72">
        <w:rPr>
          <w:rFonts w:eastAsia="Calibri" w:cs="Arial"/>
          <w:sz w:val="16"/>
          <w:szCs w:val="28"/>
        </w:rPr>
        <w:t>entrapment</w:t>
      </w:r>
      <w:r w:rsidRPr="00087A72">
        <w:rPr>
          <w:rFonts w:cs="Arial"/>
          <w:sz w:val="16"/>
          <w:szCs w:val="28"/>
        </w:rPr>
        <w:t xml:space="preserve"> </w:t>
      </w:r>
      <w:r w:rsidRPr="00087A72">
        <w:rPr>
          <w:rFonts w:eastAsia="Calibri" w:cs="Arial"/>
          <w:sz w:val="16"/>
          <w:szCs w:val="28"/>
        </w:rPr>
        <w:t>inevitably</w:t>
      </w:r>
      <w:r w:rsidRPr="00087A72">
        <w:rPr>
          <w:rFonts w:cs="Arial"/>
          <w:sz w:val="16"/>
          <w:szCs w:val="28"/>
        </w:rPr>
        <w:t xml:space="preserve"> </w:t>
      </w:r>
      <w:r w:rsidRPr="00087A72">
        <w:rPr>
          <w:rFonts w:eastAsia="Calibri" w:cs="Arial"/>
          <w:sz w:val="16"/>
          <w:szCs w:val="28"/>
        </w:rPr>
        <w:t>positions</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peoples</w:t>
      </w:r>
      <w:r w:rsidRPr="00087A72">
        <w:rPr>
          <w:rFonts w:cs="Arial"/>
          <w:sz w:val="16"/>
          <w:szCs w:val="28"/>
        </w:rPr>
        <w:t xml:space="preserve"> </w:t>
      </w:r>
      <w:r w:rsidRPr="00087A72">
        <w:rPr>
          <w:rFonts w:eastAsia="Calibri" w:cs="Arial"/>
          <w:sz w:val="16"/>
          <w:szCs w:val="28"/>
        </w:rPr>
        <w:t>at</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horizon</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death</w:t>
      </w:r>
      <w:r w:rsidRPr="00087A72">
        <w:rPr>
          <w:rFonts w:cs="Arial"/>
          <w:sz w:val="16"/>
          <w:szCs w:val="28"/>
        </w:rPr>
        <w:t xml:space="preserve">.”6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strategy</w:t>
      </w:r>
      <w:r w:rsidRPr="00087A72">
        <w:rPr>
          <w:rFonts w:cs="Arial"/>
          <w:sz w:val="16"/>
          <w:szCs w:val="28"/>
        </w:rPr>
        <w:t xml:space="preserve"> </w:t>
      </w:r>
      <w:r w:rsidRPr="00087A72">
        <w:rPr>
          <w:rFonts w:eastAsia="Calibri" w:cs="Arial"/>
          <w:sz w:val="16"/>
          <w:szCs w:val="28"/>
        </w:rPr>
        <w:t>for</w:t>
      </w:r>
      <w:r w:rsidRPr="00087A72">
        <w:rPr>
          <w:rFonts w:cs="Arial"/>
          <w:sz w:val="16"/>
          <w:szCs w:val="28"/>
        </w:rPr>
        <w:t xml:space="preserve"> </w:t>
      </w:r>
      <w:r w:rsidRPr="00087A72">
        <w:rPr>
          <w:rFonts w:eastAsia="Calibri" w:cs="Arial"/>
          <w:sz w:val="16"/>
          <w:szCs w:val="28"/>
        </w:rPr>
        <w:t>addressing</w:t>
      </w:r>
      <w:r w:rsidRPr="00087A72">
        <w:rPr>
          <w:rFonts w:cs="Arial"/>
          <w:sz w:val="16"/>
          <w:szCs w:val="28"/>
        </w:rPr>
        <w:t xml:space="preserve"> </w:t>
      </w:r>
      <w:r w:rsidRPr="00087A72">
        <w:rPr>
          <w:rFonts w:eastAsia="Calibri" w:cs="Arial"/>
          <w:sz w:val="16"/>
          <w:szCs w:val="28"/>
        </w:rPr>
        <w:t>ethnographic</w:t>
      </w:r>
      <w:r w:rsidRPr="00087A72">
        <w:rPr>
          <w:rFonts w:cs="Arial"/>
          <w:sz w:val="16"/>
          <w:szCs w:val="28"/>
        </w:rPr>
        <w:t xml:space="preserve"> </w:t>
      </w:r>
      <w:r w:rsidRPr="00087A72">
        <w:rPr>
          <w:rFonts w:eastAsia="Calibri" w:cs="Arial"/>
          <w:sz w:val="16"/>
          <w:szCs w:val="28"/>
        </w:rPr>
        <w:t>entrapment</w:t>
      </w:r>
      <w:r w:rsidRPr="00087A72">
        <w:rPr>
          <w:rFonts w:cs="Arial"/>
          <w:sz w:val="16"/>
          <w:szCs w:val="28"/>
        </w:rPr>
        <w:t xml:space="preserve">, </w:t>
      </w:r>
      <w:r w:rsidRPr="00087A72">
        <w:rPr>
          <w:rFonts w:eastAsia="Calibri" w:cs="Arial"/>
          <w:sz w:val="16"/>
          <w:szCs w:val="28"/>
        </w:rPr>
        <w:t>many</w:t>
      </w:r>
      <w:r w:rsidRPr="00087A72">
        <w:rPr>
          <w:rFonts w:cs="Arial"/>
          <w:sz w:val="16"/>
          <w:szCs w:val="28"/>
        </w:rPr>
        <w:t xml:space="preserve"> </w:t>
      </w:r>
      <w:r w:rsidRPr="00087A72">
        <w:rPr>
          <w:rFonts w:eastAsia="Calibri" w:cs="Arial"/>
          <w:sz w:val="16"/>
          <w:szCs w:val="28"/>
        </w:rPr>
        <w:t>indigenous</w:t>
      </w:r>
      <w:r w:rsidRPr="00087A72">
        <w:rPr>
          <w:rFonts w:cs="Arial"/>
          <w:sz w:val="16"/>
          <w:szCs w:val="28"/>
        </w:rPr>
        <w:t xml:space="preserve"> </w:t>
      </w:r>
      <w:r w:rsidRPr="00087A72">
        <w:rPr>
          <w:rFonts w:eastAsia="Calibri" w:cs="Arial"/>
          <w:sz w:val="16"/>
          <w:szCs w:val="28"/>
        </w:rPr>
        <w:t>scholars</w:t>
      </w:r>
      <w:r w:rsidRPr="00087A72">
        <w:rPr>
          <w:rFonts w:cs="Arial"/>
          <w:sz w:val="16"/>
          <w:szCs w:val="28"/>
        </w:rPr>
        <w:t xml:space="preserve"> </w:t>
      </w:r>
      <w:r w:rsidRPr="00087A72">
        <w:rPr>
          <w:rFonts w:eastAsia="Calibri" w:cs="Arial"/>
          <w:sz w:val="16"/>
          <w:szCs w:val="28"/>
        </w:rPr>
        <w:t>such</w:t>
      </w:r>
      <w:r w:rsidRPr="00087A72">
        <w:rPr>
          <w:rFonts w:cs="Arial"/>
          <w:sz w:val="16"/>
          <w:szCs w:val="28"/>
        </w:rPr>
        <w:t xml:space="preserve">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Elizabeth</w:t>
      </w:r>
      <w:r w:rsidRPr="00087A72">
        <w:rPr>
          <w:rFonts w:cs="Arial"/>
          <w:sz w:val="16"/>
          <w:szCs w:val="28"/>
        </w:rPr>
        <w:t xml:space="preserve"> </w:t>
      </w:r>
      <w:r w:rsidRPr="00087A72">
        <w:rPr>
          <w:rFonts w:eastAsia="Calibri" w:cs="Arial"/>
          <w:sz w:val="16"/>
          <w:szCs w:val="28"/>
        </w:rPr>
        <w:t>Cook</w:t>
      </w:r>
      <w:r w:rsidRPr="00087A72">
        <w:rPr>
          <w:rFonts w:cs="Arial"/>
          <w:sz w:val="16"/>
          <w:szCs w:val="28"/>
        </w:rPr>
        <w:t>-</w:t>
      </w:r>
      <w:r w:rsidRPr="00087A72">
        <w:rPr>
          <w:rFonts w:eastAsia="Calibri" w:cs="Arial"/>
          <w:sz w:val="16"/>
          <w:szCs w:val="28"/>
        </w:rPr>
        <w:t>Lynn</w:t>
      </w:r>
      <w:r w:rsidRPr="00087A72">
        <w:rPr>
          <w:rFonts w:cs="Arial"/>
          <w:sz w:val="16"/>
          <w:szCs w:val="28"/>
        </w:rPr>
        <w:t xml:space="preserve">, </w:t>
      </w:r>
      <w:r w:rsidRPr="00087A72">
        <w:rPr>
          <w:rFonts w:eastAsia="Calibri" w:cs="Arial"/>
          <w:sz w:val="16"/>
          <w:szCs w:val="28"/>
        </w:rPr>
        <w:t>Sandy</w:t>
      </w:r>
      <w:r w:rsidRPr="00087A72">
        <w:rPr>
          <w:rFonts w:cs="Arial"/>
          <w:sz w:val="16"/>
          <w:szCs w:val="28"/>
        </w:rPr>
        <w:t xml:space="preserve"> </w:t>
      </w:r>
      <w:r w:rsidRPr="00087A72">
        <w:rPr>
          <w:rFonts w:eastAsia="Calibri" w:cs="Arial"/>
          <w:sz w:val="16"/>
          <w:szCs w:val="28"/>
        </w:rPr>
        <w:t>Grande</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Linda</w:t>
      </w:r>
      <w:r w:rsidRPr="00087A72">
        <w:rPr>
          <w:rFonts w:cs="Arial"/>
          <w:sz w:val="16"/>
          <w:szCs w:val="28"/>
        </w:rPr>
        <w:t xml:space="preserve"> </w:t>
      </w:r>
      <w:r w:rsidRPr="00087A72">
        <w:rPr>
          <w:rFonts w:eastAsia="Calibri" w:cs="Arial"/>
          <w:sz w:val="16"/>
          <w:szCs w:val="28"/>
        </w:rPr>
        <w:t>Tuhiwai</w:t>
      </w:r>
      <w:r w:rsidRPr="00087A72">
        <w:rPr>
          <w:rFonts w:cs="Arial"/>
          <w:sz w:val="16"/>
          <w:szCs w:val="28"/>
        </w:rPr>
        <w:t xml:space="preserve"> </w:t>
      </w:r>
      <w:r w:rsidRPr="00087A72">
        <w:rPr>
          <w:rFonts w:eastAsia="Calibri" w:cs="Arial"/>
          <w:sz w:val="16"/>
          <w:szCs w:val="28"/>
        </w:rPr>
        <w:t>Smith</w:t>
      </w:r>
      <w:r w:rsidRPr="00087A72">
        <w:rPr>
          <w:rFonts w:cs="Arial"/>
          <w:sz w:val="16"/>
          <w:szCs w:val="28"/>
        </w:rPr>
        <w:t xml:space="preserve">, </w:t>
      </w:r>
      <w:r w:rsidRPr="00087A72">
        <w:rPr>
          <w:rFonts w:eastAsia="Calibri" w:cs="Arial"/>
          <w:sz w:val="16"/>
          <w:szCs w:val="28"/>
        </w:rPr>
        <w:t>while</w:t>
      </w:r>
      <w:r w:rsidRPr="00087A72">
        <w:rPr>
          <w:rFonts w:cs="Arial"/>
          <w:sz w:val="16"/>
          <w:szCs w:val="28"/>
        </w:rPr>
        <w:t xml:space="preserve"> </w:t>
      </w:r>
      <w:r w:rsidRPr="00087A72">
        <w:rPr>
          <w:rFonts w:eastAsia="Calibri" w:cs="Arial"/>
          <w:sz w:val="16"/>
          <w:szCs w:val="28"/>
        </w:rPr>
        <w:t>diverse</w:t>
      </w:r>
      <w:r w:rsidRPr="00087A72">
        <w:rPr>
          <w:rFonts w:cs="Arial"/>
          <w:sz w:val="16"/>
          <w:szCs w:val="28"/>
        </w:rPr>
        <w:t xml:space="preserve"> </w:t>
      </w:r>
      <w:r w:rsidRPr="00087A72">
        <w:rPr>
          <w:rFonts w:eastAsia="Calibri" w:cs="Arial"/>
          <w:sz w:val="16"/>
          <w:szCs w:val="28"/>
        </w:rPr>
        <w:t>in</w:t>
      </w:r>
      <w:r w:rsidRPr="00087A72">
        <w:rPr>
          <w:rFonts w:cs="Arial"/>
          <w:sz w:val="16"/>
          <w:szCs w:val="28"/>
        </w:rPr>
        <w:t xml:space="preserve"> </w:t>
      </w:r>
      <w:r w:rsidRPr="00087A72">
        <w:rPr>
          <w:rFonts w:eastAsia="Calibri" w:cs="Arial"/>
          <w:sz w:val="16"/>
          <w:szCs w:val="28"/>
        </w:rPr>
        <w:t>their</w:t>
      </w:r>
      <w:r w:rsidRPr="00087A72">
        <w:rPr>
          <w:rFonts w:cs="Arial"/>
          <w:sz w:val="16"/>
          <w:szCs w:val="28"/>
        </w:rPr>
        <w:t xml:space="preserve"> </w:t>
      </w:r>
      <w:r w:rsidRPr="00087A72">
        <w:rPr>
          <w:rFonts w:eastAsia="Calibri" w:cs="Arial"/>
          <w:sz w:val="16"/>
          <w:szCs w:val="28"/>
        </w:rPr>
        <w:t>concerns</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methodologies</w:t>
      </w:r>
      <w:r w:rsidRPr="00087A72">
        <w:rPr>
          <w:rFonts w:cs="Arial"/>
          <w:sz w:val="16"/>
          <w:szCs w:val="28"/>
        </w:rPr>
        <w:t xml:space="preserve">, </w:t>
      </w:r>
      <w:r w:rsidRPr="00087A72">
        <w:rPr>
          <w:rFonts w:eastAsia="Calibri" w:cs="Arial"/>
          <w:sz w:val="16"/>
          <w:szCs w:val="28"/>
        </w:rPr>
        <w:t>have</w:t>
      </w:r>
      <w:r w:rsidRPr="00087A72">
        <w:rPr>
          <w:rFonts w:cs="Arial"/>
          <w:sz w:val="16"/>
          <w:szCs w:val="28"/>
        </w:rPr>
        <w:t xml:space="preserve"> </w:t>
      </w:r>
      <w:r w:rsidRPr="00087A72">
        <w:rPr>
          <w:rFonts w:eastAsia="Calibri" w:cs="Arial"/>
          <w:sz w:val="16"/>
          <w:szCs w:val="28"/>
        </w:rPr>
        <w:t>all</w:t>
      </w:r>
      <w:r w:rsidRPr="00087A72">
        <w:rPr>
          <w:rFonts w:cs="Arial"/>
          <w:sz w:val="16"/>
          <w:szCs w:val="28"/>
        </w:rPr>
        <w:t xml:space="preserve"> </w:t>
      </w:r>
      <w:r w:rsidRPr="00087A72">
        <w:rPr>
          <w:rFonts w:eastAsia="Calibri" w:cs="Arial"/>
          <w:sz w:val="16"/>
          <w:szCs w:val="28"/>
        </w:rPr>
        <w:t>called</w:t>
      </w:r>
      <w:r w:rsidRPr="00087A72">
        <w:rPr>
          <w:rFonts w:cs="Arial"/>
          <w:sz w:val="16"/>
          <w:szCs w:val="28"/>
        </w:rPr>
        <w:t xml:space="preserve"> </w:t>
      </w:r>
      <w:r w:rsidRPr="00087A72">
        <w:rPr>
          <w:rFonts w:eastAsia="Calibri" w:cs="Arial"/>
          <w:sz w:val="16"/>
          <w:szCs w:val="28"/>
        </w:rPr>
        <w:t>for</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development</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field</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Native</w:t>
      </w:r>
      <w:r w:rsidRPr="00087A72">
        <w:rPr>
          <w:rFonts w:cs="Arial"/>
          <w:sz w:val="16"/>
          <w:szCs w:val="28"/>
        </w:rPr>
        <w:t>/</w:t>
      </w:r>
      <w:r w:rsidRPr="00087A72">
        <w:rPr>
          <w:rFonts w:eastAsia="Calibri" w:cs="Arial"/>
          <w:sz w:val="16"/>
          <w:szCs w:val="28"/>
        </w:rPr>
        <w:t>Indigenous</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is</w:t>
      </w:r>
      <w:r w:rsidRPr="00087A72">
        <w:rPr>
          <w:rFonts w:cs="Arial"/>
          <w:sz w:val="16"/>
          <w:szCs w:val="28"/>
        </w:rPr>
        <w:t xml:space="preserve"> </w:t>
      </w:r>
      <w:r w:rsidRPr="00087A72">
        <w:rPr>
          <w:rFonts w:eastAsia="Calibri" w:cs="Arial"/>
          <w:sz w:val="16"/>
          <w:szCs w:val="28"/>
        </w:rPr>
        <w:t>distinct</w:t>
      </w:r>
      <w:r w:rsidRPr="00087A72">
        <w:rPr>
          <w:rFonts w:cs="Arial"/>
          <w:sz w:val="16"/>
          <w:szCs w:val="28"/>
        </w:rPr>
        <w:t xml:space="preserve"> </w:t>
      </w:r>
      <w:r w:rsidRPr="00087A72">
        <w:rPr>
          <w:rFonts w:eastAsia="Calibri" w:cs="Arial"/>
          <w:sz w:val="16"/>
          <w:szCs w:val="28"/>
        </w:rPr>
        <w:t>because</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its</w:t>
      </w:r>
      <w:r w:rsidRPr="00087A72">
        <w:rPr>
          <w:rFonts w:cs="Arial"/>
          <w:sz w:val="16"/>
          <w:szCs w:val="28"/>
        </w:rPr>
        <w:t xml:space="preserve"> </w:t>
      </w:r>
      <w:r w:rsidRPr="00087A72">
        <w:rPr>
          <w:rFonts w:eastAsia="Calibri" w:cs="Arial"/>
          <w:sz w:val="16"/>
          <w:szCs w:val="28"/>
        </w:rPr>
        <w:t>methodologies</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theoretical</w:t>
      </w:r>
      <w:r w:rsidRPr="00087A72">
        <w:rPr>
          <w:rFonts w:cs="Arial"/>
          <w:sz w:val="16"/>
          <w:szCs w:val="28"/>
        </w:rPr>
        <w:t xml:space="preserve"> </w:t>
      </w:r>
      <w:r w:rsidRPr="00087A72">
        <w:rPr>
          <w:rFonts w:eastAsia="Calibri" w:cs="Arial"/>
          <w:sz w:val="16"/>
          <w:szCs w:val="28"/>
        </w:rPr>
        <w:t>frameworks</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not</w:t>
      </w:r>
      <w:r w:rsidRPr="00087A72">
        <w:rPr>
          <w:rFonts w:cs="Arial"/>
          <w:sz w:val="16"/>
          <w:szCs w:val="28"/>
        </w:rPr>
        <w:t xml:space="preserve"> </w:t>
      </w:r>
      <w:r w:rsidRPr="00087A72">
        <w:rPr>
          <w:rFonts w:eastAsia="Calibri" w:cs="Arial"/>
          <w:sz w:val="16"/>
          <w:szCs w:val="28"/>
        </w:rPr>
        <w:t>just</w:t>
      </w:r>
      <w:r w:rsidRPr="00087A72">
        <w:rPr>
          <w:rFonts w:cs="Arial"/>
          <w:sz w:val="16"/>
          <w:szCs w:val="28"/>
        </w:rPr>
        <w:t xml:space="preserve"> </w:t>
      </w:r>
      <w:r w:rsidRPr="00087A72">
        <w:rPr>
          <w:rFonts w:eastAsia="Calibri" w:cs="Arial"/>
          <w:sz w:val="16"/>
          <w:szCs w:val="28"/>
        </w:rPr>
        <w:t>because</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its</w:t>
      </w:r>
      <w:r w:rsidRPr="00087A72">
        <w:rPr>
          <w:rFonts w:cs="Arial"/>
          <w:sz w:val="16"/>
          <w:szCs w:val="28"/>
        </w:rPr>
        <w:t xml:space="preserve"> </w:t>
      </w:r>
      <w:r w:rsidRPr="00087A72">
        <w:rPr>
          <w:rFonts w:eastAsia="Calibri" w:cs="Arial"/>
          <w:sz w:val="16"/>
          <w:szCs w:val="28"/>
        </w:rPr>
        <w:t>object</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study</w:t>
      </w:r>
      <w:r w:rsidRPr="00087A72">
        <w:rPr>
          <w:rFonts w:cs="Arial"/>
          <w:sz w:val="16"/>
          <w:szCs w:val="28"/>
        </w:rPr>
        <w:t>.7</w:t>
      </w:r>
      <w:r w:rsidRPr="00087A72">
        <w:rPr>
          <w:rFonts w:eastAsia="Calibri" w:cs="Arial"/>
          <w:sz w:val="16"/>
          <w:szCs w:val="28"/>
        </w:rPr>
        <w:t>Their</w:t>
      </w:r>
      <w:r w:rsidRPr="00087A72">
        <w:rPr>
          <w:rFonts w:cs="Arial"/>
          <w:sz w:val="16"/>
          <w:szCs w:val="28"/>
        </w:rPr>
        <w:t xml:space="preserve"> </w:t>
      </w:r>
      <w:r w:rsidRPr="00087A72">
        <w:rPr>
          <w:rFonts w:eastAsia="Calibri" w:cs="Arial"/>
          <w:sz w:val="16"/>
          <w:szCs w:val="28"/>
        </w:rPr>
        <w:t>scholarly</w:t>
      </w:r>
      <w:r w:rsidRPr="00087A72">
        <w:rPr>
          <w:rFonts w:cs="Arial"/>
          <w:sz w:val="16"/>
          <w:szCs w:val="28"/>
        </w:rPr>
        <w:t xml:space="preserve"> </w:t>
      </w:r>
      <w:r w:rsidRPr="00087A72">
        <w:rPr>
          <w:rFonts w:eastAsia="Calibri" w:cs="Arial"/>
          <w:sz w:val="16"/>
          <w:szCs w:val="28"/>
        </w:rPr>
        <w:t>contributions</w:t>
      </w:r>
      <w:r w:rsidRPr="00087A72">
        <w:rPr>
          <w:rFonts w:cs="Arial"/>
          <w:sz w:val="16"/>
          <w:szCs w:val="28"/>
        </w:rPr>
        <w:t xml:space="preserve"> </w:t>
      </w:r>
      <w:r w:rsidRPr="00087A72">
        <w:rPr>
          <w:rFonts w:eastAsia="Calibri" w:cs="Arial"/>
          <w:sz w:val="16"/>
          <w:szCs w:val="28"/>
        </w:rPr>
        <w:t>call</w:t>
      </w:r>
      <w:r w:rsidRPr="00087A72">
        <w:rPr>
          <w:rFonts w:cs="Arial"/>
          <w:sz w:val="16"/>
          <w:szCs w:val="28"/>
        </w:rPr>
        <w:t xml:space="preserve"> </w:t>
      </w:r>
      <w:r w:rsidRPr="00087A72">
        <w:rPr>
          <w:rFonts w:eastAsia="Calibri" w:cs="Arial"/>
          <w:sz w:val="16"/>
          <w:szCs w:val="28"/>
        </w:rPr>
        <w:t>into</w:t>
      </w:r>
      <w:r w:rsidRPr="00087A72">
        <w:rPr>
          <w:rFonts w:cs="Arial"/>
          <w:sz w:val="16"/>
          <w:szCs w:val="28"/>
        </w:rPr>
        <w:t xml:space="preserve"> </w:t>
      </w:r>
      <w:r w:rsidRPr="00087A72">
        <w:rPr>
          <w:rFonts w:eastAsia="Calibri" w:cs="Arial"/>
          <w:sz w:val="16"/>
          <w:szCs w:val="28"/>
        </w:rPr>
        <w:t>question</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assumption</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should</w:t>
      </w:r>
      <w:r w:rsidRPr="00087A72">
        <w:rPr>
          <w:rFonts w:cs="Arial"/>
          <w:sz w:val="16"/>
          <w:szCs w:val="28"/>
        </w:rPr>
        <w:t xml:space="preserve"> </w:t>
      </w:r>
      <w:r w:rsidRPr="00087A72">
        <w:rPr>
          <w:rFonts w:eastAsia="Calibri" w:cs="Arial"/>
          <w:sz w:val="16"/>
          <w:szCs w:val="28"/>
        </w:rPr>
        <w:t>be</w:t>
      </w:r>
      <w:r w:rsidRPr="00087A72">
        <w:rPr>
          <w:rFonts w:cs="Arial"/>
          <w:sz w:val="16"/>
          <w:szCs w:val="28"/>
        </w:rPr>
        <w:t xml:space="preserve"> </w:t>
      </w:r>
      <w:r w:rsidRPr="00087A72">
        <w:rPr>
          <w:rFonts w:eastAsia="Calibri" w:cs="Arial"/>
          <w:sz w:val="16"/>
          <w:szCs w:val="28"/>
        </w:rPr>
        <w:t>equated</w:t>
      </w:r>
      <w:r w:rsidRPr="00087A72">
        <w:rPr>
          <w:rFonts w:cs="Arial"/>
          <w:sz w:val="16"/>
          <w:szCs w:val="28"/>
        </w:rPr>
        <w:t xml:space="preserve"> </w:t>
      </w:r>
      <w:r w:rsidRPr="00087A72">
        <w:rPr>
          <w:rFonts w:eastAsia="Calibri" w:cs="Arial"/>
          <w:sz w:val="16"/>
          <w:szCs w:val="28"/>
        </w:rPr>
        <w:t>with</w:t>
      </w:r>
      <w:r w:rsidRPr="00087A72">
        <w:rPr>
          <w:rFonts w:cs="Arial"/>
          <w:sz w:val="16"/>
          <w:szCs w:val="28"/>
        </w:rPr>
        <w:t xml:space="preserve"> </w:t>
      </w:r>
      <w:r w:rsidRPr="00087A72">
        <w:rPr>
          <w:rFonts w:eastAsia="Calibri" w:cs="Arial"/>
          <w:sz w:val="16"/>
          <w:szCs w:val="28"/>
        </w:rPr>
        <w:t>its</w:t>
      </w:r>
      <w:r w:rsidRPr="00087A72">
        <w:rPr>
          <w:rFonts w:cs="Arial"/>
          <w:sz w:val="16"/>
          <w:szCs w:val="28"/>
        </w:rPr>
        <w:t xml:space="preserve"> </w:t>
      </w:r>
      <w:r w:rsidRPr="00087A72">
        <w:rPr>
          <w:rFonts w:eastAsia="Calibri" w:cs="Arial"/>
          <w:sz w:val="16"/>
          <w:szCs w:val="28"/>
        </w:rPr>
        <w:t>object</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study</w:t>
      </w:r>
      <w:r w:rsidRPr="00087A72">
        <w:rPr>
          <w:rFonts w:cs="Arial"/>
          <w:sz w:val="16"/>
          <w:szCs w:val="28"/>
        </w:rPr>
        <w:t xml:space="preserve"> —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peoples</w:t>
      </w:r>
      <w:r w:rsidRPr="00087A72">
        <w:rPr>
          <w:rFonts w:cs="Arial"/>
          <w:sz w:val="16"/>
          <w:szCs w:val="28"/>
        </w:rPr>
        <w:t xml:space="preserve">. </w:t>
      </w:r>
      <w:r w:rsidRPr="00087A72">
        <w:rPr>
          <w:rFonts w:eastAsia="Calibri" w:cs="Arial"/>
          <w:sz w:val="16"/>
          <w:szCs w:val="28"/>
        </w:rPr>
        <w:t>Rather</w:t>
      </w:r>
      <w:r w:rsidRPr="00087A72">
        <w:rPr>
          <w:rFonts w:cs="Arial"/>
          <w:sz w:val="16"/>
          <w:szCs w:val="28"/>
        </w:rPr>
        <w:t xml:space="preserve">, </w:t>
      </w:r>
      <w:r w:rsidRPr="00087A72">
        <w:rPr>
          <w:rFonts w:eastAsia="Calibri" w:cs="Arial"/>
          <w:sz w:val="16"/>
          <w:szCs w:val="28"/>
        </w:rPr>
        <w:t>their</w:t>
      </w:r>
      <w:r w:rsidRPr="00087A72">
        <w:rPr>
          <w:rFonts w:cs="Arial"/>
          <w:sz w:val="16"/>
          <w:szCs w:val="28"/>
        </w:rPr>
        <w:t xml:space="preserve"> </w:t>
      </w:r>
      <w:r w:rsidRPr="00087A72">
        <w:rPr>
          <w:rFonts w:eastAsia="Calibri" w:cs="Arial"/>
          <w:sz w:val="16"/>
          <w:szCs w:val="28"/>
        </w:rPr>
        <w:t>work</w:t>
      </w:r>
      <w:r w:rsidRPr="00087A72">
        <w:rPr>
          <w:rFonts w:cs="Arial"/>
          <w:sz w:val="16"/>
          <w:szCs w:val="28"/>
        </w:rPr>
        <w:t xml:space="preserve"> </w:t>
      </w:r>
      <w:r w:rsidRPr="00087A72">
        <w:rPr>
          <w:rFonts w:eastAsia="Calibri" w:cs="Arial"/>
          <w:sz w:val="16"/>
          <w:szCs w:val="28"/>
        </w:rPr>
        <w:t>suggests</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could</w:t>
      </w:r>
      <w:r w:rsidRPr="00087A72">
        <w:rPr>
          <w:rFonts w:cs="Arial"/>
          <w:sz w:val="16"/>
          <w:szCs w:val="28"/>
        </w:rPr>
        <w:t xml:space="preserve"> </w:t>
      </w:r>
      <w:r w:rsidRPr="00087A72">
        <w:rPr>
          <w:rFonts w:eastAsia="Calibri" w:cs="Arial"/>
          <w:sz w:val="16"/>
          <w:szCs w:val="28"/>
        </w:rPr>
        <w:t>potentially</w:t>
      </w:r>
      <w:r w:rsidRPr="00087A72">
        <w:rPr>
          <w:rFonts w:cs="Arial"/>
          <w:sz w:val="16"/>
          <w:szCs w:val="28"/>
        </w:rPr>
        <w:t xml:space="preserve"> </w:t>
      </w:r>
      <w:r w:rsidRPr="00087A72">
        <w:rPr>
          <w:rFonts w:eastAsia="Calibri" w:cs="Arial"/>
          <w:sz w:val="16"/>
          <w:szCs w:val="28"/>
        </w:rPr>
        <w:t>have</w:t>
      </w:r>
      <w:r w:rsidRPr="00087A72">
        <w:rPr>
          <w:rFonts w:cs="Arial"/>
          <w:sz w:val="16"/>
          <w:szCs w:val="28"/>
        </w:rPr>
        <w:t xml:space="preserve"> </w:t>
      </w:r>
      <w:r w:rsidRPr="00087A72">
        <w:rPr>
          <w:rFonts w:eastAsia="Calibri" w:cs="Arial"/>
          <w:sz w:val="16"/>
          <w:szCs w:val="28"/>
        </w:rPr>
        <w:t>diverse</w:t>
      </w:r>
      <w:r w:rsidRPr="00087A72">
        <w:rPr>
          <w:rFonts w:cs="Arial"/>
          <w:sz w:val="16"/>
          <w:szCs w:val="28"/>
        </w:rPr>
        <w:t xml:space="preserve"> </w:t>
      </w:r>
      <w:r w:rsidRPr="00087A72">
        <w:rPr>
          <w:rFonts w:eastAsia="Calibri" w:cs="Arial"/>
          <w:sz w:val="16"/>
          <w:szCs w:val="28"/>
        </w:rPr>
        <w:t>objects</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study</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might</w:t>
      </w:r>
      <w:r w:rsidRPr="00087A72">
        <w:rPr>
          <w:rFonts w:cs="Arial"/>
          <w:sz w:val="16"/>
          <w:szCs w:val="28"/>
        </w:rPr>
        <w:t xml:space="preserve"> </w:t>
      </w:r>
      <w:r w:rsidRPr="00087A72">
        <w:rPr>
          <w:rFonts w:eastAsia="Calibri" w:cs="Arial"/>
          <w:sz w:val="16"/>
          <w:szCs w:val="28"/>
        </w:rPr>
        <w:t>be</w:t>
      </w:r>
      <w:r w:rsidRPr="00087A72">
        <w:rPr>
          <w:rFonts w:cs="Arial"/>
          <w:sz w:val="16"/>
          <w:szCs w:val="28"/>
        </w:rPr>
        <w:t xml:space="preserve"> </w:t>
      </w:r>
      <w:r w:rsidRPr="00087A72">
        <w:rPr>
          <w:rFonts w:eastAsia="Calibri" w:cs="Arial"/>
          <w:sz w:val="16"/>
          <w:szCs w:val="28"/>
        </w:rPr>
        <w:t>approached</w:t>
      </w:r>
      <w:r w:rsidRPr="00087A72">
        <w:rPr>
          <w:rFonts w:cs="Arial"/>
          <w:sz w:val="16"/>
          <w:szCs w:val="28"/>
        </w:rPr>
        <w:t xml:space="preserve"> </w:t>
      </w:r>
      <w:r w:rsidRPr="00087A72">
        <w:rPr>
          <w:rFonts w:eastAsia="Calibri" w:cs="Arial"/>
          <w:sz w:val="16"/>
          <w:szCs w:val="28"/>
        </w:rPr>
        <w:t>through</w:t>
      </w:r>
      <w:r w:rsidRPr="00087A72">
        <w:rPr>
          <w:rFonts w:cs="Arial"/>
          <w:sz w:val="16"/>
          <w:szCs w:val="28"/>
        </w:rPr>
        <w:t xml:space="preserve"> </w:t>
      </w:r>
      <w:r w:rsidRPr="00087A72">
        <w:rPr>
          <w:rFonts w:eastAsia="Calibri" w:cs="Arial"/>
          <w:sz w:val="16"/>
          <w:szCs w:val="28"/>
        </w:rPr>
        <w:t>distinct</w:t>
      </w:r>
      <w:r w:rsidRPr="00087A72">
        <w:rPr>
          <w:rFonts w:cs="Arial"/>
          <w:sz w:val="16"/>
          <w:szCs w:val="28"/>
        </w:rPr>
        <w:t xml:space="preserve"> </w:t>
      </w:r>
      <w:r w:rsidRPr="00087A72">
        <w:rPr>
          <w:rFonts w:eastAsia="Calibri" w:cs="Arial"/>
          <w:sz w:val="16"/>
          <w:szCs w:val="28"/>
        </w:rPr>
        <w:t>methodologies</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theoretical</w:t>
      </w:r>
      <w:r w:rsidRPr="00087A72">
        <w:rPr>
          <w:rFonts w:cs="Arial"/>
          <w:sz w:val="16"/>
          <w:szCs w:val="28"/>
        </w:rPr>
        <w:t xml:space="preserve"> </w:t>
      </w:r>
      <w:r w:rsidRPr="00087A72">
        <w:rPr>
          <w:rFonts w:eastAsia="Calibri" w:cs="Arial"/>
          <w:sz w:val="16"/>
          <w:szCs w:val="28"/>
        </w:rPr>
        <w:t>formations</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are</w:t>
      </w:r>
      <w:r w:rsidRPr="00087A72">
        <w:rPr>
          <w:rFonts w:cs="Arial"/>
          <w:sz w:val="16"/>
          <w:szCs w:val="28"/>
        </w:rPr>
        <w:t xml:space="preserve"> </w:t>
      </w:r>
      <w:r w:rsidRPr="00087A72">
        <w:rPr>
          <w:rFonts w:eastAsia="Calibri" w:cs="Arial"/>
          <w:sz w:val="16"/>
          <w:szCs w:val="28"/>
        </w:rPr>
        <w:t>necessarily</w:t>
      </w:r>
      <w:r w:rsidRPr="00087A72">
        <w:rPr>
          <w:rFonts w:cs="Arial"/>
          <w:sz w:val="16"/>
          <w:szCs w:val="28"/>
        </w:rPr>
        <w:t xml:space="preserve"> </w:t>
      </w:r>
      <w:r w:rsidRPr="00087A72">
        <w:rPr>
          <w:rFonts w:eastAsia="Calibri" w:cs="Arial"/>
          <w:sz w:val="16"/>
          <w:szCs w:val="28"/>
        </w:rPr>
        <w:t>interdisciplinary</w:t>
      </w:r>
      <w:r w:rsidRPr="00087A72">
        <w:rPr>
          <w:rFonts w:cs="Arial"/>
          <w:sz w:val="16"/>
          <w:szCs w:val="28"/>
        </w:rPr>
        <w:t xml:space="preserve"> </w:t>
      </w:r>
      <w:r w:rsidRPr="00087A72">
        <w:rPr>
          <w:rFonts w:eastAsia="Calibri" w:cs="Arial"/>
          <w:sz w:val="16"/>
          <w:szCs w:val="28"/>
        </w:rPr>
        <w:t>in</w:t>
      </w:r>
      <w:r w:rsidRPr="00087A72">
        <w:rPr>
          <w:rFonts w:cs="Arial"/>
          <w:sz w:val="16"/>
          <w:szCs w:val="28"/>
        </w:rPr>
        <w:t xml:space="preserve"> </w:t>
      </w:r>
      <w:r w:rsidRPr="00087A72">
        <w:rPr>
          <w:rFonts w:eastAsia="Calibri" w:cs="Arial"/>
          <w:sz w:val="16"/>
          <w:szCs w:val="28"/>
        </w:rPr>
        <w:t>nature</w:t>
      </w:r>
      <w:r w:rsidRPr="00087A72">
        <w:rPr>
          <w:rFonts w:cs="Arial"/>
          <w:sz w:val="16"/>
          <w:szCs w:val="28"/>
        </w:rPr>
        <w:t xml:space="preserve">. </w:t>
      </w:r>
      <w:r w:rsidRPr="00087A72">
        <w:rPr>
          <w:rFonts w:eastAsia="Calibri" w:cs="Arial"/>
          <w:sz w:val="16"/>
          <w:szCs w:val="28"/>
        </w:rPr>
        <w:t>Robert</w:t>
      </w:r>
      <w:r w:rsidRPr="00087A72">
        <w:rPr>
          <w:rFonts w:cs="Arial"/>
          <w:sz w:val="16"/>
          <w:szCs w:val="28"/>
        </w:rPr>
        <w:t xml:space="preserve"> </w:t>
      </w:r>
      <w:r w:rsidRPr="00087A72">
        <w:rPr>
          <w:rFonts w:eastAsia="Calibri" w:cs="Arial"/>
          <w:sz w:val="16"/>
          <w:szCs w:val="28"/>
        </w:rPr>
        <w:t>Warrior</w:t>
      </w:r>
      <w:r w:rsidRPr="00087A72">
        <w:rPr>
          <w:rFonts w:cs="Arial"/>
          <w:sz w:val="16"/>
          <w:szCs w:val="28"/>
        </w:rPr>
        <w:t xml:space="preserve"> </w:t>
      </w:r>
      <w:r w:rsidRPr="00087A72">
        <w:rPr>
          <w:rFonts w:eastAsia="Calibri" w:cs="Arial"/>
          <w:sz w:val="16"/>
          <w:szCs w:val="28"/>
        </w:rPr>
        <w:t>has</w:t>
      </w:r>
      <w:r w:rsidRPr="00087A72">
        <w:rPr>
          <w:rFonts w:cs="Arial"/>
          <w:sz w:val="16"/>
          <w:szCs w:val="28"/>
        </w:rPr>
        <w:t xml:space="preserve"> </w:t>
      </w:r>
      <w:r w:rsidRPr="00087A72">
        <w:rPr>
          <w:rFonts w:eastAsia="Calibri" w:cs="Arial"/>
          <w:sz w:val="16"/>
          <w:szCs w:val="28"/>
        </w:rPr>
        <w:t>called</w:t>
      </w:r>
      <w:r w:rsidRPr="00087A72">
        <w:rPr>
          <w:rFonts w:cs="Arial"/>
          <w:sz w:val="16"/>
          <w:szCs w:val="28"/>
        </w:rPr>
        <w:t xml:space="preserve"> </w:t>
      </w:r>
      <w:r w:rsidRPr="00087A72">
        <w:rPr>
          <w:rFonts w:eastAsia="Calibri" w:cs="Arial"/>
          <w:sz w:val="16"/>
          <w:szCs w:val="28"/>
        </w:rPr>
        <w:t>such</w:t>
      </w:r>
      <w:r w:rsidRPr="00087A72">
        <w:rPr>
          <w:rFonts w:cs="Arial"/>
          <w:sz w:val="16"/>
          <w:szCs w:val="28"/>
        </w:rPr>
        <w:t xml:space="preserve"> </w:t>
      </w:r>
      <w:r w:rsidRPr="00087A72">
        <w:rPr>
          <w:rFonts w:eastAsia="Calibri" w:cs="Arial"/>
          <w:sz w:val="16"/>
          <w:szCs w:val="28"/>
        </w:rPr>
        <w:t>intellectual</w:t>
      </w:r>
      <w:r w:rsidRPr="00087A72">
        <w:rPr>
          <w:rFonts w:cs="Arial"/>
          <w:sz w:val="16"/>
          <w:szCs w:val="28"/>
        </w:rPr>
        <w:t xml:space="preserve"> </w:t>
      </w:r>
      <w:r w:rsidRPr="00087A72">
        <w:rPr>
          <w:rFonts w:eastAsia="Calibri" w:cs="Arial"/>
          <w:sz w:val="16"/>
          <w:szCs w:val="28"/>
        </w:rPr>
        <w:t>projects</w:t>
      </w:r>
      <w:r w:rsidRPr="00087A72">
        <w:rPr>
          <w:rFonts w:cs="Arial"/>
          <w:sz w:val="16"/>
          <w:szCs w:val="28"/>
        </w:rPr>
        <w:t xml:space="preserve"> </w:t>
      </w:r>
      <w:r w:rsidRPr="00087A72">
        <w:rPr>
          <w:rFonts w:eastAsia="Calibri" w:cs="Arial"/>
          <w:sz w:val="16"/>
          <w:szCs w:val="28"/>
        </w:rPr>
        <w:t>an</w:t>
      </w:r>
      <w:r w:rsidRPr="00087A72">
        <w:rPr>
          <w:rFonts w:cs="Arial"/>
          <w:sz w:val="16"/>
          <w:szCs w:val="28"/>
        </w:rPr>
        <w:t xml:space="preserve"> </w:t>
      </w:r>
      <w:r w:rsidRPr="00087A72">
        <w:rPr>
          <w:rFonts w:eastAsia="Calibri" w:cs="Arial"/>
          <w:sz w:val="16"/>
          <w:szCs w:val="28"/>
        </w:rPr>
        <w:t>exercise</w:t>
      </w:r>
      <w:r w:rsidRPr="00087A72">
        <w:rPr>
          <w:rFonts w:cs="Arial"/>
          <w:sz w:val="16"/>
          <w:szCs w:val="28"/>
        </w:rPr>
        <w:t xml:space="preserve"> </w:t>
      </w:r>
      <w:r w:rsidRPr="00087A72">
        <w:rPr>
          <w:rFonts w:eastAsia="Calibri" w:cs="Arial"/>
          <w:sz w:val="16"/>
          <w:szCs w:val="28"/>
        </w:rPr>
        <w:t>in</w:t>
      </w:r>
      <w:r w:rsidRPr="00087A72">
        <w:rPr>
          <w:rFonts w:cs="Arial"/>
          <w:sz w:val="16"/>
          <w:szCs w:val="28"/>
        </w:rPr>
        <w:t xml:space="preserve"> “</w:t>
      </w:r>
      <w:r w:rsidRPr="00087A72">
        <w:rPr>
          <w:rFonts w:eastAsia="Calibri" w:cs="Arial"/>
          <w:sz w:val="16"/>
          <w:szCs w:val="28"/>
        </w:rPr>
        <w:t>intellectual</w:t>
      </w:r>
      <w:r w:rsidRPr="00087A72">
        <w:rPr>
          <w:rFonts w:cs="Arial"/>
          <w:sz w:val="16"/>
          <w:szCs w:val="28"/>
        </w:rPr>
        <w:t xml:space="preserve"> </w:t>
      </w:r>
      <w:r w:rsidRPr="00087A72">
        <w:rPr>
          <w:rFonts w:eastAsia="Calibri" w:cs="Arial"/>
          <w:sz w:val="16"/>
          <w:szCs w:val="28"/>
        </w:rPr>
        <w:t>sovereignty</w:t>
      </w:r>
      <w:r w:rsidRPr="00087A72">
        <w:rPr>
          <w:rFonts w:cs="Arial"/>
          <w:sz w:val="16"/>
          <w:szCs w:val="28"/>
        </w:rPr>
        <w:t xml:space="preserve">.”8 </w:t>
      </w:r>
      <w:r w:rsidRPr="00087A72">
        <w:rPr>
          <w:rFonts w:eastAsia="Calibri" w:cs="Arial"/>
          <w:sz w:val="16"/>
          <w:szCs w:val="28"/>
        </w:rPr>
        <w:t>Warrior</w:t>
      </w:r>
      <w:r w:rsidRPr="00087A72">
        <w:rPr>
          <w:rFonts w:cs="Arial"/>
          <w:sz w:val="16"/>
          <w:szCs w:val="28"/>
        </w:rPr>
        <w:t xml:space="preserve"> </w:t>
      </w:r>
      <w:r w:rsidRPr="00087A72">
        <w:rPr>
          <w:rFonts w:eastAsia="Calibri" w:cs="Arial"/>
          <w:sz w:val="16"/>
          <w:szCs w:val="28"/>
        </w:rPr>
        <w:t>understands</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field</w:t>
      </w:r>
      <w:r w:rsidRPr="00087A72">
        <w:rPr>
          <w:rFonts w:cs="Arial"/>
          <w:sz w:val="16"/>
          <w:szCs w:val="28"/>
        </w:rPr>
        <w:t xml:space="preserve"> </w:t>
      </w:r>
      <w:r w:rsidRPr="00087A72">
        <w:rPr>
          <w:rFonts w:eastAsia="Calibri" w:cs="Arial"/>
          <w:sz w:val="16"/>
          <w:szCs w:val="28"/>
        </w:rPr>
        <w:t>with</w:t>
      </w:r>
      <w:r w:rsidRPr="00087A72">
        <w:rPr>
          <w:rFonts w:cs="Arial"/>
          <w:sz w:val="16"/>
          <w:szCs w:val="28"/>
        </w:rPr>
        <w:t xml:space="preserve"> </w:t>
      </w:r>
      <w:r w:rsidRPr="00087A72">
        <w:rPr>
          <w:rFonts w:eastAsia="Calibri" w:cs="Arial"/>
          <w:sz w:val="16"/>
          <w:szCs w:val="28"/>
        </w:rPr>
        <w:t>its</w:t>
      </w:r>
      <w:r w:rsidRPr="00087A72">
        <w:rPr>
          <w:rFonts w:cs="Arial"/>
          <w:sz w:val="16"/>
          <w:szCs w:val="28"/>
        </w:rPr>
        <w:t xml:space="preserve"> </w:t>
      </w:r>
      <w:r w:rsidRPr="00087A72">
        <w:rPr>
          <w:rFonts w:eastAsia="Calibri" w:cs="Arial"/>
          <w:sz w:val="16"/>
          <w:szCs w:val="28"/>
        </w:rPr>
        <w:t>own</w:t>
      </w:r>
      <w:r w:rsidRPr="00087A72">
        <w:rPr>
          <w:rFonts w:cs="Arial"/>
          <w:sz w:val="16"/>
          <w:szCs w:val="28"/>
        </w:rPr>
        <w:t xml:space="preserve"> </w:t>
      </w:r>
      <w:r w:rsidRPr="00087A72">
        <w:rPr>
          <w:rFonts w:eastAsia="Calibri" w:cs="Arial"/>
          <w:sz w:val="16"/>
          <w:szCs w:val="28"/>
        </w:rPr>
        <w:t>integrity</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can</w:t>
      </w:r>
      <w:r w:rsidRPr="00087A72">
        <w:rPr>
          <w:rFonts w:cs="Arial"/>
          <w:sz w:val="16"/>
          <w:szCs w:val="28"/>
        </w:rPr>
        <w:t xml:space="preserve"> </w:t>
      </w:r>
      <w:r w:rsidRPr="00087A72">
        <w:rPr>
          <w:rFonts w:eastAsia="Calibri" w:cs="Arial"/>
          <w:sz w:val="16"/>
          <w:szCs w:val="28"/>
        </w:rPr>
        <w:t>be</w:t>
      </w:r>
      <w:r w:rsidRPr="00087A72">
        <w:rPr>
          <w:rFonts w:cs="Arial"/>
          <w:sz w:val="16"/>
          <w:szCs w:val="28"/>
        </w:rPr>
        <w:t xml:space="preserve"> </w:t>
      </w:r>
      <w:r w:rsidRPr="00087A72">
        <w:rPr>
          <w:rFonts w:eastAsia="Calibri" w:cs="Arial"/>
          <w:sz w:val="16"/>
          <w:szCs w:val="28"/>
        </w:rPr>
        <w:t>informed</w:t>
      </w:r>
      <w:r w:rsidRPr="00087A72">
        <w:rPr>
          <w:rFonts w:cs="Arial"/>
          <w:sz w:val="16"/>
          <w:szCs w:val="28"/>
        </w:rPr>
        <w:t xml:space="preserve"> </w:t>
      </w:r>
      <w:r w:rsidRPr="00087A72">
        <w:rPr>
          <w:rFonts w:eastAsia="Calibri" w:cs="Arial"/>
          <w:sz w:val="16"/>
          <w:szCs w:val="28"/>
        </w:rPr>
        <w:t>by</w:t>
      </w:r>
      <w:r w:rsidRPr="00087A72">
        <w:rPr>
          <w:rFonts w:cs="Arial"/>
          <w:sz w:val="16"/>
          <w:szCs w:val="28"/>
        </w:rPr>
        <w:t xml:space="preserve"> </w:t>
      </w:r>
      <w:r w:rsidRPr="00087A72">
        <w:rPr>
          <w:rFonts w:eastAsia="Calibri" w:cs="Arial"/>
          <w:sz w:val="16"/>
          <w:szCs w:val="28"/>
        </w:rPr>
        <w:t>traditional</w:t>
      </w:r>
      <w:r w:rsidRPr="00087A72">
        <w:rPr>
          <w:rFonts w:cs="Arial"/>
          <w:sz w:val="16"/>
          <w:szCs w:val="28"/>
        </w:rPr>
        <w:t xml:space="preserve"> </w:t>
      </w:r>
      <w:r w:rsidRPr="00087A72">
        <w:rPr>
          <w:rFonts w:eastAsia="Calibri" w:cs="Arial"/>
          <w:sz w:val="16"/>
          <w:szCs w:val="28"/>
        </w:rPr>
        <w:t>disciplines</w:t>
      </w:r>
      <w:r w:rsidRPr="00087A72">
        <w:rPr>
          <w:rFonts w:cs="Arial"/>
          <w:sz w:val="16"/>
          <w:szCs w:val="28"/>
        </w:rPr>
        <w:t xml:space="preserve">, </w:t>
      </w:r>
      <w:r w:rsidRPr="00087A72">
        <w:rPr>
          <w:rFonts w:eastAsia="Calibri" w:cs="Arial"/>
          <w:sz w:val="16"/>
          <w:szCs w:val="28"/>
        </w:rPr>
        <w:t>but</w:t>
      </w:r>
      <w:r w:rsidRPr="00087A72">
        <w:rPr>
          <w:rFonts w:cs="Arial"/>
          <w:sz w:val="16"/>
          <w:szCs w:val="28"/>
        </w:rPr>
        <w:t xml:space="preserve"> </w:t>
      </w:r>
      <w:r w:rsidRPr="00087A72">
        <w:rPr>
          <w:rFonts w:eastAsia="Calibri" w:cs="Arial"/>
          <w:sz w:val="16"/>
          <w:szCs w:val="28"/>
        </w:rPr>
        <w:t>is</w:t>
      </w:r>
      <w:r w:rsidRPr="00087A72">
        <w:rPr>
          <w:rFonts w:cs="Arial"/>
          <w:sz w:val="16"/>
          <w:szCs w:val="28"/>
        </w:rPr>
        <w:t xml:space="preserve"> </w:t>
      </w:r>
      <w:r w:rsidRPr="00087A72">
        <w:rPr>
          <w:rFonts w:eastAsia="Calibri" w:cs="Arial"/>
          <w:sz w:val="16"/>
          <w:szCs w:val="28"/>
        </w:rPr>
        <w:t>not</w:t>
      </w:r>
      <w:r w:rsidRPr="00087A72">
        <w:rPr>
          <w:rFonts w:cs="Arial"/>
          <w:sz w:val="16"/>
          <w:szCs w:val="28"/>
        </w:rPr>
        <w:t xml:space="preserve"> </w:t>
      </w:r>
      <w:r w:rsidRPr="00087A72">
        <w:rPr>
          <w:rFonts w:eastAsia="Calibri" w:cs="Arial"/>
          <w:sz w:val="16"/>
          <w:szCs w:val="28"/>
        </w:rPr>
        <w:t>simply</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multicultural</w:t>
      </w:r>
      <w:r w:rsidRPr="00087A72">
        <w:rPr>
          <w:rFonts w:cs="Arial"/>
          <w:sz w:val="16"/>
          <w:szCs w:val="28"/>
        </w:rPr>
        <w:t xml:space="preserve"> </w:t>
      </w:r>
      <w:r w:rsidRPr="00087A72">
        <w:rPr>
          <w:rFonts w:eastAsia="Calibri" w:cs="Arial"/>
          <w:sz w:val="16"/>
          <w:szCs w:val="28"/>
        </w:rPr>
        <w:t>add</w:t>
      </w:r>
      <w:r w:rsidRPr="00087A72">
        <w:rPr>
          <w:rFonts w:cs="Arial"/>
          <w:sz w:val="16"/>
          <w:szCs w:val="28"/>
        </w:rPr>
        <w:t>-</w:t>
      </w:r>
      <w:r w:rsidRPr="00087A72">
        <w:rPr>
          <w:rFonts w:eastAsia="Calibri" w:cs="Arial"/>
          <w:sz w:val="16"/>
          <w:szCs w:val="28"/>
        </w:rPr>
        <w:t>on</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them</w:t>
      </w:r>
      <w:r w:rsidRPr="00087A72">
        <w:rPr>
          <w:rFonts w:cs="Arial"/>
          <w:sz w:val="16"/>
          <w:szCs w:val="28"/>
        </w:rPr>
        <w:t xml:space="preserve">.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I</w:t>
      </w:r>
      <w:r w:rsidRPr="00087A72">
        <w:rPr>
          <w:rFonts w:cs="Arial"/>
          <w:sz w:val="16"/>
          <w:szCs w:val="28"/>
        </w:rPr>
        <w:t xml:space="preserve"> </w:t>
      </w:r>
      <w:r w:rsidRPr="00087A72">
        <w:rPr>
          <w:rFonts w:eastAsia="Calibri" w:cs="Arial"/>
          <w:sz w:val="16"/>
          <w:szCs w:val="28"/>
        </w:rPr>
        <w:t>discuss</w:t>
      </w:r>
      <w:r w:rsidRPr="00087A72">
        <w:rPr>
          <w:rFonts w:cs="Arial"/>
          <w:sz w:val="16"/>
          <w:szCs w:val="28"/>
        </w:rPr>
        <w:t xml:space="preserve"> </w:t>
      </w:r>
      <w:r w:rsidRPr="00087A72">
        <w:rPr>
          <w:rFonts w:eastAsia="Calibri" w:cs="Arial"/>
          <w:sz w:val="16"/>
          <w:szCs w:val="28"/>
        </w:rPr>
        <w:t>below</w:t>
      </w:r>
      <w:r w:rsidRPr="00087A72">
        <w:rPr>
          <w:rFonts w:cs="Arial"/>
          <w:sz w:val="16"/>
          <w:szCs w:val="28"/>
        </w:rPr>
        <w:t xml:space="preserve">, </w:t>
      </w:r>
      <w:r w:rsidRPr="00087A72">
        <w:rPr>
          <w:rFonts w:eastAsia="Calibri" w:cs="Arial"/>
          <w:sz w:val="16"/>
          <w:szCs w:val="28"/>
        </w:rPr>
        <w:t>this</w:t>
      </w:r>
      <w:r w:rsidRPr="00087A72">
        <w:rPr>
          <w:rFonts w:cs="Arial"/>
          <w:sz w:val="16"/>
          <w:szCs w:val="28"/>
        </w:rPr>
        <w:t xml:space="preserve"> </w:t>
      </w:r>
      <w:r w:rsidRPr="00087A72">
        <w:rPr>
          <w:rFonts w:eastAsia="Calibri" w:cs="Arial"/>
          <w:sz w:val="16"/>
          <w:szCs w:val="28"/>
        </w:rPr>
        <w:t>reformulation</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does</w:t>
      </w:r>
      <w:r w:rsidRPr="00087A72">
        <w:rPr>
          <w:rFonts w:cs="Arial"/>
          <w:sz w:val="16"/>
          <w:szCs w:val="28"/>
        </w:rPr>
        <w:t xml:space="preserve"> </w:t>
      </w:r>
      <w:r w:rsidRPr="00087A72">
        <w:rPr>
          <w:rFonts w:eastAsia="Calibri" w:cs="Arial"/>
          <w:sz w:val="16"/>
          <w:szCs w:val="28"/>
        </w:rPr>
        <w:t>not</w:t>
      </w:r>
      <w:r w:rsidRPr="00087A72">
        <w:rPr>
          <w:rFonts w:cs="Arial"/>
          <w:sz w:val="16"/>
          <w:szCs w:val="28"/>
        </w:rPr>
        <w:t xml:space="preserve"> </w:t>
      </w:r>
      <w:r w:rsidRPr="00087A72">
        <w:rPr>
          <w:rFonts w:eastAsia="Calibri" w:cs="Arial"/>
          <w:sz w:val="16"/>
          <w:szCs w:val="28"/>
        </w:rPr>
        <w:t>entail</w:t>
      </w:r>
      <w:r w:rsidRPr="00087A72">
        <w:rPr>
          <w:rFonts w:cs="Arial"/>
          <w:sz w:val="16"/>
          <w:szCs w:val="28"/>
        </w:rPr>
        <w:t xml:space="preserve"> </w:t>
      </w:r>
      <w:r w:rsidRPr="00087A72">
        <w:rPr>
          <w:rFonts w:eastAsia="Calibri" w:cs="Arial"/>
          <w:sz w:val="16"/>
          <w:szCs w:val="28"/>
        </w:rPr>
        <w:t>rejecting</w:t>
      </w:r>
      <w:r w:rsidRPr="00087A72">
        <w:rPr>
          <w:rFonts w:cs="Arial"/>
          <w:sz w:val="16"/>
          <w:szCs w:val="28"/>
        </w:rPr>
        <w:t xml:space="preserve"> </w:t>
      </w:r>
      <w:r w:rsidRPr="00087A72">
        <w:rPr>
          <w:rFonts w:eastAsia="Calibri" w:cs="Arial"/>
          <w:sz w:val="16"/>
          <w:szCs w:val="28"/>
        </w:rPr>
        <w:t>identity</w:t>
      </w:r>
      <w:r w:rsidRPr="00087A72">
        <w:rPr>
          <w:rFonts w:cs="Arial"/>
          <w:sz w:val="16"/>
          <w:szCs w:val="28"/>
        </w:rPr>
        <w:t xml:space="preserve"> </w:t>
      </w:r>
      <w:r w:rsidRPr="00087A72">
        <w:rPr>
          <w:rFonts w:eastAsia="Calibri" w:cs="Arial"/>
          <w:sz w:val="16"/>
          <w:szCs w:val="28"/>
        </w:rPr>
        <w:t>concerns</w:t>
      </w:r>
      <w:r w:rsidRPr="00087A72">
        <w:rPr>
          <w:rFonts w:cs="Arial"/>
          <w:sz w:val="16"/>
          <w:szCs w:val="28"/>
        </w:rPr>
        <w:t xml:space="preserve">, </w:t>
      </w:r>
      <w:r w:rsidRPr="00087A72">
        <w:rPr>
          <w:rFonts w:eastAsia="Calibri" w:cs="Arial"/>
          <w:sz w:val="16"/>
          <w:szCs w:val="28"/>
        </w:rPr>
        <w:t>but</w:t>
      </w:r>
      <w:r w:rsidRPr="00087A72">
        <w:rPr>
          <w:rFonts w:cs="Arial"/>
          <w:sz w:val="16"/>
          <w:szCs w:val="28"/>
        </w:rPr>
        <w:t xml:space="preserve"> </w:t>
      </w:r>
      <w:r w:rsidRPr="00087A72">
        <w:rPr>
          <w:rFonts w:eastAsia="Calibri" w:cs="Arial"/>
          <w:sz w:val="16"/>
          <w:szCs w:val="28"/>
        </w:rPr>
        <w:t>expands</w:t>
      </w:r>
      <w:r w:rsidRPr="00087A72">
        <w:rPr>
          <w:rFonts w:cs="Arial"/>
          <w:sz w:val="16"/>
          <w:szCs w:val="28"/>
        </w:rPr>
        <w:t xml:space="preserve"> </w:t>
      </w:r>
      <w:r w:rsidRPr="00087A72">
        <w:rPr>
          <w:rFonts w:eastAsia="Calibri" w:cs="Arial"/>
          <w:sz w:val="16"/>
          <w:szCs w:val="28"/>
        </w:rPr>
        <w:t>its</w:t>
      </w:r>
      <w:r w:rsidRPr="00087A72">
        <w:rPr>
          <w:rFonts w:cs="Arial"/>
          <w:sz w:val="16"/>
          <w:szCs w:val="28"/>
        </w:rPr>
        <w:t xml:space="preserve"> </w:t>
      </w:r>
      <w:r w:rsidRPr="00087A72">
        <w:rPr>
          <w:rFonts w:eastAsia="Calibri" w:cs="Arial"/>
          <w:sz w:val="16"/>
          <w:szCs w:val="28"/>
        </w:rPr>
        <w:t>scope</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inquiry</w:t>
      </w:r>
      <w:r w:rsidRPr="00087A72">
        <w:rPr>
          <w:rFonts w:cs="Arial"/>
          <w:sz w:val="16"/>
          <w:szCs w:val="28"/>
        </w:rPr>
        <w:t xml:space="preserve"> </w:t>
      </w:r>
      <w:r w:rsidRPr="00087A72">
        <w:rPr>
          <w:rFonts w:eastAsia="Calibri" w:cs="Arial"/>
          <w:sz w:val="16"/>
          <w:szCs w:val="28"/>
        </w:rPr>
        <w:t>by</w:t>
      </w:r>
      <w:r w:rsidRPr="00087A72">
        <w:rPr>
          <w:rFonts w:cs="Arial"/>
          <w:sz w:val="16"/>
          <w:szCs w:val="28"/>
        </w:rPr>
        <w:t xml:space="preserve"> </w:t>
      </w:r>
      <w:r w:rsidRPr="00087A72">
        <w:rPr>
          <w:rFonts w:eastAsia="Calibri" w:cs="Arial"/>
          <w:sz w:val="16"/>
          <w:szCs w:val="28"/>
        </w:rPr>
        <w:t>positioning</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peoples</w:t>
      </w:r>
      <w:r w:rsidRPr="00087A72">
        <w:rPr>
          <w:rFonts w:cs="Arial"/>
          <w:sz w:val="16"/>
          <w:szCs w:val="28"/>
        </w:rPr>
        <w:t xml:space="preserve">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producers</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theory</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not</w:t>
      </w:r>
      <w:r w:rsidRPr="00087A72">
        <w:rPr>
          <w:rFonts w:cs="Arial"/>
          <w:sz w:val="16"/>
          <w:szCs w:val="28"/>
        </w:rPr>
        <w:t xml:space="preserve"> </w:t>
      </w:r>
      <w:r w:rsidRPr="00087A72">
        <w:rPr>
          <w:rFonts w:eastAsia="Calibri" w:cs="Arial"/>
          <w:sz w:val="16"/>
          <w:szCs w:val="28"/>
        </w:rPr>
        <w:t>simply</w:t>
      </w:r>
      <w:r w:rsidRPr="00087A72">
        <w:rPr>
          <w:rFonts w:cs="Arial"/>
          <w:sz w:val="16"/>
          <w:szCs w:val="28"/>
        </w:rPr>
        <w:t xml:space="preserve">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objects</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analysis</w:t>
      </w:r>
      <w:r w:rsidRPr="00087A72">
        <w:rPr>
          <w:rFonts w:cs="Arial"/>
          <w:sz w:val="16"/>
          <w:szCs w:val="28"/>
        </w:rPr>
        <w:t xml:space="preserve">. </w:t>
      </w:r>
      <w:r w:rsidRPr="00087A72">
        <w:rPr>
          <w:rFonts w:eastAsia="Calibri" w:cs="Arial"/>
          <w:sz w:val="16"/>
          <w:szCs w:val="28"/>
        </w:rPr>
        <w:t>Warrior</w:t>
      </w:r>
      <w:r w:rsidRPr="00087A72">
        <w:rPr>
          <w:rFonts w:cs="Arial"/>
          <w:sz w:val="16"/>
          <w:szCs w:val="28"/>
        </w:rPr>
        <w:t xml:space="preserve"> </w:t>
      </w:r>
      <w:r w:rsidRPr="00087A72">
        <w:rPr>
          <w:rFonts w:eastAsia="Calibri" w:cs="Arial"/>
          <w:sz w:val="16"/>
          <w:szCs w:val="28"/>
        </w:rPr>
        <w:t>points</w:t>
      </w:r>
      <w:r w:rsidRPr="00087A72">
        <w:rPr>
          <w:rFonts w:cs="Arial"/>
          <w:sz w:val="16"/>
          <w:szCs w:val="28"/>
        </w:rPr>
        <w:t xml:space="preserve"> </w:t>
      </w:r>
      <w:r w:rsidRPr="00087A72">
        <w:rPr>
          <w:rFonts w:eastAsia="Calibri" w:cs="Arial"/>
          <w:sz w:val="16"/>
          <w:szCs w:val="28"/>
        </w:rPr>
        <w:t>out</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intellectual</w:t>
      </w:r>
      <w:r w:rsidRPr="00087A72">
        <w:rPr>
          <w:rFonts w:cs="Arial"/>
          <w:sz w:val="16"/>
          <w:szCs w:val="28"/>
        </w:rPr>
        <w:t xml:space="preserve"> </w:t>
      </w:r>
      <w:r w:rsidRPr="00087A72">
        <w:rPr>
          <w:rFonts w:eastAsia="Calibri" w:cs="Arial"/>
          <w:sz w:val="16"/>
          <w:szCs w:val="28"/>
        </w:rPr>
        <w:t>sovereignty</w:t>
      </w:r>
      <w:r w:rsidRPr="00087A72">
        <w:rPr>
          <w:rFonts w:cs="Arial"/>
          <w:sz w:val="16"/>
          <w:szCs w:val="28"/>
        </w:rPr>
        <w:t xml:space="preserve"> </w:t>
      </w:r>
      <w:r w:rsidRPr="00087A72">
        <w:rPr>
          <w:rFonts w:eastAsia="Calibri" w:cs="Arial"/>
          <w:sz w:val="16"/>
          <w:szCs w:val="28"/>
        </w:rPr>
        <w:t>is</w:t>
      </w:r>
      <w:r w:rsidRPr="00087A72">
        <w:rPr>
          <w:rFonts w:cs="Arial"/>
          <w:sz w:val="16"/>
          <w:szCs w:val="28"/>
        </w:rPr>
        <w:t xml:space="preserve"> </w:t>
      </w:r>
      <w:r w:rsidRPr="00087A72">
        <w:rPr>
          <w:rFonts w:eastAsia="Calibri" w:cs="Arial"/>
          <w:sz w:val="16"/>
          <w:szCs w:val="28"/>
        </w:rPr>
        <w:t>not</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be</w:t>
      </w:r>
      <w:r w:rsidRPr="00087A72">
        <w:rPr>
          <w:rFonts w:cs="Arial"/>
          <w:sz w:val="16"/>
          <w:szCs w:val="28"/>
        </w:rPr>
        <w:t xml:space="preserve"> </w:t>
      </w:r>
      <w:r w:rsidRPr="00087A72">
        <w:rPr>
          <w:rFonts w:eastAsia="Calibri" w:cs="Arial"/>
          <w:sz w:val="16"/>
          <w:szCs w:val="28"/>
        </w:rPr>
        <w:t>equated</w:t>
      </w:r>
      <w:r w:rsidRPr="00087A72">
        <w:rPr>
          <w:rFonts w:cs="Arial"/>
          <w:sz w:val="16"/>
          <w:szCs w:val="28"/>
        </w:rPr>
        <w:t xml:space="preserve"> </w:t>
      </w:r>
      <w:r w:rsidRPr="00087A72">
        <w:rPr>
          <w:rFonts w:eastAsia="Calibri" w:cs="Arial"/>
          <w:sz w:val="16"/>
          <w:szCs w:val="28"/>
        </w:rPr>
        <w:t>with</w:t>
      </w:r>
      <w:r w:rsidRPr="00087A72">
        <w:rPr>
          <w:rFonts w:cs="Arial"/>
          <w:sz w:val="16"/>
          <w:szCs w:val="28"/>
        </w:rPr>
        <w:t xml:space="preserve"> </w:t>
      </w:r>
      <w:r w:rsidRPr="00087A72">
        <w:rPr>
          <w:rFonts w:eastAsia="Calibri" w:cs="Arial"/>
          <w:sz w:val="16"/>
          <w:szCs w:val="28"/>
        </w:rPr>
        <w:t>intellectual</w:t>
      </w:r>
      <w:r w:rsidRPr="00087A72">
        <w:rPr>
          <w:rFonts w:cs="Arial"/>
          <w:sz w:val="16"/>
          <w:szCs w:val="28"/>
        </w:rPr>
        <w:t xml:space="preserve"> </w:t>
      </w:r>
      <w:r w:rsidRPr="00087A72">
        <w:rPr>
          <w:rFonts w:eastAsia="Calibri" w:cs="Arial"/>
          <w:sz w:val="16"/>
          <w:szCs w:val="28"/>
        </w:rPr>
        <w:t>isolationism</w:t>
      </w:r>
      <w:r w:rsidRPr="00087A72">
        <w:rPr>
          <w:rFonts w:cs="Arial"/>
          <w:sz w:val="16"/>
          <w:szCs w:val="28"/>
        </w:rPr>
        <w:t xml:space="preserve">. </w:t>
      </w:r>
      <w:r w:rsidRPr="00087A72">
        <w:rPr>
          <w:rFonts w:eastAsia="Calibri" w:cs="Arial"/>
          <w:b/>
          <w:sz w:val="28"/>
          <w:szCs w:val="28"/>
          <w:u w:val="single"/>
        </w:rPr>
        <w:t>Many</w:t>
      </w:r>
      <w:r w:rsidRPr="00087A72">
        <w:rPr>
          <w:rFonts w:cs="Arial"/>
          <w:b/>
          <w:sz w:val="28"/>
          <w:szCs w:val="28"/>
          <w:u w:val="single"/>
        </w:rPr>
        <w:t xml:space="preserve"> </w:t>
      </w:r>
      <w:r w:rsidRPr="00087A72">
        <w:rPr>
          <w:rFonts w:eastAsia="Calibri" w:cs="Arial"/>
          <w:b/>
          <w:sz w:val="28"/>
          <w:szCs w:val="28"/>
          <w:u w:val="single"/>
        </w:rPr>
        <w:t>sectors</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Native</w:t>
      </w:r>
      <w:r w:rsidRPr="00087A72">
        <w:rPr>
          <w:rFonts w:cs="Arial"/>
          <w:b/>
          <w:sz w:val="28"/>
          <w:szCs w:val="28"/>
          <w:u w:val="single"/>
        </w:rPr>
        <w:t xml:space="preserve"> </w:t>
      </w:r>
      <w:r w:rsidRPr="00087A72">
        <w:rPr>
          <w:rFonts w:eastAsia="Calibri" w:cs="Arial"/>
          <w:b/>
          <w:sz w:val="28"/>
          <w:szCs w:val="28"/>
          <w:u w:val="single"/>
        </w:rPr>
        <w:t>studies</w:t>
      </w:r>
      <w:r w:rsidRPr="00087A72">
        <w:rPr>
          <w:rFonts w:cs="Arial"/>
          <w:b/>
          <w:sz w:val="28"/>
          <w:szCs w:val="28"/>
          <w:u w:val="single"/>
        </w:rPr>
        <w:t xml:space="preserve"> </w:t>
      </w:r>
      <w:r w:rsidRPr="00087A72">
        <w:rPr>
          <w:rFonts w:eastAsia="Calibri" w:cs="Arial"/>
          <w:b/>
          <w:sz w:val="28"/>
          <w:szCs w:val="28"/>
          <w:u w:val="single"/>
        </w:rPr>
        <w:t>have</w:t>
      </w:r>
      <w:r w:rsidRPr="00087A72">
        <w:rPr>
          <w:rFonts w:cs="Arial"/>
          <w:b/>
          <w:sz w:val="28"/>
          <w:szCs w:val="28"/>
          <w:u w:val="single"/>
        </w:rPr>
        <w:t xml:space="preserve"> </w:t>
      </w:r>
      <w:r w:rsidRPr="00087A72">
        <w:rPr>
          <w:rFonts w:eastAsia="Calibri" w:cs="Arial"/>
          <w:b/>
          <w:sz w:val="28"/>
          <w:szCs w:val="28"/>
          <w:u w:val="single"/>
        </w:rPr>
        <w:t>often</w:t>
      </w:r>
      <w:r w:rsidRPr="00087A72">
        <w:rPr>
          <w:rFonts w:cs="Arial"/>
          <w:b/>
          <w:sz w:val="28"/>
          <w:szCs w:val="28"/>
          <w:u w:val="single"/>
        </w:rPr>
        <w:t xml:space="preserve"> </w:t>
      </w:r>
      <w:r w:rsidRPr="00087A72">
        <w:rPr>
          <w:rFonts w:eastAsia="Calibri" w:cs="Arial"/>
          <w:b/>
          <w:sz w:val="28"/>
          <w:szCs w:val="28"/>
          <w:u w:val="single"/>
        </w:rPr>
        <w:t>rejected</w:t>
      </w:r>
      <w:r w:rsidRPr="00087A72">
        <w:rPr>
          <w:rFonts w:cs="Arial"/>
          <w:b/>
          <w:sz w:val="28"/>
          <w:szCs w:val="28"/>
          <w:u w:val="single"/>
        </w:rPr>
        <w:t xml:space="preserve"> </w:t>
      </w:r>
      <w:r w:rsidRPr="00087A72">
        <w:rPr>
          <w:rFonts w:eastAsia="Calibri" w:cs="Arial"/>
          <w:b/>
          <w:sz w:val="28"/>
          <w:szCs w:val="28"/>
          <w:u w:val="single"/>
        </w:rPr>
        <w:t>engagement</w:t>
      </w:r>
      <w:r w:rsidRPr="00087A72">
        <w:rPr>
          <w:rFonts w:cs="Arial"/>
          <w:b/>
          <w:sz w:val="28"/>
          <w:szCs w:val="28"/>
          <w:u w:val="single"/>
        </w:rPr>
        <w:t xml:space="preserve"> </w:t>
      </w:r>
      <w:r w:rsidRPr="00087A72">
        <w:rPr>
          <w:rFonts w:eastAsia="Calibri" w:cs="Arial"/>
          <w:b/>
          <w:sz w:val="28"/>
          <w:szCs w:val="28"/>
          <w:u w:val="single"/>
        </w:rPr>
        <w:t>with</w:t>
      </w:r>
      <w:r w:rsidRPr="00087A72">
        <w:rPr>
          <w:rFonts w:cs="Arial"/>
          <w:b/>
          <w:sz w:val="28"/>
          <w:szCs w:val="28"/>
          <w:u w:val="single"/>
        </w:rPr>
        <w:t xml:space="preserve"> </w:t>
      </w:r>
      <w:r w:rsidRPr="00087A72">
        <w:rPr>
          <w:rFonts w:eastAsia="Calibri" w:cs="Arial"/>
          <w:b/>
          <w:sz w:val="28"/>
          <w:szCs w:val="28"/>
          <w:u w:val="single"/>
        </w:rPr>
        <w:t>other</w:t>
      </w:r>
      <w:r w:rsidRPr="00087A72">
        <w:rPr>
          <w:rFonts w:cs="Arial"/>
          <w:b/>
          <w:sz w:val="28"/>
          <w:szCs w:val="28"/>
          <w:u w:val="single"/>
        </w:rPr>
        <w:t xml:space="preserve"> </w:t>
      </w:r>
      <w:r w:rsidRPr="00087A72">
        <w:rPr>
          <w:rFonts w:eastAsia="Calibri" w:cs="Arial"/>
          <w:b/>
          <w:sz w:val="28"/>
          <w:szCs w:val="28"/>
          <w:u w:val="single"/>
        </w:rPr>
        <w:t>fields</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inquiry</w:t>
      </w:r>
      <w:r w:rsidRPr="00087A72">
        <w:rPr>
          <w:rFonts w:cs="Arial"/>
          <w:sz w:val="16"/>
          <w:szCs w:val="28"/>
        </w:rPr>
        <w:t xml:space="preserve"> </w:t>
      </w:r>
      <w:r w:rsidRPr="00087A72">
        <w:rPr>
          <w:rFonts w:eastAsia="Calibri" w:cs="Arial"/>
          <w:sz w:val="16"/>
          <w:szCs w:val="28"/>
        </w:rPr>
        <w:t>such</w:t>
      </w:r>
      <w:r w:rsidRPr="00087A72">
        <w:rPr>
          <w:rFonts w:cs="Arial"/>
          <w:sz w:val="16"/>
          <w:szCs w:val="28"/>
        </w:rPr>
        <w:t xml:space="preserve">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ethnic</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postcolonial</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by</w:t>
      </w:r>
      <w:r w:rsidRPr="00087A72">
        <w:rPr>
          <w:rFonts w:cs="Arial"/>
          <w:sz w:val="16"/>
          <w:szCs w:val="28"/>
        </w:rPr>
        <w:t xml:space="preserve"> </w:t>
      </w:r>
      <w:r w:rsidRPr="00087A72">
        <w:rPr>
          <w:rFonts w:eastAsia="Calibri" w:cs="Arial"/>
          <w:sz w:val="16"/>
          <w:szCs w:val="28"/>
        </w:rPr>
        <w:t>highlighting</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tension</w:t>
      </w:r>
      <w:r w:rsidRPr="00087A72">
        <w:rPr>
          <w:rFonts w:cs="Arial"/>
          <w:sz w:val="16"/>
          <w:szCs w:val="28"/>
        </w:rPr>
        <w:t xml:space="preserve"> </w:t>
      </w:r>
      <w:r w:rsidRPr="00087A72">
        <w:rPr>
          <w:rFonts w:eastAsia="Calibri" w:cs="Arial"/>
          <w:sz w:val="16"/>
          <w:szCs w:val="28"/>
        </w:rPr>
        <w:t>between</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other</w:t>
      </w:r>
      <w:r w:rsidRPr="00087A72">
        <w:rPr>
          <w:rFonts w:cs="Arial"/>
          <w:sz w:val="16"/>
          <w:szCs w:val="28"/>
        </w:rPr>
        <w:t xml:space="preserve"> </w:t>
      </w:r>
      <w:r w:rsidRPr="00087A72">
        <w:rPr>
          <w:rFonts w:eastAsia="Calibri" w:cs="Arial"/>
          <w:sz w:val="16"/>
          <w:szCs w:val="28"/>
        </w:rPr>
        <w:t>fields</w:t>
      </w:r>
      <w:r w:rsidRPr="00087A72">
        <w:rPr>
          <w:rFonts w:cs="Arial"/>
          <w:sz w:val="16"/>
          <w:szCs w:val="28"/>
        </w:rPr>
        <w:t xml:space="preserve">.9 </w:t>
      </w:r>
      <w:r w:rsidRPr="00087A72">
        <w:rPr>
          <w:rFonts w:eastAsia="Calibri" w:cs="Arial"/>
          <w:sz w:val="16"/>
          <w:szCs w:val="28"/>
        </w:rPr>
        <w:t>At</w:t>
      </w:r>
      <w:r w:rsidRPr="00087A72">
        <w:rPr>
          <w:rFonts w:cs="Arial"/>
          <w:sz w:val="16"/>
          <w:szCs w:val="28"/>
        </w:rPr>
        <w:t xml:space="preserve"> </w:t>
      </w:r>
      <w:r w:rsidRPr="00087A72">
        <w:rPr>
          <w:rFonts w:eastAsia="Calibri" w:cs="Arial"/>
          <w:sz w:val="16"/>
          <w:szCs w:val="28"/>
        </w:rPr>
        <w:t>countless</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conferences</w:t>
      </w:r>
      <w:r w:rsidRPr="00087A72">
        <w:rPr>
          <w:rFonts w:cs="Arial"/>
          <w:sz w:val="16"/>
          <w:szCs w:val="28"/>
        </w:rPr>
        <w:t xml:space="preserve">, </w:t>
      </w:r>
      <w:r w:rsidRPr="00087A72">
        <w:rPr>
          <w:rFonts w:eastAsia="Calibri" w:cs="Arial"/>
          <w:sz w:val="16"/>
          <w:szCs w:val="28"/>
        </w:rPr>
        <w:t>I</w:t>
      </w:r>
      <w:r w:rsidRPr="00087A72">
        <w:rPr>
          <w:rFonts w:cs="Arial"/>
          <w:sz w:val="16"/>
          <w:szCs w:val="28"/>
        </w:rPr>
        <w:t xml:space="preserve"> </w:t>
      </w:r>
      <w:r w:rsidRPr="00087A72">
        <w:rPr>
          <w:rFonts w:eastAsia="Calibri" w:cs="Arial"/>
          <w:sz w:val="16"/>
          <w:szCs w:val="28"/>
        </w:rPr>
        <w:t>have</w:t>
      </w:r>
      <w:r w:rsidRPr="00087A72">
        <w:rPr>
          <w:rFonts w:cs="Arial"/>
          <w:sz w:val="16"/>
          <w:szCs w:val="28"/>
        </w:rPr>
        <w:t xml:space="preserve"> </w:t>
      </w:r>
      <w:r w:rsidRPr="00087A72">
        <w:rPr>
          <w:rFonts w:eastAsia="Calibri" w:cs="Arial"/>
          <w:sz w:val="16"/>
          <w:szCs w:val="28"/>
        </w:rPr>
        <w:t>heard</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scholars</w:t>
      </w:r>
      <w:r w:rsidRPr="00087A72">
        <w:rPr>
          <w:rFonts w:cs="Arial"/>
          <w:sz w:val="16"/>
          <w:szCs w:val="28"/>
        </w:rPr>
        <w:t xml:space="preserve"> </w:t>
      </w:r>
      <w:r w:rsidRPr="00087A72">
        <w:rPr>
          <w:rFonts w:eastAsia="Calibri" w:cs="Arial"/>
          <w:sz w:val="16"/>
          <w:szCs w:val="28"/>
        </w:rPr>
        <w:t>opine</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they</w:t>
      </w:r>
      <w:r w:rsidRPr="00087A72">
        <w:rPr>
          <w:rFonts w:cs="Arial"/>
          <w:sz w:val="16"/>
          <w:szCs w:val="28"/>
        </w:rPr>
        <w:t xml:space="preserve"> </w:t>
      </w:r>
      <w:r w:rsidRPr="00087A72">
        <w:rPr>
          <w:rFonts w:eastAsia="Calibri" w:cs="Arial"/>
          <w:sz w:val="16"/>
          <w:szCs w:val="28"/>
        </w:rPr>
        <w:t>should</w:t>
      </w:r>
      <w:r w:rsidRPr="00087A72">
        <w:rPr>
          <w:rFonts w:cs="Arial"/>
          <w:sz w:val="16"/>
          <w:szCs w:val="28"/>
        </w:rPr>
        <w:t xml:space="preserve"> </w:t>
      </w:r>
      <w:r w:rsidRPr="00087A72">
        <w:rPr>
          <w:rFonts w:eastAsia="Calibri" w:cs="Arial"/>
          <w:sz w:val="16"/>
          <w:szCs w:val="28"/>
        </w:rPr>
        <w:t>not</w:t>
      </w:r>
      <w:r w:rsidRPr="00087A72">
        <w:rPr>
          <w:rFonts w:cs="Arial"/>
          <w:sz w:val="16"/>
          <w:szCs w:val="28"/>
        </w:rPr>
        <w:t xml:space="preserve"> </w:t>
      </w:r>
      <w:r w:rsidRPr="00087A72">
        <w:rPr>
          <w:rFonts w:eastAsia="Calibri" w:cs="Arial"/>
          <w:sz w:val="16"/>
          <w:szCs w:val="28"/>
        </w:rPr>
        <w:t>have</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read</w:t>
      </w:r>
      <w:r w:rsidRPr="00087A72">
        <w:rPr>
          <w:rFonts w:cs="Arial"/>
          <w:sz w:val="16"/>
          <w:szCs w:val="28"/>
        </w:rPr>
        <w:t xml:space="preserve"> </w:t>
      </w:r>
      <w:r w:rsidRPr="00087A72">
        <w:rPr>
          <w:rFonts w:eastAsia="Calibri" w:cs="Arial"/>
          <w:sz w:val="16"/>
          <w:szCs w:val="28"/>
        </w:rPr>
        <w:t>Michel</w:t>
      </w:r>
      <w:r w:rsidRPr="00087A72">
        <w:rPr>
          <w:rFonts w:cs="Arial"/>
          <w:sz w:val="16"/>
          <w:szCs w:val="28"/>
        </w:rPr>
        <w:t xml:space="preserve"> </w:t>
      </w:r>
      <w:r w:rsidRPr="00087A72">
        <w:rPr>
          <w:rFonts w:eastAsia="Calibri" w:cs="Arial"/>
          <w:sz w:val="16"/>
          <w:szCs w:val="28"/>
        </w:rPr>
        <w:t>Foucault</w:t>
      </w:r>
      <w:r w:rsidRPr="00087A72">
        <w:rPr>
          <w:rFonts w:cs="Arial"/>
          <w:sz w:val="16"/>
          <w:szCs w:val="28"/>
        </w:rPr>
        <w:t xml:space="preserve">, </w:t>
      </w:r>
      <w:r w:rsidRPr="00087A72">
        <w:rPr>
          <w:rFonts w:eastAsia="Calibri" w:cs="Arial"/>
          <w:sz w:val="16"/>
          <w:szCs w:val="28"/>
        </w:rPr>
        <w:t>Karl</w:t>
      </w:r>
      <w:r w:rsidRPr="00087A72">
        <w:rPr>
          <w:rFonts w:cs="Arial"/>
          <w:sz w:val="16"/>
          <w:szCs w:val="28"/>
        </w:rPr>
        <w:t xml:space="preserve"> </w:t>
      </w:r>
      <w:r w:rsidRPr="00087A72">
        <w:rPr>
          <w:rFonts w:eastAsia="Calibri" w:cs="Arial"/>
          <w:sz w:val="16"/>
          <w:szCs w:val="28"/>
        </w:rPr>
        <w:t>Marx</w:t>
      </w:r>
      <w:r w:rsidRPr="00087A72">
        <w:rPr>
          <w:rFonts w:cs="Arial"/>
          <w:sz w:val="16"/>
          <w:szCs w:val="28"/>
        </w:rPr>
        <w:t xml:space="preserve">, </w:t>
      </w:r>
      <w:r w:rsidRPr="00087A72">
        <w:rPr>
          <w:rFonts w:eastAsia="Calibri" w:cs="Arial"/>
          <w:sz w:val="16"/>
          <w:szCs w:val="28"/>
        </w:rPr>
        <w:t>or</w:t>
      </w:r>
      <w:r w:rsidRPr="00087A72">
        <w:rPr>
          <w:rFonts w:cs="Arial"/>
          <w:sz w:val="16"/>
          <w:szCs w:val="28"/>
        </w:rPr>
        <w:t xml:space="preserve"> </w:t>
      </w:r>
      <w:r w:rsidRPr="00087A72">
        <w:rPr>
          <w:rFonts w:eastAsia="Calibri" w:cs="Arial"/>
          <w:sz w:val="16"/>
          <w:szCs w:val="28"/>
        </w:rPr>
        <w:t>Jacques</w:t>
      </w:r>
      <w:r w:rsidRPr="00087A72">
        <w:rPr>
          <w:rFonts w:cs="Arial"/>
          <w:sz w:val="16"/>
          <w:szCs w:val="28"/>
        </w:rPr>
        <w:t xml:space="preserve"> </w:t>
      </w:r>
      <w:r w:rsidRPr="00087A72">
        <w:rPr>
          <w:rFonts w:eastAsia="Calibri" w:cs="Arial"/>
          <w:sz w:val="16"/>
          <w:szCs w:val="28"/>
        </w:rPr>
        <w:t>Derrida</w:t>
      </w:r>
      <w:r w:rsidRPr="00087A72">
        <w:rPr>
          <w:rFonts w:cs="Arial"/>
          <w:sz w:val="16"/>
          <w:szCs w:val="28"/>
        </w:rPr>
        <w:t xml:space="preserve"> </w:t>
      </w:r>
      <w:r w:rsidRPr="00087A72">
        <w:rPr>
          <w:rFonts w:eastAsia="Calibri" w:cs="Arial"/>
          <w:sz w:val="16"/>
          <w:szCs w:val="28"/>
        </w:rPr>
        <w:t>because</w:t>
      </w:r>
      <w:r w:rsidRPr="00087A72">
        <w:rPr>
          <w:rFonts w:cs="Arial"/>
          <w:sz w:val="16"/>
          <w:szCs w:val="28"/>
        </w:rPr>
        <w:t xml:space="preserve"> “</w:t>
      </w:r>
      <w:r w:rsidRPr="00087A72">
        <w:rPr>
          <w:rFonts w:eastAsia="Calibri" w:cs="Arial"/>
          <w:sz w:val="16"/>
          <w:szCs w:val="28"/>
        </w:rPr>
        <w:t>they</w:t>
      </w:r>
      <w:r w:rsidRPr="00087A72">
        <w:rPr>
          <w:rFonts w:cs="Arial"/>
          <w:sz w:val="16"/>
          <w:szCs w:val="28"/>
        </w:rPr>
        <w:t xml:space="preserve"> </w:t>
      </w:r>
      <w:r w:rsidRPr="00087A72">
        <w:rPr>
          <w:rFonts w:eastAsia="Calibri" w:cs="Arial"/>
          <w:sz w:val="16"/>
          <w:szCs w:val="28"/>
        </w:rPr>
        <w:t>are</w:t>
      </w:r>
      <w:r w:rsidRPr="00087A72">
        <w:rPr>
          <w:rFonts w:cs="Arial"/>
          <w:sz w:val="16"/>
          <w:szCs w:val="28"/>
        </w:rPr>
        <w:t xml:space="preserve"> </w:t>
      </w:r>
      <w:r w:rsidRPr="00087A72">
        <w:rPr>
          <w:rFonts w:eastAsia="Calibri" w:cs="Arial"/>
          <w:sz w:val="16"/>
          <w:szCs w:val="28"/>
        </w:rPr>
        <w:t>not</w:t>
      </w:r>
      <w:r w:rsidRPr="00087A72">
        <w:rPr>
          <w:rFonts w:cs="Arial"/>
          <w:sz w:val="16"/>
          <w:szCs w:val="28"/>
        </w:rPr>
        <w:t xml:space="preserve"> </w:t>
      </w:r>
      <w:r w:rsidRPr="00087A72">
        <w:rPr>
          <w:rFonts w:eastAsia="Calibri" w:cs="Arial"/>
          <w:sz w:val="16"/>
          <w:szCs w:val="28"/>
        </w:rPr>
        <w:t>Indian</w:t>
      </w:r>
      <w:r w:rsidRPr="00087A72">
        <w:rPr>
          <w:rFonts w:cs="Arial"/>
          <w:sz w:val="16"/>
          <w:szCs w:val="28"/>
        </w:rPr>
        <w:t xml:space="preserve">.” </w:t>
      </w:r>
      <w:r w:rsidRPr="00087A72">
        <w:rPr>
          <w:rFonts w:eastAsia="Calibri" w:cs="Arial"/>
          <w:sz w:val="16"/>
          <w:szCs w:val="28"/>
        </w:rPr>
        <w:t>Unfortunately</w:t>
      </w:r>
      <w:r w:rsidRPr="00087A72">
        <w:rPr>
          <w:rFonts w:cs="Arial"/>
          <w:sz w:val="16"/>
          <w:szCs w:val="28"/>
        </w:rPr>
        <w:t xml:space="preserve">,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Rey</w:t>
      </w:r>
      <w:r w:rsidRPr="00087A72">
        <w:rPr>
          <w:rFonts w:cs="Arial"/>
          <w:sz w:val="16"/>
          <w:szCs w:val="28"/>
        </w:rPr>
        <w:t xml:space="preserve"> </w:t>
      </w:r>
      <w:r w:rsidRPr="00087A72">
        <w:rPr>
          <w:rFonts w:eastAsia="Calibri" w:cs="Arial"/>
          <w:sz w:val="16"/>
          <w:szCs w:val="28"/>
        </w:rPr>
        <w:t>Chow</w:t>
      </w:r>
      <w:r w:rsidRPr="00087A72">
        <w:rPr>
          <w:rFonts w:cs="Arial"/>
          <w:sz w:val="16"/>
          <w:szCs w:val="28"/>
        </w:rPr>
        <w:t xml:space="preserve"> </w:t>
      </w:r>
      <w:r w:rsidRPr="00087A72">
        <w:rPr>
          <w:rFonts w:eastAsia="Calibri" w:cs="Arial"/>
          <w:sz w:val="16"/>
          <w:szCs w:val="28"/>
        </w:rPr>
        <w:t>so</w:t>
      </w:r>
      <w:r w:rsidRPr="00087A72">
        <w:rPr>
          <w:rFonts w:cs="Arial"/>
          <w:sz w:val="16"/>
          <w:szCs w:val="28"/>
        </w:rPr>
        <w:t xml:space="preserve"> </w:t>
      </w:r>
      <w:r w:rsidRPr="00087A72">
        <w:rPr>
          <w:rFonts w:eastAsia="Calibri" w:cs="Arial"/>
          <w:sz w:val="16"/>
          <w:szCs w:val="28"/>
        </w:rPr>
        <w:t>compellingly</w:t>
      </w:r>
      <w:r w:rsidRPr="00087A72">
        <w:rPr>
          <w:rFonts w:cs="Arial"/>
          <w:sz w:val="16"/>
          <w:szCs w:val="28"/>
        </w:rPr>
        <w:t xml:space="preserve"> </w:t>
      </w:r>
      <w:r w:rsidRPr="00087A72">
        <w:rPr>
          <w:rFonts w:eastAsia="Calibri" w:cs="Arial"/>
          <w:sz w:val="16"/>
          <w:szCs w:val="28"/>
        </w:rPr>
        <w:t>points</w:t>
      </w:r>
      <w:r w:rsidRPr="00087A72">
        <w:rPr>
          <w:rFonts w:cs="Arial"/>
          <w:sz w:val="16"/>
          <w:szCs w:val="28"/>
        </w:rPr>
        <w:t xml:space="preserve"> </w:t>
      </w:r>
      <w:r w:rsidRPr="00087A72">
        <w:rPr>
          <w:rFonts w:eastAsia="Calibri" w:cs="Arial"/>
          <w:sz w:val="16"/>
          <w:szCs w:val="28"/>
        </w:rPr>
        <w:t>out</w:t>
      </w:r>
      <w:r w:rsidRPr="00087A72">
        <w:rPr>
          <w:rFonts w:cs="Arial"/>
          <w:sz w:val="16"/>
          <w:szCs w:val="28"/>
        </w:rPr>
        <w:t xml:space="preserve">, </w:t>
      </w:r>
      <w:r w:rsidRPr="00087A72">
        <w:rPr>
          <w:rFonts w:eastAsia="Calibri" w:cs="Arial"/>
          <w:sz w:val="16"/>
          <w:szCs w:val="28"/>
        </w:rPr>
        <w:t>ethnic</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by</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same</w:t>
      </w:r>
      <w:r w:rsidRPr="00087A72">
        <w:rPr>
          <w:rFonts w:cs="Arial"/>
          <w:sz w:val="16"/>
          <w:szCs w:val="28"/>
        </w:rPr>
        <w:t xml:space="preserve"> </w:t>
      </w:r>
      <w:r w:rsidRPr="00087A72">
        <w:rPr>
          <w:rFonts w:eastAsia="Calibri" w:cs="Arial"/>
          <w:sz w:val="16"/>
          <w:szCs w:val="28"/>
        </w:rPr>
        <w:t>logic</w:t>
      </w:r>
      <w:r w:rsidRPr="00087A72">
        <w:rPr>
          <w:rFonts w:cs="Arial"/>
          <w:b/>
          <w:sz w:val="28"/>
          <w:szCs w:val="28"/>
          <w:u w:val="single"/>
        </w:rPr>
        <w:t xml:space="preserve">, </w:t>
      </w:r>
      <w:r w:rsidRPr="00087A72">
        <w:rPr>
          <w:rFonts w:eastAsia="Calibri" w:cs="Arial"/>
          <w:b/>
          <w:sz w:val="28"/>
          <w:szCs w:val="28"/>
          <w:u w:val="single"/>
        </w:rPr>
        <w:t>Native</w:t>
      </w:r>
      <w:r w:rsidRPr="00087A72">
        <w:rPr>
          <w:rFonts w:cs="Arial"/>
          <w:b/>
          <w:sz w:val="28"/>
          <w:szCs w:val="28"/>
          <w:u w:val="single"/>
        </w:rPr>
        <w:t xml:space="preserve"> </w:t>
      </w:r>
      <w:r w:rsidRPr="00087A72">
        <w:rPr>
          <w:rFonts w:eastAsia="Calibri" w:cs="Arial"/>
          <w:b/>
          <w:sz w:val="28"/>
          <w:szCs w:val="28"/>
          <w:u w:val="single"/>
        </w:rPr>
        <w:t>studies</w:t>
      </w:r>
      <w:r w:rsidRPr="00087A72">
        <w:rPr>
          <w:rFonts w:cs="Arial"/>
          <w:b/>
          <w:sz w:val="28"/>
          <w:szCs w:val="28"/>
          <w:u w:val="single"/>
        </w:rPr>
        <w:t xml:space="preserve"> </w:t>
      </w:r>
      <w:r w:rsidRPr="00087A72">
        <w:rPr>
          <w:rFonts w:eastAsia="Calibri" w:cs="Arial"/>
          <w:b/>
          <w:sz w:val="28"/>
          <w:szCs w:val="28"/>
          <w:u w:val="single"/>
        </w:rPr>
        <w:t>often</w:t>
      </w:r>
      <w:r w:rsidRPr="00087A72">
        <w:rPr>
          <w:rFonts w:cs="Arial"/>
          <w:b/>
          <w:sz w:val="28"/>
          <w:szCs w:val="28"/>
          <w:u w:val="single"/>
        </w:rPr>
        <w:t xml:space="preserve"> </w:t>
      </w:r>
      <w:r w:rsidRPr="00087A72">
        <w:rPr>
          <w:rFonts w:eastAsia="Calibri" w:cs="Arial"/>
          <w:b/>
          <w:sz w:val="28"/>
          <w:szCs w:val="28"/>
          <w:u w:val="single"/>
        </w:rPr>
        <w:t>confine</w:t>
      </w:r>
      <w:r w:rsidRPr="00087A72">
        <w:rPr>
          <w:rFonts w:cs="Arial"/>
          <w:b/>
          <w:sz w:val="28"/>
          <w:szCs w:val="28"/>
          <w:u w:val="single"/>
        </w:rPr>
        <w:t xml:space="preserve"> </w:t>
      </w:r>
      <w:r w:rsidRPr="00087A72">
        <w:rPr>
          <w:rFonts w:eastAsia="Calibri" w:cs="Arial"/>
          <w:b/>
          <w:sz w:val="28"/>
          <w:szCs w:val="28"/>
          <w:u w:val="single"/>
        </w:rPr>
        <w:t>themselves</w:t>
      </w:r>
      <w:r w:rsidRPr="00087A72">
        <w:rPr>
          <w:rFonts w:cs="Arial"/>
          <w:b/>
          <w:sz w:val="28"/>
          <w:szCs w:val="28"/>
          <w:u w:val="single"/>
        </w:rPr>
        <w:t xml:space="preserve"> </w:t>
      </w:r>
      <w:r w:rsidRPr="00087A72">
        <w:rPr>
          <w:rFonts w:eastAsia="Calibri" w:cs="Arial"/>
          <w:b/>
          <w:sz w:val="28"/>
          <w:szCs w:val="28"/>
          <w:u w:val="single"/>
        </w:rPr>
        <w:t>and</w:t>
      </w:r>
      <w:r w:rsidRPr="00087A72">
        <w:rPr>
          <w:rFonts w:cs="Arial"/>
          <w:b/>
          <w:sz w:val="28"/>
          <w:szCs w:val="28"/>
          <w:u w:val="single"/>
        </w:rPr>
        <w:t xml:space="preserve"> </w:t>
      </w:r>
      <w:r w:rsidRPr="00087A72">
        <w:rPr>
          <w:rFonts w:eastAsia="Calibri" w:cs="Arial"/>
          <w:b/>
          <w:sz w:val="28"/>
          <w:szCs w:val="28"/>
          <w:u w:val="single"/>
        </w:rPr>
        <w:t>are</w:t>
      </w:r>
      <w:r w:rsidRPr="00087A72">
        <w:rPr>
          <w:rFonts w:cs="Arial"/>
          <w:b/>
          <w:sz w:val="28"/>
          <w:szCs w:val="28"/>
          <w:u w:val="single"/>
        </w:rPr>
        <w:t xml:space="preserve"> </w:t>
      </w:r>
      <w:r w:rsidRPr="00087A72">
        <w:rPr>
          <w:rFonts w:eastAsia="Calibri" w:cs="Arial"/>
          <w:b/>
          <w:sz w:val="28"/>
          <w:szCs w:val="28"/>
          <w:u w:val="single"/>
        </w:rPr>
        <w:t>confined</w:t>
      </w:r>
      <w:r w:rsidRPr="00087A72">
        <w:rPr>
          <w:rFonts w:cs="Arial"/>
          <w:b/>
          <w:sz w:val="28"/>
          <w:szCs w:val="28"/>
          <w:u w:val="single"/>
        </w:rPr>
        <w:t xml:space="preserve"> </w:t>
      </w:r>
      <w:r w:rsidRPr="00087A72">
        <w:rPr>
          <w:rFonts w:eastAsia="Calibri" w:cs="Arial"/>
          <w:b/>
          <w:sz w:val="28"/>
          <w:szCs w:val="28"/>
          <w:u w:val="single"/>
        </w:rPr>
        <w:t>to</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realm</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ethnic</w:t>
      </w:r>
      <w:r w:rsidRPr="00087A72">
        <w:rPr>
          <w:rFonts w:cs="Arial"/>
          <w:b/>
          <w:sz w:val="28"/>
          <w:szCs w:val="28"/>
          <w:u w:val="single"/>
        </w:rPr>
        <w:t xml:space="preserve"> </w:t>
      </w:r>
      <w:r w:rsidRPr="00087A72">
        <w:rPr>
          <w:rFonts w:eastAsia="Calibri" w:cs="Arial"/>
          <w:b/>
          <w:sz w:val="28"/>
          <w:szCs w:val="28"/>
          <w:u w:val="single"/>
        </w:rPr>
        <w:t>or</w:t>
      </w:r>
      <w:r w:rsidRPr="00087A72">
        <w:rPr>
          <w:rFonts w:cs="Arial"/>
          <w:b/>
          <w:sz w:val="28"/>
          <w:szCs w:val="28"/>
          <w:u w:val="single"/>
        </w:rPr>
        <w:t xml:space="preserve"> </w:t>
      </w:r>
      <w:r w:rsidRPr="00087A72">
        <w:rPr>
          <w:rFonts w:eastAsia="Calibri" w:cs="Arial"/>
          <w:b/>
          <w:sz w:val="28"/>
          <w:szCs w:val="28"/>
          <w:u w:val="single"/>
        </w:rPr>
        <w:t>cultural</w:t>
      </w:r>
      <w:r w:rsidRPr="00087A72">
        <w:rPr>
          <w:rFonts w:cs="Arial"/>
          <w:b/>
          <w:sz w:val="28"/>
          <w:szCs w:val="28"/>
          <w:u w:val="single"/>
        </w:rPr>
        <w:t xml:space="preserve"> </w:t>
      </w:r>
      <w:r w:rsidRPr="00087A72">
        <w:rPr>
          <w:rFonts w:eastAsia="Calibri" w:cs="Arial"/>
          <w:b/>
          <w:sz w:val="28"/>
          <w:szCs w:val="28"/>
          <w:u w:val="single"/>
        </w:rPr>
        <w:t>representation</w:t>
      </w:r>
      <w:r w:rsidRPr="00087A72">
        <w:rPr>
          <w:rFonts w:cs="Arial"/>
          <w:b/>
          <w:sz w:val="28"/>
          <w:szCs w:val="28"/>
          <w:u w:val="single"/>
        </w:rPr>
        <w:t xml:space="preserve"> </w:t>
      </w:r>
      <w:r w:rsidRPr="00087A72">
        <w:rPr>
          <w:rFonts w:eastAsia="Calibri" w:cs="Arial"/>
          <w:b/>
          <w:sz w:val="28"/>
          <w:szCs w:val="28"/>
          <w:u w:val="single"/>
        </w:rPr>
        <w:t>rather</w:t>
      </w:r>
      <w:r w:rsidRPr="00087A72">
        <w:rPr>
          <w:rFonts w:cs="Arial"/>
          <w:b/>
          <w:sz w:val="28"/>
          <w:szCs w:val="28"/>
          <w:u w:val="single"/>
        </w:rPr>
        <w:t xml:space="preserve"> </w:t>
      </w:r>
      <w:r w:rsidRPr="00087A72">
        <w:rPr>
          <w:rFonts w:eastAsia="Calibri" w:cs="Arial"/>
          <w:b/>
          <w:sz w:val="28"/>
          <w:szCs w:val="28"/>
          <w:u w:val="single"/>
        </w:rPr>
        <w:t>than</w:t>
      </w:r>
      <w:r w:rsidRPr="00087A72">
        <w:rPr>
          <w:rFonts w:cs="Arial"/>
          <w:b/>
          <w:sz w:val="28"/>
          <w:szCs w:val="28"/>
          <w:u w:val="single"/>
        </w:rPr>
        <w:t xml:space="preserve"> </w:t>
      </w:r>
      <w:r w:rsidRPr="00087A72">
        <w:rPr>
          <w:rFonts w:eastAsia="Calibri" w:cs="Arial"/>
          <w:b/>
          <w:sz w:val="28"/>
          <w:szCs w:val="28"/>
          <w:u w:val="single"/>
        </w:rPr>
        <w:t>positioning</w:t>
      </w:r>
      <w:r w:rsidRPr="00087A72">
        <w:rPr>
          <w:rFonts w:cs="Arial"/>
          <w:b/>
          <w:sz w:val="28"/>
          <w:szCs w:val="28"/>
          <w:u w:val="single"/>
        </w:rPr>
        <w:t xml:space="preserve"> </w:t>
      </w:r>
      <w:r w:rsidRPr="00087A72">
        <w:rPr>
          <w:rFonts w:eastAsia="Calibri" w:cs="Arial"/>
          <w:b/>
          <w:sz w:val="28"/>
          <w:szCs w:val="28"/>
          <w:u w:val="single"/>
        </w:rPr>
        <w:t>themselves</w:t>
      </w:r>
      <w:r w:rsidRPr="00087A72">
        <w:rPr>
          <w:rFonts w:cs="Arial"/>
          <w:b/>
          <w:sz w:val="28"/>
          <w:szCs w:val="28"/>
          <w:u w:val="single"/>
        </w:rPr>
        <w:t xml:space="preserve"> </w:t>
      </w:r>
      <w:r w:rsidRPr="00087A72">
        <w:rPr>
          <w:rFonts w:eastAsia="Calibri" w:cs="Arial"/>
          <w:b/>
          <w:sz w:val="28"/>
          <w:szCs w:val="28"/>
          <w:u w:val="single"/>
        </w:rPr>
        <w:t>as</w:t>
      </w:r>
      <w:r w:rsidRPr="00087A72">
        <w:rPr>
          <w:rFonts w:cs="Arial"/>
          <w:b/>
          <w:sz w:val="28"/>
          <w:szCs w:val="28"/>
          <w:u w:val="single"/>
        </w:rPr>
        <w:t xml:space="preserve"> </w:t>
      </w:r>
      <w:r w:rsidRPr="00087A72">
        <w:rPr>
          <w:rFonts w:eastAsia="Calibri" w:cs="Arial"/>
          <w:b/>
          <w:sz w:val="28"/>
          <w:szCs w:val="28"/>
          <w:u w:val="single"/>
        </w:rPr>
        <w:t>intellectual</w:t>
      </w:r>
      <w:r w:rsidRPr="00087A72">
        <w:rPr>
          <w:rFonts w:cs="Arial"/>
          <w:b/>
          <w:sz w:val="28"/>
          <w:szCs w:val="28"/>
          <w:u w:val="single"/>
        </w:rPr>
        <w:t xml:space="preserve"> </w:t>
      </w:r>
      <w:r w:rsidRPr="00087A72">
        <w:rPr>
          <w:rFonts w:eastAsia="Calibri" w:cs="Arial"/>
          <w:b/>
          <w:sz w:val="28"/>
          <w:szCs w:val="28"/>
          <w:u w:val="single"/>
        </w:rPr>
        <w:t>projects</w:t>
      </w:r>
      <w:r w:rsidRPr="00087A72">
        <w:rPr>
          <w:rFonts w:cs="Arial"/>
          <w:b/>
          <w:sz w:val="28"/>
          <w:szCs w:val="28"/>
          <w:u w:val="single"/>
        </w:rPr>
        <w:t xml:space="preserve"> </w:t>
      </w:r>
      <w:r w:rsidRPr="00087A72">
        <w:rPr>
          <w:rFonts w:eastAsia="Calibri" w:cs="Arial"/>
          <w:b/>
          <w:sz w:val="28"/>
          <w:szCs w:val="28"/>
          <w:u w:val="single"/>
        </w:rPr>
        <w:t>that</w:t>
      </w:r>
      <w:r w:rsidRPr="00087A72">
        <w:rPr>
          <w:rFonts w:cs="Arial"/>
          <w:b/>
          <w:sz w:val="28"/>
          <w:szCs w:val="28"/>
          <w:u w:val="single"/>
        </w:rPr>
        <w:t xml:space="preserve"> </w:t>
      </w:r>
      <w:r w:rsidRPr="00087A72">
        <w:rPr>
          <w:rFonts w:eastAsia="Calibri" w:cs="Arial"/>
          <w:b/>
          <w:sz w:val="28"/>
          <w:szCs w:val="28"/>
          <w:u w:val="single"/>
        </w:rPr>
        <w:t>can</w:t>
      </w:r>
      <w:r w:rsidRPr="00087A72">
        <w:rPr>
          <w:rFonts w:cs="Arial"/>
          <w:b/>
          <w:sz w:val="28"/>
          <w:szCs w:val="28"/>
          <w:u w:val="single"/>
        </w:rPr>
        <w:t xml:space="preserve"> </w:t>
      </w:r>
      <w:r w:rsidRPr="00087A72">
        <w:rPr>
          <w:rFonts w:eastAsia="Calibri" w:cs="Arial"/>
          <w:b/>
          <w:sz w:val="28"/>
          <w:szCs w:val="28"/>
          <w:u w:val="single"/>
        </w:rPr>
        <w:t>shape</w:t>
      </w:r>
      <w:r w:rsidRPr="00087A72">
        <w:rPr>
          <w:rFonts w:cs="Arial"/>
          <w:b/>
          <w:sz w:val="28"/>
          <w:szCs w:val="28"/>
          <w:u w:val="single"/>
        </w:rPr>
        <w:t xml:space="preserve"> </w:t>
      </w:r>
      <w:r w:rsidRPr="00087A72">
        <w:rPr>
          <w:rFonts w:eastAsia="Calibri" w:cs="Arial"/>
          <w:b/>
          <w:sz w:val="28"/>
          <w:szCs w:val="28"/>
          <w:u w:val="single"/>
        </w:rPr>
        <w:t>scholarly</w:t>
      </w:r>
      <w:r w:rsidRPr="00087A72">
        <w:rPr>
          <w:rFonts w:cs="Arial"/>
          <w:b/>
          <w:sz w:val="28"/>
          <w:szCs w:val="28"/>
          <w:u w:val="single"/>
        </w:rPr>
        <w:t xml:space="preserve"> </w:t>
      </w:r>
      <w:r w:rsidRPr="00087A72">
        <w:rPr>
          <w:rFonts w:eastAsia="Calibri" w:cs="Arial"/>
          <w:b/>
          <w:sz w:val="28"/>
          <w:szCs w:val="28"/>
          <w:u w:val="single"/>
        </w:rPr>
        <w:t>discourse</w:t>
      </w:r>
      <w:r w:rsidRPr="00087A72">
        <w:rPr>
          <w:rFonts w:cs="Arial"/>
          <w:b/>
          <w:sz w:val="28"/>
          <w:szCs w:val="28"/>
          <w:u w:val="single"/>
        </w:rPr>
        <w:t xml:space="preserve"> </w:t>
      </w:r>
      <w:r w:rsidRPr="00087A72">
        <w:rPr>
          <w:rFonts w:eastAsia="Calibri" w:cs="Arial"/>
          <w:b/>
          <w:sz w:val="28"/>
          <w:szCs w:val="28"/>
          <w:u w:val="single"/>
        </w:rPr>
        <w:t>as</w:t>
      </w:r>
      <w:r w:rsidRPr="00087A72">
        <w:rPr>
          <w:rFonts w:cs="Arial"/>
          <w:b/>
          <w:sz w:val="28"/>
          <w:szCs w:val="28"/>
          <w:u w:val="single"/>
        </w:rPr>
        <w:t xml:space="preserve"> </w:t>
      </w:r>
      <w:r w:rsidRPr="00087A72">
        <w:rPr>
          <w:rFonts w:eastAsia="Calibri" w:cs="Arial"/>
          <w:b/>
          <w:sz w:val="28"/>
          <w:szCs w:val="28"/>
          <w:u w:val="single"/>
        </w:rPr>
        <w:t>a</w:t>
      </w:r>
      <w:r w:rsidRPr="00087A72">
        <w:rPr>
          <w:rFonts w:cs="Arial"/>
          <w:b/>
          <w:sz w:val="28"/>
          <w:szCs w:val="28"/>
          <w:u w:val="single"/>
        </w:rPr>
        <w:t xml:space="preserve"> </w:t>
      </w:r>
      <w:r w:rsidRPr="00087A72">
        <w:rPr>
          <w:rFonts w:eastAsia="Calibri" w:cs="Arial"/>
          <w:b/>
          <w:sz w:val="28"/>
          <w:szCs w:val="28"/>
          <w:u w:val="single"/>
        </w:rPr>
        <w:t>whole</w:t>
      </w:r>
      <w:r w:rsidRPr="00087A72">
        <w:rPr>
          <w:rFonts w:cs="Arial"/>
          <w:sz w:val="16"/>
          <w:szCs w:val="28"/>
        </w:rPr>
        <w:t xml:space="preserve">.10 </w:t>
      </w:r>
      <w:r w:rsidRPr="00087A72">
        <w:rPr>
          <w:rFonts w:eastAsia="Calibri" w:cs="Arial"/>
          <w:sz w:val="16"/>
          <w:szCs w:val="28"/>
        </w:rPr>
        <w:t>Because</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scholars</w:t>
      </w:r>
      <w:r w:rsidRPr="00087A72">
        <w:rPr>
          <w:rFonts w:cs="Arial"/>
          <w:sz w:val="16"/>
          <w:szCs w:val="28"/>
        </w:rPr>
        <w:t xml:space="preserve"> </w:t>
      </w:r>
      <w:r w:rsidRPr="00087A72">
        <w:rPr>
          <w:rFonts w:eastAsia="Calibri" w:cs="Arial"/>
          <w:sz w:val="16"/>
          <w:szCs w:val="28"/>
        </w:rPr>
        <w:t>have</w:t>
      </w:r>
      <w:r w:rsidRPr="00087A72">
        <w:rPr>
          <w:rFonts w:cs="Arial"/>
          <w:sz w:val="16"/>
          <w:szCs w:val="28"/>
        </w:rPr>
        <w:t xml:space="preserve"> </w:t>
      </w:r>
      <w:r w:rsidRPr="00087A72">
        <w:rPr>
          <w:rFonts w:eastAsia="Calibri" w:cs="Arial"/>
          <w:sz w:val="16"/>
          <w:szCs w:val="28"/>
        </w:rPr>
        <w:t>often</w:t>
      </w:r>
      <w:r w:rsidRPr="00087A72">
        <w:rPr>
          <w:rFonts w:cs="Arial"/>
          <w:sz w:val="16"/>
          <w:szCs w:val="28"/>
        </w:rPr>
        <w:t xml:space="preserve"> </w:t>
      </w:r>
      <w:r w:rsidRPr="00087A72">
        <w:rPr>
          <w:rFonts w:eastAsia="Calibri" w:cs="Arial"/>
          <w:sz w:val="16"/>
          <w:szCs w:val="28"/>
        </w:rPr>
        <w:t>rooted</w:t>
      </w:r>
      <w:r w:rsidRPr="00087A72">
        <w:rPr>
          <w:rFonts w:cs="Arial"/>
          <w:sz w:val="16"/>
          <w:szCs w:val="28"/>
        </w:rPr>
        <w:t xml:space="preserve"> </w:t>
      </w:r>
      <w:r w:rsidRPr="00087A72">
        <w:rPr>
          <w:rFonts w:eastAsia="Calibri" w:cs="Arial"/>
          <w:sz w:val="16"/>
          <w:szCs w:val="28"/>
        </w:rPr>
        <w:t>their</w:t>
      </w:r>
      <w:r w:rsidRPr="00087A72">
        <w:rPr>
          <w:rFonts w:cs="Arial"/>
          <w:sz w:val="16"/>
          <w:szCs w:val="28"/>
        </w:rPr>
        <w:t xml:space="preserve"> </w:t>
      </w:r>
      <w:r w:rsidRPr="00087A72">
        <w:rPr>
          <w:rFonts w:eastAsia="Calibri" w:cs="Arial"/>
          <w:sz w:val="16"/>
          <w:szCs w:val="28"/>
        </w:rPr>
        <w:t>scholarship</w:t>
      </w:r>
      <w:r w:rsidRPr="00087A72">
        <w:rPr>
          <w:rFonts w:cs="Arial"/>
          <w:sz w:val="16"/>
          <w:szCs w:val="28"/>
        </w:rPr>
        <w:t xml:space="preserve"> </w:t>
      </w:r>
      <w:r w:rsidRPr="00087A72">
        <w:rPr>
          <w:rFonts w:eastAsia="Calibri" w:cs="Arial"/>
          <w:sz w:val="16"/>
          <w:szCs w:val="28"/>
        </w:rPr>
        <w:t>in</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commitment</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social</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political</w:t>
      </w:r>
      <w:r w:rsidRPr="00087A72">
        <w:rPr>
          <w:rFonts w:cs="Arial"/>
          <w:sz w:val="16"/>
          <w:szCs w:val="28"/>
        </w:rPr>
        <w:t xml:space="preserve"> </w:t>
      </w:r>
      <w:r w:rsidRPr="00087A72">
        <w:rPr>
          <w:rFonts w:eastAsia="Calibri" w:cs="Arial"/>
          <w:sz w:val="16"/>
          <w:szCs w:val="28"/>
        </w:rPr>
        <w:t>justice</w:t>
      </w:r>
      <w:r w:rsidRPr="00087A72">
        <w:rPr>
          <w:rFonts w:cs="Arial"/>
          <w:sz w:val="16"/>
          <w:szCs w:val="28"/>
        </w:rPr>
        <w:t xml:space="preserve"> </w:t>
      </w:r>
      <w:r w:rsidRPr="00087A72">
        <w:rPr>
          <w:rFonts w:eastAsia="Calibri" w:cs="Arial"/>
          <w:sz w:val="16"/>
          <w:szCs w:val="28"/>
        </w:rPr>
        <w:t>for</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nations</w:t>
      </w:r>
      <w:r w:rsidRPr="00087A72">
        <w:rPr>
          <w:rFonts w:cs="Arial"/>
          <w:sz w:val="16"/>
          <w:szCs w:val="28"/>
        </w:rPr>
        <w:t xml:space="preserve">, </w:t>
      </w:r>
      <w:r w:rsidRPr="00087A72">
        <w:rPr>
          <w:rFonts w:eastAsia="Calibri" w:cs="Arial"/>
          <w:sz w:val="16"/>
          <w:szCs w:val="28"/>
        </w:rPr>
        <w:t>it</w:t>
      </w:r>
      <w:r w:rsidRPr="00087A72">
        <w:rPr>
          <w:rFonts w:cs="Arial"/>
          <w:sz w:val="16"/>
          <w:szCs w:val="28"/>
        </w:rPr>
        <w:t xml:space="preserve"> </w:t>
      </w:r>
      <w:r w:rsidRPr="00087A72">
        <w:rPr>
          <w:rFonts w:eastAsia="Calibri" w:cs="Arial"/>
          <w:sz w:val="16"/>
          <w:szCs w:val="28"/>
        </w:rPr>
        <w:t>becomes</w:t>
      </w:r>
      <w:r w:rsidRPr="00087A72">
        <w:rPr>
          <w:rFonts w:cs="Arial"/>
          <w:sz w:val="16"/>
          <w:szCs w:val="28"/>
        </w:rPr>
        <w:t xml:space="preserve"> </w:t>
      </w:r>
      <w:r w:rsidRPr="00087A72">
        <w:rPr>
          <w:rFonts w:eastAsia="Calibri" w:cs="Arial"/>
          <w:sz w:val="16"/>
          <w:szCs w:val="28"/>
        </w:rPr>
        <w:t>all</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more</w:t>
      </w:r>
      <w:r w:rsidRPr="00087A72">
        <w:rPr>
          <w:rFonts w:cs="Arial"/>
          <w:sz w:val="16"/>
          <w:szCs w:val="28"/>
        </w:rPr>
        <w:t xml:space="preserve"> </w:t>
      </w:r>
      <w:r w:rsidRPr="00087A72">
        <w:rPr>
          <w:rFonts w:eastAsia="Calibri" w:cs="Arial"/>
          <w:sz w:val="16"/>
          <w:szCs w:val="28"/>
        </w:rPr>
        <w:t>important</w:t>
      </w:r>
      <w:r w:rsidRPr="00087A72">
        <w:rPr>
          <w:rFonts w:cs="Arial"/>
          <w:sz w:val="16"/>
          <w:szCs w:val="28"/>
        </w:rPr>
        <w:t xml:space="preserve"> </w:t>
      </w:r>
      <w:r w:rsidRPr="00087A72">
        <w:rPr>
          <w:rFonts w:eastAsia="Calibri" w:cs="Arial"/>
          <w:sz w:val="16"/>
          <w:szCs w:val="28"/>
        </w:rPr>
        <w:t>for</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develop</w:t>
      </w:r>
      <w:r w:rsidRPr="00087A72">
        <w:rPr>
          <w:rFonts w:cs="Arial"/>
          <w:sz w:val="16"/>
          <w:szCs w:val="28"/>
        </w:rPr>
        <w:t xml:space="preserve"> </w:t>
      </w:r>
      <w:r w:rsidRPr="00087A72">
        <w:rPr>
          <w:rFonts w:eastAsia="Calibri" w:cs="Arial"/>
          <w:sz w:val="16"/>
          <w:szCs w:val="28"/>
        </w:rPr>
        <w:t>its</w:t>
      </w:r>
      <w:r w:rsidRPr="00087A72">
        <w:rPr>
          <w:rFonts w:cs="Arial"/>
          <w:sz w:val="16"/>
          <w:szCs w:val="28"/>
        </w:rPr>
        <w:t xml:space="preserve"> </w:t>
      </w:r>
      <w:r w:rsidRPr="00087A72">
        <w:rPr>
          <w:rFonts w:eastAsia="Calibri" w:cs="Arial"/>
          <w:sz w:val="16"/>
          <w:szCs w:val="28"/>
        </w:rPr>
        <w:t>own</w:t>
      </w:r>
      <w:r w:rsidRPr="00087A72">
        <w:rPr>
          <w:rFonts w:cs="Arial"/>
          <w:sz w:val="16"/>
          <w:szCs w:val="28"/>
        </w:rPr>
        <w:t xml:space="preserve"> </w:t>
      </w:r>
      <w:r w:rsidRPr="00087A72">
        <w:rPr>
          <w:rFonts w:eastAsia="Calibri" w:cs="Arial"/>
          <w:sz w:val="16"/>
          <w:szCs w:val="28"/>
        </w:rPr>
        <w:t>intellectual</w:t>
      </w:r>
      <w:r w:rsidRPr="00087A72">
        <w:rPr>
          <w:rFonts w:cs="Arial"/>
          <w:sz w:val="16"/>
          <w:szCs w:val="28"/>
        </w:rPr>
        <w:t xml:space="preserve"> </w:t>
      </w:r>
      <w:r w:rsidRPr="00087A72">
        <w:rPr>
          <w:rFonts w:eastAsia="Calibri" w:cs="Arial"/>
          <w:sz w:val="16"/>
          <w:szCs w:val="28"/>
        </w:rPr>
        <w:t>project</w:t>
      </w:r>
      <w:r w:rsidRPr="00087A72">
        <w:rPr>
          <w:rFonts w:cs="Arial"/>
          <w:sz w:val="16"/>
          <w:szCs w:val="28"/>
        </w:rPr>
        <w:t xml:space="preserve"> </w:t>
      </w:r>
      <w:r w:rsidRPr="00087A72">
        <w:rPr>
          <w:rFonts w:eastAsia="Calibri" w:cs="Arial"/>
          <w:sz w:val="16"/>
          <w:szCs w:val="28"/>
        </w:rPr>
        <w:t>in</w:t>
      </w:r>
      <w:r w:rsidRPr="00087A72">
        <w:rPr>
          <w:rFonts w:cs="Arial"/>
          <w:sz w:val="16"/>
          <w:szCs w:val="28"/>
        </w:rPr>
        <w:t xml:space="preserve"> </w:t>
      </w:r>
      <w:r w:rsidRPr="00087A72">
        <w:rPr>
          <w:rFonts w:eastAsia="Calibri" w:cs="Arial"/>
          <w:sz w:val="16"/>
          <w:szCs w:val="28"/>
        </w:rPr>
        <w:t>conversation</w:t>
      </w:r>
      <w:r w:rsidRPr="00087A72">
        <w:rPr>
          <w:rFonts w:cs="Arial"/>
          <w:sz w:val="16"/>
          <w:szCs w:val="28"/>
        </w:rPr>
        <w:t xml:space="preserve"> </w:t>
      </w:r>
      <w:r w:rsidRPr="00087A72">
        <w:rPr>
          <w:rFonts w:eastAsia="Calibri" w:cs="Arial"/>
          <w:sz w:val="16"/>
          <w:szCs w:val="28"/>
        </w:rPr>
        <w:t>with</w:t>
      </w:r>
      <w:r w:rsidRPr="00087A72">
        <w:rPr>
          <w:rFonts w:cs="Arial"/>
          <w:sz w:val="16"/>
          <w:szCs w:val="28"/>
        </w:rPr>
        <w:t xml:space="preserve"> </w:t>
      </w:r>
      <w:r w:rsidRPr="00087A72">
        <w:rPr>
          <w:rFonts w:eastAsia="Calibri" w:cs="Arial"/>
          <w:sz w:val="16"/>
          <w:szCs w:val="28"/>
        </w:rPr>
        <w:t>rather</w:t>
      </w:r>
      <w:r w:rsidRPr="00087A72">
        <w:rPr>
          <w:rFonts w:cs="Arial"/>
          <w:sz w:val="16"/>
          <w:szCs w:val="28"/>
        </w:rPr>
        <w:t xml:space="preserve"> </w:t>
      </w:r>
      <w:r w:rsidRPr="00087A72">
        <w:rPr>
          <w:rFonts w:eastAsia="Calibri" w:cs="Arial"/>
          <w:sz w:val="16"/>
          <w:szCs w:val="28"/>
        </w:rPr>
        <w:t>than</w:t>
      </w:r>
      <w:r w:rsidRPr="00087A72">
        <w:rPr>
          <w:rFonts w:cs="Arial"/>
          <w:sz w:val="16"/>
          <w:szCs w:val="28"/>
        </w:rPr>
        <w:t xml:space="preserve"> </w:t>
      </w:r>
      <w:r w:rsidRPr="00087A72">
        <w:rPr>
          <w:rFonts w:eastAsia="Calibri" w:cs="Arial"/>
          <w:sz w:val="16"/>
          <w:szCs w:val="28"/>
        </w:rPr>
        <w:t>in</w:t>
      </w:r>
      <w:r w:rsidRPr="00087A72">
        <w:rPr>
          <w:rFonts w:cs="Arial"/>
          <w:sz w:val="16"/>
          <w:szCs w:val="28"/>
        </w:rPr>
        <w:t xml:space="preserve"> </w:t>
      </w:r>
      <w:r w:rsidRPr="00087A72">
        <w:rPr>
          <w:rFonts w:eastAsia="Calibri" w:cs="Arial"/>
          <w:sz w:val="16"/>
          <w:szCs w:val="28"/>
        </w:rPr>
        <w:t>isolation</w:t>
      </w:r>
      <w:r w:rsidRPr="00087A72">
        <w:rPr>
          <w:rFonts w:cs="Arial"/>
          <w:sz w:val="16"/>
          <w:szCs w:val="28"/>
        </w:rPr>
        <w:t xml:space="preserve"> </w:t>
      </w:r>
      <w:r w:rsidRPr="00087A72">
        <w:rPr>
          <w:rFonts w:eastAsia="Calibri" w:cs="Arial"/>
          <w:sz w:val="16"/>
          <w:szCs w:val="28"/>
        </w:rPr>
        <w:t>from</w:t>
      </w:r>
      <w:r w:rsidRPr="00087A72">
        <w:rPr>
          <w:rFonts w:cs="Arial"/>
          <w:sz w:val="16"/>
          <w:szCs w:val="28"/>
        </w:rPr>
        <w:t xml:space="preserve"> </w:t>
      </w:r>
      <w:r w:rsidRPr="00087A72">
        <w:rPr>
          <w:rFonts w:eastAsia="Calibri" w:cs="Arial"/>
          <w:sz w:val="16"/>
          <w:szCs w:val="28"/>
        </w:rPr>
        <w:t>potential</w:t>
      </w:r>
      <w:r w:rsidRPr="00087A72">
        <w:rPr>
          <w:rFonts w:cs="Arial"/>
          <w:sz w:val="16"/>
          <w:szCs w:val="28"/>
        </w:rPr>
        <w:t xml:space="preserve"> </w:t>
      </w:r>
      <w:r w:rsidRPr="00087A72">
        <w:rPr>
          <w:rFonts w:eastAsia="Calibri" w:cs="Arial"/>
          <w:sz w:val="16"/>
          <w:szCs w:val="28"/>
        </w:rPr>
        <w:t>partners</w:t>
      </w:r>
      <w:r w:rsidRPr="00087A72">
        <w:rPr>
          <w:rFonts w:cs="Arial"/>
          <w:sz w:val="16"/>
          <w:szCs w:val="28"/>
        </w:rPr>
        <w:t xml:space="preserve">. </w:t>
      </w:r>
      <w:r w:rsidRPr="00087A72">
        <w:rPr>
          <w:rFonts w:eastAsia="Calibri" w:cs="Arial"/>
          <w:b/>
          <w:sz w:val="28"/>
          <w:szCs w:val="28"/>
          <w:u w:val="single"/>
        </w:rPr>
        <w:t>Alliances</w:t>
      </w:r>
      <w:r w:rsidRPr="00087A72">
        <w:rPr>
          <w:rFonts w:cs="Arial"/>
          <w:b/>
          <w:sz w:val="28"/>
          <w:szCs w:val="28"/>
          <w:u w:val="single"/>
        </w:rPr>
        <w:t xml:space="preserve"> </w:t>
      </w:r>
      <w:r w:rsidRPr="00087A72">
        <w:rPr>
          <w:rFonts w:eastAsia="Calibri" w:cs="Arial"/>
          <w:b/>
          <w:sz w:val="28"/>
          <w:szCs w:val="28"/>
          <w:u w:val="single"/>
        </w:rPr>
        <w:t>are</w:t>
      </w:r>
      <w:r w:rsidRPr="00087A72">
        <w:rPr>
          <w:rFonts w:cs="Arial"/>
          <w:b/>
          <w:sz w:val="28"/>
          <w:szCs w:val="28"/>
          <w:u w:val="single"/>
        </w:rPr>
        <w:t xml:space="preserve"> </w:t>
      </w:r>
      <w:r w:rsidRPr="00087A72">
        <w:rPr>
          <w:rFonts w:eastAsia="Calibri" w:cs="Arial"/>
          <w:b/>
          <w:sz w:val="28"/>
          <w:szCs w:val="28"/>
          <w:u w:val="single"/>
        </w:rPr>
        <w:t>necessary</w:t>
      </w:r>
      <w:r w:rsidRPr="00087A72">
        <w:rPr>
          <w:rFonts w:cs="Arial"/>
          <w:b/>
          <w:sz w:val="28"/>
          <w:szCs w:val="28"/>
          <w:u w:val="single"/>
        </w:rPr>
        <w:t xml:space="preserve"> </w:t>
      </w:r>
      <w:r w:rsidRPr="00087A72">
        <w:rPr>
          <w:rFonts w:eastAsia="Calibri" w:cs="Arial"/>
          <w:b/>
          <w:sz w:val="28"/>
          <w:szCs w:val="28"/>
          <w:u w:val="single"/>
        </w:rPr>
        <w:t>if</w:t>
      </w:r>
      <w:r w:rsidRPr="00087A72">
        <w:rPr>
          <w:rFonts w:cs="Arial"/>
          <w:b/>
          <w:sz w:val="28"/>
          <w:szCs w:val="28"/>
          <w:u w:val="single"/>
        </w:rPr>
        <w:t xml:space="preserve"> </w:t>
      </w:r>
      <w:r w:rsidRPr="00087A72">
        <w:rPr>
          <w:rFonts w:eastAsia="Calibri" w:cs="Arial"/>
          <w:b/>
          <w:sz w:val="28"/>
          <w:szCs w:val="28"/>
          <w:u w:val="single"/>
        </w:rPr>
        <w:t>Native</w:t>
      </w:r>
      <w:r w:rsidRPr="00087A72">
        <w:rPr>
          <w:rFonts w:cs="Arial"/>
          <w:b/>
          <w:sz w:val="28"/>
          <w:szCs w:val="28"/>
          <w:u w:val="single"/>
        </w:rPr>
        <w:t xml:space="preserve"> </w:t>
      </w:r>
      <w:r w:rsidRPr="00087A72">
        <w:rPr>
          <w:rFonts w:eastAsia="Calibri" w:cs="Arial"/>
          <w:b/>
          <w:sz w:val="28"/>
          <w:szCs w:val="28"/>
          <w:u w:val="single"/>
        </w:rPr>
        <w:t>scholars</w:t>
      </w:r>
      <w:r w:rsidRPr="00087A72">
        <w:rPr>
          <w:rFonts w:cs="Arial"/>
          <w:b/>
          <w:sz w:val="28"/>
          <w:szCs w:val="28"/>
          <w:u w:val="single"/>
        </w:rPr>
        <w:t xml:space="preserve"> </w:t>
      </w:r>
      <w:r w:rsidRPr="00087A72">
        <w:rPr>
          <w:rFonts w:eastAsia="Calibri" w:cs="Arial"/>
          <w:b/>
          <w:sz w:val="28"/>
          <w:szCs w:val="28"/>
          <w:u w:val="single"/>
        </w:rPr>
        <w:t>and</w:t>
      </w:r>
      <w:r w:rsidRPr="00087A72">
        <w:rPr>
          <w:rFonts w:cs="Arial"/>
          <w:b/>
          <w:sz w:val="28"/>
          <w:szCs w:val="28"/>
          <w:u w:val="single"/>
        </w:rPr>
        <w:t xml:space="preserve"> </w:t>
      </w:r>
      <w:r w:rsidRPr="00087A72">
        <w:rPr>
          <w:rFonts w:eastAsia="Calibri" w:cs="Arial"/>
          <w:b/>
          <w:sz w:val="28"/>
          <w:szCs w:val="28"/>
          <w:u w:val="single"/>
        </w:rPr>
        <w:t>activists</w:t>
      </w:r>
      <w:r w:rsidRPr="00087A72">
        <w:rPr>
          <w:rFonts w:cs="Arial"/>
          <w:b/>
          <w:sz w:val="28"/>
          <w:szCs w:val="28"/>
          <w:u w:val="single"/>
        </w:rPr>
        <w:t xml:space="preserve"> </w:t>
      </w:r>
      <w:r w:rsidRPr="00087A72">
        <w:rPr>
          <w:rFonts w:eastAsia="Calibri" w:cs="Arial"/>
          <w:b/>
          <w:sz w:val="28"/>
          <w:szCs w:val="28"/>
          <w:u w:val="single"/>
        </w:rPr>
        <w:t>are</w:t>
      </w:r>
      <w:r w:rsidRPr="00087A72">
        <w:rPr>
          <w:rFonts w:cs="Arial"/>
          <w:b/>
          <w:sz w:val="28"/>
          <w:szCs w:val="28"/>
          <w:u w:val="single"/>
        </w:rPr>
        <w:t xml:space="preserve"> </w:t>
      </w:r>
      <w:r w:rsidRPr="00087A72">
        <w:rPr>
          <w:rFonts w:eastAsia="Calibri" w:cs="Arial"/>
          <w:b/>
          <w:sz w:val="28"/>
          <w:szCs w:val="28"/>
          <w:u w:val="single"/>
        </w:rPr>
        <w:t>to</w:t>
      </w:r>
      <w:r w:rsidRPr="00087A72">
        <w:rPr>
          <w:rFonts w:cs="Arial"/>
          <w:b/>
          <w:sz w:val="28"/>
          <w:szCs w:val="28"/>
          <w:u w:val="single"/>
        </w:rPr>
        <w:t xml:space="preserve"> </w:t>
      </w:r>
      <w:r w:rsidRPr="00087A72">
        <w:rPr>
          <w:rFonts w:eastAsia="Calibri" w:cs="Arial"/>
          <w:b/>
          <w:sz w:val="28"/>
          <w:szCs w:val="28"/>
          <w:u w:val="single"/>
        </w:rPr>
        <w:t>build</w:t>
      </w:r>
      <w:r w:rsidRPr="00087A72">
        <w:rPr>
          <w:rFonts w:cs="Arial"/>
          <w:b/>
          <w:sz w:val="28"/>
          <w:szCs w:val="28"/>
          <w:u w:val="single"/>
        </w:rPr>
        <w:t xml:space="preserve"> </w:t>
      </w:r>
      <w:r w:rsidRPr="00087A72">
        <w:rPr>
          <w:rFonts w:eastAsia="Calibri" w:cs="Arial"/>
          <w:b/>
          <w:sz w:val="28"/>
          <w:szCs w:val="28"/>
          <w:u w:val="single"/>
        </w:rPr>
        <w:t>sufficient</w:t>
      </w:r>
      <w:r w:rsidRPr="00087A72">
        <w:rPr>
          <w:rFonts w:cs="Arial"/>
          <w:b/>
          <w:sz w:val="28"/>
          <w:szCs w:val="28"/>
          <w:u w:val="single"/>
        </w:rPr>
        <w:t xml:space="preserve"> </w:t>
      </w:r>
      <w:r w:rsidRPr="00087A72">
        <w:rPr>
          <w:rFonts w:eastAsia="Calibri" w:cs="Arial"/>
          <w:b/>
          <w:sz w:val="28"/>
          <w:szCs w:val="28"/>
          <w:u w:val="single"/>
        </w:rPr>
        <w:t>political</w:t>
      </w:r>
      <w:r w:rsidRPr="00087A72">
        <w:rPr>
          <w:rFonts w:cs="Arial"/>
          <w:b/>
          <w:sz w:val="28"/>
          <w:szCs w:val="28"/>
          <w:u w:val="single"/>
        </w:rPr>
        <w:t xml:space="preserve"> </w:t>
      </w:r>
      <w:r w:rsidRPr="00087A72">
        <w:rPr>
          <w:rFonts w:eastAsia="Calibri" w:cs="Arial"/>
          <w:b/>
          <w:sz w:val="28"/>
          <w:szCs w:val="28"/>
          <w:u w:val="single"/>
        </w:rPr>
        <w:t>power</w:t>
      </w:r>
      <w:r w:rsidRPr="00087A72">
        <w:rPr>
          <w:rFonts w:cs="Arial"/>
          <w:b/>
          <w:sz w:val="28"/>
          <w:szCs w:val="28"/>
          <w:u w:val="single"/>
        </w:rPr>
        <w:t xml:space="preserve"> </w:t>
      </w:r>
      <w:r w:rsidRPr="00087A72">
        <w:rPr>
          <w:rFonts w:eastAsia="Calibri" w:cs="Arial"/>
          <w:b/>
          <w:sz w:val="28"/>
          <w:szCs w:val="28"/>
          <w:u w:val="single"/>
        </w:rPr>
        <w:t>to</w:t>
      </w:r>
      <w:r w:rsidRPr="00087A72">
        <w:rPr>
          <w:rFonts w:cs="Arial"/>
          <w:b/>
          <w:sz w:val="28"/>
          <w:szCs w:val="28"/>
          <w:u w:val="single"/>
        </w:rPr>
        <w:t xml:space="preserve"> </w:t>
      </w:r>
      <w:r w:rsidRPr="00087A72">
        <w:rPr>
          <w:rFonts w:eastAsia="Calibri" w:cs="Arial"/>
          <w:b/>
          <w:sz w:val="28"/>
          <w:szCs w:val="28"/>
          <w:u w:val="single"/>
        </w:rPr>
        <w:t>enable</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social</w:t>
      </w:r>
      <w:r w:rsidRPr="00087A72">
        <w:rPr>
          <w:rFonts w:cs="Arial"/>
          <w:b/>
          <w:sz w:val="28"/>
          <w:szCs w:val="28"/>
          <w:u w:val="single"/>
        </w:rPr>
        <w:t xml:space="preserve"> </w:t>
      </w:r>
      <w:r w:rsidRPr="00087A72">
        <w:rPr>
          <w:rFonts w:eastAsia="Calibri" w:cs="Arial"/>
          <w:b/>
          <w:sz w:val="28"/>
          <w:szCs w:val="28"/>
          <w:u w:val="single"/>
        </w:rPr>
        <w:t>transformation</w:t>
      </w:r>
      <w:r w:rsidRPr="00087A72">
        <w:rPr>
          <w:rFonts w:cs="Arial"/>
          <w:b/>
          <w:sz w:val="28"/>
          <w:szCs w:val="28"/>
          <w:u w:val="single"/>
        </w:rPr>
        <w:t xml:space="preserve"> </w:t>
      </w:r>
      <w:r w:rsidRPr="00087A72">
        <w:rPr>
          <w:rFonts w:eastAsia="Calibri" w:cs="Arial"/>
          <w:b/>
          <w:sz w:val="28"/>
          <w:szCs w:val="28"/>
          <w:u w:val="single"/>
        </w:rPr>
        <w:t>needed</w:t>
      </w:r>
      <w:r w:rsidRPr="00087A72">
        <w:rPr>
          <w:rFonts w:cs="Arial"/>
          <w:b/>
          <w:sz w:val="28"/>
          <w:szCs w:val="28"/>
          <w:u w:val="single"/>
        </w:rPr>
        <w:t xml:space="preserve"> </w:t>
      </w:r>
      <w:r w:rsidRPr="00087A72">
        <w:rPr>
          <w:rFonts w:eastAsia="Calibri" w:cs="Arial"/>
          <w:b/>
          <w:sz w:val="28"/>
          <w:szCs w:val="28"/>
          <w:u w:val="single"/>
        </w:rPr>
        <w:t>to</w:t>
      </w:r>
      <w:r w:rsidRPr="00087A72">
        <w:rPr>
          <w:rFonts w:cs="Arial"/>
          <w:b/>
          <w:sz w:val="28"/>
          <w:szCs w:val="28"/>
          <w:u w:val="single"/>
        </w:rPr>
        <w:t xml:space="preserve"> </w:t>
      </w:r>
      <w:r w:rsidRPr="00087A72">
        <w:rPr>
          <w:rFonts w:eastAsia="Calibri" w:cs="Arial"/>
          <w:b/>
          <w:sz w:val="28"/>
          <w:szCs w:val="28"/>
          <w:u w:val="single"/>
        </w:rPr>
        <w:t>ensure</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survival</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indigenous</w:t>
      </w:r>
      <w:r w:rsidRPr="00087A72">
        <w:rPr>
          <w:rFonts w:cs="Arial"/>
          <w:b/>
          <w:sz w:val="28"/>
          <w:szCs w:val="28"/>
          <w:u w:val="single"/>
        </w:rPr>
        <w:t xml:space="preserve"> </w:t>
      </w:r>
      <w:r w:rsidRPr="00087A72">
        <w:rPr>
          <w:rFonts w:eastAsia="Calibri" w:cs="Arial"/>
          <w:b/>
          <w:sz w:val="28"/>
          <w:szCs w:val="28"/>
          <w:u w:val="single"/>
        </w:rPr>
        <w:t>nations</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critical</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study</w:t>
      </w:r>
      <w:r w:rsidRPr="00087A72">
        <w:rPr>
          <w:rFonts w:cs="Arial"/>
          <w:sz w:val="16"/>
          <w:szCs w:val="28"/>
        </w:rPr>
        <w:t xml:space="preserve"> </w:t>
      </w:r>
      <w:r w:rsidRPr="00087A72">
        <w:rPr>
          <w:rFonts w:eastAsia="Calibri" w:cs="Arial"/>
          <w:sz w:val="16"/>
          <w:szCs w:val="28"/>
        </w:rPr>
        <w:t>must</w:t>
      </w:r>
      <w:r w:rsidRPr="00087A72">
        <w:rPr>
          <w:rFonts w:cs="Arial"/>
          <w:sz w:val="16"/>
          <w:szCs w:val="28"/>
        </w:rPr>
        <w:t xml:space="preserve"> </w:t>
      </w:r>
      <w:r w:rsidRPr="00087A72">
        <w:rPr>
          <w:rFonts w:eastAsia="Calibri" w:cs="Arial"/>
          <w:sz w:val="16"/>
          <w:szCs w:val="28"/>
        </w:rPr>
        <w:t>interrogate</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strictures</w:t>
      </w:r>
      <w:r w:rsidRPr="00087A72">
        <w:rPr>
          <w:rFonts w:cs="Arial"/>
          <w:sz w:val="16"/>
          <w:szCs w:val="28"/>
        </w:rPr>
        <w:t xml:space="preserve"> </w:t>
      </w:r>
      <w:r w:rsidRPr="00087A72">
        <w:rPr>
          <w:rFonts w:eastAsia="Calibri" w:cs="Arial"/>
          <w:sz w:val="16"/>
          <w:szCs w:val="28"/>
        </w:rPr>
        <w:t>within</w:t>
      </w:r>
      <w:r w:rsidRPr="00087A72">
        <w:rPr>
          <w:rFonts w:cs="Arial"/>
          <w:sz w:val="16"/>
          <w:szCs w:val="28"/>
        </w:rPr>
        <w:t xml:space="preserve"> </w:t>
      </w:r>
      <w:r w:rsidRPr="00087A72">
        <w:rPr>
          <w:rFonts w:eastAsia="Calibri" w:cs="Arial"/>
          <w:sz w:val="16"/>
          <w:szCs w:val="28"/>
        </w:rPr>
        <w:t>which</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ethnic</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find</w:t>
      </w:r>
      <w:r w:rsidRPr="00087A72">
        <w:rPr>
          <w:rFonts w:cs="Arial"/>
          <w:sz w:val="16"/>
          <w:szCs w:val="28"/>
        </w:rPr>
        <w:t xml:space="preserve"> </w:t>
      </w:r>
      <w:r w:rsidRPr="00087A72">
        <w:rPr>
          <w:rFonts w:eastAsia="Calibri" w:cs="Arial"/>
          <w:sz w:val="16"/>
          <w:szCs w:val="28"/>
        </w:rPr>
        <w:t>themselves</w:t>
      </w:r>
      <w:r w:rsidRPr="00087A72">
        <w:rPr>
          <w:rFonts w:cs="Arial"/>
          <w:sz w:val="16"/>
          <w:szCs w:val="28"/>
        </w:rPr>
        <w:t xml:space="preserve">.11 </w:t>
      </w:r>
      <w:r w:rsidRPr="00087A72">
        <w:rPr>
          <w:rFonts w:eastAsia="Calibri" w:cs="Arial"/>
          <w:b/>
          <w:sz w:val="28"/>
          <w:szCs w:val="28"/>
          <w:u w:val="single"/>
        </w:rPr>
        <w:t>Native</w:t>
      </w:r>
      <w:r w:rsidRPr="00087A72">
        <w:rPr>
          <w:rFonts w:cs="Arial"/>
          <w:b/>
          <w:sz w:val="28"/>
          <w:szCs w:val="28"/>
          <w:u w:val="single"/>
        </w:rPr>
        <w:t xml:space="preserve"> </w:t>
      </w:r>
      <w:r w:rsidRPr="00087A72">
        <w:rPr>
          <w:rFonts w:eastAsia="Calibri" w:cs="Arial"/>
          <w:b/>
          <w:sz w:val="28"/>
          <w:szCs w:val="28"/>
          <w:u w:val="single"/>
        </w:rPr>
        <w:t>studies</w:t>
      </w:r>
      <w:r w:rsidRPr="00087A72">
        <w:rPr>
          <w:rFonts w:cs="Arial"/>
          <w:b/>
          <w:sz w:val="28"/>
          <w:szCs w:val="28"/>
          <w:u w:val="single"/>
        </w:rPr>
        <w:t xml:space="preserve"> </w:t>
      </w:r>
      <w:r w:rsidRPr="00087A72">
        <w:rPr>
          <w:rFonts w:eastAsia="Calibri" w:cs="Arial"/>
          <w:b/>
          <w:sz w:val="28"/>
          <w:szCs w:val="28"/>
          <w:u w:val="single"/>
        </w:rPr>
        <w:t>can</w:t>
      </w:r>
      <w:r w:rsidRPr="00087A72">
        <w:rPr>
          <w:rFonts w:cs="Arial"/>
          <w:b/>
          <w:sz w:val="28"/>
          <w:szCs w:val="28"/>
          <w:u w:val="single"/>
        </w:rPr>
        <w:t xml:space="preserve"> </w:t>
      </w:r>
      <w:r w:rsidRPr="00087A72">
        <w:rPr>
          <w:rFonts w:eastAsia="Calibri" w:cs="Arial"/>
          <w:b/>
          <w:sz w:val="28"/>
          <w:szCs w:val="28"/>
          <w:u w:val="single"/>
        </w:rPr>
        <w:t>be</w:t>
      </w:r>
      <w:r w:rsidRPr="00087A72">
        <w:rPr>
          <w:rFonts w:cs="Arial"/>
          <w:b/>
          <w:sz w:val="28"/>
          <w:szCs w:val="28"/>
          <w:u w:val="single"/>
        </w:rPr>
        <w:t xml:space="preserve"> </w:t>
      </w:r>
      <w:r w:rsidRPr="00087A72">
        <w:rPr>
          <w:rFonts w:eastAsia="Calibri" w:cs="Arial"/>
          <w:b/>
          <w:sz w:val="28"/>
          <w:szCs w:val="28"/>
          <w:u w:val="single"/>
        </w:rPr>
        <w:t>part</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a</w:t>
      </w:r>
      <w:r w:rsidRPr="00087A72">
        <w:rPr>
          <w:rFonts w:cs="Arial"/>
          <w:b/>
          <w:sz w:val="28"/>
          <w:szCs w:val="28"/>
          <w:u w:val="single"/>
        </w:rPr>
        <w:t xml:space="preserve"> </w:t>
      </w:r>
      <w:r w:rsidRPr="00087A72">
        <w:rPr>
          <w:rFonts w:eastAsia="Calibri" w:cs="Arial"/>
          <w:b/>
          <w:sz w:val="28"/>
          <w:szCs w:val="28"/>
          <w:u w:val="single"/>
        </w:rPr>
        <w:t>growing</w:t>
      </w:r>
      <w:r w:rsidRPr="00087A72">
        <w:rPr>
          <w:rFonts w:cs="Arial"/>
          <w:b/>
          <w:sz w:val="28"/>
          <w:szCs w:val="28"/>
          <w:u w:val="single"/>
        </w:rPr>
        <w:t xml:space="preserve"> </w:t>
      </w:r>
      <w:r w:rsidRPr="00087A72">
        <w:rPr>
          <w:rFonts w:eastAsia="Calibri" w:cs="Arial"/>
          <w:b/>
          <w:sz w:val="28"/>
          <w:szCs w:val="28"/>
          <w:u w:val="single"/>
        </w:rPr>
        <w:t>conversation</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scholars</w:t>
      </w:r>
      <w:r w:rsidRPr="00087A72">
        <w:rPr>
          <w:rFonts w:cs="Arial"/>
          <w:b/>
          <w:sz w:val="28"/>
          <w:szCs w:val="28"/>
          <w:u w:val="single"/>
        </w:rPr>
        <w:t xml:space="preserve"> </w:t>
      </w:r>
      <w:r w:rsidRPr="00087A72">
        <w:rPr>
          <w:rFonts w:eastAsia="Calibri" w:cs="Arial"/>
          <w:b/>
          <w:sz w:val="28"/>
          <w:szCs w:val="28"/>
          <w:u w:val="single"/>
        </w:rPr>
        <w:t>engaged</w:t>
      </w:r>
      <w:r w:rsidRPr="00087A72">
        <w:rPr>
          <w:rFonts w:cs="Arial"/>
          <w:b/>
          <w:sz w:val="28"/>
          <w:szCs w:val="28"/>
          <w:u w:val="single"/>
        </w:rPr>
        <w:t xml:space="preserve"> </w:t>
      </w:r>
      <w:r w:rsidRPr="00087A72">
        <w:rPr>
          <w:rFonts w:eastAsia="Calibri" w:cs="Arial"/>
          <w:b/>
          <w:sz w:val="28"/>
          <w:szCs w:val="28"/>
          <w:u w:val="single"/>
        </w:rPr>
        <w:t>in</w:t>
      </w:r>
      <w:r w:rsidRPr="00087A72">
        <w:rPr>
          <w:rFonts w:cs="Arial"/>
          <w:b/>
          <w:sz w:val="28"/>
          <w:szCs w:val="28"/>
          <w:u w:val="single"/>
        </w:rPr>
        <w:t xml:space="preserve"> </w:t>
      </w:r>
      <w:r w:rsidRPr="00087A72">
        <w:rPr>
          <w:rFonts w:eastAsia="Calibri" w:cs="Arial"/>
          <w:b/>
          <w:sz w:val="28"/>
          <w:szCs w:val="28"/>
          <w:u w:val="single"/>
        </w:rPr>
        <w:t>diverse</w:t>
      </w:r>
      <w:r w:rsidRPr="00087A72">
        <w:rPr>
          <w:rFonts w:cs="Arial"/>
          <w:b/>
          <w:sz w:val="28"/>
          <w:szCs w:val="28"/>
          <w:u w:val="single"/>
        </w:rPr>
        <w:t xml:space="preserve"> </w:t>
      </w:r>
      <w:r w:rsidRPr="00087A72">
        <w:rPr>
          <w:rFonts w:eastAsia="Calibri" w:cs="Arial"/>
          <w:b/>
          <w:sz w:val="28"/>
          <w:szCs w:val="28"/>
          <w:u w:val="single"/>
        </w:rPr>
        <w:t>intellectual</w:t>
      </w:r>
      <w:r w:rsidRPr="00087A72">
        <w:rPr>
          <w:rFonts w:cs="Arial"/>
          <w:b/>
          <w:sz w:val="28"/>
          <w:szCs w:val="28"/>
          <w:u w:val="single"/>
        </w:rPr>
        <w:t xml:space="preserve"> </w:t>
      </w:r>
      <w:r w:rsidRPr="00087A72">
        <w:rPr>
          <w:rFonts w:eastAsia="Calibri" w:cs="Arial"/>
          <w:b/>
          <w:sz w:val="28"/>
          <w:szCs w:val="28"/>
          <w:u w:val="single"/>
        </w:rPr>
        <w:t>projects</w:t>
      </w:r>
      <w:r w:rsidRPr="00087A72">
        <w:rPr>
          <w:rFonts w:cs="Arial"/>
          <w:b/>
          <w:sz w:val="28"/>
          <w:szCs w:val="28"/>
          <w:u w:val="single"/>
        </w:rPr>
        <w:t xml:space="preserve"> </w:t>
      </w:r>
      <w:r w:rsidRPr="00087A72">
        <w:rPr>
          <w:rFonts w:eastAsia="Calibri" w:cs="Arial"/>
          <w:b/>
          <w:sz w:val="28"/>
          <w:szCs w:val="28"/>
          <w:u w:val="single"/>
        </w:rPr>
        <w:t>that</w:t>
      </w:r>
      <w:r w:rsidRPr="00087A72">
        <w:rPr>
          <w:rFonts w:cs="Arial"/>
          <w:b/>
          <w:sz w:val="28"/>
          <w:szCs w:val="28"/>
          <w:u w:val="single"/>
        </w:rPr>
        <w:t xml:space="preserve"> </w:t>
      </w:r>
      <w:r w:rsidRPr="00087A72">
        <w:rPr>
          <w:rFonts w:eastAsia="Calibri" w:cs="Arial"/>
          <w:b/>
          <w:sz w:val="28"/>
          <w:szCs w:val="28"/>
          <w:u w:val="single"/>
        </w:rPr>
        <w:t>do</w:t>
      </w:r>
      <w:r w:rsidRPr="00087A72">
        <w:rPr>
          <w:rFonts w:cs="Arial"/>
          <w:b/>
          <w:sz w:val="28"/>
          <w:szCs w:val="28"/>
          <w:u w:val="single"/>
        </w:rPr>
        <w:t xml:space="preserve"> </w:t>
      </w:r>
      <w:r w:rsidRPr="00087A72">
        <w:rPr>
          <w:rFonts w:eastAsia="Calibri" w:cs="Arial"/>
          <w:b/>
          <w:sz w:val="28"/>
          <w:szCs w:val="28"/>
          <w:u w:val="single"/>
        </w:rPr>
        <w:t>not</w:t>
      </w:r>
      <w:r w:rsidRPr="00087A72">
        <w:rPr>
          <w:rFonts w:cs="Arial"/>
          <w:b/>
          <w:sz w:val="28"/>
          <w:szCs w:val="28"/>
          <w:u w:val="single"/>
        </w:rPr>
        <w:t xml:space="preserve"> </w:t>
      </w:r>
      <w:r w:rsidRPr="00087A72">
        <w:rPr>
          <w:rFonts w:eastAsia="Calibri" w:cs="Arial"/>
          <w:b/>
          <w:sz w:val="28"/>
          <w:szCs w:val="28"/>
          <w:u w:val="single"/>
        </w:rPr>
        <w:t>dismiss</w:t>
      </w:r>
      <w:r w:rsidRPr="00087A72">
        <w:rPr>
          <w:rFonts w:cs="Arial"/>
          <w:b/>
          <w:sz w:val="28"/>
          <w:szCs w:val="28"/>
          <w:u w:val="single"/>
        </w:rPr>
        <w:t xml:space="preserve"> </w:t>
      </w:r>
      <w:r w:rsidRPr="00087A72">
        <w:rPr>
          <w:rFonts w:eastAsia="Calibri" w:cs="Arial"/>
          <w:b/>
          <w:sz w:val="28"/>
          <w:szCs w:val="28"/>
          <w:u w:val="single"/>
        </w:rPr>
        <w:t>identity</w:t>
      </w:r>
      <w:r w:rsidRPr="00087A72">
        <w:rPr>
          <w:rFonts w:cs="Arial"/>
          <w:b/>
          <w:sz w:val="28"/>
          <w:szCs w:val="28"/>
          <w:u w:val="single"/>
        </w:rPr>
        <w:t xml:space="preserve"> </w:t>
      </w:r>
      <w:r w:rsidRPr="00087A72">
        <w:rPr>
          <w:rFonts w:eastAsia="Calibri" w:cs="Arial"/>
          <w:b/>
          <w:sz w:val="28"/>
          <w:szCs w:val="28"/>
          <w:u w:val="single"/>
        </w:rPr>
        <w:t>but</w:t>
      </w:r>
      <w:r w:rsidRPr="00087A72">
        <w:rPr>
          <w:rFonts w:cs="Arial"/>
          <w:b/>
          <w:sz w:val="28"/>
          <w:szCs w:val="28"/>
          <w:u w:val="single"/>
        </w:rPr>
        <w:t xml:space="preserve"> </w:t>
      </w:r>
      <w:r w:rsidRPr="00087A72">
        <w:rPr>
          <w:rFonts w:eastAsia="Calibri" w:cs="Arial"/>
          <w:b/>
          <w:sz w:val="28"/>
          <w:szCs w:val="28"/>
          <w:u w:val="single"/>
        </w:rPr>
        <w:t>structure</w:t>
      </w:r>
      <w:r w:rsidRPr="00087A72">
        <w:rPr>
          <w:rFonts w:cs="Arial"/>
          <w:b/>
          <w:sz w:val="28"/>
          <w:szCs w:val="28"/>
          <w:u w:val="single"/>
        </w:rPr>
        <w:t xml:space="preserve"> </w:t>
      </w:r>
      <w:r w:rsidRPr="00087A72">
        <w:rPr>
          <w:rFonts w:eastAsia="Calibri" w:cs="Arial"/>
          <w:b/>
          <w:sz w:val="28"/>
          <w:szCs w:val="28"/>
          <w:u w:val="single"/>
        </w:rPr>
        <w:t>inquiry</w:t>
      </w:r>
      <w:r w:rsidRPr="00087A72">
        <w:rPr>
          <w:rFonts w:cs="Arial"/>
          <w:b/>
          <w:sz w:val="28"/>
          <w:szCs w:val="28"/>
          <w:u w:val="single"/>
        </w:rPr>
        <w:t xml:space="preserve"> </w:t>
      </w:r>
      <w:r w:rsidRPr="00087A72">
        <w:rPr>
          <w:rFonts w:eastAsia="Calibri" w:cs="Arial"/>
          <w:b/>
          <w:sz w:val="28"/>
          <w:szCs w:val="28"/>
          <w:u w:val="single"/>
        </w:rPr>
        <w:t>around</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logics</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race</w:t>
      </w:r>
      <w:r w:rsidRPr="00087A72">
        <w:rPr>
          <w:rFonts w:cs="Arial"/>
          <w:b/>
          <w:sz w:val="28"/>
          <w:szCs w:val="28"/>
          <w:u w:val="single"/>
        </w:rPr>
        <w:t xml:space="preserve">, </w:t>
      </w:r>
      <w:r w:rsidRPr="00087A72">
        <w:rPr>
          <w:rFonts w:eastAsia="Calibri" w:cs="Arial"/>
          <w:b/>
          <w:sz w:val="28"/>
          <w:szCs w:val="28"/>
          <w:u w:val="single"/>
        </w:rPr>
        <w:t>colonialism</w:t>
      </w:r>
      <w:r w:rsidRPr="00087A72">
        <w:rPr>
          <w:rFonts w:cs="Arial"/>
          <w:b/>
          <w:sz w:val="28"/>
          <w:szCs w:val="28"/>
          <w:u w:val="single"/>
        </w:rPr>
        <w:t xml:space="preserve">, </w:t>
      </w:r>
      <w:r w:rsidRPr="00087A72">
        <w:rPr>
          <w:rFonts w:eastAsia="Calibri" w:cs="Arial"/>
          <w:b/>
          <w:sz w:val="28"/>
          <w:szCs w:val="28"/>
          <w:u w:val="single"/>
        </w:rPr>
        <w:t>capitalism</w:t>
      </w:r>
      <w:r w:rsidRPr="00087A72">
        <w:rPr>
          <w:rFonts w:cs="Arial"/>
          <w:b/>
          <w:sz w:val="28"/>
          <w:szCs w:val="28"/>
          <w:u w:val="single"/>
        </w:rPr>
        <w:t xml:space="preserve">, </w:t>
      </w:r>
      <w:r w:rsidRPr="00087A72">
        <w:rPr>
          <w:rFonts w:eastAsia="Calibri" w:cs="Arial"/>
          <w:b/>
          <w:sz w:val="28"/>
          <w:szCs w:val="28"/>
          <w:u w:val="single"/>
        </w:rPr>
        <w:t>gender</w:t>
      </w:r>
      <w:r w:rsidRPr="00087A72">
        <w:rPr>
          <w:rFonts w:cs="Arial"/>
          <w:b/>
          <w:sz w:val="28"/>
          <w:szCs w:val="28"/>
          <w:u w:val="single"/>
        </w:rPr>
        <w:t xml:space="preserve">, </w:t>
      </w:r>
      <w:r w:rsidRPr="00087A72">
        <w:rPr>
          <w:rFonts w:eastAsia="Calibri" w:cs="Arial"/>
          <w:b/>
          <w:sz w:val="28"/>
          <w:szCs w:val="28"/>
          <w:u w:val="single"/>
        </w:rPr>
        <w:t>and</w:t>
      </w:r>
      <w:r w:rsidRPr="00087A72">
        <w:rPr>
          <w:rFonts w:cs="Arial"/>
          <w:b/>
          <w:sz w:val="28"/>
          <w:szCs w:val="28"/>
          <w:u w:val="single"/>
        </w:rPr>
        <w:t xml:space="preserve"> </w:t>
      </w:r>
      <w:r w:rsidRPr="00087A72">
        <w:rPr>
          <w:rFonts w:eastAsia="Calibri" w:cs="Arial"/>
          <w:b/>
          <w:sz w:val="28"/>
          <w:szCs w:val="28"/>
          <w:u w:val="single"/>
        </w:rPr>
        <w:t>sexuality</w:t>
      </w:r>
      <w:r w:rsidRPr="00087A72">
        <w:rPr>
          <w:rFonts w:cs="Arial"/>
          <w:b/>
          <w:sz w:val="28"/>
          <w:szCs w:val="28"/>
          <w:u w:val="single"/>
        </w:rPr>
        <w:t>.</w:t>
      </w:r>
      <w:r w:rsidRPr="00087A72">
        <w:rPr>
          <w:rFonts w:cs="Arial"/>
          <w:sz w:val="16"/>
          <w:szCs w:val="28"/>
        </w:rPr>
        <w:t xml:space="preserve"> </w:t>
      </w:r>
      <w:r w:rsidRPr="00087A72">
        <w:rPr>
          <w:rFonts w:eastAsia="Calibri" w:cs="Arial"/>
          <w:b/>
          <w:sz w:val="28"/>
          <w:szCs w:val="28"/>
          <w:u w:val="single"/>
        </w:rPr>
        <w:t>Native</w:t>
      </w:r>
      <w:r w:rsidRPr="00087A72">
        <w:rPr>
          <w:rFonts w:cs="Arial"/>
          <w:b/>
          <w:sz w:val="28"/>
          <w:szCs w:val="28"/>
          <w:u w:val="single"/>
        </w:rPr>
        <w:t xml:space="preserve"> </w:t>
      </w:r>
      <w:r w:rsidRPr="00087A72">
        <w:rPr>
          <w:rFonts w:eastAsia="Calibri" w:cs="Arial"/>
          <w:b/>
          <w:sz w:val="28"/>
          <w:szCs w:val="28"/>
          <w:u w:val="single"/>
        </w:rPr>
        <w:t>studies</w:t>
      </w:r>
      <w:r w:rsidRPr="00087A72">
        <w:rPr>
          <w:rFonts w:cs="Arial"/>
          <w:b/>
          <w:sz w:val="28"/>
          <w:szCs w:val="28"/>
          <w:u w:val="single"/>
        </w:rPr>
        <w:t xml:space="preserve"> </w:t>
      </w:r>
      <w:r w:rsidRPr="00087A72">
        <w:rPr>
          <w:rFonts w:eastAsia="Calibri" w:cs="Arial"/>
          <w:b/>
          <w:sz w:val="28"/>
          <w:szCs w:val="28"/>
          <w:u w:val="single"/>
        </w:rPr>
        <w:t>must</w:t>
      </w:r>
      <w:r w:rsidRPr="00087A72">
        <w:rPr>
          <w:rFonts w:cs="Arial"/>
          <w:b/>
          <w:sz w:val="28"/>
          <w:szCs w:val="28"/>
          <w:u w:val="single"/>
        </w:rPr>
        <w:t xml:space="preserve"> </w:t>
      </w:r>
      <w:r w:rsidRPr="00087A72">
        <w:rPr>
          <w:rFonts w:eastAsia="Calibri" w:cs="Arial"/>
          <w:b/>
          <w:sz w:val="28"/>
          <w:szCs w:val="28"/>
          <w:u w:val="single"/>
        </w:rPr>
        <w:t>be</w:t>
      </w:r>
      <w:r w:rsidRPr="00087A72">
        <w:rPr>
          <w:rFonts w:cs="Arial"/>
          <w:b/>
          <w:sz w:val="28"/>
          <w:szCs w:val="28"/>
          <w:u w:val="single"/>
        </w:rPr>
        <w:t xml:space="preserve"> </w:t>
      </w:r>
      <w:r w:rsidRPr="00087A72">
        <w:rPr>
          <w:rFonts w:eastAsia="Calibri" w:cs="Arial"/>
          <w:b/>
          <w:sz w:val="28"/>
          <w:szCs w:val="28"/>
          <w:u w:val="single"/>
        </w:rPr>
        <w:t>part</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this</w:t>
      </w:r>
      <w:r w:rsidRPr="00087A72">
        <w:rPr>
          <w:rFonts w:cs="Arial"/>
          <w:b/>
          <w:sz w:val="28"/>
          <w:szCs w:val="28"/>
          <w:u w:val="single"/>
        </w:rPr>
        <w:t xml:space="preserve"> </w:t>
      </w:r>
      <w:r w:rsidRPr="00087A72">
        <w:rPr>
          <w:rFonts w:eastAsia="Calibri" w:cs="Arial"/>
          <w:b/>
          <w:sz w:val="28"/>
          <w:szCs w:val="28"/>
          <w:u w:val="single"/>
        </w:rPr>
        <w:t>conversation</w:t>
      </w:r>
      <w:r w:rsidRPr="00087A72">
        <w:rPr>
          <w:rFonts w:cs="Arial"/>
          <w:b/>
          <w:sz w:val="28"/>
          <w:szCs w:val="28"/>
          <w:u w:val="single"/>
        </w:rPr>
        <w:t xml:space="preserve"> </w:t>
      </w:r>
      <w:r w:rsidRPr="00087A72">
        <w:rPr>
          <w:rFonts w:eastAsia="Calibri" w:cs="Arial"/>
          <w:b/>
          <w:sz w:val="28"/>
          <w:szCs w:val="28"/>
          <w:u w:val="single"/>
        </w:rPr>
        <w:t>because</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logics</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settler</w:t>
      </w:r>
      <w:r w:rsidRPr="00087A72">
        <w:rPr>
          <w:rFonts w:cs="Arial"/>
          <w:b/>
          <w:sz w:val="28"/>
          <w:szCs w:val="28"/>
          <w:u w:val="single"/>
        </w:rPr>
        <w:t xml:space="preserve"> </w:t>
      </w:r>
      <w:r w:rsidRPr="00087A72">
        <w:rPr>
          <w:rFonts w:eastAsia="Calibri" w:cs="Arial"/>
          <w:b/>
          <w:sz w:val="28"/>
          <w:szCs w:val="28"/>
          <w:u w:val="single"/>
        </w:rPr>
        <w:t>colonialism</w:t>
      </w:r>
      <w:r w:rsidRPr="00087A72">
        <w:rPr>
          <w:rFonts w:cs="Arial"/>
          <w:b/>
          <w:sz w:val="28"/>
          <w:szCs w:val="28"/>
          <w:u w:val="single"/>
        </w:rPr>
        <w:t xml:space="preserve"> </w:t>
      </w:r>
      <w:r w:rsidRPr="00087A72">
        <w:rPr>
          <w:rFonts w:eastAsia="Calibri" w:cs="Arial"/>
          <w:b/>
          <w:sz w:val="28"/>
          <w:szCs w:val="28"/>
          <w:u w:val="single"/>
        </w:rPr>
        <w:t>structure</w:t>
      </w:r>
      <w:r w:rsidRPr="00087A72">
        <w:rPr>
          <w:rFonts w:cs="Arial"/>
          <w:b/>
          <w:sz w:val="28"/>
          <w:szCs w:val="28"/>
          <w:u w:val="single"/>
        </w:rPr>
        <w:t xml:space="preserve"> </w:t>
      </w:r>
      <w:r w:rsidRPr="00087A72">
        <w:rPr>
          <w:rFonts w:eastAsia="Calibri" w:cs="Arial"/>
          <w:b/>
          <w:sz w:val="28"/>
          <w:szCs w:val="28"/>
          <w:u w:val="single"/>
        </w:rPr>
        <w:t>all</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society</w:t>
      </w:r>
      <w:r w:rsidRPr="00087A72">
        <w:rPr>
          <w:rFonts w:cs="Arial"/>
          <w:b/>
          <w:sz w:val="28"/>
          <w:szCs w:val="28"/>
          <w:u w:val="single"/>
        </w:rPr>
        <w:t xml:space="preserve">, </w:t>
      </w:r>
      <w:r w:rsidRPr="00087A72">
        <w:rPr>
          <w:rFonts w:eastAsia="Calibri" w:cs="Arial"/>
          <w:b/>
          <w:sz w:val="28"/>
          <w:szCs w:val="28"/>
          <w:u w:val="single"/>
        </w:rPr>
        <w:t>not</w:t>
      </w:r>
      <w:r w:rsidRPr="00087A72">
        <w:rPr>
          <w:rFonts w:cs="Arial"/>
          <w:b/>
          <w:sz w:val="28"/>
          <w:szCs w:val="28"/>
          <w:u w:val="single"/>
        </w:rPr>
        <w:t xml:space="preserve"> </w:t>
      </w:r>
      <w:r w:rsidRPr="00087A72">
        <w:rPr>
          <w:rFonts w:eastAsia="Calibri" w:cs="Arial"/>
          <w:b/>
          <w:sz w:val="28"/>
          <w:szCs w:val="28"/>
          <w:u w:val="single"/>
        </w:rPr>
        <w:t>just</w:t>
      </w:r>
      <w:r w:rsidRPr="00087A72">
        <w:rPr>
          <w:rFonts w:cs="Arial"/>
          <w:b/>
          <w:sz w:val="28"/>
          <w:szCs w:val="28"/>
          <w:u w:val="single"/>
        </w:rPr>
        <w:t xml:space="preserve"> </w:t>
      </w:r>
      <w:r w:rsidRPr="00087A72">
        <w:rPr>
          <w:rFonts w:eastAsia="Calibri" w:cs="Arial"/>
          <w:b/>
          <w:sz w:val="28"/>
          <w:szCs w:val="28"/>
          <w:u w:val="single"/>
        </w:rPr>
        <w:t>those</w:t>
      </w:r>
      <w:r w:rsidRPr="00087A72">
        <w:rPr>
          <w:rFonts w:cs="Arial"/>
          <w:b/>
          <w:sz w:val="28"/>
          <w:szCs w:val="28"/>
          <w:u w:val="single"/>
        </w:rPr>
        <w:t xml:space="preserve"> </w:t>
      </w:r>
      <w:r w:rsidRPr="00087A72">
        <w:rPr>
          <w:rFonts w:eastAsia="Calibri" w:cs="Arial"/>
          <w:b/>
          <w:sz w:val="28"/>
          <w:szCs w:val="28"/>
          <w:u w:val="single"/>
        </w:rPr>
        <w:t>who</w:t>
      </w:r>
      <w:r w:rsidRPr="00087A72">
        <w:rPr>
          <w:rFonts w:cs="Arial"/>
          <w:b/>
          <w:sz w:val="28"/>
          <w:szCs w:val="28"/>
          <w:u w:val="single"/>
        </w:rPr>
        <w:t xml:space="preserve"> </w:t>
      </w:r>
      <w:r w:rsidRPr="00087A72">
        <w:rPr>
          <w:rFonts w:eastAsia="Calibri" w:cs="Arial"/>
          <w:b/>
          <w:sz w:val="28"/>
          <w:szCs w:val="28"/>
          <w:u w:val="single"/>
        </w:rPr>
        <w:t>are</w:t>
      </w:r>
      <w:r w:rsidRPr="00087A72">
        <w:rPr>
          <w:rFonts w:cs="Arial"/>
          <w:b/>
          <w:sz w:val="28"/>
          <w:szCs w:val="28"/>
          <w:u w:val="single"/>
        </w:rPr>
        <w:t xml:space="preserve"> </w:t>
      </w:r>
      <w:r w:rsidRPr="00087A72">
        <w:rPr>
          <w:rFonts w:eastAsia="Calibri" w:cs="Arial"/>
          <w:b/>
          <w:sz w:val="28"/>
          <w:szCs w:val="28"/>
          <w:u w:val="single"/>
        </w:rPr>
        <w:t>indigenous</w:t>
      </w:r>
      <w:r w:rsidRPr="00087A72">
        <w:rPr>
          <w:rFonts w:cs="Arial"/>
          <w:b/>
          <w:sz w:val="28"/>
          <w:szCs w:val="28"/>
          <w:u w:val="single"/>
        </w:rPr>
        <w:t>.</w:t>
      </w:r>
      <w:r w:rsidRPr="00087A72">
        <w:rPr>
          <w:rFonts w:cs="Arial"/>
          <w:sz w:val="16"/>
          <w:szCs w:val="28"/>
        </w:rPr>
        <w:t xml:space="preserve"> </w:t>
      </w:r>
      <w:r w:rsidRPr="00087A72">
        <w:rPr>
          <w:rFonts w:eastAsia="Calibri" w:cs="Arial"/>
          <w:b/>
          <w:sz w:val="28"/>
          <w:szCs w:val="28"/>
          <w:u w:val="single"/>
        </w:rPr>
        <w:t>Queer</w:t>
      </w:r>
      <w:r w:rsidRPr="00087A72">
        <w:rPr>
          <w:rFonts w:cs="Arial"/>
          <w:b/>
          <w:sz w:val="28"/>
          <w:szCs w:val="28"/>
          <w:u w:val="single"/>
        </w:rPr>
        <w:t xml:space="preserve"> </w:t>
      </w:r>
      <w:r w:rsidRPr="00087A72">
        <w:rPr>
          <w:rFonts w:eastAsia="Calibri" w:cs="Arial"/>
          <w:b/>
          <w:sz w:val="28"/>
          <w:szCs w:val="28"/>
          <w:u w:val="single"/>
        </w:rPr>
        <w:t>theory</w:t>
      </w:r>
      <w:r w:rsidRPr="00087A72">
        <w:rPr>
          <w:rFonts w:cs="Arial"/>
          <w:b/>
          <w:sz w:val="28"/>
          <w:szCs w:val="28"/>
          <w:u w:val="single"/>
        </w:rPr>
        <w:t xml:space="preserve"> </w:t>
      </w:r>
      <w:r w:rsidRPr="00087A72">
        <w:rPr>
          <w:rFonts w:eastAsia="Calibri" w:cs="Arial"/>
          <w:b/>
          <w:sz w:val="28"/>
          <w:szCs w:val="28"/>
          <w:u w:val="single"/>
        </w:rPr>
        <w:t>provides</w:t>
      </w:r>
      <w:r w:rsidRPr="00087A72">
        <w:rPr>
          <w:rFonts w:cs="Arial"/>
          <w:b/>
          <w:sz w:val="28"/>
          <w:szCs w:val="28"/>
          <w:u w:val="single"/>
        </w:rPr>
        <w:t xml:space="preserve"> </w:t>
      </w:r>
      <w:r w:rsidRPr="00087A72">
        <w:rPr>
          <w:rFonts w:eastAsia="Calibri" w:cs="Arial"/>
          <w:b/>
          <w:sz w:val="28"/>
          <w:szCs w:val="28"/>
          <w:u w:val="single"/>
        </w:rPr>
        <w:t>a</w:t>
      </w:r>
      <w:r w:rsidRPr="00087A72">
        <w:rPr>
          <w:rFonts w:cs="Arial"/>
          <w:b/>
          <w:sz w:val="28"/>
          <w:szCs w:val="28"/>
          <w:u w:val="single"/>
        </w:rPr>
        <w:t xml:space="preserve"> </w:t>
      </w:r>
      <w:r w:rsidRPr="00087A72">
        <w:rPr>
          <w:rFonts w:eastAsia="Calibri" w:cs="Arial"/>
          <w:b/>
          <w:sz w:val="28"/>
          <w:szCs w:val="28"/>
          <w:u w:val="single"/>
        </w:rPr>
        <w:t>helpful</w:t>
      </w:r>
      <w:r w:rsidRPr="00087A72">
        <w:rPr>
          <w:rFonts w:cs="Arial"/>
          <w:b/>
          <w:sz w:val="28"/>
          <w:szCs w:val="28"/>
          <w:u w:val="single"/>
        </w:rPr>
        <w:t xml:space="preserve"> </w:t>
      </w:r>
      <w:r w:rsidRPr="00087A72">
        <w:rPr>
          <w:rFonts w:eastAsia="Calibri" w:cs="Arial"/>
          <w:b/>
          <w:sz w:val="28"/>
          <w:szCs w:val="28"/>
          <w:u w:val="single"/>
        </w:rPr>
        <w:t>starting</w:t>
      </w:r>
      <w:r w:rsidRPr="00087A72">
        <w:rPr>
          <w:rFonts w:cs="Arial"/>
          <w:b/>
          <w:sz w:val="28"/>
          <w:szCs w:val="28"/>
          <w:u w:val="single"/>
        </w:rPr>
        <w:t xml:space="preserve"> </w:t>
      </w:r>
      <w:r w:rsidRPr="00087A72">
        <w:rPr>
          <w:rFonts w:eastAsia="Calibri" w:cs="Arial"/>
          <w:b/>
          <w:sz w:val="28"/>
          <w:szCs w:val="28"/>
          <w:u w:val="single"/>
        </w:rPr>
        <w:t>point</w:t>
      </w:r>
      <w:r w:rsidRPr="00087A72">
        <w:rPr>
          <w:rFonts w:cs="Arial"/>
          <w:b/>
          <w:sz w:val="28"/>
          <w:szCs w:val="28"/>
          <w:u w:val="single"/>
        </w:rPr>
        <w:t xml:space="preserve"> </w:t>
      </w:r>
      <w:r w:rsidRPr="00087A72">
        <w:rPr>
          <w:rFonts w:eastAsia="Calibri" w:cs="Arial"/>
          <w:b/>
          <w:sz w:val="28"/>
          <w:szCs w:val="28"/>
          <w:u w:val="single"/>
        </w:rPr>
        <w:t>for</w:t>
      </w:r>
      <w:r w:rsidRPr="00087A72">
        <w:rPr>
          <w:rFonts w:cs="Arial"/>
          <w:b/>
          <w:sz w:val="28"/>
          <w:szCs w:val="28"/>
          <w:u w:val="single"/>
        </w:rPr>
        <w:t xml:space="preserve"> </w:t>
      </w:r>
      <w:r w:rsidRPr="00087A72">
        <w:rPr>
          <w:rFonts w:eastAsia="Calibri" w:cs="Arial"/>
          <w:b/>
          <w:sz w:val="28"/>
          <w:szCs w:val="28"/>
          <w:u w:val="single"/>
        </w:rPr>
        <w:t>enabling</w:t>
      </w:r>
      <w:r w:rsidRPr="00087A72">
        <w:rPr>
          <w:rFonts w:cs="Arial"/>
          <w:b/>
          <w:sz w:val="28"/>
          <w:szCs w:val="28"/>
          <w:u w:val="single"/>
        </w:rPr>
        <w:t xml:space="preserve"> </w:t>
      </w:r>
      <w:r w:rsidRPr="00087A72">
        <w:rPr>
          <w:rFonts w:eastAsia="Calibri" w:cs="Arial"/>
          <w:b/>
          <w:sz w:val="28"/>
          <w:szCs w:val="28"/>
          <w:u w:val="single"/>
        </w:rPr>
        <w:t>Native</w:t>
      </w:r>
      <w:r w:rsidRPr="00087A72">
        <w:rPr>
          <w:rFonts w:cs="Arial"/>
          <w:b/>
          <w:sz w:val="28"/>
          <w:szCs w:val="28"/>
          <w:u w:val="single"/>
        </w:rPr>
        <w:t xml:space="preserve"> </w:t>
      </w:r>
      <w:r w:rsidRPr="00087A72">
        <w:rPr>
          <w:rFonts w:eastAsia="Calibri" w:cs="Arial"/>
          <w:b/>
          <w:sz w:val="28"/>
          <w:szCs w:val="28"/>
          <w:u w:val="single"/>
        </w:rPr>
        <w:t>studies</w:t>
      </w:r>
      <w:r w:rsidRPr="00087A72">
        <w:rPr>
          <w:rFonts w:cs="Arial"/>
          <w:b/>
          <w:sz w:val="28"/>
          <w:szCs w:val="28"/>
          <w:u w:val="single"/>
        </w:rPr>
        <w:t xml:space="preserve"> </w:t>
      </w:r>
      <w:r w:rsidRPr="00087A72">
        <w:rPr>
          <w:rFonts w:eastAsia="Calibri" w:cs="Arial"/>
          <w:b/>
          <w:sz w:val="28"/>
          <w:szCs w:val="28"/>
          <w:u w:val="single"/>
        </w:rPr>
        <w:t>to</w:t>
      </w:r>
      <w:r w:rsidRPr="00087A72">
        <w:rPr>
          <w:rFonts w:cs="Arial"/>
          <w:b/>
          <w:sz w:val="28"/>
          <w:szCs w:val="28"/>
          <w:u w:val="single"/>
        </w:rPr>
        <w:t xml:space="preserve"> </w:t>
      </w:r>
      <w:r w:rsidRPr="00087A72">
        <w:rPr>
          <w:rFonts w:eastAsia="Calibri" w:cs="Arial"/>
          <w:b/>
          <w:sz w:val="28"/>
          <w:szCs w:val="28"/>
          <w:u w:val="single"/>
        </w:rPr>
        <w:t>escape</w:t>
      </w:r>
      <w:r w:rsidRPr="00087A72">
        <w:rPr>
          <w:rFonts w:cs="Arial"/>
          <w:b/>
          <w:sz w:val="28"/>
          <w:szCs w:val="28"/>
          <w:u w:val="single"/>
        </w:rPr>
        <w:t xml:space="preserve"> </w:t>
      </w:r>
      <w:r w:rsidRPr="00087A72">
        <w:rPr>
          <w:rFonts w:eastAsia="Calibri" w:cs="Arial"/>
          <w:b/>
          <w:sz w:val="28"/>
          <w:szCs w:val="28"/>
          <w:u w:val="single"/>
        </w:rPr>
        <w:t>its</w:t>
      </w:r>
      <w:r w:rsidRPr="00087A72">
        <w:rPr>
          <w:rFonts w:cs="Arial"/>
          <w:b/>
          <w:sz w:val="28"/>
          <w:szCs w:val="28"/>
          <w:u w:val="single"/>
        </w:rPr>
        <w:t xml:space="preserve"> </w:t>
      </w:r>
      <w:r w:rsidRPr="00087A72">
        <w:rPr>
          <w:rFonts w:eastAsia="Calibri" w:cs="Arial"/>
          <w:b/>
          <w:sz w:val="28"/>
          <w:szCs w:val="28"/>
          <w:u w:val="single"/>
        </w:rPr>
        <w:t>position</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ethnographic</w:t>
      </w:r>
      <w:r w:rsidRPr="00087A72">
        <w:rPr>
          <w:rFonts w:cs="Arial"/>
          <w:b/>
          <w:sz w:val="28"/>
          <w:szCs w:val="28"/>
          <w:u w:val="single"/>
        </w:rPr>
        <w:t xml:space="preserve"> </w:t>
      </w:r>
      <w:r w:rsidRPr="00087A72">
        <w:rPr>
          <w:rFonts w:eastAsia="Calibri" w:cs="Arial"/>
          <w:b/>
          <w:sz w:val="28"/>
          <w:szCs w:val="28"/>
          <w:u w:val="single"/>
        </w:rPr>
        <w:t>entrapment</w:t>
      </w:r>
      <w:r w:rsidRPr="00087A72">
        <w:rPr>
          <w:rFonts w:cs="Arial"/>
          <w:b/>
          <w:sz w:val="28"/>
          <w:szCs w:val="28"/>
          <w:u w:val="single"/>
        </w:rPr>
        <w:t xml:space="preserve"> </w:t>
      </w:r>
      <w:r w:rsidRPr="00087A72">
        <w:rPr>
          <w:rFonts w:eastAsia="Calibri" w:cs="Arial"/>
          <w:b/>
          <w:sz w:val="28"/>
          <w:szCs w:val="28"/>
          <w:u w:val="single"/>
        </w:rPr>
        <w:t>within</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academy</w:t>
      </w:r>
      <w:r w:rsidRPr="00087A72">
        <w:rPr>
          <w:rFonts w:cs="Arial"/>
          <w:b/>
          <w:sz w:val="28"/>
          <w:szCs w:val="28"/>
          <w:u w:val="single"/>
        </w:rPr>
        <w:t>.</w:t>
      </w:r>
      <w:r w:rsidRPr="00087A72">
        <w:rPr>
          <w:rFonts w:cs="Arial"/>
          <w:sz w:val="16"/>
          <w:szCs w:val="28"/>
        </w:rPr>
        <w:t xml:space="preserve">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Warner</w:t>
      </w:r>
      <w:r w:rsidRPr="00087A72">
        <w:rPr>
          <w:rFonts w:cs="Arial"/>
          <w:sz w:val="16"/>
          <w:szCs w:val="28"/>
        </w:rPr>
        <w:t xml:space="preserve"> </w:t>
      </w:r>
      <w:r w:rsidRPr="00087A72">
        <w:rPr>
          <w:rFonts w:eastAsia="Calibri" w:cs="Arial"/>
          <w:sz w:val="16"/>
          <w:szCs w:val="28"/>
        </w:rPr>
        <w:t>contends</w:t>
      </w:r>
      <w:r w:rsidRPr="00087A72">
        <w:rPr>
          <w:rFonts w:cs="Arial"/>
          <w:sz w:val="16"/>
          <w:szCs w:val="28"/>
        </w:rPr>
        <w:t>: “</w:t>
      </w:r>
      <w:r w:rsidRPr="00087A72">
        <w:rPr>
          <w:rFonts w:eastAsia="Calibri" w:cs="Arial"/>
          <w:sz w:val="16"/>
          <w:szCs w:val="28"/>
        </w:rPr>
        <w:t>Nervous</w:t>
      </w:r>
      <w:r w:rsidRPr="00087A72">
        <w:rPr>
          <w:rFonts w:cs="Arial"/>
          <w:sz w:val="16"/>
          <w:szCs w:val="28"/>
        </w:rPr>
        <w:t xml:space="preserve"> </w:t>
      </w:r>
      <w:r w:rsidRPr="00087A72">
        <w:rPr>
          <w:rFonts w:eastAsia="Calibri" w:cs="Arial"/>
          <w:sz w:val="16"/>
          <w:szCs w:val="28"/>
        </w:rPr>
        <w:t>over</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prospect</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well</w:t>
      </w:r>
      <w:r w:rsidRPr="00087A72">
        <w:rPr>
          <w:rFonts w:cs="Arial"/>
          <w:sz w:val="16"/>
          <w:szCs w:val="28"/>
        </w:rPr>
        <w:t>-</w:t>
      </w:r>
      <w:r w:rsidRPr="00087A72">
        <w:rPr>
          <w:rFonts w:eastAsia="Calibri" w:cs="Arial"/>
          <w:sz w:val="16"/>
          <w:szCs w:val="28"/>
        </w:rPr>
        <w:t>sanctioned</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compartmentalized</w:t>
      </w:r>
      <w:r w:rsidRPr="00087A72">
        <w:rPr>
          <w:rFonts w:cs="Arial"/>
          <w:sz w:val="16"/>
          <w:szCs w:val="28"/>
        </w:rPr>
        <w:t xml:space="preserve"> </w:t>
      </w:r>
      <w:r w:rsidRPr="00087A72">
        <w:rPr>
          <w:rFonts w:eastAsia="Calibri" w:cs="Arial"/>
          <w:sz w:val="16"/>
          <w:szCs w:val="28"/>
        </w:rPr>
        <w:t>academic</w:t>
      </w:r>
      <w:r w:rsidRPr="00087A72">
        <w:rPr>
          <w:rFonts w:cs="Arial"/>
          <w:sz w:val="16"/>
          <w:szCs w:val="28"/>
        </w:rPr>
        <w:t xml:space="preserve"> </w:t>
      </w:r>
      <w:r w:rsidRPr="00087A72">
        <w:rPr>
          <w:rFonts w:eastAsia="Calibri" w:cs="Arial"/>
          <w:sz w:val="16"/>
          <w:szCs w:val="28"/>
        </w:rPr>
        <w:t>version</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lesbian</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gay</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people</w:t>
      </w:r>
      <w:r w:rsidRPr="00087A72">
        <w:rPr>
          <w:rFonts w:cs="Arial"/>
          <w:sz w:val="16"/>
          <w:szCs w:val="28"/>
        </w:rPr>
        <w:t xml:space="preserve"> </w:t>
      </w:r>
      <w:r w:rsidRPr="00087A72">
        <w:rPr>
          <w:rFonts w:eastAsia="Calibri" w:cs="Arial"/>
          <w:sz w:val="16"/>
          <w:szCs w:val="28"/>
        </w:rPr>
        <w:t>want</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make</w:t>
      </w:r>
      <w:r w:rsidRPr="00087A72">
        <w:rPr>
          <w:rFonts w:cs="Arial"/>
          <w:sz w:val="16"/>
          <w:szCs w:val="28"/>
        </w:rPr>
        <w:t xml:space="preserve"> </w:t>
      </w:r>
      <w:r w:rsidRPr="00087A72">
        <w:rPr>
          <w:rFonts w:eastAsia="Calibri" w:cs="Arial"/>
          <w:sz w:val="16"/>
          <w:szCs w:val="28"/>
        </w:rPr>
        <w:t>theory</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not</w:t>
      </w:r>
      <w:r w:rsidRPr="00087A72">
        <w:rPr>
          <w:rFonts w:cs="Arial"/>
          <w:sz w:val="16"/>
          <w:szCs w:val="28"/>
        </w:rPr>
        <w:t xml:space="preserve"> </w:t>
      </w:r>
      <w:r w:rsidRPr="00087A72">
        <w:rPr>
          <w:rFonts w:eastAsia="Calibri" w:cs="Arial"/>
          <w:sz w:val="16"/>
          <w:szCs w:val="28"/>
        </w:rPr>
        <w:t>just</w:t>
      </w:r>
      <w:r w:rsidRPr="00087A72">
        <w:rPr>
          <w:rFonts w:cs="Arial"/>
          <w:sz w:val="16"/>
          <w:szCs w:val="28"/>
        </w:rPr>
        <w:t xml:space="preserve"> </w:t>
      </w:r>
      <w:r w:rsidRPr="00087A72">
        <w:rPr>
          <w:rFonts w:eastAsia="Calibri" w:cs="Arial"/>
          <w:sz w:val="16"/>
          <w:szCs w:val="28"/>
        </w:rPr>
        <w:t>have</w:t>
      </w:r>
      <w:r w:rsidRPr="00087A72">
        <w:rPr>
          <w:rFonts w:cs="Arial"/>
          <w:sz w:val="16"/>
          <w:szCs w:val="28"/>
        </w:rPr>
        <w:t xml:space="preserve"> </w:t>
      </w:r>
      <w:r w:rsidRPr="00087A72">
        <w:rPr>
          <w:rFonts w:eastAsia="Calibri" w:cs="Arial"/>
          <w:sz w:val="16"/>
          <w:szCs w:val="28"/>
        </w:rPr>
        <w:t>theory</w:t>
      </w:r>
      <w:r w:rsidRPr="00087A72">
        <w:rPr>
          <w:rFonts w:cs="Arial"/>
          <w:sz w:val="16"/>
          <w:szCs w:val="28"/>
        </w:rPr>
        <w:t xml:space="preserve"> </w:t>
      </w:r>
      <w:r w:rsidRPr="00087A72">
        <w:rPr>
          <w:rFonts w:eastAsia="Calibri" w:cs="Arial"/>
          <w:sz w:val="16"/>
          <w:szCs w:val="28"/>
        </w:rPr>
        <w:t>about</w:t>
      </w:r>
      <w:r w:rsidRPr="00087A72">
        <w:rPr>
          <w:rFonts w:cs="Arial"/>
          <w:sz w:val="16"/>
          <w:szCs w:val="28"/>
        </w:rPr>
        <w:t xml:space="preserve"> </w:t>
      </w:r>
      <w:r w:rsidRPr="00087A72">
        <w:rPr>
          <w:rFonts w:eastAsia="Calibri" w:cs="Arial"/>
          <w:sz w:val="16"/>
          <w:szCs w:val="28"/>
        </w:rPr>
        <w:t>queers</w:t>
      </w:r>
      <w:r w:rsidRPr="00087A72">
        <w:rPr>
          <w:rFonts w:cs="Arial"/>
          <w:sz w:val="16"/>
          <w:szCs w:val="28"/>
        </w:rPr>
        <w:t xml:space="preserve">. </w:t>
      </w:r>
      <w:r w:rsidRPr="00087A72">
        <w:rPr>
          <w:rFonts w:eastAsia="Calibri" w:cs="Arial"/>
          <w:sz w:val="16"/>
          <w:szCs w:val="28"/>
        </w:rPr>
        <w:t>For</w:t>
      </w:r>
      <w:r w:rsidRPr="00087A72">
        <w:rPr>
          <w:rFonts w:cs="Arial"/>
          <w:sz w:val="16"/>
          <w:szCs w:val="28"/>
        </w:rPr>
        <w:t xml:space="preserve"> </w:t>
      </w:r>
      <w:r w:rsidRPr="00087A72">
        <w:rPr>
          <w:rFonts w:eastAsia="Calibri" w:cs="Arial"/>
          <w:sz w:val="16"/>
          <w:szCs w:val="28"/>
        </w:rPr>
        <w:t>both</w:t>
      </w:r>
      <w:r w:rsidRPr="00087A72">
        <w:rPr>
          <w:rFonts w:cs="Arial"/>
          <w:sz w:val="16"/>
          <w:szCs w:val="28"/>
        </w:rPr>
        <w:t xml:space="preserve"> </w:t>
      </w:r>
      <w:r w:rsidRPr="00087A72">
        <w:rPr>
          <w:rFonts w:eastAsia="Calibri" w:cs="Arial"/>
          <w:sz w:val="16"/>
          <w:szCs w:val="28"/>
        </w:rPr>
        <w:t>academics</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activists</w:t>
      </w:r>
      <w:r w:rsidRPr="00087A72">
        <w:rPr>
          <w:rFonts w:cs="Arial"/>
          <w:sz w:val="16"/>
          <w:szCs w:val="28"/>
        </w:rPr>
        <w:t>,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gets</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critical</w:t>
      </w:r>
      <w:r w:rsidRPr="00087A72">
        <w:rPr>
          <w:rFonts w:cs="Arial"/>
          <w:sz w:val="16"/>
          <w:szCs w:val="28"/>
        </w:rPr>
        <w:t xml:space="preserve"> </w:t>
      </w:r>
      <w:r w:rsidRPr="00087A72">
        <w:rPr>
          <w:rFonts w:eastAsia="Calibri" w:cs="Arial"/>
          <w:sz w:val="16"/>
          <w:szCs w:val="28"/>
        </w:rPr>
        <w:t>edge</w:t>
      </w:r>
      <w:r w:rsidRPr="00087A72">
        <w:rPr>
          <w:rFonts w:cs="Arial"/>
          <w:sz w:val="16"/>
          <w:szCs w:val="28"/>
        </w:rPr>
        <w:t xml:space="preserve"> </w:t>
      </w:r>
      <w:r w:rsidRPr="00087A72">
        <w:rPr>
          <w:rFonts w:eastAsia="Calibri" w:cs="Arial"/>
          <w:sz w:val="16"/>
          <w:szCs w:val="28"/>
        </w:rPr>
        <w:t>by</w:t>
      </w:r>
      <w:r w:rsidRPr="00087A72">
        <w:rPr>
          <w:rFonts w:cs="Arial"/>
          <w:sz w:val="16"/>
          <w:szCs w:val="28"/>
        </w:rPr>
        <w:t xml:space="preserve"> </w:t>
      </w:r>
      <w:r w:rsidRPr="00087A72">
        <w:rPr>
          <w:rFonts w:eastAsia="Calibri" w:cs="Arial"/>
          <w:sz w:val="16"/>
          <w:szCs w:val="28"/>
        </w:rPr>
        <w:t>defining</w:t>
      </w:r>
      <w:r w:rsidRPr="00087A72">
        <w:rPr>
          <w:rFonts w:cs="Arial"/>
          <w:sz w:val="16"/>
          <w:szCs w:val="28"/>
        </w:rPr>
        <w:t xml:space="preserve"> </w:t>
      </w:r>
      <w:r w:rsidRPr="00087A72">
        <w:rPr>
          <w:rFonts w:eastAsia="Calibri" w:cs="Arial"/>
          <w:sz w:val="16"/>
          <w:szCs w:val="28"/>
        </w:rPr>
        <w:t>itself</w:t>
      </w:r>
      <w:r w:rsidRPr="00087A72">
        <w:rPr>
          <w:rFonts w:cs="Arial"/>
          <w:sz w:val="16"/>
          <w:szCs w:val="28"/>
        </w:rPr>
        <w:t xml:space="preserve"> </w:t>
      </w:r>
      <w:r w:rsidRPr="00087A72">
        <w:rPr>
          <w:rFonts w:eastAsia="Calibri" w:cs="Arial"/>
          <w:sz w:val="16"/>
          <w:szCs w:val="28"/>
        </w:rPr>
        <w:t>against</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normal</w:t>
      </w:r>
      <w:r w:rsidRPr="00087A72">
        <w:rPr>
          <w:rFonts w:cs="Arial"/>
          <w:sz w:val="16"/>
          <w:szCs w:val="28"/>
        </w:rPr>
        <w:t xml:space="preserve"> </w:t>
      </w:r>
      <w:r w:rsidRPr="00087A72">
        <w:rPr>
          <w:rFonts w:eastAsia="Calibri" w:cs="Arial"/>
          <w:sz w:val="16"/>
          <w:szCs w:val="28"/>
        </w:rPr>
        <w:t>rather</w:t>
      </w:r>
      <w:r w:rsidRPr="00087A72">
        <w:rPr>
          <w:rFonts w:cs="Arial"/>
          <w:sz w:val="16"/>
          <w:szCs w:val="28"/>
        </w:rPr>
        <w:t xml:space="preserve"> </w:t>
      </w:r>
      <w:r w:rsidRPr="00087A72">
        <w:rPr>
          <w:rFonts w:eastAsia="Calibri" w:cs="Arial"/>
          <w:sz w:val="16"/>
          <w:szCs w:val="28"/>
        </w:rPr>
        <w:t>than</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heterosexual</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normal</w:t>
      </w:r>
      <w:r w:rsidRPr="00087A72">
        <w:rPr>
          <w:rFonts w:cs="Arial"/>
          <w:sz w:val="16"/>
          <w:szCs w:val="28"/>
        </w:rPr>
        <w:t xml:space="preserve"> </w:t>
      </w:r>
      <w:r w:rsidRPr="00087A72">
        <w:rPr>
          <w:rFonts w:eastAsia="Calibri" w:cs="Arial"/>
          <w:sz w:val="16"/>
          <w:szCs w:val="28"/>
        </w:rPr>
        <w:t>includes</w:t>
      </w:r>
      <w:r w:rsidRPr="00087A72">
        <w:rPr>
          <w:rFonts w:cs="Arial"/>
          <w:sz w:val="16"/>
          <w:szCs w:val="28"/>
        </w:rPr>
        <w:t xml:space="preserve"> </w:t>
      </w:r>
      <w:r w:rsidRPr="00087A72">
        <w:rPr>
          <w:rFonts w:eastAsia="Calibri" w:cs="Arial"/>
          <w:sz w:val="16"/>
          <w:szCs w:val="28"/>
        </w:rPr>
        <w:t>normal</w:t>
      </w:r>
      <w:r w:rsidRPr="00087A72">
        <w:rPr>
          <w:rFonts w:cs="Arial"/>
          <w:sz w:val="16"/>
          <w:szCs w:val="28"/>
        </w:rPr>
        <w:t xml:space="preserve"> </w:t>
      </w:r>
      <w:r w:rsidRPr="00087A72">
        <w:rPr>
          <w:rFonts w:eastAsia="Calibri" w:cs="Arial"/>
          <w:sz w:val="16"/>
          <w:szCs w:val="28"/>
        </w:rPr>
        <w:t>business</w:t>
      </w:r>
      <w:r w:rsidRPr="00087A72">
        <w:rPr>
          <w:rFonts w:cs="Arial"/>
          <w:sz w:val="16"/>
          <w:szCs w:val="28"/>
        </w:rPr>
        <w:t xml:space="preserve"> </w:t>
      </w:r>
      <w:r w:rsidRPr="00087A72">
        <w:rPr>
          <w:rFonts w:eastAsia="Calibri" w:cs="Arial"/>
          <w:sz w:val="16"/>
          <w:szCs w:val="28"/>
        </w:rPr>
        <w:t>in</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academy</w:t>
      </w:r>
      <w:r w:rsidRPr="00087A72">
        <w:rPr>
          <w:rFonts w:cs="Arial"/>
          <w:sz w:val="16"/>
          <w:szCs w:val="28"/>
        </w:rPr>
        <w:t xml:space="preserve">.”12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queering</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might</w:t>
      </w:r>
      <w:r w:rsidRPr="00087A72">
        <w:rPr>
          <w:rFonts w:cs="Arial"/>
          <w:sz w:val="16"/>
          <w:szCs w:val="28"/>
        </w:rPr>
        <w:t xml:space="preserve"> </w:t>
      </w:r>
      <w:r w:rsidRPr="00087A72">
        <w:rPr>
          <w:rFonts w:eastAsia="Calibri" w:cs="Arial"/>
          <w:sz w:val="16"/>
          <w:szCs w:val="28"/>
        </w:rPr>
        <w:t>mean</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it</w:t>
      </w:r>
      <w:r w:rsidRPr="00087A72">
        <w:rPr>
          <w:rFonts w:cs="Arial"/>
          <w:sz w:val="16"/>
          <w:szCs w:val="28"/>
        </w:rPr>
        <w:t xml:space="preserve"> </w:t>
      </w:r>
      <w:r w:rsidRPr="00087A72">
        <w:rPr>
          <w:rFonts w:eastAsia="Calibri" w:cs="Arial"/>
          <w:sz w:val="16"/>
          <w:szCs w:val="28"/>
        </w:rPr>
        <w:t>would</w:t>
      </w:r>
      <w:r w:rsidRPr="00087A72">
        <w:rPr>
          <w:rFonts w:cs="Arial"/>
          <w:sz w:val="16"/>
          <w:szCs w:val="28"/>
        </w:rPr>
        <w:t xml:space="preserve"> </w:t>
      </w:r>
      <w:r w:rsidRPr="00087A72">
        <w:rPr>
          <w:rFonts w:eastAsia="Calibri" w:cs="Arial"/>
          <w:sz w:val="16"/>
          <w:szCs w:val="28"/>
        </w:rPr>
        <w:t>move</w:t>
      </w:r>
      <w:r w:rsidRPr="00087A72">
        <w:rPr>
          <w:rFonts w:cs="Arial"/>
          <w:sz w:val="16"/>
          <w:szCs w:val="28"/>
        </w:rPr>
        <w:t xml:space="preserve"> </w:t>
      </w:r>
      <w:r w:rsidRPr="00087A72">
        <w:rPr>
          <w:rFonts w:eastAsia="Calibri" w:cs="Arial"/>
          <w:sz w:val="16"/>
          <w:szCs w:val="28"/>
        </w:rPr>
        <w:t>beyond</w:t>
      </w:r>
      <w:r w:rsidRPr="00087A72">
        <w:rPr>
          <w:rFonts w:cs="Arial"/>
          <w:sz w:val="16"/>
          <w:szCs w:val="28"/>
        </w:rPr>
        <w:t xml:space="preserve"> </w:t>
      </w:r>
      <w:r w:rsidRPr="00087A72">
        <w:rPr>
          <w:rFonts w:eastAsia="Calibri" w:cs="Arial"/>
          <w:sz w:val="16"/>
          <w:szCs w:val="28"/>
        </w:rPr>
        <w:t>studying</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communities</w:t>
      </w:r>
      <w:r w:rsidRPr="00087A72">
        <w:rPr>
          <w:rFonts w:cs="Arial"/>
          <w:sz w:val="16"/>
          <w:szCs w:val="28"/>
        </w:rPr>
        <w:t xml:space="preserve"> </w:t>
      </w:r>
      <w:r w:rsidRPr="00087A72">
        <w:rPr>
          <w:rFonts w:eastAsia="Calibri" w:cs="Arial"/>
          <w:sz w:val="16"/>
          <w:szCs w:val="28"/>
        </w:rPr>
        <w:t>through</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lens</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religious</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anthropology</w:t>
      </w:r>
      <w:r w:rsidRPr="00087A72">
        <w:rPr>
          <w:rFonts w:cs="Arial"/>
          <w:sz w:val="16"/>
          <w:szCs w:val="28"/>
        </w:rPr>
        <w:t xml:space="preserve">, </w:t>
      </w:r>
      <w:r w:rsidRPr="00087A72">
        <w:rPr>
          <w:rFonts w:eastAsia="Calibri" w:cs="Arial"/>
          <w:sz w:val="16"/>
          <w:szCs w:val="28"/>
        </w:rPr>
        <w:t>history</w:t>
      </w:r>
      <w:r w:rsidRPr="00087A72">
        <w:rPr>
          <w:rFonts w:cs="Arial"/>
          <w:sz w:val="16"/>
          <w:szCs w:val="28"/>
        </w:rPr>
        <w:t xml:space="preserve">, </w:t>
      </w:r>
      <w:r w:rsidRPr="00087A72">
        <w:rPr>
          <w:rFonts w:eastAsia="Calibri" w:cs="Arial"/>
          <w:sz w:val="16"/>
          <w:szCs w:val="28"/>
        </w:rPr>
        <w:t>or</w:t>
      </w:r>
      <w:r w:rsidRPr="00087A72">
        <w:rPr>
          <w:rFonts w:cs="Arial"/>
          <w:sz w:val="16"/>
          <w:szCs w:val="28"/>
        </w:rPr>
        <w:t xml:space="preserve"> </w:t>
      </w:r>
      <w:r w:rsidRPr="00087A72">
        <w:rPr>
          <w:rFonts w:eastAsia="Calibri" w:cs="Arial"/>
          <w:sz w:val="16"/>
          <w:szCs w:val="28"/>
        </w:rPr>
        <w:t>other</w:t>
      </w:r>
      <w:r w:rsidRPr="00087A72">
        <w:rPr>
          <w:rFonts w:cs="Arial"/>
          <w:sz w:val="16"/>
          <w:szCs w:val="28"/>
        </w:rPr>
        <w:t xml:space="preserve"> </w:t>
      </w:r>
      <w:r w:rsidRPr="00087A72">
        <w:rPr>
          <w:rFonts w:eastAsia="Calibri" w:cs="Arial"/>
          <w:sz w:val="16"/>
          <w:szCs w:val="28"/>
        </w:rPr>
        <w:t>normalizing</w:t>
      </w:r>
      <w:r w:rsidRPr="00087A72">
        <w:rPr>
          <w:rFonts w:cs="Arial"/>
          <w:sz w:val="16"/>
          <w:szCs w:val="28"/>
        </w:rPr>
        <w:t xml:space="preserve"> </w:t>
      </w:r>
      <w:r w:rsidRPr="00087A72">
        <w:rPr>
          <w:rFonts w:eastAsia="Calibri" w:cs="Arial"/>
          <w:sz w:val="16"/>
          <w:szCs w:val="28"/>
        </w:rPr>
        <w:t>disciplines</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would</w:t>
      </w:r>
      <w:r w:rsidRPr="00087A72">
        <w:rPr>
          <w:rFonts w:cs="Arial"/>
          <w:sz w:val="16"/>
          <w:szCs w:val="28"/>
        </w:rPr>
        <w:t xml:space="preserve"> </w:t>
      </w:r>
      <w:r w:rsidRPr="00087A72">
        <w:rPr>
          <w:rFonts w:eastAsia="Calibri" w:cs="Arial"/>
          <w:sz w:val="16"/>
          <w:szCs w:val="28"/>
        </w:rPr>
        <w:t>also</w:t>
      </w:r>
      <w:r w:rsidRPr="00087A72">
        <w:rPr>
          <w:rFonts w:cs="Arial"/>
          <w:sz w:val="16"/>
          <w:szCs w:val="28"/>
        </w:rPr>
        <w:t xml:space="preserve"> </w:t>
      </w:r>
      <w:r w:rsidRPr="00087A72">
        <w:rPr>
          <w:rFonts w:eastAsia="Calibri" w:cs="Arial"/>
          <w:sz w:val="16"/>
          <w:szCs w:val="28"/>
        </w:rPr>
        <w:t>provide</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framework</w:t>
      </w:r>
      <w:r w:rsidRPr="00087A72">
        <w:rPr>
          <w:rFonts w:cs="Arial"/>
          <w:sz w:val="16"/>
          <w:szCs w:val="28"/>
        </w:rPr>
        <w:t xml:space="preserve"> </w:t>
      </w:r>
      <w:r w:rsidRPr="00087A72">
        <w:rPr>
          <w:rFonts w:eastAsia="Calibri" w:cs="Arial"/>
          <w:sz w:val="16"/>
          <w:szCs w:val="28"/>
        </w:rPr>
        <w:t>for</w:t>
      </w:r>
      <w:r w:rsidRPr="00087A72">
        <w:rPr>
          <w:rFonts w:cs="Arial"/>
          <w:sz w:val="16"/>
          <w:szCs w:val="28"/>
        </w:rPr>
        <w:t xml:space="preserve"> </w:t>
      </w:r>
      <w:r w:rsidRPr="00087A72">
        <w:rPr>
          <w:rFonts w:eastAsia="Calibri" w:cs="Arial"/>
          <w:sz w:val="16"/>
          <w:szCs w:val="28"/>
        </w:rPr>
        <w:t>interrogating</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analyzing</w:t>
      </w:r>
      <w:r w:rsidRPr="00087A72">
        <w:rPr>
          <w:rFonts w:cs="Arial"/>
          <w:sz w:val="16"/>
          <w:szCs w:val="28"/>
        </w:rPr>
        <w:t xml:space="preserve"> </w:t>
      </w:r>
      <w:r w:rsidRPr="00087A72">
        <w:rPr>
          <w:rFonts w:eastAsia="Calibri" w:cs="Arial"/>
          <w:sz w:val="16"/>
          <w:szCs w:val="28"/>
        </w:rPr>
        <w:t>both</w:t>
      </w:r>
      <w:r w:rsidRPr="00087A72">
        <w:rPr>
          <w:rFonts w:cs="Arial"/>
          <w:sz w:val="16"/>
          <w:szCs w:val="28"/>
        </w:rPr>
        <w:t xml:space="preserve"> </w:t>
      </w:r>
      <w:r w:rsidRPr="00087A72">
        <w:rPr>
          <w:rFonts w:eastAsia="Calibri" w:cs="Arial"/>
          <w:sz w:val="16"/>
          <w:szCs w:val="28"/>
        </w:rPr>
        <w:t>normalizing</w:t>
      </w:r>
      <w:r w:rsidRPr="00087A72">
        <w:rPr>
          <w:rFonts w:cs="Arial"/>
          <w:sz w:val="16"/>
          <w:szCs w:val="28"/>
        </w:rPr>
        <w:t xml:space="preserve"> </w:t>
      </w:r>
      <w:r w:rsidRPr="00087A72">
        <w:rPr>
          <w:rFonts w:eastAsia="Calibri" w:cs="Arial"/>
          <w:sz w:val="16"/>
          <w:szCs w:val="28"/>
        </w:rPr>
        <w:t>logics</w:t>
      </w:r>
      <w:r w:rsidRPr="00087A72">
        <w:rPr>
          <w:rFonts w:cs="Arial"/>
          <w:sz w:val="16"/>
          <w:szCs w:val="28"/>
        </w:rPr>
        <w:t xml:space="preserve"> </w:t>
      </w:r>
      <w:r w:rsidRPr="00087A72">
        <w:rPr>
          <w:rFonts w:eastAsia="Calibri" w:cs="Arial"/>
          <w:sz w:val="16"/>
          <w:szCs w:val="28"/>
        </w:rPr>
        <w:t>within</w:t>
      </w:r>
      <w:r w:rsidRPr="00087A72">
        <w:rPr>
          <w:rFonts w:cs="Arial"/>
          <w:sz w:val="16"/>
          <w:szCs w:val="28"/>
        </w:rPr>
        <w:t xml:space="preserve"> </w:t>
      </w:r>
      <w:r w:rsidRPr="00087A72">
        <w:rPr>
          <w:rFonts w:eastAsia="Calibri" w:cs="Arial"/>
          <w:sz w:val="16"/>
          <w:szCs w:val="28"/>
        </w:rPr>
        <w:t>disciplinary</w:t>
      </w:r>
      <w:r w:rsidRPr="00087A72">
        <w:rPr>
          <w:rFonts w:cs="Arial"/>
          <w:sz w:val="16"/>
          <w:szCs w:val="28"/>
        </w:rPr>
        <w:t xml:space="preserve"> </w:t>
      </w:r>
      <w:r w:rsidRPr="00087A72">
        <w:rPr>
          <w:rFonts w:eastAsia="Calibri" w:cs="Arial"/>
          <w:sz w:val="16"/>
          <w:szCs w:val="28"/>
        </w:rPr>
        <w:t>formations</w:t>
      </w:r>
      <w:r w:rsidRPr="00087A72">
        <w:rPr>
          <w:rFonts w:cs="Arial"/>
          <w:sz w:val="16"/>
          <w:szCs w:val="28"/>
        </w:rPr>
        <w:t xml:space="preserve">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well</w:t>
      </w:r>
      <w:r w:rsidRPr="00087A72">
        <w:rPr>
          <w:rFonts w:cs="Arial"/>
          <w:sz w:val="16"/>
          <w:szCs w:val="28"/>
        </w:rPr>
        <w:t xml:space="preserve">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academic</w:t>
      </w:r>
      <w:r w:rsidRPr="00087A72">
        <w:rPr>
          <w:rFonts w:cs="Arial"/>
          <w:sz w:val="16"/>
          <w:szCs w:val="28"/>
        </w:rPr>
        <w:t xml:space="preserve"> </w:t>
      </w:r>
      <w:r w:rsidRPr="00087A72">
        <w:rPr>
          <w:rFonts w:eastAsia="Calibri" w:cs="Arial"/>
          <w:sz w:val="16"/>
          <w:szCs w:val="28"/>
        </w:rPr>
        <w:t>institutions</w:t>
      </w:r>
      <w:r w:rsidRPr="00087A72">
        <w:rPr>
          <w:rFonts w:cs="Arial"/>
          <w:sz w:val="16"/>
          <w:szCs w:val="28"/>
        </w:rPr>
        <w:t xml:space="preserve"> </w:t>
      </w:r>
      <w:r w:rsidRPr="00087A72">
        <w:rPr>
          <w:rFonts w:eastAsia="Calibri" w:cs="Arial"/>
          <w:sz w:val="16"/>
          <w:szCs w:val="28"/>
        </w:rPr>
        <w:t>themselves</w:t>
      </w:r>
      <w:r w:rsidRPr="00087A72">
        <w:rPr>
          <w:rFonts w:cs="Arial"/>
          <w:sz w:val="16"/>
          <w:szCs w:val="28"/>
        </w:rPr>
        <w:t xml:space="preserve">. </w:t>
      </w:r>
      <w:r w:rsidRPr="00087A72">
        <w:rPr>
          <w:rFonts w:eastAsia="Calibri" w:cs="Arial"/>
          <w:sz w:val="16"/>
          <w:szCs w:val="28"/>
        </w:rPr>
        <w:t>Thus</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can</w:t>
      </w:r>
      <w:r w:rsidRPr="00087A72">
        <w:rPr>
          <w:rFonts w:cs="Arial"/>
          <w:sz w:val="16"/>
          <w:szCs w:val="28"/>
        </w:rPr>
        <w:t xml:space="preserve"> </w:t>
      </w:r>
      <w:r w:rsidRPr="00087A72">
        <w:rPr>
          <w:rFonts w:eastAsia="Calibri" w:cs="Arial"/>
          <w:sz w:val="16"/>
          <w:szCs w:val="28"/>
        </w:rPr>
        <w:t>be</w:t>
      </w:r>
      <w:r w:rsidRPr="00087A72">
        <w:rPr>
          <w:rFonts w:cs="Arial"/>
          <w:sz w:val="16"/>
          <w:szCs w:val="28"/>
        </w:rPr>
        <w:t xml:space="preserve"> </w:t>
      </w:r>
      <w:r w:rsidRPr="00087A72">
        <w:rPr>
          <w:rFonts w:eastAsia="Calibri" w:cs="Arial"/>
          <w:sz w:val="16"/>
          <w:szCs w:val="28"/>
        </w:rPr>
        <w:t>informed</w:t>
      </w:r>
      <w:r w:rsidRPr="00087A72">
        <w:rPr>
          <w:rFonts w:cs="Arial"/>
          <w:sz w:val="16"/>
          <w:szCs w:val="28"/>
        </w:rPr>
        <w:t xml:space="preserve"> </w:t>
      </w:r>
      <w:r w:rsidRPr="00087A72">
        <w:rPr>
          <w:rFonts w:eastAsia="Calibri" w:cs="Arial"/>
          <w:sz w:val="16"/>
          <w:szCs w:val="28"/>
        </w:rPr>
        <w:t>by</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theory</w:t>
      </w:r>
      <w:r w:rsidRPr="00087A72">
        <w:rPr>
          <w:rFonts w:cs="Arial"/>
          <w:sz w:val="16"/>
          <w:szCs w:val="28"/>
        </w:rPr>
        <w:t>’</w:t>
      </w:r>
      <w:r w:rsidRPr="00087A72">
        <w:rPr>
          <w:rFonts w:eastAsia="Calibri" w:cs="Arial"/>
          <w:sz w:val="16"/>
          <w:szCs w:val="28"/>
        </w:rPr>
        <w:t>s</w:t>
      </w:r>
      <w:r w:rsidRPr="00087A72">
        <w:rPr>
          <w:rFonts w:cs="Arial"/>
          <w:sz w:val="16"/>
          <w:szCs w:val="28"/>
        </w:rPr>
        <w:t xml:space="preserve"> </w:t>
      </w:r>
      <w:r w:rsidRPr="00087A72">
        <w:rPr>
          <w:rFonts w:eastAsia="Calibri" w:cs="Arial"/>
          <w:sz w:val="16"/>
          <w:szCs w:val="28"/>
        </w:rPr>
        <w:t>turn</w:t>
      </w:r>
      <w:r w:rsidRPr="00087A72">
        <w:rPr>
          <w:rFonts w:cs="Arial"/>
          <w:sz w:val="16"/>
          <w:szCs w:val="28"/>
        </w:rPr>
        <w:t xml:space="preserve"> </w:t>
      </w:r>
      <w:r w:rsidRPr="00087A72">
        <w:rPr>
          <w:rFonts w:eastAsia="Calibri" w:cs="Arial"/>
          <w:sz w:val="16"/>
          <w:szCs w:val="28"/>
        </w:rPr>
        <w:t>toward</w:t>
      </w:r>
      <w:r w:rsidRPr="00087A72">
        <w:rPr>
          <w:rFonts w:cs="Arial"/>
          <w:sz w:val="16"/>
          <w:szCs w:val="28"/>
        </w:rPr>
        <w:t xml:space="preserve"> </w:t>
      </w:r>
      <w:r w:rsidRPr="00087A72">
        <w:rPr>
          <w:rFonts w:eastAsia="Calibri" w:cs="Arial"/>
          <w:sz w:val="16"/>
          <w:szCs w:val="28"/>
        </w:rPr>
        <w:t>subjectless</w:t>
      </w:r>
      <w:r w:rsidRPr="00087A72">
        <w:rPr>
          <w:rFonts w:cs="Arial"/>
          <w:sz w:val="16"/>
          <w:szCs w:val="28"/>
        </w:rPr>
        <w:t xml:space="preserve"> </w:t>
      </w:r>
      <w:r w:rsidRPr="00087A72">
        <w:rPr>
          <w:rFonts w:eastAsia="Calibri" w:cs="Arial"/>
          <w:sz w:val="16"/>
          <w:szCs w:val="28"/>
        </w:rPr>
        <w:t>critique</w:t>
      </w:r>
      <w:r w:rsidRPr="00087A72">
        <w:rPr>
          <w:rFonts w:cs="Arial"/>
          <w:sz w:val="16"/>
          <w:szCs w:val="28"/>
        </w:rPr>
        <w:t xml:space="preserve">.13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coeditors</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Social</w:t>
      </w:r>
      <w:r w:rsidRPr="00087A72">
        <w:rPr>
          <w:rFonts w:cs="Arial"/>
          <w:sz w:val="16"/>
          <w:szCs w:val="28"/>
        </w:rPr>
        <w:t xml:space="preserve"> </w:t>
      </w:r>
      <w:r w:rsidRPr="00087A72">
        <w:rPr>
          <w:rFonts w:eastAsia="Calibri" w:cs="Arial"/>
          <w:sz w:val="16"/>
          <w:szCs w:val="28"/>
        </w:rPr>
        <w:t>Text</w:t>
      </w:r>
      <w:r w:rsidRPr="00087A72">
        <w:rPr>
          <w:rFonts w:cs="Arial"/>
          <w:sz w:val="16"/>
          <w:szCs w:val="28"/>
        </w:rPr>
        <w:t xml:space="preserve"> </w:t>
      </w:r>
      <w:r w:rsidRPr="00087A72">
        <w:rPr>
          <w:rFonts w:eastAsia="Calibri" w:cs="Arial"/>
          <w:sz w:val="16"/>
          <w:szCs w:val="28"/>
        </w:rPr>
        <w:t>special</w:t>
      </w:r>
      <w:r w:rsidRPr="00087A72">
        <w:rPr>
          <w:rFonts w:cs="Arial"/>
          <w:sz w:val="16"/>
          <w:szCs w:val="28"/>
        </w:rPr>
        <w:t xml:space="preserve"> </w:t>
      </w:r>
      <w:r w:rsidRPr="00087A72">
        <w:rPr>
          <w:rFonts w:eastAsia="Calibri" w:cs="Arial"/>
          <w:sz w:val="16"/>
          <w:szCs w:val="28"/>
        </w:rPr>
        <w:t>issue</w:t>
      </w:r>
      <w:r w:rsidRPr="00087A72">
        <w:rPr>
          <w:rFonts w:cs="Arial"/>
          <w:sz w:val="16"/>
          <w:szCs w:val="28"/>
        </w:rPr>
        <w:t xml:space="preserve"> “</w:t>
      </w:r>
      <w:r w:rsidRPr="00087A72">
        <w:rPr>
          <w:rFonts w:eastAsia="Calibri" w:cs="Arial"/>
          <w:sz w:val="16"/>
          <w:szCs w:val="28"/>
        </w:rPr>
        <w:t>What</w:t>
      </w:r>
      <w:r w:rsidRPr="00087A72">
        <w:rPr>
          <w:rFonts w:cs="Arial"/>
          <w:sz w:val="16"/>
          <w:szCs w:val="28"/>
        </w:rPr>
        <w:t>’</w:t>
      </w:r>
      <w:r w:rsidRPr="00087A72">
        <w:rPr>
          <w:rFonts w:eastAsia="Calibri" w:cs="Arial"/>
          <w:sz w:val="16"/>
          <w:szCs w:val="28"/>
        </w:rPr>
        <w:t>s</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about</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Now</w:t>
      </w:r>
      <w:r w:rsidRPr="00087A72">
        <w:rPr>
          <w:rFonts w:cs="Arial"/>
          <w:sz w:val="16"/>
          <w:szCs w:val="28"/>
        </w:rPr>
        <w:t xml:space="preserve">?” </w:t>
      </w:r>
      <w:r w:rsidRPr="00087A72">
        <w:rPr>
          <w:rFonts w:eastAsia="Calibri" w:cs="Arial"/>
          <w:sz w:val="16"/>
          <w:szCs w:val="28"/>
        </w:rPr>
        <w:t>state</w:t>
      </w:r>
      <w:r w:rsidRPr="00087A72">
        <w:rPr>
          <w:rFonts w:cs="Arial"/>
          <w:sz w:val="16"/>
          <w:szCs w:val="28"/>
        </w:rPr>
        <w:t>: “</w:t>
      </w:r>
      <w:r w:rsidRPr="00087A72">
        <w:rPr>
          <w:rFonts w:eastAsia="Calibri" w:cs="Arial"/>
          <w:sz w:val="16"/>
          <w:szCs w:val="28"/>
        </w:rPr>
        <w:t>What</w:t>
      </w:r>
      <w:r w:rsidRPr="00087A72">
        <w:rPr>
          <w:rFonts w:cs="Arial"/>
          <w:sz w:val="16"/>
          <w:szCs w:val="28"/>
        </w:rPr>
        <w:t xml:space="preserve"> </w:t>
      </w:r>
      <w:r w:rsidRPr="00087A72">
        <w:rPr>
          <w:rFonts w:eastAsia="Calibri" w:cs="Arial"/>
          <w:sz w:val="16"/>
          <w:szCs w:val="28"/>
        </w:rPr>
        <w:t>might</w:t>
      </w:r>
      <w:r w:rsidRPr="00087A72">
        <w:rPr>
          <w:rFonts w:cs="Arial"/>
          <w:sz w:val="16"/>
          <w:szCs w:val="28"/>
        </w:rPr>
        <w:t xml:space="preserve"> </w:t>
      </w:r>
      <w:r w:rsidRPr="00087A72">
        <w:rPr>
          <w:rFonts w:eastAsia="Calibri" w:cs="Arial"/>
          <w:sz w:val="16"/>
          <w:szCs w:val="28"/>
        </w:rPr>
        <w:t>be</w:t>
      </w:r>
      <w:r w:rsidRPr="00087A72">
        <w:rPr>
          <w:rFonts w:cs="Arial"/>
          <w:sz w:val="16"/>
          <w:szCs w:val="28"/>
        </w:rPr>
        <w:t xml:space="preserve"> </w:t>
      </w:r>
      <w:r w:rsidRPr="00087A72">
        <w:rPr>
          <w:rFonts w:eastAsia="Calibri" w:cs="Arial"/>
          <w:sz w:val="16"/>
          <w:szCs w:val="28"/>
        </w:rPr>
        <w:t>called</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subjectless</w:t>
      </w:r>
      <w:r w:rsidRPr="00087A72">
        <w:rPr>
          <w:rFonts w:cs="Arial"/>
          <w:sz w:val="16"/>
          <w:szCs w:val="28"/>
        </w:rPr>
        <w:t xml:space="preserve">’ </w:t>
      </w:r>
      <w:r w:rsidRPr="00087A72">
        <w:rPr>
          <w:rFonts w:eastAsia="Calibri" w:cs="Arial"/>
          <w:sz w:val="16"/>
          <w:szCs w:val="28"/>
        </w:rPr>
        <w:t>critique</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disallows</w:t>
      </w:r>
      <w:r w:rsidRPr="00087A72">
        <w:rPr>
          <w:rFonts w:cs="Arial"/>
          <w:sz w:val="16"/>
          <w:szCs w:val="28"/>
        </w:rPr>
        <w:t xml:space="preserve"> </w:t>
      </w:r>
      <w:r w:rsidRPr="00087A72">
        <w:rPr>
          <w:rFonts w:eastAsia="Calibri" w:cs="Arial"/>
          <w:sz w:val="16"/>
          <w:szCs w:val="28"/>
        </w:rPr>
        <w:t>any</w:t>
      </w:r>
      <w:r w:rsidRPr="00087A72">
        <w:rPr>
          <w:rFonts w:cs="Arial"/>
          <w:sz w:val="16"/>
          <w:szCs w:val="28"/>
        </w:rPr>
        <w:t xml:space="preserve"> </w:t>
      </w:r>
      <w:r w:rsidRPr="00087A72">
        <w:rPr>
          <w:rFonts w:eastAsia="Calibri" w:cs="Arial"/>
          <w:sz w:val="16"/>
          <w:szCs w:val="28"/>
        </w:rPr>
        <w:t>positing</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proper</w:t>
      </w:r>
      <w:r w:rsidRPr="00087A72">
        <w:rPr>
          <w:rFonts w:cs="Arial"/>
          <w:sz w:val="16"/>
          <w:szCs w:val="28"/>
        </w:rPr>
        <w:t xml:space="preserve"> </w:t>
      </w:r>
      <w:r w:rsidRPr="00087A72">
        <w:rPr>
          <w:rFonts w:eastAsia="Calibri" w:cs="Arial"/>
          <w:sz w:val="16"/>
          <w:szCs w:val="28"/>
        </w:rPr>
        <w:t>subject</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or</w:t>
      </w:r>
      <w:r w:rsidRPr="00087A72">
        <w:rPr>
          <w:rFonts w:cs="Arial"/>
          <w:sz w:val="16"/>
          <w:szCs w:val="28"/>
        </w:rPr>
        <w:t xml:space="preserve"> </w:t>
      </w:r>
      <w:r w:rsidRPr="00087A72">
        <w:rPr>
          <w:rFonts w:eastAsia="Calibri" w:cs="Arial"/>
          <w:sz w:val="16"/>
          <w:szCs w:val="28"/>
        </w:rPr>
        <w:t>object</w:t>
      </w:r>
      <w:r w:rsidRPr="00087A72">
        <w:rPr>
          <w:rFonts w:cs="Arial"/>
          <w:sz w:val="16"/>
          <w:szCs w:val="28"/>
        </w:rPr>
        <w:t xml:space="preserve"> </w:t>
      </w:r>
      <w:r w:rsidRPr="00087A72">
        <w:rPr>
          <w:rFonts w:eastAsia="Calibri" w:cs="Arial"/>
          <w:sz w:val="16"/>
          <w:szCs w:val="28"/>
        </w:rPr>
        <w:t>for</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field</w:t>
      </w:r>
      <w:r w:rsidRPr="00087A72">
        <w:rPr>
          <w:rFonts w:cs="Arial"/>
          <w:sz w:val="16"/>
          <w:szCs w:val="28"/>
        </w:rPr>
        <w:t xml:space="preserve"> </w:t>
      </w:r>
      <w:r w:rsidRPr="00087A72">
        <w:rPr>
          <w:rFonts w:eastAsia="Calibri" w:cs="Arial"/>
          <w:sz w:val="16"/>
          <w:szCs w:val="28"/>
        </w:rPr>
        <w:t>by</w:t>
      </w:r>
      <w:r w:rsidRPr="00087A72">
        <w:rPr>
          <w:rFonts w:cs="Arial"/>
          <w:sz w:val="16"/>
          <w:szCs w:val="28"/>
        </w:rPr>
        <w:t xml:space="preserve"> </w:t>
      </w:r>
      <w:r w:rsidRPr="00087A72">
        <w:rPr>
          <w:rFonts w:eastAsia="Calibri" w:cs="Arial"/>
          <w:sz w:val="16"/>
          <w:szCs w:val="28"/>
        </w:rPr>
        <w:t>insisting</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has</w:t>
      </w:r>
      <w:r w:rsidRPr="00087A72">
        <w:rPr>
          <w:rFonts w:cs="Arial"/>
          <w:sz w:val="16"/>
          <w:szCs w:val="28"/>
        </w:rPr>
        <w:t xml:space="preserve"> </w:t>
      </w:r>
      <w:r w:rsidRPr="00087A72">
        <w:rPr>
          <w:rFonts w:eastAsia="Calibri" w:cs="Arial"/>
          <w:sz w:val="16"/>
          <w:szCs w:val="28"/>
        </w:rPr>
        <w:t>no</w:t>
      </w:r>
      <w:r w:rsidRPr="00087A72">
        <w:rPr>
          <w:rFonts w:cs="Arial"/>
          <w:sz w:val="16"/>
          <w:szCs w:val="28"/>
        </w:rPr>
        <w:t xml:space="preserve"> </w:t>
      </w:r>
      <w:r w:rsidRPr="00087A72">
        <w:rPr>
          <w:rFonts w:eastAsia="Calibri" w:cs="Arial"/>
          <w:sz w:val="16"/>
          <w:szCs w:val="28"/>
        </w:rPr>
        <w:t>fixed</w:t>
      </w:r>
      <w:r w:rsidRPr="00087A72">
        <w:rPr>
          <w:rFonts w:cs="Arial"/>
          <w:sz w:val="16"/>
          <w:szCs w:val="28"/>
        </w:rPr>
        <w:t xml:space="preserve"> </w:t>
      </w:r>
      <w:r w:rsidRPr="00087A72">
        <w:rPr>
          <w:rFonts w:eastAsia="Calibri" w:cs="Arial"/>
          <w:sz w:val="16"/>
          <w:szCs w:val="28"/>
        </w:rPr>
        <w:t>political</w:t>
      </w:r>
      <w:r w:rsidRPr="00087A72">
        <w:rPr>
          <w:rFonts w:cs="Arial"/>
          <w:sz w:val="16"/>
          <w:szCs w:val="28"/>
        </w:rPr>
        <w:t xml:space="preserve"> </w:t>
      </w:r>
      <w:r w:rsidRPr="00087A72">
        <w:rPr>
          <w:rFonts w:eastAsia="Calibri" w:cs="Arial"/>
          <w:sz w:val="16"/>
          <w:szCs w:val="28"/>
        </w:rPr>
        <w:t>referent</w:t>
      </w:r>
      <w:r w:rsidRPr="00087A72">
        <w:rPr>
          <w:rFonts w:cs="Arial"/>
          <w:sz w:val="16"/>
          <w:szCs w:val="28"/>
        </w:rPr>
        <w:t xml:space="preserve">. . . .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subjectless</w:t>
      </w:r>
      <w:r w:rsidRPr="00087A72">
        <w:rPr>
          <w:rFonts w:cs="Arial"/>
          <w:sz w:val="16"/>
          <w:szCs w:val="28"/>
        </w:rPr>
        <w:t xml:space="preserve"> </w:t>
      </w:r>
      <w:r w:rsidRPr="00087A72">
        <w:rPr>
          <w:rFonts w:eastAsia="Calibri" w:cs="Arial"/>
          <w:sz w:val="16"/>
          <w:szCs w:val="28"/>
        </w:rPr>
        <w:t>critique</w:t>
      </w:r>
      <w:r w:rsidRPr="00087A72">
        <w:rPr>
          <w:rFonts w:cs="Arial"/>
          <w:sz w:val="16"/>
          <w:szCs w:val="28"/>
        </w:rPr>
        <w:t xml:space="preserve"> </w:t>
      </w:r>
      <w:r w:rsidRPr="00087A72">
        <w:rPr>
          <w:rFonts w:eastAsia="Calibri" w:cs="Arial"/>
          <w:sz w:val="16"/>
          <w:szCs w:val="28"/>
        </w:rPr>
        <w:t>establishes</w:t>
      </w:r>
      <w:r w:rsidRPr="00087A72">
        <w:rPr>
          <w:rFonts w:cs="Arial"/>
          <w:sz w:val="16"/>
          <w:szCs w:val="28"/>
        </w:rPr>
        <w:t xml:space="preserve"> . . .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focus</w:t>
      </w:r>
      <w:r w:rsidRPr="00087A72">
        <w:rPr>
          <w:rFonts w:cs="Arial"/>
          <w:sz w:val="16"/>
          <w:szCs w:val="28"/>
        </w:rPr>
        <w:t xml:space="preserve"> </w:t>
      </w:r>
      <w:r w:rsidRPr="00087A72">
        <w:rPr>
          <w:rFonts w:eastAsia="Calibri" w:cs="Arial"/>
          <w:sz w:val="16"/>
          <w:szCs w:val="28"/>
        </w:rPr>
        <w:t>on</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wide</w:t>
      </w:r>
      <w:r w:rsidRPr="00087A72">
        <w:rPr>
          <w:rFonts w:cs="Arial"/>
          <w:sz w:val="16"/>
          <w:szCs w:val="28"/>
        </w:rPr>
        <w:t xml:space="preserve"> </w:t>
      </w:r>
      <w:r w:rsidRPr="00087A72">
        <w:rPr>
          <w:rFonts w:eastAsia="Calibri" w:cs="Arial"/>
          <w:sz w:val="16"/>
          <w:szCs w:val="28"/>
        </w:rPr>
        <w:t>field</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normalization</w:t>
      </w:r>
      <w:r w:rsidRPr="00087A72">
        <w:rPr>
          <w:rFonts w:cs="Arial"/>
          <w:sz w:val="16"/>
          <w:szCs w:val="28"/>
        </w:rPr>
        <w:t xml:space="preserve">’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site</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social</w:t>
      </w:r>
      <w:r w:rsidRPr="00087A72">
        <w:rPr>
          <w:rFonts w:cs="Arial"/>
          <w:sz w:val="16"/>
          <w:szCs w:val="28"/>
        </w:rPr>
        <w:t xml:space="preserve"> </w:t>
      </w:r>
      <w:r w:rsidRPr="00087A72">
        <w:rPr>
          <w:rFonts w:eastAsia="Calibri" w:cs="Arial"/>
          <w:sz w:val="16"/>
          <w:szCs w:val="28"/>
        </w:rPr>
        <w:t>violence</w:t>
      </w:r>
      <w:r w:rsidRPr="00087A72">
        <w:rPr>
          <w:rFonts w:cs="Arial"/>
          <w:sz w:val="16"/>
          <w:szCs w:val="28"/>
        </w:rPr>
        <w:t xml:space="preserve">.”14 </w:t>
      </w:r>
      <w:r w:rsidRPr="00087A72">
        <w:rPr>
          <w:rFonts w:eastAsia="Calibri" w:cs="Arial"/>
          <w:b/>
          <w:sz w:val="28"/>
          <w:szCs w:val="28"/>
          <w:u w:val="single"/>
        </w:rPr>
        <w:t>A</w:t>
      </w:r>
      <w:r w:rsidRPr="00087A72">
        <w:rPr>
          <w:rFonts w:cs="Arial"/>
          <w:b/>
          <w:sz w:val="28"/>
          <w:szCs w:val="28"/>
          <w:u w:val="single"/>
        </w:rPr>
        <w:t xml:space="preserve"> </w:t>
      </w:r>
      <w:r w:rsidRPr="00087A72">
        <w:rPr>
          <w:rFonts w:eastAsia="Calibri" w:cs="Arial"/>
          <w:b/>
          <w:sz w:val="28"/>
          <w:szCs w:val="28"/>
          <w:u w:val="single"/>
        </w:rPr>
        <w:t>subjectless</w:t>
      </w:r>
      <w:r w:rsidRPr="00087A72">
        <w:rPr>
          <w:rFonts w:cs="Arial"/>
          <w:b/>
          <w:sz w:val="28"/>
          <w:szCs w:val="28"/>
          <w:u w:val="single"/>
        </w:rPr>
        <w:t xml:space="preserve"> </w:t>
      </w:r>
      <w:r w:rsidRPr="00087A72">
        <w:rPr>
          <w:rFonts w:eastAsia="Calibri" w:cs="Arial"/>
          <w:b/>
          <w:sz w:val="28"/>
          <w:szCs w:val="28"/>
          <w:u w:val="single"/>
        </w:rPr>
        <w:t>critique</w:t>
      </w:r>
      <w:r w:rsidRPr="00087A72">
        <w:rPr>
          <w:rFonts w:cs="Arial"/>
          <w:b/>
          <w:sz w:val="28"/>
          <w:szCs w:val="28"/>
          <w:u w:val="single"/>
        </w:rPr>
        <w:t xml:space="preserve"> </w:t>
      </w:r>
      <w:r w:rsidRPr="00087A72">
        <w:rPr>
          <w:rFonts w:eastAsia="Calibri" w:cs="Arial"/>
          <w:b/>
          <w:sz w:val="28"/>
          <w:szCs w:val="28"/>
          <w:u w:val="single"/>
        </w:rPr>
        <w:t>can</w:t>
      </w:r>
      <w:r w:rsidRPr="00087A72">
        <w:rPr>
          <w:rFonts w:cs="Arial"/>
          <w:b/>
          <w:sz w:val="28"/>
          <w:szCs w:val="28"/>
          <w:u w:val="single"/>
        </w:rPr>
        <w:t xml:space="preserve"> </w:t>
      </w:r>
      <w:r w:rsidRPr="00087A72">
        <w:rPr>
          <w:rFonts w:eastAsia="Calibri" w:cs="Arial"/>
          <w:b/>
          <w:sz w:val="28"/>
          <w:szCs w:val="28"/>
          <w:u w:val="single"/>
        </w:rPr>
        <w:t>help</w:t>
      </w:r>
      <w:r w:rsidRPr="00087A72">
        <w:rPr>
          <w:rFonts w:cs="Arial"/>
          <w:b/>
          <w:sz w:val="28"/>
          <w:szCs w:val="28"/>
          <w:u w:val="single"/>
        </w:rPr>
        <w:t xml:space="preserve"> </w:t>
      </w:r>
      <w:r w:rsidRPr="00087A72">
        <w:rPr>
          <w:rFonts w:eastAsia="Calibri" w:cs="Arial"/>
          <w:b/>
          <w:sz w:val="28"/>
          <w:szCs w:val="28"/>
          <w:u w:val="single"/>
        </w:rPr>
        <w:t>Native</w:t>
      </w:r>
      <w:r w:rsidRPr="00087A72">
        <w:rPr>
          <w:rFonts w:cs="Arial"/>
          <w:b/>
          <w:sz w:val="28"/>
          <w:szCs w:val="28"/>
          <w:u w:val="single"/>
        </w:rPr>
        <w:t xml:space="preserve"> </w:t>
      </w:r>
      <w:r w:rsidRPr="00087A72">
        <w:rPr>
          <w:rFonts w:eastAsia="Calibri" w:cs="Arial"/>
          <w:b/>
          <w:sz w:val="28"/>
          <w:szCs w:val="28"/>
          <w:u w:val="single"/>
        </w:rPr>
        <w:t>studies</w:t>
      </w:r>
      <w:r w:rsidRPr="00087A72">
        <w:rPr>
          <w:rFonts w:cs="Arial"/>
          <w:b/>
          <w:sz w:val="28"/>
          <w:szCs w:val="28"/>
          <w:u w:val="single"/>
        </w:rPr>
        <w:t xml:space="preserve"> (</w:t>
      </w:r>
      <w:r w:rsidRPr="00087A72">
        <w:rPr>
          <w:rFonts w:eastAsia="Calibri" w:cs="Arial"/>
          <w:b/>
          <w:sz w:val="28"/>
          <w:szCs w:val="28"/>
          <w:u w:val="single"/>
        </w:rPr>
        <w:t>as</w:t>
      </w:r>
      <w:r w:rsidRPr="00087A72">
        <w:rPr>
          <w:rFonts w:cs="Arial"/>
          <w:b/>
          <w:sz w:val="28"/>
          <w:szCs w:val="28"/>
          <w:u w:val="single"/>
        </w:rPr>
        <w:t xml:space="preserve"> </w:t>
      </w:r>
      <w:r w:rsidRPr="00087A72">
        <w:rPr>
          <w:rFonts w:eastAsia="Calibri" w:cs="Arial"/>
          <w:b/>
          <w:sz w:val="28"/>
          <w:szCs w:val="28"/>
          <w:u w:val="single"/>
        </w:rPr>
        <w:t>well</w:t>
      </w:r>
      <w:r w:rsidRPr="00087A72">
        <w:rPr>
          <w:rFonts w:cs="Arial"/>
          <w:b/>
          <w:sz w:val="28"/>
          <w:szCs w:val="28"/>
          <w:u w:val="single"/>
        </w:rPr>
        <w:t xml:space="preserve"> </w:t>
      </w:r>
      <w:r w:rsidRPr="00087A72">
        <w:rPr>
          <w:rFonts w:eastAsia="Calibri" w:cs="Arial"/>
          <w:b/>
          <w:sz w:val="28"/>
          <w:szCs w:val="28"/>
          <w:u w:val="single"/>
        </w:rPr>
        <w:t>as</w:t>
      </w:r>
      <w:r w:rsidRPr="00087A72">
        <w:rPr>
          <w:rFonts w:cs="Arial"/>
          <w:b/>
          <w:sz w:val="28"/>
          <w:szCs w:val="28"/>
          <w:u w:val="single"/>
        </w:rPr>
        <w:t xml:space="preserve"> </w:t>
      </w:r>
      <w:r w:rsidRPr="00087A72">
        <w:rPr>
          <w:rFonts w:eastAsia="Calibri" w:cs="Arial"/>
          <w:b/>
          <w:sz w:val="28"/>
          <w:szCs w:val="28"/>
          <w:u w:val="single"/>
        </w:rPr>
        <w:t>ethnic</w:t>
      </w:r>
      <w:r w:rsidRPr="00087A72">
        <w:rPr>
          <w:rFonts w:cs="Arial"/>
          <w:b/>
          <w:sz w:val="28"/>
          <w:szCs w:val="28"/>
          <w:u w:val="single"/>
        </w:rPr>
        <w:t xml:space="preserve"> </w:t>
      </w:r>
      <w:r w:rsidRPr="00087A72">
        <w:rPr>
          <w:rFonts w:eastAsia="Calibri" w:cs="Arial"/>
          <w:b/>
          <w:sz w:val="28"/>
          <w:szCs w:val="28"/>
          <w:u w:val="single"/>
        </w:rPr>
        <w:t>studies</w:t>
      </w:r>
      <w:r w:rsidRPr="00087A72">
        <w:rPr>
          <w:rFonts w:cs="Arial"/>
          <w:b/>
          <w:sz w:val="28"/>
          <w:szCs w:val="28"/>
          <w:u w:val="single"/>
        </w:rPr>
        <w:t xml:space="preserve">) </w:t>
      </w:r>
      <w:r w:rsidRPr="00087A72">
        <w:rPr>
          <w:rFonts w:eastAsia="Calibri" w:cs="Arial"/>
          <w:b/>
          <w:sz w:val="28"/>
          <w:szCs w:val="28"/>
          <w:u w:val="single"/>
        </w:rPr>
        <w:t>escape</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ethnographic</w:t>
      </w:r>
      <w:r w:rsidRPr="00087A72">
        <w:rPr>
          <w:rFonts w:cs="Arial"/>
          <w:b/>
          <w:sz w:val="28"/>
          <w:szCs w:val="28"/>
          <w:u w:val="single"/>
        </w:rPr>
        <w:t xml:space="preserve"> </w:t>
      </w:r>
      <w:r w:rsidRPr="00087A72">
        <w:rPr>
          <w:rFonts w:eastAsia="Calibri" w:cs="Arial"/>
          <w:b/>
          <w:sz w:val="28"/>
          <w:szCs w:val="28"/>
          <w:u w:val="single"/>
        </w:rPr>
        <w:t>entrapment</w:t>
      </w:r>
      <w:r w:rsidRPr="00087A72">
        <w:rPr>
          <w:rFonts w:cs="Arial"/>
          <w:b/>
          <w:sz w:val="28"/>
          <w:szCs w:val="28"/>
          <w:u w:val="single"/>
        </w:rPr>
        <w:t xml:space="preserve"> </w:t>
      </w:r>
      <w:r w:rsidRPr="00087A72">
        <w:rPr>
          <w:rFonts w:eastAsia="Calibri" w:cs="Arial"/>
          <w:b/>
          <w:sz w:val="28"/>
          <w:szCs w:val="28"/>
          <w:u w:val="single"/>
        </w:rPr>
        <w:t>by</w:t>
      </w:r>
      <w:r w:rsidRPr="00087A72">
        <w:rPr>
          <w:rFonts w:cs="Arial"/>
          <w:b/>
          <w:sz w:val="28"/>
          <w:szCs w:val="28"/>
          <w:u w:val="single"/>
        </w:rPr>
        <w:t xml:space="preserve"> </w:t>
      </w:r>
      <w:r w:rsidRPr="00087A72">
        <w:rPr>
          <w:rFonts w:eastAsia="Calibri" w:cs="Arial"/>
          <w:b/>
          <w:sz w:val="28"/>
          <w:szCs w:val="28"/>
          <w:u w:val="single"/>
        </w:rPr>
        <w:t>which</w:t>
      </w:r>
      <w:r w:rsidRPr="00087A72">
        <w:rPr>
          <w:rFonts w:cs="Arial"/>
          <w:b/>
          <w:sz w:val="28"/>
          <w:szCs w:val="28"/>
          <w:u w:val="single"/>
        </w:rPr>
        <w:t xml:space="preserve"> </w:t>
      </w:r>
      <w:r w:rsidRPr="00087A72">
        <w:rPr>
          <w:rFonts w:eastAsia="Calibri" w:cs="Arial"/>
          <w:b/>
          <w:sz w:val="28"/>
          <w:szCs w:val="28"/>
          <w:u w:val="single"/>
        </w:rPr>
        <w:t>Native</w:t>
      </w:r>
      <w:r w:rsidRPr="00087A72">
        <w:rPr>
          <w:rFonts w:cs="Arial"/>
          <w:b/>
          <w:sz w:val="28"/>
          <w:szCs w:val="28"/>
          <w:u w:val="single"/>
        </w:rPr>
        <w:t xml:space="preserve"> </w:t>
      </w:r>
      <w:r w:rsidRPr="00087A72">
        <w:rPr>
          <w:rFonts w:eastAsia="Calibri" w:cs="Arial"/>
          <w:b/>
          <w:sz w:val="28"/>
          <w:szCs w:val="28"/>
          <w:u w:val="single"/>
        </w:rPr>
        <w:t>peoples</w:t>
      </w:r>
      <w:r w:rsidRPr="00087A72">
        <w:rPr>
          <w:rFonts w:cs="Arial"/>
          <w:b/>
          <w:sz w:val="28"/>
          <w:szCs w:val="28"/>
          <w:u w:val="single"/>
        </w:rPr>
        <w:t xml:space="preserve"> </w:t>
      </w:r>
      <w:r w:rsidRPr="00087A72">
        <w:rPr>
          <w:rFonts w:eastAsia="Calibri" w:cs="Arial"/>
          <w:b/>
          <w:sz w:val="28"/>
          <w:szCs w:val="28"/>
          <w:u w:val="single"/>
        </w:rPr>
        <w:t>are</w:t>
      </w:r>
      <w:r w:rsidRPr="00087A72">
        <w:rPr>
          <w:rFonts w:cs="Arial"/>
          <w:b/>
          <w:sz w:val="28"/>
          <w:szCs w:val="28"/>
          <w:u w:val="single"/>
        </w:rPr>
        <w:t xml:space="preserve"> </w:t>
      </w:r>
      <w:r w:rsidRPr="00087A72">
        <w:rPr>
          <w:rFonts w:eastAsia="Calibri" w:cs="Arial"/>
          <w:b/>
          <w:sz w:val="28"/>
          <w:szCs w:val="28"/>
          <w:u w:val="single"/>
        </w:rPr>
        <w:t>rendered</w:t>
      </w:r>
      <w:r w:rsidRPr="00087A72">
        <w:rPr>
          <w:rFonts w:cs="Arial"/>
          <w:b/>
          <w:sz w:val="28"/>
          <w:szCs w:val="28"/>
          <w:u w:val="single"/>
        </w:rPr>
        <w:t xml:space="preserve"> </w:t>
      </w:r>
      <w:r w:rsidRPr="00087A72">
        <w:rPr>
          <w:rFonts w:eastAsia="Calibri" w:cs="Arial"/>
          <w:b/>
          <w:sz w:val="28"/>
          <w:szCs w:val="28"/>
          <w:u w:val="single"/>
        </w:rPr>
        <w:t>simply</w:t>
      </w:r>
      <w:r w:rsidRPr="00087A72">
        <w:rPr>
          <w:rFonts w:cs="Arial"/>
          <w:b/>
          <w:sz w:val="28"/>
          <w:szCs w:val="28"/>
          <w:u w:val="single"/>
        </w:rPr>
        <w:t xml:space="preserve"> </w:t>
      </w:r>
      <w:r w:rsidRPr="00087A72">
        <w:rPr>
          <w:rFonts w:eastAsia="Calibri" w:cs="Arial"/>
          <w:b/>
          <w:sz w:val="28"/>
          <w:szCs w:val="28"/>
          <w:u w:val="single"/>
        </w:rPr>
        <w:t>as</w:t>
      </w:r>
      <w:r w:rsidRPr="00087A72">
        <w:rPr>
          <w:rFonts w:cs="Arial"/>
          <w:b/>
          <w:sz w:val="28"/>
          <w:szCs w:val="28"/>
          <w:u w:val="single"/>
        </w:rPr>
        <w:t xml:space="preserve"> </w:t>
      </w:r>
      <w:r w:rsidRPr="00087A72">
        <w:rPr>
          <w:rFonts w:eastAsia="Calibri" w:cs="Arial"/>
          <w:b/>
          <w:sz w:val="28"/>
          <w:szCs w:val="28"/>
          <w:u w:val="single"/>
        </w:rPr>
        <w:t>objects</w:t>
      </w:r>
      <w:r w:rsidRPr="00087A72">
        <w:rPr>
          <w:rFonts w:cs="Arial"/>
          <w:b/>
          <w:sz w:val="28"/>
          <w:szCs w:val="28"/>
          <w:u w:val="single"/>
        </w:rPr>
        <w:t xml:space="preserve"> </w:t>
      </w:r>
      <w:r w:rsidRPr="00087A72">
        <w:rPr>
          <w:rFonts w:eastAsia="Calibri" w:cs="Arial"/>
          <w:b/>
          <w:sz w:val="28"/>
          <w:szCs w:val="28"/>
          <w:u w:val="single"/>
        </w:rPr>
        <w:t>of</w:t>
      </w:r>
      <w:r w:rsidRPr="00087A72">
        <w:rPr>
          <w:rFonts w:cs="Arial"/>
          <w:b/>
          <w:sz w:val="28"/>
          <w:szCs w:val="28"/>
          <w:u w:val="single"/>
        </w:rPr>
        <w:t xml:space="preserve"> </w:t>
      </w:r>
      <w:r w:rsidRPr="00087A72">
        <w:rPr>
          <w:rFonts w:eastAsia="Calibri" w:cs="Arial"/>
          <w:b/>
          <w:sz w:val="28"/>
          <w:szCs w:val="28"/>
          <w:u w:val="single"/>
        </w:rPr>
        <w:t>intellectual</w:t>
      </w:r>
      <w:r w:rsidRPr="00087A72">
        <w:rPr>
          <w:rFonts w:cs="Arial"/>
          <w:b/>
          <w:sz w:val="28"/>
          <w:szCs w:val="28"/>
          <w:u w:val="single"/>
        </w:rPr>
        <w:t xml:space="preserve"> </w:t>
      </w:r>
      <w:r w:rsidRPr="00087A72">
        <w:rPr>
          <w:rFonts w:eastAsia="Calibri" w:cs="Arial"/>
          <w:b/>
          <w:sz w:val="28"/>
          <w:szCs w:val="28"/>
          <w:u w:val="single"/>
        </w:rPr>
        <w:t>study</w:t>
      </w:r>
      <w:r w:rsidRPr="00087A72">
        <w:rPr>
          <w:rFonts w:cs="Arial"/>
          <w:b/>
          <w:sz w:val="28"/>
          <w:szCs w:val="28"/>
          <w:u w:val="single"/>
        </w:rPr>
        <w:t xml:space="preserve"> </w:t>
      </w:r>
      <w:r w:rsidRPr="00087A72">
        <w:rPr>
          <w:rFonts w:eastAsia="Calibri" w:cs="Arial"/>
          <w:b/>
          <w:sz w:val="28"/>
          <w:szCs w:val="28"/>
          <w:u w:val="single"/>
        </w:rPr>
        <w:t>and</w:t>
      </w:r>
      <w:r w:rsidRPr="00087A72">
        <w:rPr>
          <w:rFonts w:cs="Arial"/>
          <w:b/>
          <w:sz w:val="28"/>
          <w:szCs w:val="28"/>
          <w:u w:val="single"/>
        </w:rPr>
        <w:t xml:space="preserve"> </w:t>
      </w:r>
      <w:r w:rsidRPr="00087A72">
        <w:rPr>
          <w:rFonts w:eastAsia="Calibri" w:cs="Arial"/>
          <w:b/>
          <w:sz w:val="28"/>
          <w:szCs w:val="28"/>
          <w:u w:val="single"/>
        </w:rPr>
        <w:t>instead</w:t>
      </w:r>
      <w:r w:rsidRPr="00087A72">
        <w:rPr>
          <w:rFonts w:cs="Arial"/>
          <w:b/>
          <w:sz w:val="28"/>
          <w:szCs w:val="28"/>
          <w:u w:val="single"/>
        </w:rPr>
        <w:t xml:space="preserve"> </w:t>
      </w:r>
      <w:r w:rsidRPr="00087A72">
        <w:rPr>
          <w:rFonts w:eastAsia="Calibri" w:cs="Arial"/>
          <w:b/>
          <w:sz w:val="28"/>
          <w:szCs w:val="28"/>
          <w:u w:val="single"/>
        </w:rPr>
        <w:t>can</w:t>
      </w:r>
      <w:r w:rsidRPr="00087A72">
        <w:rPr>
          <w:rFonts w:cs="Arial"/>
          <w:b/>
          <w:sz w:val="28"/>
          <w:szCs w:val="28"/>
          <w:u w:val="single"/>
        </w:rPr>
        <w:t xml:space="preserve"> </w:t>
      </w:r>
      <w:r w:rsidRPr="00087A72">
        <w:rPr>
          <w:rFonts w:eastAsia="Calibri" w:cs="Arial"/>
          <w:b/>
          <w:sz w:val="28"/>
          <w:szCs w:val="28"/>
          <w:u w:val="single"/>
        </w:rPr>
        <w:t>foreground</w:t>
      </w:r>
      <w:r w:rsidRPr="00087A72">
        <w:rPr>
          <w:rFonts w:cs="Arial"/>
          <w:b/>
          <w:sz w:val="28"/>
          <w:szCs w:val="28"/>
          <w:u w:val="single"/>
        </w:rPr>
        <w:t xml:space="preserve"> </w:t>
      </w:r>
      <w:r w:rsidRPr="00087A72">
        <w:rPr>
          <w:rFonts w:eastAsia="Calibri" w:cs="Arial"/>
          <w:b/>
          <w:sz w:val="28"/>
          <w:szCs w:val="28"/>
          <w:u w:val="single"/>
        </w:rPr>
        <w:t>settler</w:t>
      </w:r>
      <w:r w:rsidRPr="00087A72">
        <w:rPr>
          <w:rFonts w:cs="Arial"/>
          <w:b/>
          <w:sz w:val="28"/>
          <w:szCs w:val="28"/>
          <w:u w:val="single"/>
        </w:rPr>
        <w:t xml:space="preserve"> </w:t>
      </w:r>
      <w:r w:rsidRPr="00087A72">
        <w:rPr>
          <w:rFonts w:eastAsia="Calibri" w:cs="Arial"/>
          <w:b/>
          <w:sz w:val="28"/>
          <w:szCs w:val="28"/>
          <w:u w:val="single"/>
        </w:rPr>
        <w:t>colonialism</w:t>
      </w:r>
      <w:r w:rsidRPr="00087A72">
        <w:rPr>
          <w:rFonts w:cs="Arial"/>
          <w:b/>
          <w:sz w:val="28"/>
          <w:szCs w:val="28"/>
          <w:u w:val="single"/>
        </w:rPr>
        <w:t xml:space="preserve"> </w:t>
      </w:r>
      <w:r w:rsidRPr="00087A72">
        <w:rPr>
          <w:rFonts w:eastAsia="Calibri" w:cs="Arial"/>
          <w:b/>
          <w:sz w:val="28"/>
          <w:szCs w:val="28"/>
          <w:u w:val="single"/>
        </w:rPr>
        <w:t>as</w:t>
      </w:r>
      <w:r w:rsidRPr="00087A72">
        <w:rPr>
          <w:rFonts w:cs="Arial"/>
          <w:b/>
          <w:sz w:val="28"/>
          <w:szCs w:val="28"/>
          <w:u w:val="single"/>
        </w:rPr>
        <w:t xml:space="preserve"> </w:t>
      </w:r>
      <w:r w:rsidRPr="00087A72">
        <w:rPr>
          <w:rFonts w:eastAsia="Calibri" w:cs="Arial"/>
          <w:b/>
          <w:sz w:val="28"/>
          <w:szCs w:val="28"/>
          <w:u w:val="single"/>
        </w:rPr>
        <w:t>a</w:t>
      </w:r>
      <w:r w:rsidRPr="00087A72">
        <w:rPr>
          <w:rFonts w:cs="Arial"/>
          <w:b/>
          <w:sz w:val="28"/>
          <w:szCs w:val="28"/>
          <w:u w:val="single"/>
        </w:rPr>
        <w:t xml:space="preserve"> </w:t>
      </w:r>
      <w:r w:rsidRPr="00087A72">
        <w:rPr>
          <w:rFonts w:eastAsia="Calibri" w:cs="Arial"/>
          <w:b/>
          <w:sz w:val="28"/>
          <w:szCs w:val="28"/>
          <w:u w:val="single"/>
        </w:rPr>
        <w:t>key</w:t>
      </w:r>
      <w:r w:rsidRPr="00087A72">
        <w:rPr>
          <w:rFonts w:cs="Arial"/>
          <w:b/>
          <w:sz w:val="28"/>
          <w:szCs w:val="28"/>
          <w:u w:val="single"/>
        </w:rPr>
        <w:t xml:space="preserve"> </w:t>
      </w:r>
      <w:r w:rsidRPr="00087A72">
        <w:rPr>
          <w:rFonts w:eastAsia="Calibri" w:cs="Arial"/>
          <w:b/>
          <w:sz w:val="28"/>
          <w:szCs w:val="28"/>
          <w:u w:val="single"/>
        </w:rPr>
        <w:t>logic</w:t>
      </w:r>
      <w:r w:rsidRPr="00087A72">
        <w:rPr>
          <w:rFonts w:cs="Arial"/>
          <w:b/>
          <w:sz w:val="28"/>
          <w:szCs w:val="28"/>
          <w:u w:val="single"/>
        </w:rPr>
        <w:t xml:space="preserve"> </w:t>
      </w:r>
      <w:r w:rsidRPr="00087A72">
        <w:rPr>
          <w:rFonts w:eastAsia="Calibri" w:cs="Arial"/>
          <w:b/>
          <w:sz w:val="28"/>
          <w:szCs w:val="28"/>
          <w:u w:val="single"/>
        </w:rPr>
        <w:t>that</w:t>
      </w:r>
      <w:r w:rsidRPr="00087A72">
        <w:rPr>
          <w:rFonts w:cs="Arial"/>
          <w:b/>
          <w:sz w:val="28"/>
          <w:szCs w:val="28"/>
          <w:u w:val="single"/>
        </w:rPr>
        <w:t xml:space="preserve"> </w:t>
      </w:r>
      <w:r w:rsidRPr="00087A72">
        <w:rPr>
          <w:rFonts w:eastAsia="Calibri" w:cs="Arial"/>
          <w:b/>
          <w:sz w:val="28"/>
          <w:szCs w:val="28"/>
          <w:u w:val="single"/>
        </w:rPr>
        <w:t>governs</w:t>
      </w:r>
      <w:r w:rsidRPr="00087A72">
        <w:rPr>
          <w:rFonts w:cs="Arial"/>
          <w:b/>
          <w:sz w:val="28"/>
          <w:szCs w:val="28"/>
          <w:u w:val="single"/>
        </w:rPr>
        <w:t xml:space="preserve"> </w:t>
      </w:r>
      <w:r w:rsidRPr="00087A72">
        <w:rPr>
          <w:rFonts w:eastAsia="Calibri" w:cs="Arial"/>
          <w:b/>
          <w:sz w:val="28"/>
          <w:szCs w:val="28"/>
          <w:u w:val="single"/>
        </w:rPr>
        <w:t>the</w:t>
      </w:r>
      <w:r w:rsidRPr="00087A72">
        <w:rPr>
          <w:rFonts w:cs="Arial"/>
          <w:b/>
          <w:sz w:val="28"/>
          <w:szCs w:val="28"/>
          <w:u w:val="single"/>
        </w:rPr>
        <w:t xml:space="preserve"> </w:t>
      </w:r>
      <w:r w:rsidRPr="00087A72">
        <w:rPr>
          <w:rFonts w:eastAsia="Calibri" w:cs="Arial"/>
          <w:b/>
          <w:sz w:val="28"/>
          <w:szCs w:val="28"/>
          <w:u w:val="single"/>
        </w:rPr>
        <w:t>United</w:t>
      </w:r>
      <w:r w:rsidRPr="00087A72">
        <w:rPr>
          <w:rFonts w:cs="Arial"/>
          <w:b/>
          <w:sz w:val="28"/>
          <w:szCs w:val="28"/>
          <w:u w:val="single"/>
        </w:rPr>
        <w:t xml:space="preserve"> </w:t>
      </w:r>
      <w:r w:rsidRPr="00087A72">
        <w:rPr>
          <w:rFonts w:eastAsia="Calibri" w:cs="Arial"/>
          <w:b/>
          <w:sz w:val="28"/>
          <w:szCs w:val="28"/>
          <w:u w:val="single"/>
        </w:rPr>
        <w:t>States</w:t>
      </w:r>
      <w:r w:rsidRPr="00087A72">
        <w:rPr>
          <w:rFonts w:cs="Arial"/>
          <w:b/>
          <w:sz w:val="28"/>
          <w:szCs w:val="28"/>
          <w:u w:val="single"/>
        </w:rPr>
        <w:t xml:space="preserve"> </w:t>
      </w:r>
      <w:r w:rsidRPr="00087A72">
        <w:rPr>
          <w:rFonts w:eastAsia="Calibri" w:cs="Arial"/>
          <w:b/>
          <w:sz w:val="28"/>
          <w:szCs w:val="28"/>
          <w:u w:val="single"/>
        </w:rPr>
        <w:t>today</w:t>
      </w:r>
      <w:r w:rsidRPr="00087A72">
        <w:rPr>
          <w:rFonts w:cs="Arial"/>
          <w:b/>
          <w:sz w:val="28"/>
          <w:szCs w:val="28"/>
          <w:u w:val="single"/>
        </w:rPr>
        <w:t xml:space="preserve">. </w:t>
      </w:r>
      <w:r w:rsidRPr="00087A72">
        <w:rPr>
          <w:rFonts w:eastAsia="Calibri" w:cs="Arial"/>
          <w:b/>
          <w:sz w:val="28"/>
          <w:szCs w:val="28"/>
          <w:u w:val="single"/>
        </w:rPr>
        <w:t>A</w:t>
      </w:r>
      <w:r w:rsidRPr="00087A72">
        <w:rPr>
          <w:rFonts w:cs="Arial"/>
          <w:b/>
          <w:sz w:val="28"/>
          <w:szCs w:val="28"/>
          <w:u w:val="single"/>
        </w:rPr>
        <w:t xml:space="preserve"> </w:t>
      </w:r>
      <w:r w:rsidRPr="00087A72">
        <w:rPr>
          <w:rFonts w:eastAsia="Calibri" w:cs="Arial"/>
          <w:b/>
          <w:sz w:val="28"/>
          <w:szCs w:val="28"/>
          <w:u w:val="single"/>
        </w:rPr>
        <w:t>subjectless</w:t>
      </w:r>
      <w:r w:rsidRPr="00087A72">
        <w:rPr>
          <w:rFonts w:cs="Arial"/>
          <w:b/>
          <w:sz w:val="28"/>
          <w:szCs w:val="28"/>
          <w:u w:val="single"/>
        </w:rPr>
        <w:t xml:space="preserve"> </w:t>
      </w:r>
      <w:r w:rsidRPr="00087A72">
        <w:rPr>
          <w:rFonts w:eastAsia="Calibri" w:cs="Arial"/>
          <w:b/>
          <w:sz w:val="28"/>
          <w:szCs w:val="28"/>
          <w:u w:val="single"/>
        </w:rPr>
        <w:t>critique</w:t>
      </w:r>
      <w:r w:rsidRPr="00087A72">
        <w:rPr>
          <w:rFonts w:cs="Arial"/>
          <w:b/>
          <w:sz w:val="28"/>
          <w:szCs w:val="28"/>
          <w:u w:val="single"/>
        </w:rPr>
        <w:t xml:space="preserve"> </w:t>
      </w:r>
      <w:r w:rsidRPr="00087A72">
        <w:rPr>
          <w:rFonts w:eastAsia="Calibri" w:cs="Arial"/>
          <w:b/>
          <w:sz w:val="28"/>
          <w:szCs w:val="28"/>
          <w:u w:val="single"/>
        </w:rPr>
        <w:t>helps</w:t>
      </w:r>
      <w:r w:rsidRPr="00087A72">
        <w:rPr>
          <w:rFonts w:cs="Arial"/>
          <w:b/>
          <w:sz w:val="28"/>
          <w:szCs w:val="28"/>
          <w:u w:val="single"/>
        </w:rPr>
        <w:t xml:space="preserve"> </w:t>
      </w:r>
      <w:r w:rsidRPr="00087A72">
        <w:rPr>
          <w:rFonts w:eastAsia="Calibri" w:cs="Arial"/>
          <w:b/>
          <w:sz w:val="28"/>
          <w:szCs w:val="28"/>
          <w:u w:val="single"/>
        </w:rPr>
        <w:t>demonstrate</w:t>
      </w:r>
      <w:r w:rsidRPr="00087A72">
        <w:rPr>
          <w:rFonts w:cs="Arial"/>
          <w:b/>
          <w:sz w:val="28"/>
          <w:szCs w:val="28"/>
          <w:u w:val="single"/>
        </w:rPr>
        <w:t xml:space="preserve"> </w:t>
      </w:r>
      <w:r w:rsidRPr="00087A72">
        <w:rPr>
          <w:rFonts w:eastAsia="Calibri" w:cs="Arial"/>
          <w:b/>
          <w:sz w:val="28"/>
          <w:szCs w:val="28"/>
          <w:u w:val="single"/>
        </w:rPr>
        <w:t>that</w:t>
      </w:r>
      <w:r w:rsidRPr="00087A72">
        <w:rPr>
          <w:rFonts w:cs="Arial"/>
          <w:b/>
          <w:sz w:val="28"/>
          <w:szCs w:val="28"/>
          <w:u w:val="single"/>
        </w:rPr>
        <w:t xml:space="preserve"> </w:t>
      </w:r>
      <w:r w:rsidRPr="00087A72">
        <w:rPr>
          <w:rFonts w:eastAsia="Calibri" w:cs="Arial"/>
          <w:b/>
          <w:sz w:val="28"/>
          <w:szCs w:val="28"/>
          <w:u w:val="single"/>
        </w:rPr>
        <w:t>Native</w:t>
      </w:r>
      <w:r w:rsidRPr="00087A72">
        <w:rPr>
          <w:rFonts w:cs="Arial"/>
          <w:b/>
          <w:sz w:val="28"/>
          <w:szCs w:val="28"/>
          <w:u w:val="single"/>
        </w:rPr>
        <w:t xml:space="preserve"> </w:t>
      </w:r>
      <w:r w:rsidRPr="00087A72">
        <w:rPr>
          <w:rFonts w:eastAsia="Calibri" w:cs="Arial"/>
          <w:b/>
          <w:sz w:val="28"/>
          <w:szCs w:val="28"/>
          <w:u w:val="single"/>
        </w:rPr>
        <w:t>studies</w:t>
      </w:r>
      <w:r w:rsidRPr="00087A72">
        <w:rPr>
          <w:rFonts w:cs="Arial"/>
          <w:b/>
          <w:sz w:val="28"/>
          <w:szCs w:val="28"/>
          <w:u w:val="single"/>
        </w:rPr>
        <w:t xml:space="preserve"> </w:t>
      </w:r>
      <w:r w:rsidRPr="00087A72">
        <w:rPr>
          <w:rFonts w:eastAsia="Calibri" w:cs="Arial"/>
          <w:b/>
          <w:sz w:val="28"/>
          <w:szCs w:val="28"/>
          <w:u w:val="single"/>
        </w:rPr>
        <w:t>is</w:t>
      </w:r>
      <w:r w:rsidRPr="00087A72">
        <w:rPr>
          <w:rFonts w:cs="Arial"/>
          <w:b/>
          <w:sz w:val="28"/>
          <w:szCs w:val="28"/>
          <w:u w:val="single"/>
        </w:rPr>
        <w:t xml:space="preserve"> </w:t>
      </w:r>
      <w:r w:rsidRPr="00087A72">
        <w:rPr>
          <w:rFonts w:eastAsia="Calibri" w:cs="Arial"/>
          <w:b/>
          <w:sz w:val="28"/>
          <w:szCs w:val="28"/>
          <w:u w:val="single"/>
        </w:rPr>
        <w:t>an</w:t>
      </w:r>
      <w:r w:rsidRPr="00087A72">
        <w:rPr>
          <w:rFonts w:cs="Arial"/>
          <w:b/>
          <w:sz w:val="28"/>
          <w:szCs w:val="28"/>
          <w:u w:val="single"/>
        </w:rPr>
        <w:t xml:space="preserve"> </w:t>
      </w:r>
      <w:r w:rsidRPr="00087A72">
        <w:rPr>
          <w:rFonts w:eastAsia="Calibri" w:cs="Arial"/>
          <w:b/>
          <w:sz w:val="28"/>
          <w:szCs w:val="28"/>
          <w:u w:val="single"/>
        </w:rPr>
        <w:t>intellectual</w:t>
      </w:r>
      <w:r w:rsidRPr="00087A72">
        <w:rPr>
          <w:rFonts w:cs="Arial"/>
          <w:b/>
          <w:sz w:val="28"/>
          <w:szCs w:val="28"/>
          <w:u w:val="single"/>
        </w:rPr>
        <w:t xml:space="preserve"> </w:t>
      </w:r>
      <w:r w:rsidRPr="00087A72">
        <w:rPr>
          <w:rFonts w:eastAsia="Calibri" w:cs="Arial"/>
          <w:b/>
          <w:sz w:val="28"/>
          <w:szCs w:val="28"/>
          <w:u w:val="single"/>
        </w:rPr>
        <w:t>project</w:t>
      </w:r>
      <w:r w:rsidRPr="00087A72">
        <w:rPr>
          <w:rFonts w:cs="Arial"/>
          <w:b/>
          <w:sz w:val="28"/>
          <w:szCs w:val="28"/>
          <w:u w:val="single"/>
        </w:rPr>
        <w:t xml:space="preserve"> </w:t>
      </w:r>
      <w:r w:rsidRPr="00087A72">
        <w:rPr>
          <w:rFonts w:eastAsia="Calibri" w:cs="Arial"/>
          <w:b/>
          <w:sz w:val="28"/>
          <w:szCs w:val="28"/>
          <w:u w:val="single"/>
        </w:rPr>
        <w:t>that</w:t>
      </w:r>
      <w:r w:rsidRPr="00087A72">
        <w:rPr>
          <w:rFonts w:cs="Arial"/>
          <w:b/>
          <w:sz w:val="28"/>
          <w:szCs w:val="28"/>
          <w:u w:val="single"/>
        </w:rPr>
        <w:t xml:space="preserve"> </w:t>
      </w:r>
      <w:r w:rsidRPr="00087A72">
        <w:rPr>
          <w:rFonts w:eastAsia="Calibri" w:cs="Arial"/>
          <w:b/>
          <w:sz w:val="28"/>
          <w:szCs w:val="28"/>
          <w:u w:val="single"/>
        </w:rPr>
        <w:t>has</w:t>
      </w:r>
      <w:r w:rsidRPr="00087A72">
        <w:rPr>
          <w:rFonts w:cs="Arial"/>
          <w:b/>
          <w:sz w:val="28"/>
          <w:szCs w:val="28"/>
          <w:u w:val="single"/>
        </w:rPr>
        <w:t xml:space="preserve"> </w:t>
      </w:r>
      <w:r w:rsidRPr="00087A72">
        <w:rPr>
          <w:rFonts w:eastAsia="Calibri" w:cs="Arial"/>
          <w:b/>
          <w:sz w:val="28"/>
          <w:szCs w:val="28"/>
          <w:u w:val="single"/>
        </w:rPr>
        <w:t>broad</w:t>
      </w:r>
      <w:r w:rsidRPr="00087A72">
        <w:rPr>
          <w:rFonts w:cs="Arial"/>
          <w:b/>
          <w:sz w:val="28"/>
          <w:szCs w:val="28"/>
          <w:u w:val="single"/>
        </w:rPr>
        <w:t xml:space="preserve"> </w:t>
      </w:r>
      <w:r w:rsidRPr="00087A72">
        <w:rPr>
          <w:rFonts w:eastAsia="Calibri" w:cs="Arial"/>
          <w:b/>
          <w:sz w:val="28"/>
          <w:szCs w:val="28"/>
          <w:u w:val="single"/>
        </w:rPr>
        <w:t>applicability</w:t>
      </w:r>
      <w:r w:rsidRPr="00087A72">
        <w:rPr>
          <w:rFonts w:cs="Arial"/>
          <w:b/>
          <w:sz w:val="28"/>
          <w:szCs w:val="28"/>
          <w:u w:val="single"/>
        </w:rPr>
        <w:t xml:space="preserve"> </w:t>
      </w:r>
      <w:r w:rsidRPr="00087A72">
        <w:rPr>
          <w:rFonts w:eastAsia="Calibri" w:cs="Arial"/>
          <w:b/>
          <w:sz w:val="28"/>
          <w:szCs w:val="28"/>
          <w:u w:val="single"/>
        </w:rPr>
        <w:t>not</w:t>
      </w:r>
      <w:r w:rsidRPr="00087A72">
        <w:rPr>
          <w:rFonts w:cs="Arial"/>
          <w:b/>
          <w:sz w:val="28"/>
          <w:szCs w:val="28"/>
          <w:u w:val="single"/>
        </w:rPr>
        <w:t xml:space="preserve"> </w:t>
      </w:r>
      <w:r w:rsidRPr="00087A72">
        <w:rPr>
          <w:rFonts w:eastAsia="Calibri" w:cs="Arial"/>
          <w:b/>
          <w:sz w:val="28"/>
          <w:szCs w:val="28"/>
          <w:u w:val="single"/>
        </w:rPr>
        <w:t>only</w:t>
      </w:r>
      <w:r w:rsidRPr="00087A72">
        <w:rPr>
          <w:rFonts w:cs="Arial"/>
          <w:b/>
          <w:sz w:val="28"/>
          <w:szCs w:val="28"/>
          <w:u w:val="single"/>
        </w:rPr>
        <w:t xml:space="preserve"> </w:t>
      </w:r>
      <w:r w:rsidRPr="00087A72">
        <w:rPr>
          <w:rFonts w:eastAsia="Calibri" w:cs="Arial"/>
          <w:b/>
          <w:sz w:val="28"/>
          <w:szCs w:val="28"/>
          <w:u w:val="single"/>
        </w:rPr>
        <w:t>for</w:t>
      </w:r>
      <w:r w:rsidRPr="00087A72">
        <w:rPr>
          <w:rFonts w:cs="Arial"/>
          <w:b/>
          <w:sz w:val="28"/>
          <w:szCs w:val="28"/>
          <w:u w:val="single"/>
        </w:rPr>
        <w:t xml:space="preserve"> </w:t>
      </w:r>
      <w:r w:rsidRPr="00087A72">
        <w:rPr>
          <w:rFonts w:eastAsia="Calibri" w:cs="Arial"/>
          <w:b/>
          <w:sz w:val="28"/>
          <w:szCs w:val="28"/>
          <w:u w:val="single"/>
        </w:rPr>
        <w:t>Native</w:t>
      </w:r>
      <w:r w:rsidRPr="00087A72">
        <w:rPr>
          <w:rFonts w:cs="Arial"/>
          <w:b/>
          <w:sz w:val="28"/>
          <w:szCs w:val="28"/>
          <w:u w:val="single"/>
        </w:rPr>
        <w:t xml:space="preserve"> </w:t>
      </w:r>
      <w:r w:rsidRPr="00087A72">
        <w:rPr>
          <w:rFonts w:eastAsia="Calibri" w:cs="Arial"/>
          <w:b/>
          <w:sz w:val="28"/>
          <w:szCs w:val="28"/>
          <w:u w:val="single"/>
        </w:rPr>
        <w:t>peoples</w:t>
      </w:r>
      <w:r w:rsidRPr="00087A72">
        <w:rPr>
          <w:rFonts w:cs="Arial"/>
          <w:b/>
          <w:sz w:val="28"/>
          <w:szCs w:val="28"/>
          <w:u w:val="single"/>
        </w:rPr>
        <w:t xml:space="preserve"> </w:t>
      </w:r>
      <w:r w:rsidRPr="00087A72">
        <w:rPr>
          <w:rFonts w:eastAsia="Calibri" w:cs="Arial"/>
          <w:b/>
          <w:sz w:val="28"/>
          <w:szCs w:val="28"/>
          <w:u w:val="single"/>
        </w:rPr>
        <w:t>but</w:t>
      </w:r>
      <w:r w:rsidRPr="00087A72">
        <w:rPr>
          <w:rFonts w:cs="Arial"/>
          <w:b/>
          <w:sz w:val="28"/>
          <w:szCs w:val="28"/>
          <w:u w:val="single"/>
        </w:rPr>
        <w:t xml:space="preserve"> </w:t>
      </w:r>
      <w:r w:rsidRPr="00087A72">
        <w:rPr>
          <w:rFonts w:eastAsia="Calibri" w:cs="Arial"/>
          <w:b/>
          <w:sz w:val="28"/>
          <w:szCs w:val="28"/>
          <w:u w:val="single"/>
        </w:rPr>
        <w:t>for</w:t>
      </w:r>
      <w:r w:rsidRPr="00087A72">
        <w:rPr>
          <w:rFonts w:cs="Arial"/>
          <w:b/>
          <w:sz w:val="28"/>
          <w:szCs w:val="28"/>
          <w:u w:val="single"/>
        </w:rPr>
        <w:t xml:space="preserve"> </w:t>
      </w:r>
      <w:r w:rsidRPr="00087A72">
        <w:rPr>
          <w:rFonts w:eastAsia="Calibri" w:cs="Arial"/>
          <w:b/>
          <w:sz w:val="28"/>
          <w:szCs w:val="28"/>
          <w:u w:val="single"/>
        </w:rPr>
        <w:t>everyone</w:t>
      </w:r>
      <w:r w:rsidRPr="00087A72">
        <w:rPr>
          <w:rFonts w:cs="Arial"/>
          <w:b/>
          <w:sz w:val="28"/>
          <w:szCs w:val="28"/>
          <w:u w:val="single"/>
        </w:rPr>
        <w:t>.</w:t>
      </w:r>
      <w:r w:rsidRPr="00087A72">
        <w:rPr>
          <w:rFonts w:cs="Arial"/>
          <w:sz w:val="16"/>
          <w:szCs w:val="28"/>
        </w:rPr>
        <w:t xml:space="preserve"> </w:t>
      </w:r>
      <w:r w:rsidRPr="00087A72">
        <w:rPr>
          <w:rFonts w:eastAsia="Calibri" w:cs="Arial"/>
          <w:sz w:val="16"/>
          <w:szCs w:val="28"/>
        </w:rPr>
        <w:t>It</w:t>
      </w:r>
      <w:r w:rsidRPr="00087A72">
        <w:rPr>
          <w:rFonts w:cs="Arial"/>
          <w:sz w:val="16"/>
          <w:szCs w:val="28"/>
        </w:rPr>
        <w:t xml:space="preserve"> </w:t>
      </w:r>
      <w:r w:rsidRPr="00087A72">
        <w:rPr>
          <w:rFonts w:eastAsia="Calibri" w:cs="Arial"/>
          <w:sz w:val="16"/>
          <w:szCs w:val="28"/>
        </w:rPr>
        <w:t>also</w:t>
      </w:r>
      <w:r w:rsidRPr="00087A72">
        <w:rPr>
          <w:rFonts w:cs="Arial"/>
          <w:sz w:val="16"/>
          <w:szCs w:val="28"/>
        </w:rPr>
        <w:t xml:space="preserve"> </w:t>
      </w:r>
      <w:r w:rsidRPr="00087A72">
        <w:rPr>
          <w:rFonts w:eastAsia="Calibri" w:cs="Arial"/>
          <w:sz w:val="16"/>
          <w:szCs w:val="28"/>
        </w:rPr>
        <w:t>requires</w:t>
      </w:r>
      <w:r w:rsidRPr="00087A72">
        <w:rPr>
          <w:rFonts w:cs="Arial"/>
          <w:sz w:val="16"/>
          <w:szCs w:val="28"/>
        </w:rPr>
        <w:t xml:space="preserve"> </w:t>
      </w:r>
      <w:r w:rsidRPr="00087A72">
        <w:rPr>
          <w:rFonts w:eastAsia="Calibri" w:cs="Arial"/>
          <w:sz w:val="16"/>
          <w:szCs w:val="28"/>
        </w:rPr>
        <w:t>us</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challenge</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normalizing</w:t>
      </w:r>
      <w:r w:rsidRPr="00087A72">
        <w:rPr>
          <w:rFonts w:cs="Arial"/>
          <w:sz w:val="16"/>
          <w:szCs w:val="28"/>
        </w:rPr>
        <w:t xml:space="preserve"> </w:t>
      </w:r>
      <w:r w:rsidRPr="00087A72">
        <w:rPr>
          <w:rFonts w:eastAsia="Calibri" w:cs="Arial"/>
          <w:sz w:val="16"/>
          <w:szCs w:val="28"/>
        </w:rPr>
        <w:t>logics</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academia</w:t>
      </w:r>
      <w:r w:rsidRPr="00087A72">
        <w:rPr>
          <w:rFonts w:cs="Arial"/>
          <w:sz w:val="16"/>
          <w:szCs w:val="28"/>
        </w:rPr>
        <w:t xml:space="preserve"> </w:t>
      </w:r>
      <w:r w:rsidRPr="00087A72">
        <w:rPr>
          <w:rFonts w:eastAsia="Calibri" w:cs="Arial"/>
          <w:sz w:val="16"/>
          <w:szCs w:val="28"/>
        </w:rPr>
        <w:t>rather</w:t>
      </w:r>
      <w:r w:rsidRPr="00087A72">
        <w:rPr>
          <w:rFonts w:cs="Arial"/>
          <w:sz w:val="16"/>
          <w:szCs w:val="28"/>
        </w:rPr>
        <w:t xml:space="preserve"> </w:t>
      </w:r>
      <w:r w:rsidRPr="00087A72">
        <w:rPr>
          <w:rFonts w:eastAsia="Calibri" w:cs="Arial"/>
          <w:sz w:val="16"/>
          <w:szCs w:val="28"/>
        </w:rPr>
        <w:t>than</w:t>
      </w:r>
      <w:r w:rsidRPr="00087A72">
        <w:rPr>
          <w:rFonts w:cs="Arial"/>
          <w:sz w:val="16"/>
          <w:szCs w:val="28"/>
        </w:rPr>
        <w:t xml:space="preserve"> </w:t>
      </w:r>
      <w:r w:rsidRPr="00087A72">
        <w:rPr>
          <w:rFonts w:eastAsia="Calibri" w:cs="Arial"/>
          <w:sz w:val="16"/>
          <w:szCs w:val="28"/>
        </w:rPr>
        <w:t>simply</w:t>
      </w:r>
      <w:r w:rsidRPr="00087A72">
        <w:rPr>
          <w:rFonts w:cs="Arial"/>
          <w:sz w:val="16"/>
          <w:szCs w:val="28"/>
        </w:rPr>
        <w:t xml:space="preserve"> </w:t>
      </w:r>
      <w:r w:rsidRPr="00087A72">
        <w:rPr>
          <w:rFonts w:eastAsia="Calibri" w:cs="Arial"/>
          <w:sz w:val="16"/>
          <w:szCs w:val="28"/>
        </w:rPr>
        <w:t>articulate</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politics</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indigenous</w:t>
      </w:r>
      <w:r w:rsidRPr="00087A72">
        <w:rPr>
          <w:rFonts w:cs="Arial"/>
          <w:sz w:val="16"/>
          <w:szCs w:val="28"/>
        </w:rPr>
        <w:t xml:space="preserve"> </w:t>
      </w:r>
      <w:r w:rsidRPr="00087A72">
        <w:rPr>
          <w:rFonts w:eastAsia="Calibri" w:cs="Arial"/>
          <w:sz w:val="16"/>
          <w:szCs w:val="28"/>
        </w:rPr>
        <w:t>inclusion</w:t>
      </w:r>
      <w:r w:rsidRPr="00087A72">
        <w:rPr>
          <w:rFonts w:cs="Arial"/>
          <w:sz w:val="16"/>
          <w:szCs w:val="28"/>
        </w:rPr>
        <w:t xml:space="preserve"> </w:t>
      </w:r>
      <w:r w:rsidRPr="00087A72">
        <w:rPr>
          <w:rFonts w:eastAsia="Calibri" w:cs="Arial"/>
          <w:sz w:val="16"/>
          <w:szCs w:val="28"/>
        </w:rPr>
        <w:t>within</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colonial</w:t>
      </w:r>
      <w:r w:rsidRPr="00087A72">
        <w:rPr>
          <w:rFonts w:cs="Arial"/>
          <w:sz w:val="16"/>
          <w:szCs w:val="28"/>
        </w:rPr>
        <w:t xml:space="preserve"> </w:t>
      </w:r>
      <w:r w:rsidRPr="00087A72">
        <w:rPr>
          <w:rFonts w:eastAsia="Calibri" w:cs="Arial"/>
          <w:sz w:val="16"/>
          <w:szCs w:val="28"/>
        </w:rPr>
        <w:t>academy</w:t>
      </w:r>
      <w:r w:rsidRPr="00087A72">
        <w:rPr>
          <w:rFonts w:cs="Arial"/>
          <w:sz w:val="16"/>
          <w:szCs w:val="28"/>
        </w:rPr>
        <w:t xml:space="preserve">. </w:t>
      </w:r>
      <w:r w:rsidRPr="00087A72">
        <w:rPr>
          <w:rFonts w:eastAsia="Calibri" w:cs="Arial"/>
          <w:sz w:val="16"/>
          <w:szCs w:val="28"/>
        </w:rPr>
        <w:t>At</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same</w:t>
      </w:r>
      <w:r w:rsidRPr="00087A72">
        <w:rPr>
          <w:rFonts w:cs="Arial"/>
          <w:sz w:val="16"/>
          <w:szCs w:val="28"/>
        </w:rPr>
        <w:t xml:space="preserve"> </w:t>
      </w:r>
      <w:r w:rsidRPr="00087A72">
        <w:rPr>
          <w:rFonts w:eastAsia="Calibri" w:cs="Arial"/>
          <w:sz w:val="16"/>
          <w:szCs w:val="28"/>
        </w:rPr>
        <w:t>time</w:t>
      </w:r>
      <w:r w:rsidRPr="00087A72">
        <w:rPr>
          <w:rFonts w:cs="Arial"/>
          <w:sz w:val="16"/>
          <w:szCs w:val="28"/>
        </w:rPr>
        <w:t xml:space="preserve">, </w:t>
      </w:r>
      <w:r w:rsidRPr="00087A72">
        <w:rPr>
          <w:rFonts w:eastAsia="Calibri" w:cs="Arial"/>
          <w:sz w:val="16"/>
          <w:szCs w:val="28"/>
        </w:rPr>
        <w:t>however</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also</w:t>
      </w:r>
      <w:r w:rsidRPr="00087A72">
        <w:rPr>
          <w:rFonts w:cs="Arial"/>
          <w:sz w:val="16"/>
          <w:szCs w:val="28"/>
        </w:rPr>
        <w:t xml:space="preserve"> </w:t>
      </w:r>
      <w:r w:rsidRPr="00087A72">
        <w:rPr>
          <w:rFonts w:eastAsia="Calibri" w:cs="Arial"/>
          <w:sz w:val="16"/>
          <w:szCs w:val="28"/>
        </w:rPr>
        <w:t>points</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limits</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postidentity</w:t>
      </w:r>
      <w:r w:rsidRPr="00087A72">
        <w:rPr>
          <w:rFonts w:cs="Arial"/>
          <w:sz w:val="16"/>
          <w:szCs w:val="28"/>
        </w:rPr>
        <w:t xml:space="preserve">” </w:t>
      </w:r>
      <w:r w:rsidRPr="00087A72">
        <w:rPr>
          <w:rFonts w:eastAsia="Calibri" w:cs="Arial"/>
          <w:sz w:val="16"/>
          <w:szCs w:val="28"/>
        </w:rPr>
        <w:t>politic</w:t>
      </w:r>
      <w:r w:rsidRPr="00087A72">
        <w:rPr>
          <w:rFonts w:cs="Arial"/>
          <w:sz w:val="16"/>
          <w:szCs w:val="28"/>
        </w:rPr>
        <w:t xml:space="preserve"> </w:t>
      </w:r>
      <w:r w:rsidRPr="00087A72">
        <w:rPr>
          <w:rFonts w:eastAsia="Calibri" w:cs="Arial"/>
          <w:sz w:val="16"/>
          <w:szCs w:val="28"/>
        </w:rPr>
        <w:t>or</w:t>
      </w:r>
      <w:r w:rsidRPr="00087A72">
        <w:rPr>
          <w:rFonts w:cs="Arial"/>
          <w:sz w:val="16"/>
          <w:szCs w:val="28"/>
        </w:rPr>
        <w:t xml:space="preserve"> “</w:t>
      </w:r>
      <w:r w:rsidRPr="00087A72">
        <w:rPr>
          <w:rFonts w:eastAsia="Calibri" w:cs="Arial"/>
          <w:sz w:val="16"/>
          <w:szCs w:val="28"/>
        </w:rPr>
        <w:t>subjectless</w:t>
      </w:r>
      <w:r w:rsidRPr="00087A72">
        <w:rPr>
          <w:rFonts w:cs="Arial"/>
          <w:sz w:val="16"/>
          <w:szCs w:val="28"/>
        </w:rPr>
        <w:t xml:space="preserve">” </w:t>
      </w:r>
      <w:r w:rsidRPr="00087A72">
        <w:rPr>
          <w:rFonts w:eastAsia="Calibri" w:cs="Arial"/>
          <w:sz w:val="16"/>
          <w:szCs w:val="28"/>
        </w:rPr>
        <w:t>critique</w:t>
      </w:r>
      <w:r w:rsidRPr="00087A72">
        <w:rPr>
          <w:rFonts w:cs="Arial"/>
          <w:sz w:val="16"/>
          <w:szCs w:val="28"/>
        </w:rPr>
        <w:t xml:space="preserve">. </w:t>
      </w:r>
      <w:r w:rsidRPr="00087A72">
        <w:rPr>
          <w:rFonts w:eastAsia="Calibri" w:cs="Arial"/>
          <w:sz w:val="16"/>
          <w:szCs w:val="28"/>
        </w:rPr>
        <w:t>Sarita</w:t>
      </w:r>
      <w:r w:rsidRPr="00087A72">
        <w:rPr>
          <w:rFonts w:cs="Arial"/>
          <w:sz w:val="16"/>
          <w:szCs w:val="28"/>
        </w:rPr>
        <w:t xml:space="preserve"> </w:t>
      </w:r>
      <w:r w:rsidRPr="00087A72">
        <w:rPr>
          <w:rFonts w:eastAsia="Calibri" w:cs="Arial"/>
          <w:sz w:val="16"/>
          <w:szCs w:val="28"/>
        </w:rPr>
        <w:t>Echavez</w:t>
      </w:r>
      <w:r w:rsidRPr="00087A72">
        <w:rPr>
          <w:rFonts w:cs="Arial"/>
          <w:sz w:val="16"/>
          <w:szCs w:val="28"/>
        </w:rPr>
        <w:t xml:space="preserve"> </w:t>
      </w:r>
      <w:r w:rsidRPr="00087A72">
        <w:rPr>
          <w:rFonts w:eastAsia="Calibri" w:cs="Arial"/>
          <w:sz w:val="16"/>
          <w:szCs w:val="28"/>
        </w:rPr>
        <w:t>See</w:t>
      </w:r>
      <w:r w:rsidRPr="00087A72">
        <w:rPr>
          <w:rFonts w:cs="Arial"/>
          <w:sz w:val="16"/>
          <w:szCs w:val="28"/>
        </w:rPr>
        <w:t xml:space="preserve">, </w:t>
      </w:r>
      <w:r w:rsidRPr="00087A72">
        <w:rPr>
          <w:rFonts w:eastAsia="Calibri" w:cs="Arial"/>
          <w:sz w:val="16"/>
          <w:szCs w:val="28"/>
        </w:rPr>
        <w:t>Hiram</w:t>
      </w:r>
      <w:r w:rsidRPr="00087A72">
        <w:rPr>
          <w:rFonts w:cs="Arial"/>
          <w:sz w:val="16"/>
          <w:szCs w:val="28"/>
        </w:rPr>
        <w:t xml:space="preserve"> </w:t>
      </w:r>
      <w:r w:rsidRPr="00087A72">
        <w:rPr>
          <w:rFonts w:eastAsia="Calibri" w:cs="Arial"/>
          <w:sz w:val="16"/>
          <w:szCs w:val="28"/>
        </w:rPr>
        <w:t>Perez</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others</w:t>
      </w:r>
      <w:r w:rsidRPr="00087A72">
        <w:rPr>
          <w:rFonts w:cs="Arial"/>
          <w:sz w:val="16"/>
          <w:szCs w:val="28"/>
        </w:rPr>
        <w:t xml:space="preserve"> </w:t>
      </w:r>
      <w:r w:rsidRPr="00087A72">
        <w:rPr>
          <w:rFonts w:eastAsia="Calibri" w:cs="Arial"/>
          <w:sz w:val="16"/>
          <w:szCs w:val="28"/>
        </w:rPr>
        <w:t>who</w:t>
      </w:r>
      <w:r w:rsidRPr="00087A72">
        <w:rPr>
          <w:rFonts w:cs="Arial"/>
          <w:sz w:val="16"/>
          <w:szCs w:val="28"/>
        </w:rPr>
        <w:t xml:space="preserve"> </w:t>
      </w:r>
      <w:r w:rsidRPr="00087A72">
        <w:rPr>
          <w:rFonts w:eastAsia="Calibri" w:cs="Arial"/>
          <w:sz w:val="16"/>
          <w:szCs w:val="28"/>
        </w:rPr>
        <w:t>do</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color</w:t>
      </w:r>
      <w:r w:rsidRPr="00087A72">
        <w:rPr>
          <w:rFonts w:cs="Arial"/>
          <w:sz w:val="16"/>
          <w:szCs w:val="28"/>
        </w:rPr>
        <w:t xml:space="preserve"> </w:t>
      </w:r>
      <w:r w:rsidRPr="00087A72">
        <w:rPr>
          <w:rFonts w:eastAsia="Calibri" w:cs="Arial"/>
          <w:sz w:val="16"/>
          <w:szCs w:val="28"/>
        </w:rPr>
        <w:t>critique</w:t>
      </w:r>
      <w:r w:rsidRPr="00087A72">
        <w:rPr>
          <w:rFonts w:cs="Arial"/>
          <w:sz w:val="16"/>
          <w:szCs w:val="28"/>
        </w:rPr>
        <w:t xml:space="preserve"> </w:t>
      </w:r>
      <w:r w:rsidRPr="00087A72">
        <w:rPr>
          <w:rFonts w:eastAsia="Calibri" w:cs="Arial"/>
          <w:sz w:val="16"/>
          <w:szCs w:val="28"/>
        </w:rPr>
        <w:t>in</w:t>
      </w:r>
      <w:r w:rsidRPr="00087A72">
        <w:rPr>
          <w:rFonts w:cs="Arial"/>
          <w:sz w:val="16"/>
          <w:szCs w:val="28"/>
        </w:rPr>
        <w:t xml:space="preserve"> </w:t>
      </w:r>
      <w:r w:rsidRPr="00087A72">
        <w:rPr>
          <w:rFonts w:eastAsia="Calibri" w:cs="Arial"/>
          <w:sz w:val="16"/>
          <w:szCs w:val="28"/>
        </w:rPr>
        <w:t>particular</w:t>
      </w:r>
      <w:r w:rsidRPr="00087A72">
        <w:rPr>
          <w:rFonts w:cs="Arial"/>
          <w:sz w:val="16"/>
          <w:szCs w:val="28"/>
        </w:rPr>
        <w:t xml:space="preserve"> </w:t>
      </w:r>
      <w:r w:rsidRPr="00087A72">
        <w:rPr>
          <w:rFonts w:eastAsia="Calibri" w:cs="Arial"/>
          <w:sz w:val="16"/>
          <w:szCs w:val="28"/>
        </w:rPr>
        <w:t>have</w:t>
      </w:r>
      <w:r w:rsidRPr="00087A72">
        <w:rPr>
          <w:rFonts w:cs="Arial"/>
          <w:sz w:val="16"/>
          <w:szCs w:val="28"/>
        </w:rPr>
        <w:t xml:space="preserve"> </w:t>
      </w:r>
      <w:r w:rsidRPr="00087A72">
        <w:rPr>
          <w:rFonts w:eastAsia="Calibri" w:cs="Arial"/>
          <w:sz w:val="16"/>
          <w:szCs w:val="28"/>
        </w:rPr>
        <w:t>argued</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within</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field</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this</w:t>
      </w:r>
      <w:r w:rsidRPr="00087A72">
        <w:rPr>
          <w:rFonts w:cs="Arial"/>
          <w:sz w:val="16"/>
          <w:szCs w:val="28"/>
        </w:rPr>
        <w:t xml:space="preserve"> </w:t>
      </w:r>
      <w:r w:rsidRPr="00087A72">
        <w:rPr>
          <w:rFonts w:eastAsia="Calibri" w:cs="Arial"/>
          <w:sz w:val="16"/>
          <w:szCs w:val="28"/>
        </w:rPr>
        <w:t>claim</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be</w:t>
      </w:r>
      <w:r w:rsidRPr="00087A72">
        <w:rPr>
          <w:rFonts w:cs="Arial"/>
          <w:sz w:val="16"/>
          <w:szCs w:val="28"/>
        </w:rPr>
        <w:t xml:space="preserve"> “</w:t>
      </w:r>
      <w:r w:rsidRPr="00087A72">
        <w:rPr>
          <w:rFonts w:eastAsia="Calibri" w:cs="Arial"/>
          <w:sz w:val="16"/>
          <w:szCs w:val="28"/>
        </w:rPr>
        <w:t>postidentity</w:t>
      </w:r>
      <w:r w:rsidRPr="00087A72">
        <w:rPr>
          <w:rFonts w:cs="Arial"/>
          <w:sz w:val="16"/>
          <w:szCs w:val="28"/>
        </w:rPr>
        <w:t xml:space="preserve">” </w:t>
      </w:r>
      <w:r w:rsidRPr="00087A72">
        <w:rPr>
          <w:rFonts w:eastAsia="Calibri" w:cs="Arial"/>
          <w:sz w:val="16"/>
          <w:szCs w:val="28"/>
        </w:rPr>
        <w:t>often</w:t>
      </w:r>
      <w:r w:rsidRPr="00087A72">
        <w:rPr>
          <w:rFonts w:cs="Arial"/>
          <w:sz w:val="16"/>
          <w:szCs w:val="28"/>
        </w:rPr>
        <w:t xml:space="preserve"> </w:t>
      </w:r>
      <w:r w:rsidRPr="00087A72">
        <w:rPr>
          <w:rFonts w:eastAsia="Calibri" w:cs="Arial"/>
          <w:sz w:val="16"/>
          <w:szCs w:val="28"/>
        </w:rPr>
        <w:t>retrenches</w:t>
      </w:r>
      <w:r w:rsidRPr="00087A72">
        <w:rPr>
          <w:rFonts w:cs="Arial"/>
          <w:sz w:val="16"/>
          <w:szCs w:val="28"/>
        </w:rPr>
        <w:t xml:space="preserve"> </w:t>
      </w:r>
      <w:r w:rsidRPr="00087A72">
        <w:rPr>
          <w:rFonts w:eastAsia="Calibri" w:cs="Arial"/>
          <w:sz w:val="16"/>
          <w:szCs w:val="28"/>
        </w:rPr>
        <w:t>white</w:t>
      </w:r>
      <w:r w:rsidRPr="00087A72">
        <w:rPr>
          <w:rFonts w:cs="Arial"/>
          <w:sz w:val="16"/>
          <w:szCs w:val="28"/>
        </w:rPr>
        <w:t xml:space="preserve">, </w:t>
      </w:r>
      <w:r w:rsidRPr="00087A72">
        <w:rPr>
          <w:rFonts w:eastAsia="Calibri" w:cs="Arial"/>
          <w:sz w:val="16"/>
          <w:szCs w:val="28"/>
        </w:rPr>
        <w:t>middle</w:t>
      </w:r>
      <w:r w:rsidRPr="00087A72">
        <w:rPr>
          <w:rFonts w:cs="Arial"/>
          <w:sz w:val="16"/>
          <w:szCs w:val="28"/>
        </w:rPr>
        <w:t>-</w:t>
      </w:r>
      <w:r w:rsidRPr="00087A72">
        <w:rPr>
          <w:rFonts w:eastAsia="Calibri" w:cs="Arial"/>
          <w:sz w:val="16"/>
          <w:szCs w:val="28"/>
        </w:rPr>
        <w:t>class</w:t>
      </w:r>
      <w:r w:rsidRPr="00087A72">
        <w:rPr>
          <w:rFonts w:cs="Arial"/>
          <w:sz w:val="16"/>
          <w:szCs w:val="28"/>
        </w:rPr>
        <w:t xml:space="preserve"> </w:t>
      </w:r>
      <w:r w:rsidRPr="00087A72">
        <w:rPr>
          <w:rFonts w:eastAsia="Calibri" w:cs="Arial"/>
          <w:sz w:val="16"/>
          <w:szCs w:val="28"/>
        </w:rPr>
        <w:t>identity</w:t>
      </w:r>
      <w:r w:rsidRPr="00087A72">
        <w:rPr>
          <w:rFonts w:cs="Arial"/>
          <w:sz w:val="16"/>
          <w:szCs w:val="28"/>
        </w:rPr>
        <w:t xml:space="preserve"> </w:t>
      </w:r>
      <w:r w:rsidRPr="00087A72">
        <w:rPr>
          <w:rFonts w:eastAsia="Calibri" w:cs="Arial"/>
          <w:sz w:val="16"/>
          <w:szCs w:val="28"/>
        </w:rPr>
        <w:t>while</w:t>
      </w:r>
      <w:r w:rsidRPr="00087A72">
        <w:rPr>
          <w:rFonts w:cs="Arial"/>
          <w:sz w:val="16"/>
          <w:szCs w:val="28"/>
        </w:rPr>
        <w:t xml:space="preserve"> </w:t>
      </w:r>
      <w:r w:rsidRPr="00087A72">
        <w:rPr>
          <w:rFonts w:eastAsia="Calibri" w:cs="Arial"/>
          <w:sz w:val="16"/>
          <w:szCs w:val="28"/>
        </w:rPr>
        <w:t>disavowing</w:t>
      </w:r>
      <w:r w:rsidRPr="00087A72">
        <w:rPr>
          <w:rFonts w:cs="Arial"/>
          <w:sz w:val="16"/>
          <w:szCs w:val="28"/>
        </w:rPr>
        <w:t xml:space="preserve"> </w:t>
      </w:r>
      <w:r w:rsidRPr="00087A72">
        <w:rPr>
          <w:rFonts w:eastAsia="Calibri" w:cs="Arial"/>
          <w:sz w:val="16"/>
          <w:szCs w:val="28"/>
        </w:rPr>
        <w:t>it</w:t>
      </w:r>
      <w:r w:rsidRPr="00087A72">
        <w:rPr>
          <w:rFonts w:cs="Arial"/>
          <w:sz w:val="16"/>
          <w:szCs w:val="28"/>
        </w:rPr>
        <w:t xml:space="preserve">.15 </w:t>
      </w:r>
      <w:r w:rsidRPr="00087A72">
        <w:rPr>
          <w:rFonts w:eastAsia="Calibri" w:cs="Arial"/>
          <w:sz w:val="16"/>
          <w:szCs w:val="28"/>
        </w:rPr>
        <w:t>For</w:t>
      </w:r>
      <w:r w:rsidRPr="00087A72">
        <w:rPr>
          <w:rFonts w:cs="Arial"/>
          <w:sz w:val="16"/>
          <w:szCs w:val="28"/>
        </w:rPr>
        <w:t xml:space="preserve"> </w:t>
      </w:r>
      <w:r w:rsidRPr="00087A72">
        <w:rPr>
          <w:rFonts w:eastAsia="Calibri" w:cs="Arial"/>
          <w:sz w:val="16"/>
          <w:szCs w:val="28"/>
        </w:rPr>
        <w:t>instance</w:t>
      </w:r>
      <w:r w:rsidRPr="00087A72">
        <w:rPr>
          <w:rFonts w:cs="Arial"/>
          <w:sz w:val="16"/>
          <w:szCs w:val="28"/>
        </w:rPr>
        <w:t xml:space="preserve">, </w:t>
      </w:r>
      <w:r w:rsidRPr="00087A72">
        <w:rPr>
          <w:rFonts w:eastAsia="Calibri" w:cs="Arial"/>
          <w:sz w:val="16"/>
          <w:szCs w:val="28"/>
        </w:rPr>
        <w:t>in</w:t>
      </w:r>
      <w:r w:rsidRPr="00087A72">
        <w:rPr>
          <w:rFonts w:cs="Arial"/>
          <w:sz w:val="16"/>
          <w:szCs w:val="28"/>
        </w:rPr>
        <w:t xml:space="preserve"> </w:t>
      </w:r>
      <w:r w:rsidRPr="00087A72">
        <w:rPr>
          <w:rFonts w:eastAsia="Calibri" w:cs="Arial"/>
          <w:sz w:val="16"/>
          <w:szCs w:val="28"/>
        </w:rPr>
        <w:t>Fear</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Planet</w:t>
      </w:r>
      <w:r w:rsidRPr="00087A72">
        <w:rPr>
          <w:rFonts w:cs="Arial"/>
          <w:sz w:val="16"/>
          <w:szCs w:val="28"/>
        </w:rPr>
        <w:t xml:space="preserve">, </w:t>
      </w:r>
      <w:r w:rsidRPr="00087A72">
        <w:rPr>
          <w:rFonts w:eastAsia="Calibri" w:cs="Arial"/>
          <w:sz w:val="16"/>
          <w:szCs w:val="28"/>
        </w:rPr>
        <w:t>Warner</w:t>
      </w:r>
      <w:r w:rsidRPr="00087A72">
        <w:rPr>
          <w:rFonts w:cs="Arial"/>
          <w:sz w:val="16"/>
          <w:szCs w:val="28"/>
        </w:rPr>
        <w:t xml:space="preserve"> </w:t>
      </w:r>
      <w:r w:rsidRPr="00087A72">
        <w:rPr>
          <w:rFonts w:eastAsia="Calibri" w:cs="Arial"/>
          <w:sz w:val="16"/>
          <w:szCs w:val="28"/>
        </w:rPr>
        <w:t>concedes</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culture</w:t>
      </w:r>
      <w:r w:rsidRPr="00087A72">
        <w:rPr>
          <w:rFonts w:cs="Arial"/>
          <w:sz w:val="16"/>
          <w:szCs w:val="28"/>
        </w:rPr>
        <w:t xml:space="preserve"> </w:t>
      </w:r>
      <w:r w:rsidRPr="00087A72">
        <w:rPr>
          <w:rFonts w:eastAsia="Calibri" w:cs="Arial"/>
          <w:sz w:val="16"/>
          <w:szCs w:val="28"/>
        </w:rPr>
        <w:t>has</w:t>
      </w:r>
      <w:r w:rsidRPr="00087A72">
        <w:rPr>
          <w:rFonts w:cs="Arial"/>
          <w:sz w:val="16"/>
          <w:szCs w:val="28"/>
        </w:rPr>
        <w:t xml:space="preserve"> </w:t>
      </w:r>
      <w:r w:rsidRPr="00087A72">
        <w:rPr>
          <w:rFonts w:eastAsia="Calibri" w:cs="Arial"/>
          <w:sz w:val="16"/>
          <w:szCs w:val="28"/>
        </w:rPr>
        <w:t>been</w:t>
      </w:r>
      <w:r w:rsidRPr="00087A72">
        <w:rPr>
          <w:rFonts w:cs="Arial"/>
          <w:sz w:val="16"/>
          <w:szCs w:val="28"/>
        </w:rPr>
        <w:t xml:space="preserve"> </w:t>
      </w:r>
      <w:r w:rsidRPr="00087A72">
        <w:rPr>
          <w:rFonts w:eastAsia="Calibri" w:cs="Arial"/>
          <w:sz w:val="16"/>
          <w:szCs w:val="28"/>
        </w:rPr>
        <w:t>dominated</w:t>
      </w:r>
      <w:r w:rsidRPr="00087A72">
        <w:rPr>
          <w:rFonts w:cs="Arial"/>
          <w:sz w:val="16"/>
          <w:szCs w:val="28"/>
        </w:rPr>
        <w:t xml:space="preserve"> </w:t>
      </w:r>
      <w:r w:rsidRPr="00087A72">
        <w:rPr>
          <w:rFonts w:eastAsia="Calibri" w:cs="Arial"/>
          <w:sz w:val="16"/>
          <w:szCs w:val="28"/>
        </w:rPr>
        <w:t>by</w:t>
      </w:r>
      <w:r w:rsidRPr="00087A72">
        <w:rPr>
          <w:rFonts w:cs="Arial"/>
          <w:sz w:val="16"/>
          <w:szCs w:val="28"/>
        </w:rPr>
        <w:t xml:space="preserve"> </w:t>
      </w:r>
      <w:r w:rsidRPr="00087A72">
        <w:rPr>
          <w:rFonts w:eastAsia="Calibri" w:cs="Arial"/>
          <w:sz w:val="16"/>
          <w:szCs w:val="28"/>
        </w:rPr>
        <w:t>those</w:t>
      </w:r>
      <w:r w:rsidRPr="00087A72">
        <w:rPr>
          <w:rFonts w:cs="Arial"/>
          <w:sz w:val="16"/>
          <w:szCs w:val="28"/>
        </w:rPr>
        <w:t xml:space="preserve"> </w:t>
      </w:r>
      <w:r w:rsidRPr="00087A72">
        <w:rPr>
          <w:rFonts w:eastAsia="Calibri" w:cs="Arial"/>
          <w:sz w:val="16"/>
          <w:szCs w:val="28"/>
        </w:rPr>
        <w:t>with</w:t>
      </w:r>
      <w:r w:rsidRPr="00087A72">
        <w:rPr>
          <w:rFonts w:cs="Arial"/>
          <w:sz w:val="16"/>
          <w:szCs w:val="28"/>
        </w:rPr>
        <w:t xml:space="preserve"> </w:t>
      </w:r>
      <w:r w:rsidRPr="00087A72">
        <w:rPr>
          <w:rFonts w:eastAsia="Calibri" w:cs="Arial"/>
          <w:sz w:val="16"/>
          <w:szCs w:val="28"/>
        </w:rPr>
        <w:t>capital</w:t>
      </w:r>
      <w:r w:rsidRPr="00087A72">
        <w:rPr>
          <w:rFonts w:cs="Arial"/>
          <w:sz w:val="16"/>
          <w:szCs w:val="28"/>
        </w:rPr>
        <w:t xml:space="preserve">: </w:t>
      </w:r>
      <w:r w:rsidRPr="00087A72">
        <w:rPr>
          <w:rFonts w:eastAsia="Calibri" w:cs="Arial"/>
          <w:sz w:val="16"/>
          <w:szCs w:val="28"/>
        </w:rPr>
        <w:t>typically</w:t>
      </w:r>
      <w:r w:rsidRPr="00087A72">
        <w:rPr>
          <w:rFonts w:cs="Arial"/>
          <w:sz w:val="16"/>
          <w:szCs w:val="28"/>
        </w:rPr>
        <w:t xml:space="preserve">, </w:t>
      </w:r>
      <w:r w:rsidRPr="00087A72">
        <w:rPr>
          <w:rFonts w:eastAsia="Calibri" w:cs="Arial"/>
          <w:sz w:val="16"/>
          <w:szCs w:val="28"/>
        </w:rPr>
        <w:t>middle</w:t>
      </w:r>
      <w:r w:rsidRPr="00087A72">
        <w:rPr>
          <w:rFonts w:cs="Arial"/>
          <w:sz w:val="16"/>
          <w:szCs w:val="28"/>
        </w:rPr>
        <w:t>-</w:t>
      </w:r>
      <w:r w:rsidRPr="00087A72">
        <w:rPr>
          <w:rFonts w:eastAsia="Calibri" w:cs="Arial"/>
          <w:sz w:val="16"/>
          <w:szCs w:val="28"/>
        </w:rPr>
        <w:t>class</w:t>
      </w:r>
      <w:r w:rsidRPr="00087A72">
        <w:rPr>
          <w:rFonts w:cs="Arial"/>
          <w:sz w:val="16"/>
          <w:szCs w:val="28"/>
        </w:rPr>
        <w:t xml:space="preserve"> </w:t>
      </w:r>
      <w:r w:rsidRPr="00087A72">
        <w:rPr>
          <w:rFonts w:eastAsia="Calibri" w:cs="Arial"/>
          <w:sz w:val="16"/>
          <w:szCs w:val="28"/>
        </w:rPr>
        <w:t>white</w:t>
      </w:r>
      <w:r w:rsidRPr="00087A72">
        <w:rPr>
          <w:rFonts w:cs="Arial"/>
          <w:sz w:val="16"/>
          <w:szCs w:val="28"/>
        </w:rPr>
        <w:t xml:space="preserve"> </w:t>
      </w:r>
      <w:r w:rsidRPr="00087A72">
        <w:rPr>
          <w:rFonts w:eastAsia="Calibri" w:cs="Arial"/>
          <w:sz w:val="16"/>
          <w:szCs w:val="28"/>
        </w:rPr>
        <w:t>men</w:t>
      </w:r>
      <w:r w:rsidRPr="00087A72">
        <w:rPr>
          <w:rFonts w:cs="Arial"/>
          <w:sz w:val="16"/>
          <w:szCs w:val="28"/>
        </w:rPr>
        <w:t xml:space="preserve">. </w:t>
      </w:r>
      <w:r w:rsidRPr="00087A72">
        <w:rPr>
          <w:rFonts w:eastAsia="Calibri" w:cs="Arial"/>
          <w:sz w:val="16"/>
          <w:szCs w:val="28"/>
        </w:rPr>
        <w:t>But</w:t>
      </w:r>
      <w:r w:rsidRPr="00087A72">
        <w:rPr>
          <w:rFonts w:cs="Arial"/>
          <w:sz w:val="16"/>
          <w:szCs w:val="28"/>
        </w:rPr>
        <w:t xml:space="preserve"> </w:t>
      </w:r>
      <w:r w:rsidRPr="00087A72">
        <w:rPr>
          <w:rFonts w:eastAsia="Calibri" w:cs="Arial"/>
          <w:sz w:val="16"/>
          <w:szCs w:val="28"/>
        </w:rPr>
        <w:t>then</w:t>
      </w:r>
      <w:r w:rsidRPr="00087A72">
        <w:rPr>
          <w:rFonts w:cs="Arial"/>
          <w:sz w:val="16"/>
          <w:szCs w:val="28"/>
        </w:rPr>
        <w:t xml:space="preserve"> </w:t>
      </w:r>
      <w:r w:rsidRPr="00087A72">
        <w:rPr>
          <w:rFonts w:eastAsia="Calibri" w:cs="Arial"/>
          <w:sz w:val="16"/>
          <w:szCs w:val="28"/>
        </w:rPr>
        <w:t>he</w:t>
      </w:r>
      <w:r w:rsidRPr="00087A72">
        <w:rPr>
          <w:rFonts w:cs="Arial"/>
          <w:sz w:val="16"/>
          <w:szCs w:val="28"/>
        </w:rPr>
        <w:t xml:space="preserve"> </w:t>
      </w:r>
      <w:r w:rsidRPr="00087A72">
        <w:rPr>
          <w:rFonts w:eastAsia="Calibri" w:cs="Arial"/>
          <w:sz w:val="16"/>
          <w:szCs w:val="28"/>
        </w:rPr>
        <w:t>argues</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default</w:t>
      </w:r>
      <w:r w:rsidRPr="00087A72">
        <w:rPr>
          <w:rFonts w:cs="Arial"/>
          <w:sz w:val="16"/>
          <w:szCs w:val="28"/>
        </w:rPr>
        <w:t xml:space="preserve"> </w:t>
      </w:r>
      <w:r w:rsidRPr="00087A72">
        <w:rPr>
          <w:rFonts w:eastAsia="Calibri" w:cs="Arial"/>
          <w:sz w:val="16"/>
          <w:szCs w:val="28"/>
        </w:rPr>
        <w:t>model</w:t>
      </w:r>
      <w:r w:rsidRPr="00087A72">
        <w:rPr>
          <w:rFonts w:cs="Arial"/>
          <w:sz w:val="16"/>
          <w:szCs w:val="28"/>
        </w:rPr>
        <w:t xml:space="preserve"> </w:t>
      </w:r>
      <w:r w:rsidRPr="00087A72">
        <w:rPr>
          <w:rFonts w:eastAsia="Calibri" w:cs="Arial"/>
          <w:sz w:val="16"/>
          <w:szCs w:val="28"/>
        </w:rPr>
        <w:t>for</w:t>
      </w:r>
      <w:r w:rsidRPr="00087A72">
        <w:rPr>
          <w:rFonts w:cs="Arial"/>
          <w:sz w:val="16"/>
          <w:szCs w:val="28"/>
        </w:rPr>
        <w:t xml:space="preserve"> </w:t>
      </w:r>
      <w:r w:rsidRPr="00087A72">
        <w:rPr>
          <w:rFonts w:eastAsia="Calibri" w:cs="Arial"/>
          <w:sz w:val="16"/>
          <w:szCs w:val="28"/>
        </w:rPr>
        <w:t>all</w:t>
      </w:r>
      <w:r w:rsidRPr="00087A72">
        <w:rPr>
          <w:rFonts w:cs="Arial"/>
          <w:sz w:val="16"/>
          <w:szCs w:val="28"/>
        </w:rPr>
        <w:t xml:space="preserve"> </w:t>
      </w:r>
      <w:r w:rsidRPr="00087A72">
        <w:rPr>
          <w:rFonts w:eastAsia="Calibri" w:cs="Arial"/>
          <w:sz w:val="16"/>
          <w:szCs w:val="28"/>
        </w:rPr>
        <w:t>minority</w:t>
      </w:r>
      <w:r w:rsidRPr="00087A72">
        <w:rPr>
          <w:rFonts w:cs="Arial"/>
          <w:sz w:val="16"/>
          <w:szCs w:val="28"/>
        </w:rPr>
        <w:t xml:space="preserve"> </w:t>
      </w:r>
      <w:r w:rsidRPr="00087A72">
        <w:rPr>
          <w:rFonts w:eastAsia="Calibri" w:cs="Arial"/>
          <w:sz w:val="16"/>
          <w:szCs w:val="28"/>
        </w:rPr>
        <w:t>movements</w:t>
      </w:r>
      <w:r w:rsidRPr="00087A72">
        <w:rPr>
          <w:rFonts w:cs="Arial"/>
          <w:sz w:val="16"/>
          <w:szCs w:val="28"/>
        </w:rPr>
        <w:t xml:space="preserve"> </w:t>
      </w:r>
      <w:r w:rsidRPr="00087A72">
        <w:rPr>
          <w:rFonts w:eastAsia="Calibri" w:cs="Arial"/>
          <w:sz w:val="16"/>
          <w:szCs w:val="28"/>
        </w:rPr>
        <w:t>is</w:t>
      </w:r>
      <w:r w:rsidRPr="00087A72">
        <w:rPr>
          <w:rFonts w:cs="Arial"/>
          <w:sz w:val="16"/>
          <w:szCs w:val="28"/>
        </w:rPr>
        <w:t xml:space="preserve"> </w:t>
      </w:r>
      <w:r w:rsidRPr="00087A72">
        <w:rPr>
          <w:rFonts w:eastAsia="Calibri" w:cs="Arial"/>
          <w:sz w:val="16"/>
          <w:szCs w:val="28"/>
        </w:rPr>
        <w:t>racial</w:t>
      </w:r>
      <w:r w:rsidRPr="00087A72">
        <w:rPr>
          <w:rFonts w:cs="Arial"/>
          <w:sz w:val="16"/>
          <w:szCs w:val="28"/>
        </w:rPr>
        <w:t xml:space="preserve"> </w:t>
      </w:r>
      <w:r w:rsidRPr="00087A72">
        <w:rPr>
          <w:rFonts w:eastAsia="Calibri" w:cs="Arial"/>
          <w:sz w:val="16"/>
          <w:szCs w:val="28"/>
        </w:rPr>
        <w:t>or</w:t>
      </w:r>
      <w:r w:rsidRPr="00087A72">
        <w:rPr>
          <w:rFonts w:cs="Arial"/>
          <w:sz w:val="16"/>
          <w:szCs w:val="28"/>
        </w:rPr>
        <w:t xml:space="preserve"> </w:t>
      </w:r>
      <w:r w:rsidRPr="00087A72">
        <w:rPr>
          <w:rFonts w:eastAsia="Calibri" w:cs="Arial"/>
          <w:sz w:val="16"/>
          <w:szCs w:val="28"/>
        </w:rPr>
        <w:t>ethnic</w:t>
      </w:r>
      <w:r w:rsidRPr="00087A72">
        <w:rPr>
          <w:rFonts w:cs="Arial"/>
          <w:sz w:val="16"/>
          <w:szCs w:val="28"/>
        </w:rPr>
        <w:t xml:space="preserve">. </w:t>
      </w:r>
      <w:r w:rsidRPr="00087A72">
        <w:rPr>
          <w:rFonts w:eastAsia="Calibri" w:cs="Arial"/>
          <w:sz w:val="16"/>
          <w:szCs w:val="28"/>
        </w:rPr>
        <w:t>Thus</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language</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multiculturalism</w:t>
      </w:r>
      <w:r w:rsidRPr="00087A72">
        <w:rPr>
          <w:rFonts w:cs="Arial"/>
          <w:sz w:val="16"/>
          <w:szCs w:val="28"/>
        </w:rPr>
        <w:t xml:space="preserve"> </w:t>
      </w:r>
      <w:r w:rsidRPr="00087A72">
        <w:rPr>
          <w:rFonts w:eastAsia="Calibri" w:cs="Arial"/>
          <w:sz w:val="16"/>
          <w:szCs w:val="28"/>
        </w:rPr>
        <w:t>almost</w:t>
      </w:r>
      <w:r w:rsidRPr="00087A72">
        <w:rPr>
          <w:rFonts w:cs="Arial"/>
          <w:sz w:val="16"/>
          <w:szCs w:val="28"/>
        </w:rPr>
        <w:t xml:space="preserve"> </w:t>
      </w:r>
      <w:r w:rsidRPr="00087A72">
        <w:rPr>
          <w:rFonts w:eastAsia="Calibri" w:cs="Arial"/>
          <w:sz w:val="16"/>
          <w:szCs w:val="28"/>
        </w:rPr>
        <w:t>always</w:t>
      </w:r>
      <w:r w:rsidRPr="00087A72">
        <w:rPr>
          <w:rFonts w:cs="Arial"/>
          <w:sz w:val="16"/>
          <w:szCs w:val="28"/>
        </w:rPr>
        <w:t xml:space="preserve"> </w:t>
      </w:r>
      <w:r w:rsidRPr="00087A72">
        <w:rPr>
          <w:rFonts w:eastAsia="Calibri" w:cs="Arial"/>
          <w:sz w:val="16"/>
          <w:szCs w:val="28"/>
        </w:rPr>
        <w:t>presupposes</w:t>
      </w:r>
      <w:r w:rsidRPr="00087A72">
        <w:rPr>
          <w:rFonts w:cs="Arial"/>
          <w:sz w:val="16"/>
          <w:szCs w:val="28"/>
        </w:rPr>
        <w:t xml:space="preserve"> </w:t>
      </w:r>
      <w:r w:rsidRPr="00087A72">
        <w:rPr>
          <w:rFonts w:eastAsia="Calibri" w:cs="Arial"/>
          <w:sz w:val="16"/>
          <w:szCs w:val="28"/>
        </w:rPr>
        <w:t>an</w:t>
      </w:r>
      <w:r w:rsidRPr="00087A72">
        <w:rPr>
          <w:rFonts w:cs="Arial"/>
          <w:sz w:val="16"/>
          <w:szCs w:val="28"/>
        </w:rPr>
        <w:t xml:space="preserve"> </w:t>
      </w:r>
      <w:r w:rsidRPr="00087A72">
        <w:rPr>
          <w:rFonts w:eastAsia="Calibri" w:cs="Arial"/>
          <w:sz w:val="16"/>
          <w:szCs w:val="28"/>
        </w:rPr>
        <w:t>ethnic</w:t>
      </w:r>
      <w:r w:rsidRPr="00087A72">
        <w:rPr>
          <w:rFonts w:cs="Arial"/>
          <w:sz w:val="16"/>
          <w:szCs w:val="28"/>
        </w:rPr>
        <w:t xml:space="preserve"> </w:t>
      </w:r>
      <w:r w:rsidRPr="00087A72">
        <w:rPr>
          <w:rFonts w:eastAsia="Calibri" w:cs="Arial"/>
          <w:sz w:val="16"/>
          <w:szCs w:val="28"/>
        </w:rPr>
        <w:t>organization</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identity</w:t>
      </w:r>
      <w:r w:rsidRPr="00087A72">
        <w:rPr>
          <w:rFonts w:cs="Arial"/>
          <w:sz w:val="16"/>
          <w:szCs w:val="28"/>
        </w:rPr>
        <w:t xml:space="preserve">, </w:t>
      </w:r>
      <w:r w:rsidRPr="00087A72">
        <w:rPr>
          <w:rFonts w:eastAsia="Calibri" w:cs="Arial"/>
          <w:sz w:val="16"/>
          <w:szCs w:val="28"/>
        </w:rPr>
        <w:t>rooted</w:t>
      </w:r>
      <w:r w:rsidRPr="00087A72">
        <w:rPr>
          <w:rFonts w:cs="Arial"/>
          <w:sz w:val="16"/>
          <w:szCs w:val="28"/>
        </w:rPr>
        <w:t xml:space="preserve"> </w:t>
      </w:r>
      <w:r w:rsidRPr="00087A72">
        <w:rPr>
          <w:rFonts w:eastAsia="Calibri" w:cs="Arial"/>
          <w:sz w:val="16"/>
          <w:szCs w:val="28"/>
        </w:rPr>
        <w:t>in</w:t>
      </w:r>
      <w:r w:rsidRPr="00087A72">
        <w:rPr>
          <w:rFonts w:cs="Arial"/>
          <w:sz w:val="16"/>
          <w:szCs w:val="28"/>
        </w:rPr>
        <w:t xml:space="preserve"> </w:t>
      </w:r>
      <w:r w:rsidRPr="00087A72">
        <w:rPr>
          <w:rFonts w:eastAsia="Calibri" w:cs="Arial"/>
          <w:sz w:val="16"/>
          <w:szCs w:val="28"/>
        </w:rPr>
        <w:t>family</w:t>
      </w:r>
      <w:r w:rsidRPr="00087A72">
        <w:rPr>
          <w:rFonts w:cs="Arial"/>
          <w:sz w:val="16"/>
          <w:szCs w:val="28"/>
        </w:rPr>
        <w:t xml:space="preserve">, </w:t>
      </w:r>
      <w:r w:rsidRPr="00087A72">
        <w:rPr>
          <w:rFonts w:eastAsia="Calibri" w:cs="Arial"/>
          <w:sz w:val="16"/>
          <w:szCs w:val="28"/>
        </w:rPr>
        <w:t>language</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cultural</w:t>
      </w:r>
      <w:r w:rsidRPr="00087A72">
        <w:rPr>
          <w:rFonts w:cs="Arial"/>
          <w:sz w:val="16"/>
          <w:szCs w:val="28"/>
        </w:rPr>
        <w:t xml:space="preserve"> </w:t>
      </w:r>
      <w:r w:rsidRPr="00087A72">
        <w:rPr>
          <w:rFonts w:eastAsia="Calibri" w:cs="Arial"/>
          <w:sz w:val="16"/>
          <w:szCs w:val="28"/>
        </w:rPr>
        <w:t>tradition</w:t>
      </w:r>
      <w:r w:rsidRPr="00087A72">
        <w:rPr>
          <w:rFonts w:cs="Arial"/>
          <w:sz w:val="16"/>
          <w:szCs w:val="28"/>
        </w:rPr>
        <w:t xml:space="preserve">. </w:t>
      </w:r>
      <w:r w:rsidRPr="00087A72">
        <w:rPr>
          <w:rFonts w:eastAsia="Calibri" w:cs="Arial"/>
          <w:sz w:val="16"/>
          <w:szCs w:val="28"/>
        </w:rPr>
        <w:t>Despite</w:t>
      </w:r>
      <w:r w:rsidRPr="00087A72">
        <w:rPr>
          <w:rFonts w:cs="Arial"/>
          <w:sz w:val="16"/>
          <w:szCs w:val="28"/>
        </w:rPr>
        <w:t xml:space="preserve"> </w:t>
      </w:r>
      <w:r w:rsidRPr="00087A72">
        <w:rPr>
          <w:rFonts w:eastAsia="Calibri" w:cs="Arial"/>
          <w:sz w:val="16"/>
          <w:szCs w:val="28"/>
        </w:rPr>
        <w:t>its</w:t>
      </w:r>
      <w:r w:rsidRPr="00087A72">
        <w:rPr>
          <w:rFonts w:cs="Arial"/>
          <w:sz w:val="16"/>
          <w:szCs w:val="28"/>
        </w:rPr>
        <w:t xml:space="preserve"> </w:t>
      </w:r>
      <w:r w:rsidRPr="00087A72">
        <w:rPr>
          <w:rFonts w:eastAsia="Calibri" w:cs="Arial"/>
          <w:sz w:val="16"/>
          <w:szCs w:val="28"/>
        </w:rPr>
        <w:t>language</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postmodernism</w:t>
      </w:r>
      <w:r w:rsidRPr="00087A72">
        <w:rPr>
          <w:rFonts w:cs="Arial"/>
          <w:sz w:val="16"/>
          <w:szCs w:val="28"/>
        </w:rPr>
        <w:t xml:space="preserve">, </w:t>
      </w:r>
      <w:r w:rsidRPr="00087A72">
        <w:rPr>
          <w:rFonts w:eastAsia="Calibri" w:cs="Arial"/>
          <w:sz w:val="16"/>
          <w:szCs w:val="28"/>
        </w:rPr>
        <w:t>multiculturalism</w:t>
      </w:r>
      <w:r w:rsidRPr="00087A72">
        <w:rPr>
          <w:rFonts w:cs="Arial"/>
          <w:sz w:val="16"/>
          <w:szCs w:val="28"/>
        </w:rPr>
        <w:t xml:space="preserve"> </w:t>
      </w:r>
      <w:r w:rsidRPr="00087A72">
        <w:rPr>
          <w:rFonts w:eastAsia="Calibri" w:cs="Arial"/>
          <w:sz w:val="16"/>
          <w:szCs w:val="28"/>
        </w:rPr>
        <w:t>tends</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rely</w:t>
      </w:r>
      <w:r w:rsidRPr="00087A72">
        <w:rPr>
          <w:rFonts w:cs="Arial"/>
          <w:sz w:val="16"/>
          <w:szCs w:val="28"/>
        </w:rPr>
        <w:t xml:space="preserve"> </w:t>
      </w:r>
      <w:r w:rsidRPr="00087A72">
        <w:rPr>
          <w:rFonts w:eastAsia="Calibri" w:cs="Arial"/>
          <w:sz w:val="16"/>
          <w:szCs w:val="28"/>
        </w:rPr>
        <w:t>on</w:t>
      </w:r>
      <w:r w:rsidRPr="00087A72">
        <w:rPr>
          <w:rFonts w:cs="Arial"/>
          <w:sz w:val="16"/>
          <w:szCs w:val="28"/>
        </w:rPr>
        <w:t xml:space="preserve"> </w:t>
      </w:r>
      <w:r w:rsidRPr="00087A72">
        <w:rPr>
          <w:rFonts w:eastAsia="Calibri" w:cs="Arial"/>
          <w:sz w:val="16"/>
          <w:szCs w:val="28"/>
        </w:rPr>
        <w:t>very</w:t>
      </w:r>
      <w:r w:rsidRPr="00087A72">
        <w:rPr>
          <w:rFonts w:cs="Arial"/>
          <w:sz w:val="16"/>
          <w:szCs w:val="28"/>
        </w:rPr>
        <w:t xml:space="preserve"> </w:t>
      </w:r>
      <w:r w:rsidRPr="00087A72">
        <w:rPr>
          <w:rFonts w:eastAsia="Calibri" w:cs="Arial"/>
          <w:sz w:val="16"/>
          <w:szCs w:val="28"/>
        </w:rPr>
        <w:t>modern</w:t>
      </w:r>
      <w:r w:rsidRPr="00087A72">
        <w:rPr>
          <w:rFonts w:cs="Arial"/>
          <w:sz w:val="16"/>
          <w:szCs w:val="28"/>
        </w:rPr>
        <w:t xml:space="preserve"> </w:t>
      </w:r>
      <w:r w:rsidRPr="00087A72">
        <w:rPr>
          <w:rFonts w:eastAsia="Calibri" w:cs="Arial"/>
          <w:sz w:val="16"/>
          <w:szCs w:val="28"/>
        </w:rPr>
        <w:t>notions</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authenticity</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culture</w:t>
      </w:r>
      <w:r w:rsidRPr="00087A72">
        <w:rPr>
          <w:rFonts w:cs="Arial"/>
          <w:sz w:val="16"/>
          <w:szCs w:val="28"/>
        </w:rPr>
        <w:t xml:space="preserve">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shared</w:t>
      </w:r>
      <w:r w:rsidRPr="00087A72">
        <w:rPr>
          <w:rFonts w:cs="Arial"/>
          <w:sz w:val="16"/>
          <w:szCs w:val="28"/>
        </w:rPr>
        <w:t xml:space="preserve"> </w:t>
      </w:r>
      <w:r w:rsidRPr="00087A72">
        <w:rPr>
          <w:rFonts w:eastAsia="Calibri" w:cs="Arial"/>
          <w:sz w:val="16"/>
          <w:szCs w:val="28"/>
        </w:rPr>
        <w:t>meaning</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source</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identity</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culture</w:t>
      </w:r>
      <w:r w:rsidRPr="00087A72">
        <w:rPr>
          <w:rFonts w:cs="Arial"/>
          <w:sz w:val="16"/>
          <w:szCs w:val="28"/>
        </w:rPr>
        <w:t xml:space="preserve"> </w:t>
      </w:r>
      <w:r w:rsidRPr="00087A72">
        <w:rPr>
          <w:rFonts w:eastAsia="Calibri" w:cs="Arial"/>
          <w:sz w:val="16"/>
          <w:szCs w:val="28"/>
        </w:rPr>
        <w:t>will</w:t>
      </w:r>
      <w:r w:rsidRPr="00087A72">
        <w:rPr>
          <w:rFonts w:cs="Arial"/>
          <w:sz w:val="16"/>
          <w:szCs w:val="28"/>
        </w:rPr>
        <w:t xml:space="preserve"> </w:t>
      </w:r>
      <w:r w:rsidRPr="00087A72">
        <w:rPr>
          <w:rFonts w:eastAsia="Calibri" w:cs="Arial"/>
          <w:sz w:val="16"/>
          <w:szCs w:val="28"/>
        </w:rPr>
        <w:t>not</w:t>
      </w:r>
      <w:r w:rsidRPr="00087A72">
        <w:rPr>
          <w:rFonts w:cs="Arial"/>
          <w:sz w:val="16"/>
          <w:szCs w:val="28"/>
        </w:rPr>
        <w:t xml:space="preserve"> </w:t>
      </w:r>
      <w:r w:rsidRPr="00087A72">
        <w:rPr>
          <w:rFonts w:eastAsia="Calibri" w:cs="Arial"/>
          <w:sz w:val="16"/>
          <w:szCs w:val="28"/>
        </w:rPr>
        <w:t>fit</w:t>
      </w:r>
      <w:r w:rsidRPr="00087A72">
        <w:rPr>
          <w:rFonts w:cs="Arial"/>
          <w:sz w:val="16"/>
          <w:szCs w:val="28"/>
        </w:rPr>
        <w:t xml:space="preserve"> </w:t>
      </w:r>
      <w:r w:rsidRPr="00087A72">
        <w:rPr>
          <w:rFonts w:eastAsia="Calibri" w:cs="Arial"/>
          <w:sz w:val="16"/>
          <w:szCs w:val="28"/>
        </w:rPr>
        <w:t>this</w:t>
      </w:r>
      <w:r w:rsidRPr="00087A72">
        <w:rPr>
          <w:rFonts w:cs="Arial"/>
          <w:sz w:val="16"/>
          <w:szCs w:val="28"/>
        </w:rPr>
        <w:t xml:space="preserve"> </w:t>
      </w:r>
      <w:r w:rsidRPr="00087A72">
        <w:rPr>
          <w:rFonts w:eastAsia="Calibri" w:cs="Arial"/>
          <w:sz w:val="16"/>
          <w:szCs w:val="28"/>
        </w:rPr>
        <w:t>bill</w:t>
      </w:r>
      <w:r w:rsidRPr="00087A72">
        <w:rPr>
          <w:rFonts w:cs="Arial"/>
          <w:sz w:val="16"/>
          <w:szCs w:val="28"/>
        </w:rPr>
        <w:t xml:space="preserve"> . . . </w:t>
      </w:r>
      <w:r w:rsidRPr="00087A72">
        <w:rPr>
          <w:rFonts w:eastAsia="Calibri" w:cs="Arial"/>
          <w:sz w:val="16"/>
          <w:szCs w:val="28"/>
        </w:rPr>
        <w:t>because</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politics</w:t>
      </w:r>
      <w:r w:rsidRPr="00087A72">
        <w:rPr>
          <w:rFonts w:cs="Arial"/>
          <w:sz w:val="16"/>
          <w:szCs w:val="28"/>
        </w:rPr>
        <w:t xml:space="preserve"> </w:t>
      </w:r>
      <w:r w:rsidRPr="00087A72">
        <w:rPr>
          <w:rFonts w:eastAsia="Calibri" w:cs="Arial"/>
          <w:sz w:val="16"/>
          <w:szCs w:val="28"/>
        </w:rPr>
        <w:t>does</w:t>
      </w:r>
      <w:r w:rsidRPr="00087A72">
        <w:rPr>
          <w:rFonts w:cs="Arial"/>
          <w:sz w:val="16"/>
          <w:szCs w:val="28"/>
        </w:rPr>
        <w:t xml:space="preserve"> </w:t>
      </w:r>
      <w:r w:rsidRPr="00087A72">
        <w:rPr>
          <w:rFonts w:eastAsia="Calibri" w:cs="Arial"/>
          <w:sz w:val="16"/>
          <w:szCs w:val="28"/>
        </w:rPr>
        <w:t>not</w:t>
      </w:r>
      <w:r w:rsidRPr="00087A72">
        <w:rPr>
          <w:rFonts w:cs="Arial"/>
          <w:sz w:val="16"/>
          <w:szCs w:val="28"/>
        </w:rPr>
        <w:t xml:space="preserve"> </w:t>
      </w:r>
      <w:r w:rsidRPr="00087A72">
        <w:rPr>
          <w:rFonts w:eastAsia="Calibri" w:cs="Arial"/>
          <w:sz w:val="16"/>
          <w:szCs w:val="28"/>
        </w:rPr>
        <w:t>obey</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member</w:t>
      </w:r>
      <w:r w:rsidRPr="00087A72">
        <w:rPr>
          <w:rFonts w:cs="Arial"/>
          <w:sz w:val="16"/>
          <w:szCs w:val="28"/>
        </w:rPr>
        <w:t>/</w:t>
      </w:r>
      <w:r w:rsidRPr="00087A72">
        <w:rPr>
          <w:rFonts w:eastAsia="Calibri" w:cs="Arial"/>
          <w:sz w:val="16"/>
          <w:szCs w:val="28"/>
        </w:rPr>
        <w:t>nonmember</w:t>
      </w:r>
      <w:r w:rsidRPr="00087A72">
        <w:rPr>
          <w:rFonts w:cs="Arial"/>
          <w:sz w:val="16"/>
          <w:szCs w:val="28"/>
        </w:rPr>
        <w:t xml:space="preserve"> </w:t>
      </w:r>
      <w:r w:rsidRPr="00087A72">
        <w:rPr>
          <w:rFonts w:eastAsia="Calibri" w:cs="Arial"/>
          <w:sz w:val="16"/>
          <w:szCs w:val="28"/>
        </w:rPr>
        <w:t>logics</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race</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gender</w:t>
      </w:r>
      <w:r w:rsidRPr="00087A72">
        <w:rPr>
          <w:rFonts w:cs="Arial"/>
          <w:sz w:val="16"/>
          <w:szCs w:val="28"/>
        </w:rPr>
        <w:t xml:space="preserve">.”16 </w:t>
      </w:r>
      <w:r w:rsidRPr="00087A72">
        <w:rPr>
          <w:rFonts w:eastAsia="Calibri" w:cs="Arial"/>
          <w:sz w:val="16"/>
          <w:szCs w:val="28"/>
        </w:rPr>
        <w:t>He</w:t>
      </w:r>
      <w:r w:rsidRPr="00087A72">
        <w:rPr>
          <w:rFonts w:cs="Arial"/>
          <w:sz w:val="16"/>
          <w:szCs w:val="28"/>
        </w:rPr>
        <w:t xml:space="preserve"> </w:t>
      </w:r>
      <w:r w:rsidRPr="00087A72">
        <w:rPr>
          <w:rFonts w:eastAsia="Calibri" w:cs="Arial"/>
          <w:sz w:val="16"/>
          <w:szCs w:val="28"/>
        </w:rPr>
        <w:t>marks</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culture</w:t>
      </w:r>
      <w:r w:rsidRPr="00087A72">
        <w:rPr>
          <w:rFonts w:cs="Arial"/>
          <w:sz w:val="16"/>
          <w:szCs w:val="28"/>
        </w:rPr>
        <w:t xml:space="preserve">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free</w:t>
      </w:r>
      <w:r w:rsidRPr="00087A72">
        <w:rPr>
          <w:rFonts w:cs="Arial"/>
          <w:sz w:val="16"/>
          <w:szCs w:val="28"/>
        </w:rPr>
        <w:t>-</w:t>
      </w:r>
      <w:r w:rsidRPr="00087A72">
        <w:rPr>
          <w:rFonts w:eastAsia="Calibri" w:cs="Arial"/>
          <w:sz w:val="16"/>
          <w:szCs w:val="28"/>
        </w:rPr>
        <w:t>floating</w:t>
      </w:r>
      <w:r w:rsidRPr="00087A72">
        <w:rPr>
          <w:rFonts w:cs="Arial"/>
          <w:sz w:val="16"/>
          <w:szCs w:val="28"/>
        </w:rPr>
        <w:t xml:space="preserve">, </w:t>
      </w:r>
      <w:r w:rsidRPr="00087A72">
        <w:rPr>
          <w:rFonts w:eastAsia="Calibri" w:cs="Arial"/>
          <w:sz w:val="16"/>
          <w:szCs w:val="28"/>
        </w:rPr>
        <w:t>unlike</w:t>
      </w:r>
      <w:r w:rsidRPr="00087A72">
        <w:rPr>
          <w:rFonts w:cs="Arial"/>
          <w:sz w:val="16"/>
          <w:szCs w:val="28"/>
        </w:rPr>
        <w:t xml:space="preserve"> </w:t>
      </w:r>
      <w:r w:rsidRPr="00087A72">
        <w:rPr>
          <w:rFonts w:eastAsia="Calibri" w:cs="Arial"/>
          <w:sz w:val="16"/>
          <w:szCs w:val="28"/>
        </w:rPr>
        <w:t>race</w:t>
      </w:r>
      <w:r w:rsidRPr="00087A72">
        <w:rPr>
          <w:rFonts w:cs="Arial"/>
          <w:sz w:val="16"/>
          <w:szCs w:val="28"/>
        </w:rPr>
        <w:t xml:space="preserve">, </w:t>
      </w:r>
      <w:r w:rsidRPr="00087A72">
        <w:rPr>
          <w:rFonts w:eastAsia="Calibri" w:cs="Arial"/>
          <w:sz w:val="16"/>
          <w:szCs w:val="28"/>
        </w:rPr>
        <w:t>which</w:t>
      </w:r>
      <w:r w:rsidRPr="00087A72">
        <w:rPr>
          <w:rFonts w:cs="Arial"/>
          <w:sz w:val="16"/>
          <w:szCs w:val="28"/>
        </w:rPr>
        <w:t xml:space="preserve"> </w:t>
      </w:r>
      <w:r w:rsidRPr="00087A72">
        <w:rPr>
          <w:rFonts w:eastAsia="Calibri" w:cs="Arial"/>
          <w:sz w:val="16"/>
          <w:szCs w:val="28"/>
        </w:rPr>
        <w:t>is</w:t>
      </w:r>
      <w:r w:rsidRPr="00087A72">
        <w:rPr>
          <w:rFonts w:cs="Arial"/>
          <w:sz w:val="16"/>
          <w:szCs w:val="28"/>
        </w:rPr>
        <w:t xml:space="preserve"> </w:t>
      </w:r>
      <w:r w:rsidRPr="00087A72">
        <w:rPr>
          <w:rFonts w:eastAsia="Calibri" w:cs="Arial"/>
          <w:sz w:val="16"/>
          <w:szCs w:val="28"/>
        </w:rPr>
        <w:t>marked</w:t>
      </w:r>
      <w:r w:rsidRPr="00087A72">
        <w:rPr>
          <w:rFonts w:cs="Arial"/>
          <w:sz w:val="16"/>
          <w:szCs w:val="28"/>
        </w:rPr>
        <w:t xml:space="preserve"> </w:t>
      </w:r>
      <w:r w:rsidRPr="00087A72">
        <w:rPr>
          <w:rFonts w:eastAsia="Calibri" w:cs="Arial"/>
          <w:sz w:val="16"/>
          <w:szCs w:val="28"/>
        </w:rPr>
        <w:t>by</w:t>
      </w:r>
      <w:r w:rsidRPr="00087A72">
        <w:rPr>
          <w:rFonts w:cs="Arial"/>
          <w:sz w:val="16"/>
          <w:szCs w:val="28"/>
        </w:rPr>
        <w:t xml:space="preserve"> </w:t>
      </w:r>
      <w:r w:rsidRPr="00087A72">
        <w:rPr>
          <w:rFonts w:eastAsia="Calibri" w:cs="Arial"/>
          <w:sz w:val="16"/>
          <w:szCs w:val="28"/>
        </w:rPr>
        <w:t>belonging</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not</w:t>
      </w:r>
      <w:r w:rsidRPr="00087A72">
        <w:rPr>
          <w:rFonts w:cs="Arial"/>
          <w:sz w:val="16"/>
          <w:szCs w:val="28"/>
        </w:rPr>
        <w:t>-</w:t>
      </w:r>
      <w:r w:rsidRPr="00087A72">
        <w:rPr>
          <w:rFonts w:eastAsia="Calibri" w:cs="Arial"/>
          <w:sz w:val="16"/>
          <w:szCs w:val="28"/>
        </w:rPr>
        <w:t>belonging</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borrow</w:t>
      </w:r>
      <w:r w:rsidRPr="00087A72">
        <w:rPr>
          <w:rFonts w:cs="Arial"/>
          <w:sz w:val="16"/>
          <w:szCs w:val="28"/>
        </w:rPr>
        <w:t xml:space="preserve"> </w:t>
      </w:r>
      <w:r w:rsidRPr="00087A72">
        <w:rPr>
          <w:rFonts w:eastAsia="Calibri" w:cs="Arial"/>
          <w:sz w:val="16"/>
          <w:szCs w:val="28"/>
        </w:rPr>
        <w:t>from</w:t>
      </w:r>
      <w:r w:rsidRPr="00087A72">
        <w:rPr>
          <w:rFonts w:cs="Arial"/>
          <w:sz w:val="16"/>
          <w:szCs w:val="28"/>
        </w:rPr>
        <w:t xml:space="preserve"> </w:t>
      </w:r>
      <w:r w:rsidRPr="00087A72">
        <w:rPr>
          <w:rFonts w:eastAsia="Calibri" w:cs="Arial"/>
          <w:sz w:val="16"/>
          <w:szCs w:val="28"/>
        </w:rPr>
        <w:t>Silva</w:t>
      </w:r>
      <w:r w:rsidRPr="00087A72">
        <w:rPr>
          <w:rFonts w:cs="Arial"/>
          <w:sz w:val="16"/>
          <w:szCs w:val="28"/>
        </w:rPr>
        <w:t>’</w:t>
      </w:r>
      <w:r w:rsidRPr="00087A72">
        <w:rPr>
          <w:rFonts w:eastAsia="Calibri" w:cs="Arial"/>
          <w:sz w:val="16"/>
          <w:szCs w:val="28"/>
        </w:rPr>
        <w:t>s</w:t>
      </w:r>
      <w:r w:rsidRPr="00087A72">
        <w:rPr>
          <w:rFonts w:cs="Arial"/>
          <w:sz w:val="16"/>
          <w:szCs w:val="28"/>
        </w:rPr>
        <w:t xml:space="preserve"> </w:t>
      </w:r>
      <w:r w:rsidRPr="00087A72">
        <w:rPr>
          <w:rFonts w:eastAsia="Calibri" w:cs="Arial"/>
          <w:sz w:val="16"/>
          <w:szCs w:val="28"/>
        </w:rPr>
        <w:t>Toward</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Global</w:t>
      </w:r>
      <w:r w:rsidRPr="00087A72">
        <w:rPr>
          <w:rFonts w:cs="Arial"/>
          <w:sz w:val="16"/>
          <w:szCs w:val="28"/>
        </w:rPr>
        <w:t xml:space="preserve"> </w:t>
      </w:r>
      <w:r w:rsidRPr="00087A72">
        <w:rPr>
          <w:rFonts w:eastAsia="Calibri" w:cs="Arial"/>
          <w:sz w:val="16"/>
          <w:szCs w:val="28"/>
        </w:rPr>
        <w:t>Idea</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white</w:t>
      </w:r>
      <w:r w:rsidRPr="00087A72">
        <w:rPr>
          <w:rFonts w:cs="Arial"/>
          <w:sz w:val="16"/>
          <w:szCs w:val="28"/>
        </w:rPr>
        <w:t xml:space="preserve">) </w:t>
      </w:r>
      <w:r w:rsidRPr="00087A72">
        <w:rPr>
          <w:rFonts w:eastAsia="Calibri" w:cs="Arial"/>
          <w:sz w:val="16"/>
          <w:szCs w:val="28"/>
        </w:rPr>
        <w:t>subject</w:t>
      </w:r>
      <w:r w:rsidRPr="00087A72">
        <w:rPr>
          <w:rFonts w:cs="Arial"/>
          <w:sz w:val="16"/>
          <w:szCs w:val="28"/>
        </w:rPr>
        <w:t xml:space="preserve"> </w:t>
      </w:r>
      <w:r w:rsidRPr="00087A72">
        <w:rPr>
          <w:rFonts w:eastAsia="Calibri" w:cs="Arial"/>
          <w:sz w:val="16"/>
          <w:szCs w:val="28"/>
        </w:rPr>
        <w:t>is</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universal</w:t>
      </w:r>
      <w:r w:rsidRPr="00087A72">
        <w:rPr>
          <w:rFonts w:cs="Arial"/>
          <w:sz w:val="16"/>
          <w:szCs w:val="28"/>
        </w:rPr>
        <w:t xml:space="preserve"> </w:t>
      </w:r>
      <w:r w:rsidRPr="00087A72">
        <w:rPr>
          <w:rFonts w:eastAsia="Calibri" w:cs="Arial"/>
          <w:sz w:val="16"/>
          <w:szCs w:val="28"/>
        </w:rPr>
        <w:t>self</w:t>
      </w:r>
      <w:r w:rsidRPr="00087A72">
        <w:rPr>
          <w:rFonts w:cs="Arial"/>
          <w:sz w:val="16"/>
          <w:szCs w:val="28"/>
        </w:rPr>
        <w:t>-</w:t>
      </w:r>
      <w:r w:rsidRPr="00087A72">
        <w:rPr>
          <w:rFonts w:eastAsia="Calibri" w:cs="Arial"/>
          <w:sz w:val="16"/>
          <w:szCs w:val="28"/>
        </w:rPr>
        <w:t>determining</w:t>
      </w:r>
      <w:r w:rsidRPr="00087A72">
        <w:rPr>
          <w:rFonts w:cs="Arial"/>
          <w:sz w:val="16"/>
          <w:szCs w:val="28"/>
        </w:rPr>
        <w:t xml:space="preserve"> </w:t>
      </w:r>
      <w:r w:rsidRPr="00087A72">
        <w:rPr>
          <w:rFonts w:eastAsia="Calibri" w:cs="Arial"/>
          <w:sz w:val="16"/>
          <w:szCs w:val="28"/>
        </w:rPr>
        <w:t>subject</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transparent</w:t>
      </w:r>
      <w:r w:rsidRPr="00087A72">
        <w:rPr>
          <w:rFonts w:cs="Arial"/>
          <w:sz w:val="16"/>
          <w:szCs w:val="28"/>
        </w:rPr>
        <w:t xml:space="preserve"> </w:t>
      </w:r>
      <w:r w:rsidRPr="00087A72">
        <w:rPr>
          <w:rFonts w:eastAsia="Calibri" w:cs="Arial"/>
          <w:sz w:val="16"/>
          <w:szCs w:val="28"/>
        </w:rPr>
        <w:t>I</w:t>
      </w:r>
      <w:r w:rsidRPr="00087A72">
        <w:rPr>
          <w:rFonts w:cs="Arial"/>
          <w:sz w:val="16"/>
          <w:szCs w:val="28"/>
        </w:rPr>
        <w:t xml:space="preserve">,” </w:t>
      </w:r>
      <w:r w:rsidRPr="00087A72">
        <w:rPr>
          <w:rFonts w:eastAsia="Calibri" w:cs="Arial"/>
          <w:sz w:val="16"/>
          <w:szCs w:val="28"/>
        </w:rPr>
        <w:t>but</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racialized</w:t>
      </w:r>
      <w:r w:rsidRPr="00087A72">
        <w:rPr>
          <w:rFonts w:cs="Arial"/>
          <w:sz w:val="16"/>
          <w:szCs w:val="28"/>
        </w:rPr>
        <w:t xml:space="preserve"> </w:t>
      </w:r>
      <w:r w:rsidRPr="00087A72">
        <w:rPr>
          <w:rFonts w:eastAsia="Calibri" w:cs="Arial"/>
          <w:sz w:val="16"/>
          <w:szCs w:val="28"/>
        </w:rPr>
        <w:t>subject</w:t>
      </w:r>
      <w:r w:rsidRPr="00087A72">
        <w:rPr>
          <w:rFonts w:cs="Arial"/>
          <w:sz w:val="16"/>
          <w:szCs w:val="28"/>
        </w:rPr>
        <w:t xml:space="preserve"> </w:t>
      </w:r>
      <w:r w:rsidRPr="00087A72">
        <w:rPr>
          <w:rFonts w:eastAsia="Calibri" w:cs="Arial"/>
          <w:sz w:val="16"/>
          <w:szCs w:val="28"/>
        </w:rPr>
        <w:t>is</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affectable</w:t>
      </w:r>
      <w:r w:rsidRPr="00087A72">
        <w:rPr>
          <w:rFonts w:cs="Arial"/>
          <w:sz w:val="16"/>
          <w:szCs w:val="28"/>
        </w:rPr>
        <w:t xml:space="preserve"> </w:t>
      </w:r>
      <w:r w:rsidRPr="00087A72">
        <w:rPr>
          <w:rFonts w:eastAsia="Calibri" w:cs="Arial"/>
          <w:sz w:val="16"/>
          <w:szCs w:val="28"/>
        </w:rPr>
        <w:t>other</w:t>
      </w:r>
      <w:r w:rsidRPr="00087A72">
        <w:rPr>
          <w:rFonts w:cs="Arial"/>
          <w:sz w:val="16"/>
          <w:szCs w:val="28"/>
        </w:rPr>
        <w:t xml:space="preserve">.” </w:t>
      </w:r>
      <w:r w:rsidRPr="00087A72">
        <w:rPr>
          <w:rFonts w:eastAsia="Calibri" w:cs="Arial"/>
          <w:sz w:val="16"/>
          <w:szCs w:val="28"/>
        </w:rPr>
        <w:t>But</w:t>
      </w:r>
      <w:r w:rsidRPr="00087A72">
        <w:rPr>
          <w:rFonts w:cs="Arial"/>
          <w:sz w:val="16"/>
          <w:szCs w:val="28"/>
        </w:rPr>
        <w:t xml:space="preserve"> </w:t>
      </w:r>
      <w:r w:rsidRPr="00087A72">
        <w:rPr>
          <w:rFonts w:eastAsia="Calibri" w:cs="Arial"/>
          <w:sz w:val="16"/>
          <w:szCs w:val="28"/>
        </w:rPr>
        <w:t>if</w:t>
      </w:r>
      <w:r w:rsidRPr="00087A72">
        <w:rPr>
          <w:rFonts w:cs="Arial"/>
          <w:sz w:val="16"/>
          <w:szCs w:val="28"/>
        </w:rPr>
        <w:t xml:space="preserve"> </w:t>
      </w:r>
      <w:r w:rsidRPr="00087A72">
        <w:rPr>
          <w:rFonts w:eastAsia="Calibri" w:cs="Arial"/>
          <w:sz w:val="16"/>
          <w:szCs w:val="28"/>
        </w:rPr>
        <w:t>queerness</w:t>
      </w:r>
      <w:r w:rsidRPr="00087A72">
        <w:rPr>
          <w:rFonts w:cs="Arial"/>
          <w:sz w:val="16"/>
          <w:szCs w:val="28"/>
        </w:rPr>
        <w:t xml:space="preserve"> </w:t>
      </w:r>
      <w:r w:rsidRPr="00087A72">
        <w:rPr>
          <w:rFonts w:eastAsia="Calibri" w:cs="Arial"/>
          <w:sz w:val="16"/>
          <w:szCs w:val="28"/>
        </w:rPr>
        <w:t>is</w:t>
      </w:r>
      <w:r w:rsidRPr="00087A72">
        <w:rPr>
          <w:rFonts w:cs="Arial"/>
          <w:sz w:val="16"/>
          <w:szCs w:val="28"/>
        </w:rPr>
        <w:t xml:space="preserve"> </w:t>
      </w:r>
      <w:r w:rsidRPr="00087A72">
        <w:rPr>
          <w:rFonts w:eastAsia="Calibri" w:cs="Arial"/>
          <w:sz w:val="16"/>
          <w:szCs w:val="28"/>
        </w:rPr>
        <w:t>dominated</w:t>
      </w:r>
      <w:r w:rsidRPr="00087A72">
        <w:rPr>
          <w:rFonts w:cs="Arial"/>
          <w:sz w:val="16"/>
          <w:szCs w:val="28"/>
        </w:rPr>
        <w:t xml:space="preserve"> </w:t>
      </w:r>
      <w:r w:rsidRPr="00087A72">
        <w:rPr>
          <w:rFonts w:eastAsia="Calibri" w:cs="Arial"/>
          <w:sz w:val="16"/>
          <w:szCs w:val="28"/>
        </w:rPr>
        <w:t>by</w:t>
      </w:r>
      <w:r w:rsidRPr="00087A72">
        <w:rPr>
          <w:rFonts w:cs="Arial"/>
          <w:sz w:val="16"/>
          <w:szCs w:val="28"/>
        </w:rPr>
        <w:t xml:space="preserve"> </w:t>
      </w:r>
      <w:r w:rsidRPr="00087A72">
        <w:rPr>
          <w:rFonts w:eastAsia="Calibri" w:cs="Arial"/>
          <w:sz w:val="16"/>
          <w:szCs w:val="28"/>
        </w:rPr>
        <w:t>whiteness</w:t>
      </w:r>
      <w:r w:rsidRPr="00087A72">
        <w:rPr>
          <w:rFonts w:cs="Arial"/>
          <w:sz w:val="16"/>
          <w:szCs w:val="28"/>
        </w:rPr>
        <w:t xml:space="preserve">,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Warner</w:t>
      </w:r>
      <w:r w:rsidRPr="00087A72">
        <w:rPr>
          <w:rFonts w:cs="Arial"/>
          <w:sz w:val="16"/>
          <w:szCs w:val="28"/>
        </w:rPr>
        <w:t xml:space="preserve"> </w:t>
      </w:r>
      <w:r w:rsidRPr="00087A72">
        <w:rPr>
          <w:rFonts w:eastAsia="Calibri" w:cs="Arial"/>
          <w:sz w:val="16"/>
          <w:szCs w:val="28"/>
        </w:rPr>
        <w:t>concedes</w:t>
      </w:r>
      <w:r w:rsidRPr="00087A72">
        <w:rPr>
          <w:rFonts w:cs="Arial"/>
          <w:sz w:val="16"/>
          <w:szCs w:val="28"/>
        </w:rPr>
        <w:t xml:space="preserve">, </w:t>
      </w:r>
      <w:r w:rsidRPr="00087A72">
        <w:rPr>
          <w:rFonts w:eastAsia="Calibri" w:cs="Arial"/>
          <w:sz w:val="16"/>
          <w:szCs w:val="28"/>
        </w:rPr>
        <w:t>then</w:t>
      </w:r>
      <w:r w:rsidRPr="00087A72">
        <w:rPr>
          <w:rFonts w:cs="Arial"/>
          <w:sz w:val="16"/>
          <w:szCs w:val="28"/>
        </w:rPr>
        <w:t xml:space="preserve"> </w:t>
      </w:r>
      <w:r w:rsidRPr="00087A72">
        <w:rPr>
          <w:rFonts w:eastAsia="Calibri" w:cs="Arial"/>
          <w:sz w:val="16"/>
          <w:szCs w:val="28"/>
        </w:rPr>
        <w:t>it</w:t>
      </w:r>
      <w:r w:rsidRPr="00087A72">
        <w:rPr>
          <w:rFonts w:cs="Arial"/>
          <w:sz w:val="16"/>
          <w:szCs w:val="28"/>
        </w:rPr>
        <w:t xml:space="preserve"> </w:t>
      </w:r>
      <w:r w:rsidRPr="00087A72">
        <w:rPr>
          <w:rFonts w:eastAsia="Calibri" w:cs="Arial"/>
          <w:sz w:val="16"/>
          <w:szCs w:val="28"/>
        </w:rPr>
        <w:t>also</w:t>
      </w:r>
      <w:r w:rsidRPr="00087A72">
        <w:rPr>
          <w:rFonts w:cs="Arial"/>
          <w:sz w:val="16"/>
          <w:szCs w:val="28"/>
        </w:rPr>
        <w:t xml:space="preserve"> </w:t>
      </w:r>
      <w:r w:rsidRPr="00087A72">
        <w:rPr>
          <w:rFonts w:eastAsia="Calibri" w:cs="Arial"/>
          <w:sz w:val="16"/>
          <w:szCs w:val="28"/>
        </w:rPr>
        <w:t>follows</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logic</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belonging</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notbelonging</w:t>
      </w:r>
      <w:r w:rsidRPr="00087A72">
        <w:rPr>
          <w:rFonts w:cs="Arial"/>
          <w:sz w:val="16"/>
          <w:szCs w:val="28"/>
        </w:rPr>
        <w:t xml:space="preserve">. </w:t>
      </w:r>
      <w:r w:rsidRPr="00087A72">
        <w:rPr>
          <w:rFonts w:eastAsia="Calibri" w:cs="Arial"/>
          <w:sz w:val="16"/>
          <w:szCs w:val="28"/>
        </w:rPr>
        <w:t>It</w:t>
      </w:r>
      <w:r w:rsidRPr="00087A72">
        <w:rPr>
          <w:rFonts w:cs="Arial"/>
          <w:sz w:val="16"/>
          <w:szCs w:val="28"/>
        </w:rPr>
        <w:t xml:space="preserve"> </w:t>
      </w:r>
      <w:r w:rsidRPr="00087A72">
        <w:rPr>
          <w:rFonts w:eastAsia="Calibri" w:cs="Arial"/>
          <w:sz w:val="16"/>
          <w:szCs w:val="28"/>
        </w:rPr>
        <w:t>also</w:t>
      </w:r>
      <w:r w:rsidRPr="00087A72">
        <w:rPr>
          <w:rFonts w:cs="Arial"/>
          <w:sz w:val="16"/>
          <w:szCs w:val="28"/>
        </w:rPr>
        <w:t xml:space="preserve"> </w:t>
      </w:r>
      <w:r w:rsidRPr="00087A72">
        <w:rPr>
          <w:rFonts w:eastAsia="Calibri" w:cs="Arial"/>
          <w:sz w:val="16"/>
          <w:szCs w:val="28"/>
        </w:rPr>
        <w:t>relies</w:t>
      </w:r>
      <w:r w:rsidRPr="00087A72">
        <w:rPr>
          <w:rFonts w:cs="Arial"/>
          <w:sz w:val="16"/>
          <w:szCs w:val="28"/>
        </w:rPr>
        <w:t xml:space="preserve"> </w:t>
      </w:r>
      <w:r w:rsidRPr="00087A72">
        <w:rPr>
          <w:rFonts w:eastAsia="Calibri" w:cs="Arial"/>
          <w:sz w:val="16"/>
          <w:szCs w:val="28"/>
        </w:rPr>
        <w:t>on</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shared</w:t>
      </w:r>
      <w:r w:rsidRPr="00087A72">
        <w:rPr>
          <w:rFonts w:cs="Arial"/>
          <w:sz w:val="16"/>
          <w:szCs w:val="28"/>
        </w:rPr>
        <w:t xml:space="preserve"> </w:t>
      </w:r>
      <w:r w:rsidRPr="00087A72">
        <w:rPr>
          <w:rFonts w:eastAsia="Calibri" w:cs="Arial"/>
          <w:sz w:val="16"/>
          <w:szCs w:val="28"/>
        </w:rPr>
        <w:t>culture</w:t>
      </w:r>
      <w:r w:rsidRPr="00087A72">
        <w:rPr>
          <w:rFonts w:cs="Arial"/>
          <w:sz w:val="16"/>
          <w:szCs w:val="28"/>
        </w:rPr>
        <w:t xml:space="preserve"> — </w:t>
      </w:r>
      <w:r w:rsidRPr="00087A72">
        <w:rPr>
          <w:rFonts w:eastAsia="Calibri" w:cs="Arial"/>
          <w:sz w:val="16"/>
          <w:szCs w:val="28"/>
        </w:rPr>
        <w:t>one</w:t>
      </w:r>
      <w:r w:rsidRPr="00087A72">
        <w:rPr>
          <w:rFonts w:cs="Arial"/>
          <w:sz w:val="16"/>
          <w:szCs w:val="28"/>
        </w:rPr>
        <w:t xml:space="preserve"> </w:t>
      </w:r>
      <w:r w:rsidRPr="00087A72">
        <w:rPr>
          <w:rFonts w:eastAsia="Calibri" w:cs="Arial"/>
          <w:sz w:val="16"/>
          <w:szCs w:val="28"/>
        </w:rPr>
        <w:t>based</w:t>
      </w:r>
      <w:r w:rsidRPr="00087A72">
        <w:rPr>
          <w:rFonts w:cs="Arial"/>
          <w:sz w:val="16"/>
          <w:szCs w:val="28"/>
        </w:rPr>
        <w:t xml:space="preserve"> </w:t>
      </w:r>
      <w:r w:rsidRPr="00087A72">
        <w:rPr>
          <w:rFonts w:eastAsia="Calibri" w:cs="Arial"/>
          <w:sz w:val="16"/>
          <w:szCs w:val="28"/>
        </w:rPr>
        <w:t>on</w:t>
      </w:r>
      <w:r w:rsidRPr="00087A72">
        <w:rPr>
          <w:rFonts w:cs="Arial"/>
          <w:sz w:val="16"/>
          <w:szCs w:val="28"/>
        </w:rPr>
        <w:t xml:space="preserve"> </w:t>
      </w:r>
      <w:r w:rsidRPr="00087A72">
        <w:rPr>
          <w:rFonts w:eastAsia="Calibri" w:cs="Arial"/>
          <w:sz w:val="16"/>
          <w:szCs w:val="28"/>
        </w:rPr>
        <w:t>white</w:t>
      </w:r>
      <w:r w:rsidRPr="00087A72">
        <w:rPr>
          <w:rFonts w:cs="Arial"/>
          <w:sz w:val="16"/>
          <w:szCs w:val="28"/>
        </w:rPr>
        <w:t xml:space="preserve"> </w:t>
      </w:r>
      <w:r w:rsidRPr="00087A72">
        <w:rPr>
          <w:rFonts w:eastAsia="Calibri" w:cs="Arial"/>
          <w:sz w:val="16"/>
          <w:szCs w:val="28"/>
        </w:rPr>
        <w:t>supremacy</w:t>
      </w:r>
      <w:r w:rsidRPr="00087A72">
        <w:rPr>
          <w:rFonts w:cs="Arial"/>
          <w:sz w:val="16"/>
          <w:szCs w:val="28"/>
        </w:rPr>
        <w:t xml:space="preserve">.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Perez</w:t>
      </w:r>
      <w:r w:rsidRPr="00087A72">
        <w:rPr>
          <w:rFonts w:cs="Arial"/>
          <w:sz w:val="16"/>
          <w:szCs w:val="28"/>
        </w:rPr>
        <w:t xml:space="preserve"> </w:t>
      </w:r>
      <w:r w:rsidRPr="00087A72">
        <w:rPr>
          <w:rFonts w:eastAsia="Calibri" w:cs="Arial"/>
          <w:sz w:val="16"/>
          <w:szCs w:val="28"/>
        </w:rPr>
        <w:t>notes</w:t>
      </w:r>
      <w:r w:rsidRPr="00087A72">
        <w:rPr>
          <w:rFonts w:cs="Arial"/>
          <w:sz w:val="16"/>
          <w:szCs w:val="28"/>
        </w:rPr>
        <w:t>: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theory</w:t>
      </w:r>
      <w:r w:rsidRPr="00087A72">
        <w:rPr>
          <w:rFonts w:cs="Arial"/>
          <w:sz w:val="16"/>
          <w:szCs w:val="28"/>
        </w:rPr>
        <w:t xml:space="preserve">, </w:t>
      </w:r>
      <w:r w:rsidRPr="00087A72">
        <w:rPr>
          <w:rFonts w:eastAsia="Calibri" w:cs="Arial"/>
          <w:sz w:val="16"/>
          <w:szCs w:val="28"/>
        </w:rPr>
        <w:t>when</w:t>
      </w:r>
      <w:r w:rsidRPr="00087A72">
        <w:rPr>
          <w:rFonts w:cs="Arial"/>
          <w:sz w:val="16"/>
          <w:szCs w:val="28"/>
        </w:rPr>
        <w:t xml:space="preserve"> </w:t>
      </w:r>
      <w:r w:rsidRPr="00087A72">
        <w:rPr>
          <w:rFonts w:eastAsia="Calibri" w:cs="Arial"/>
          <w:sz w:val="16"/>
          <w:szCs w:val="28"/>
        </w:rPr>
        <w:t>it</w:t>
      </w:r>
      <w:r w:rsidRPr="00087A72">
        <w:rPr>
          <w:rFonts w:cs="Arial"/>
          <w:sz w:val="16"/>
          <w:szCs w:val="28"/>
        </w:rPr>
        <w:t xml:space="preserve"> </w:t>
      </w:r>
      <w:r w:rsidRPr="00087A72">
        <w:rPr>
          <w:rFonts w:eastAsia="Calibri" w:cs="Arial"/>
          <w:sz w:val="16"/>
          <w:szCs w:val="28"/>
        </w:rPr>
        <w:t>privileges</w:t>
      </w:r>
      <w:r w:rsidRPr="00087A72">
        <w:rPr>
          <w:rFonts w:cs="Arial"/>
          <w:sz w:val="16"/>
          <w:szCs w:val="28"/>
        </w:rPr>
        <w:t xml:space="preserve"> </w:t>
      </w:r>
      <w:r w:rsidRPr="00087A72">
        <w:rPr>
          <w:rFonts w:eastAsia="Calibri" w:cs="Arial"/>
          <w:sz w:val="16"/>
          <w:szCs w:val="28"/>
        </w:rPr>
        <w:t>difference</w:t>
      </w:r>
      <w:r w:rsidRPr="00087A72">
        <w:rPr>
          <w:rFonts w:cs="Arial"/>
          <w:sz w:val="16"/>
          <w:szCs w:val="28"/>
        </w:rPr>
        <w:t xml:space="preserve"> </w:t>
      </w:r>
      <w:r w:rsidRPr="00087A72">
        <w:rPr>
          <w:rFonts w:eastAsia="Calibri" w:cs="Arial"/>
          <w:sz w:val="16"/>
          <w:szCs w:val="28"/>
        </w:rPr>
        <w:t>over</w:t>
      </w:r>
      <w:r w:rsidRPr="00087A72">
        <w:rPr>
          <w:rFonts w:cs="Arial"/>
          <w:sz w:val="16"/>
          <w:szCs w:val="28"/>
        </w:rPr>
        <w:t xml:space="preserve"> </w:t>
      </w:r>
      <w:r w:rsidRPr="00087A72">
        <w:rPr>
          <w:rFonts w:eastAsia="Calibri" w:cs="Arial"/>
          <w:sz w:val="16"/>
          <w:szCs w:val="28"/>
        </w:rPr>
        <w:t>sameness</w:t>
      </w:r>
      <w:r w:rsidRPr="00087A72">
        <w:rPr>
          <w:rFonts w:cs="Arial"/>
          <w:sz w:val="16"/>
          <w:szCs w:val="28"/>
        </w:rPr>
        <w:t xml:space="preserve"> </w:t>
      </w:r>
      <w:r w:rsidRPr="00087A72">
        <w:rPr>
          <w:rFonts w:eastAsia="Calibri" w:cs="Arial"/>
          <w:sz w:val="16"/>
          <w:szCs w:val="28"/>
        </w:rPr>
        <w:t>absolutely</w:t>
      </w:r>
      <w:r w:rsidRPr="00087A72">
        <w:rPr>
          <w:rFonts w:cs="Arial"/>
          <w:sz w:val="16"/>
          <w:szCs w:val="28"/>
        </w:rPr>
        <w:t xml:space="preserve">, </w:t>
      </w:r>
      <w:r w:rsidRPr="00087A72">
        <w:rPr>
          <w:rFonts w:eastAsia="Calibri" w:cs="Arial"/>
          <w:sz w:val="16"/>
          <w:szCs w:val="28"/>
        </w:rPr>
        <w:t>colludes</w:t>
      </w:r>
      <w:r w:rsidRPr="00087A72">
        <w:rPr>
          <w:rFonts w:cs="Arial"/>
          <w:sz w:val="16"/>
          <w:szCs w:val="28"/>
        </w:rPr>
        <w:t xml:space="preserve"> </w:t>
      </w:r>
      <w:r w:rsidRPr="00087A72">
        <w:rPr>
          <w:rFonts w:eastAsia="Calibri" w:cs="Arial"/>
          <w:sz w:val="16"/>
          <w:szCs w:val="28"/>
        </w:rPr>
        <w:t>with</w:t>
      </w:r>
      <w:r w:rsidRPr="00087A72">
        <w:rPr>
          <w:rFonts w:cs="Arial"/>
          <w:sz w:val="16"/>
          <w:szCs w:val="28"/>
        </w:rPr>
        <w:t xml:space="preserve"> </w:t>
      </w:r>
      <w:r w:rsidRPr="00087A72">
        <w:rPr>
          <w:rFonts w:eastAsia="Calibri" w:cs="Arial"/>
          <w:sz w:val="16"/>
          <w:szCs w:val="28"/>
        </w:rPr>
        <w:t>institutionalized</w:t>
      </w:r>
      <w:r w:rsidRPr="00087A72">
        <w:rPr>
          <w:rFonts w:cs="Arial"/>
          <w:sz w:val="16"/>
          <w:szCs w:val="28"/>
        </w:rPr>
        <w:t xml:space="preserve"> </w:t>
      </w:r>
      <w:r w:rsidRPr="00087A72">
        <w:rPr>
          <w:rFonts w:eastAsia="Calibri" w:cs="Arial"/>
          <w:sz w:val="16"/>
          <w:szCs w:val="28"/>
        </w:rPr>
        <w:t>racism</w:t>
      </w:r>
      <w:r w:rsidRPr="00087A72">
        <w:rPr>
          <w:rFonts w:cs="Arial"/>
          <w:sz w:val="16"/>
          <w:szCs w:val="28"/>
        </w:rPr>
        <w:t xml:space="preserve"> </w:t>
      </w:r>
      <w:r w:rsidRPr="00087A72">
        <w:rPr>
          <w:rFonts w:eastAsia="Calibri" w:cs="Arial"/>
          <w:sz w:val="16"/>
          <w:szCs w:val="28"/>
        </w:rPr>
        <w:t>in</w:t>
      </w:r>
      <w:r w:rsidRPr="00087A72">
        <w:rPr>
          <w:rFonts w:cs="Arial"/>
          <w:sz w:val="16"/>
          <w:szCs w:val="28"/>
        </w:rPr>
        <w:t xml:space="preserve"> </w:t>
      </w:r>
      <w:r w:rsidRPr="00087A72">
        <w:rPr>
          <w:rFonts w:eastAsia="Calibri" w:cs="Arial"/>
          <w:sz w:val="16"/>
          <w:szCs w:val="28"/>
        </w:rPr>
        <w:t>vanishing</w:t>
      </w:r>
      <w:r w:rsidRPr="00087A72">
        <w:rPr>
          <w:rFonts w:cs="Arial"/>
          <w:sz w:val="16"/>
          <w:szCs w:val="28"/>
        </w:rPr>
        <w:t xml:space="preserve">, </w:t>
      </w:r>
      <w:r w:rsidRPr="00087A72">
        <w:rPr>
          <w:rFonts w:eastAsia="Calibri" w:cs="Arial"/>
          <w:sz w:val="16"/>
          <w:szCs w:val="28"/>
        </w:rPr>
        <w:t>hence</w:t>
      </w:r>
      <w:r w:rsidRPr="00087A72">
        <w:rPr>
          <w:rFonts w:cs="Arial"/>
          <w:sz w:val="16"/>
          <w:szCs w:val="28"/>
        </w:rPr>
        <w:t xml:space="preserve"> </w:t>
      </w:r>
      <w:r w:rsidRPr="00087A72">
        <w:rPr>
          <w:rFonts w:eastAsia="Calibri" w:cs="Arial"/>
          <w:sz w:val="16"/>
          <w:szCs w:val="28"/>
        </w:rPr>
        <w:t>retrenching</w:t>
      </w:r>
      <w:r w:rsidRPr="00087A72">
        <w:rPr>
          <w:rFonts w:cs="Arial"/>
          <w:sz w:val="16"/>
          <w:szCs w:val="28"/>
        </w:rPr>
        <w:t xml:space="preserve">, </w:t>
      </w:r>
      <w:r w:rsidRPr="00087A72">
        <w:rPr>
          <w:rFonts w:eastAsia="Calibri" w:cs="Arial"/>
          <w:sz w:val="16"/>
          <w:szCs w:val="28"/>
        </w:rPr>
        <w:t>white</w:t>
      </w:r>
      <w:r w:rsidRPr="00087A72">
        <w:rPr>
          <w:rFonts w:cs="Arial"/>
          <w:sz w:val="16"/>
          <w:szCs w:val="28"/>
        </w:rPr>
        <w:t xml:space="preserve"> </w:t>
      </w:r>
      <w:r w:rsidRPr="00087A72">
        <w:rPr>
          <w:rFonts w:eastAsia="Calibri" w:cs="Arial"/>
          <w:sz w:val="16"/>
          <w:szCs w:val="28"/>
        </w:rPr>
        <w:t>privilege</w:t>
      </w:r>
      <w:r w:rsidRPr="00087A72">
        <w:rPr>
          <w:rFonts w:cs="Arial"/>
          <w:sz w:val="16"/>
          <w:szCs w:val="28"/>
        </w:rPr>
        <w:t xml:space="preserve">. </w:t>
      </w:r>
      <w:r w:rsidRPr="00087A72">
        <w:rPr>
          <w:rFonts w:eastAsia="Calibri" w:cs="Arial"/>
          <w:sz w:val="16"/>
          <w:szCs w:val="28"/>
        </w:rPr>
        <w:t>It</w:t>
      </w:r>
      <w:r w:rsidRPr="00087A72">
        <w:rPr>
          <w:rFonts w:cs="Arial"/>
          <w:sz w:val="16"/>
          <w:szCs w:val="28"/>
        </w:rPr>
        <w:t xml:space="preserve"> </w:t>
      </w:r>
      <w:r w:rsidRPr="00087A72">
        <w:rPr>
          <w:rFonts w:eastAsia="Calibri" w:cs="Arial"/>
          <w:sz w:val="16"/>
          <w:szCs w:val="28"/>
        </w:rPr>
        <w:t>serves</w:t>
      </w:r>
      <w:r w:rsidRPr="00087A72">
        <w:rPr>
          <w:rFonts w:cs="Arial"/>
          <w:sz w:val="16"/>
          <w:szCs w:val="28"/>
        </w:rPr>
        <w:t xml:space="preserve"> </w:t>
      </w:r>
      <w:r w:rsidRPr="00087A72">
        <w:rPr>
          <w:rFonts w:eastAsia="Calibri" w:cs="Arial"/>
          <w:sz w:val="16"/>
          <w:szCs w:val="28"/>
        </w:rPr>
        <w:t>as</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magician</w:t>
      </w:r>
      <w:r w:rsidRPr="00087A72">
        <w:rPr>
          <w:rFonts w:cs="Arial"/>
          <w:sz w:val="16"/>
          <w:szCs w:val="28"/>
        </w:rPr>
        <w:t>’</w:t>
      </w:r>
      <w:r w:rsidRPr="00087A72">
        <w:rPr>
          <w:rFonts w:eastAsia="Calibri" w:cs="Arial"/>
          <w:sz w:val="16"/>
          <w:szCs w:val="28"/>
        </w:rPr>
        <w:t>s</w:t>
      </w:r>
      <w:r w:rsidRPr="00087A72">
        <w:rPr>
          <w:rFonts w:cs="Arial"/>
          <w:sz w:val="16"/>
          <w:szCs w:val="28"/>
        </w:rPr>
        <w:t xml:space="preserve"> </w:t>
      </w:r>
      <w:r w:rsidRPr="00087A72">
        <w:rPr>
          <w:rFonts w:eastAsia="Calibri" w:cs="Arial"/>
          <w:sz w:val="16"/>
          <w:szCs w:val="28"/>
        </w:rPr>
        <w:t>assistant</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whiteness</w:t>
      </w:r>
      <w:r w:rsidRPr="00087A72">
        <w:rPr>
          <w:rFonts w:cs="Arial"/>
          <w:sz w:val="16"/>
          <w:szCs w:val="28"/>
        </w:rPr>
        <w:t>’</w:t>
      </w:r>
      <w:r w:rsidRPr="00087A72">
        <w:rPr>
          <w:rFonts w:eastAsia="Calibri" w:cs="Arial"/>
          <w:sz w:val="16"/>
          <w:szCs w:val="28"/>
        </w:rPr>
        <w:t>s</w:t>
      </w:r>
      <w:r w:rsidRPr="00087A72">
        <w:rPr>
          <w:rFonts w:cs="Arial"/>
          <w:sz w:val="16"/>
          <w:szCs w:val="28"/>
        </w:rPr>
        <w:t xml:space="preserve"> </w:t>
      </w:r>
      <w:r w:rsidRPr="00087A72">
        <w:rPr>
          <w:rFonts w:eastAsia="Calibri" w:cs="Arial"/>
          <w:sz w:val="16"/>
          <w:szCs w:val="28"/>
        </w:rPr>
        <w:t>disappearing</w:t>
      </w:r>
      <w:r w:rsidRPr="00087A72">
        <w:rPr>
          <w:rFonts w:cs="Arial"/>
          <w:sz w:val="16"/>
          <w:szCs w:val="28"/>
        </w:rPr>
        <w:t xml:space="preserve"> </w:t>
      </w:r>
      <w:r w:rsidRPr="00087A72">
        <w:rPr>
          <w:rFonts w:eastAsia="Calibri" w:cs="Arial"/>
          <w:sz w:val="16"/>
          <w:szCs w:val="28"/>
        </w:rPr>
        <w:t>act</w:t>
      </w:r>
      <w:r w:rsidRPr="00087A72">
        <w:rPr>
          <w:rFonts w:cs="Arial"/>
          <w:sz w:val="16"/>
          <w:szCs w:val="28"/>
        </w:rPr>
        <w:t xml:space="preserve">.”17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extend</w:t>
      </w:r>
      <w:r w:rsidRPr="00087A72">
        <w:rPr>
          <w:rFonts w:cs="Arial"/>
          <w:sz w:val="16"/>
          <w:szCs w:val="28"/>
        </w:rPr>
        <w:t xml:space="preserve"> </w:t>
      </w:r>
      <w:r w:rsidRPr="00087A72">
        <w:rPr>
          <w:rFonts w:eastAsia="Calibri" w:cs="Arial"/>
          <w:sz w:val="16"/>
          <w:szCs w:val="28"/>
        </w:rPr>
        <w:t>Perez</w:t>
      </w:r>
      <w:r w:rsidRPr="00087A72">
        <w:rPr>
          <w:rFonts w:cs="Arial"/>
          <w:sz w:val="16"/>
          <w:szCs w:val="28"/>
        </w:rPr>
        <w:t>’</w:t>
      </w:r>
      <w:r w:rsidRPr="00087A72">
        <w:rPr>
          <w:rFonts w:eastAsia="Calibri" w:cs="Arial"/>
          <w:sz w:val="16"/>
          <w:szCs w:val="28"/>
        </w:rPr>
        <w:t>s</w:t>
      </w:r>
      <w:r w:rsidRPr="00087A72">
        <w:rPr>
          <w:rFonts w:cs="Arial"/>
          <w:sz w:val="16"/>
          <w:szCs w:val="28"/>
        </w:rPr>
        <w:t xml:space="preserve"> </w:t>
      </w:r>
      <w:r w:rsidRPr="00087A72">
        <w:rPr>
          <w:rFonts w:eastAsia="Calibri" w:cs="Arial"/>
          <w:sz w:val="16"/>
          <w:szCs w:val="28"/>
        </w:rPr>
        <w:t>analysis</w:t>
      </w:r>
      <w:r w:rsidRPr="00087A72">
        <w:rPr>
          <w:rFonts w:cs="Arial"/>
          <w:sz w:val="16"/>
          <w:szCs w:val="28"/>
        </w:rPr>
        <w:t xml:space="preserve">, </w:t>
      </w:r>
      <w:r w:rsidRPr="00087A72">
        <w:rPr>
          <w:rFonts w:eastAsia="Calibri" w:cs="Arial"/>
          <w:sz w:val="16"/>
          <w:szCs w:val="28"/>
        </w:rPr>
        <w:t>what</w:t>
      </w:r>
      <w:r w:rsidRPr="00087A72">
        <w:rPr>
          <w:rFonts w:cs="Arial"/>
          <w:sz w:val="16"/>
          <w:szCs w:val="28"/>
        </w:rPr>
        <w:t xml:space="preserve"> </w:t>
      </w:r>
      <w:r w:rsidRPr="00087A72">
        <w:rPr>
          <w:rFonts w:eastAsia="Calibri" w:cs="Arial"/>
          <w:sz w:val="16"/>
          <w:szCs w:val="28"/>
        </w:rPr>
        <w:t>seem</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disappear</w:t>
      </w:r>
      <w:r w:rsidRPr="00087A72">
        <w:rPr>
          <w:rFonts w:cs="Arial"/>
          <w:sz w:val="16"/>
          <w:szCs w:val="28"/>
        </w:rPr>
        <w:t xml:space="preserve"> </w:t>
      </w:r>
      <w:r w:rsidRPr="00087A72">
        <w:rPr>
          <w:rFonts w:eastAsia="Calibri" w:cs="Arial"/>
          <w:sz w:val="16"/>
          <w:szCs w:val="28"/>
        </w:rPr>
        <w:t>within</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theory</w:t>
      </w:r>
      <w:r w:rsidRPr="00087A72">
        <w:rPr>
          <w:rFonts w:cs="Arial"/>
          <w:sz w:val="16"/>
          <w:szCs w:val="28"/>
        </w:rPr>
        <w:t>’</w:t>
      </w:r>
      <w:r w:rsidRPr="00087A72">
        <w:rPr>
          <w:rFonts w:eastAsia="Calibri" w:cs="Arial"/>
          <w:sz w:val="16"/>
          <w:szCs w:val="28"/>
        </w:rPr>
        <w:t>s</w:t>
      </w:r>
      <w:r w:rsidRPr="00087A72">
        <w:rPr>
          <w:rFonts w:cs="Arial"/>
          <w:sz w:val="16"/>
          <w:szCs w:val="28"/>
        </w:rPr>
        <w:t xml:space="preserve"> </w:t>
      </w:r>
      <w:r w:rsidRPr="00087A72">
        <w:rPr>
          <w:rFonts w:eastAsia="Calibri" w:cs="Arial"/>
          <w:sz w:val="16"/>
          <w:szCs w:val="28"/>
        </w:rPr>
        <w:t>subjectless</w:t>
      </w:r>
      <w:r w:rsidRPr="00087A72">
        <w:rPr>
          <w:rFonts w:cs="Arial"/>
          <w:sz w:val="16"/>
          <w:szCs w:val="28"/>
        </w:rPr>
        <w:t xml:space="preserve"> </w:t>
      </w:r>
      <w:r w:rsidRPr="00087A72">
        <w:rPr>
          <w:rFonts w:eastAsia="Calibri" w:cs="Arial"/>
          <w:sz w:val="16"/>
          <w:szCs w:val="28"/>
        </w:rPr>
        <w:t>critique</w:t>
      </w:r>
      <w:r w:rsidRPr="00087A72">
        <w:rPr>
          <w:rFonts w:cs="Arial"/>
          <w:sz w:val="16"/>
          <w:szCs w:val="28"/>
        </w:rPr>
        <w:t xml:space="preserve"> </w:t>
      </w:r>
      <w:r w:rsidRPr="00087A72">
        <w:rPr>
          <w:rFonts w:eastAsia="Calibri" w:cs="Arial"/>
          <w:sz w:val="16"/>
          <w:szCs w:val="28"/>
        </w:rPr>
        <w:t>are</w:t>
      </w:r>
      <w:r w:rsidRPr="00087A72">
        <w:rPr>
          <w:rFonts w:cs="Arial"/>
          <w:sz w:val="16"/>
          <w:szCs w:val="28"/>
        </w:rPr>
        <w:t xml:space="preserve"> </w:t>
      </w:r>
      <w:r w:rsidRPr="00087A72">
        <w:rPr>
          <w:rFonts w:eastAsia="Calibri" w:cs="Arial"/>
          <w:sz w:val="16"/>
          <w:szCs w:val="28"/>
        </w:rPr>
        <w:t>settler</w:t>
      </w:r>
      <w:r w:rsidRPr="00087A72">
        <w:rPr>
          <w:rFonts w:cs="Arial"/>
          <w:sz w:val="16"/>
          <w:szCs w:val="28"/>
        </w:rPr>
        <w:t xml:space="preserve"> </w:t>
      </w:r>
      <w:r w:rsidRPr="00087A72">
        <w:rPr>
          <w:rFonts w:eastAsia="Calibri" w:cs="Arial"/>
          <w:sz w:val="16"/>
          <w:szCs w:val="28"/>
        </w:rPr>
        <w:t>colonialism</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ongoing</w:t>
      </w:r>
      <w:r w:rsidRPr="00087A72">
        <w:rPr>
          <w:rFonts w:cs="Arial"/>
          <w:sz w:val="16"/>
          <w:szCs w:val="28"/>
        </w:rPr>
        <w:t xml:space="preserve"> </w:t>
      </w:r>
      <w:r w:rsidRPr="00087A72">
        <w:rPr>
          <w:rFonts w:eastAsia="Calibri" w:cs="Arial"/>
          <w:sz w:val="16"/>
          <w:szCs w:val="28"/>
        </w:rPr>
        <w:t>genocide</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peoples</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analysis</w:t>
      </w:r>
      <w:r w:rsidRPr="00087A72">
        <w:rPr>
          <w:rFonts w:cs="Arial"/>
          <w:sz w:val="16"/>
          <w:szCs w:val="28"/>
        </w:rPr>
        <w:t xml:space="preserve"> </w:t>
      </w:r>
      <w:r w:rsidRPr="00087A72">
        <w:rPr>
          <w:rFonts w:eastAsia="Calibri" w:cs="Arial"/>
          <w:sz w:val="16"/>
          <w:szCs w:val="28"/>
        </w:rPr>
        <w:t>that</w:t>
      </w:r>
      <w:r w:rsidRPr="00087A72">
        <w:rPr>
          <w:rFonts w:cs="Arial"/>
          <w:sz w:val="16"/>
          <w:szCs w:val="28"/>
        </w:rPr>
        <w:t xml:space="preserve"> </w:t>
      </w:r>
      <w:r w:rsidRPr="00087A72">
        <w:rPr>
          <w:rFonts w:eastAsia="Calibri" w:cs="Arial"/>
          <w:sz w:val="16"/>
          <w:szCs w:val="28"/>
        </w:rPr>
        <w:t>comes</w:t>
      </w:r>
      <w:r w:rsidRPr="00087A72">
        <w:rPr>
          <w:rFonts w:cs="Arial"/>
          <w:sz w:val="16"/>
          <w:szCs w:val="28"/>
        </w:rPr>
        <w:t xml:space="preserve"> </w:t>
      </w:r>
      <w:r w:rsidRPr="00087A72">
        <w:rPr>
          <w:rFonts w:eastAsia="Calibri" w:cs="Arial"/>
          <w:sz w:val="16"/>
          <w:szCs w:val="28"/>
        </w:rPr>
        <w:t>from</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theory</w:t>
      </w:r>
      <w:r w:rsidRPr="00087A72">
        <w:rPr>
          <w:rFonts w:cs="Arial"/>
          <w:sz w:val="16"/>
          <w:szCs w:val="28"/>
        </w:rPr>
        <w:t xml:space="preserve"> (</w:t>
      </w:r>
      <w:r w:rsidRPr="00087A72">
        <w:rPr>
          <w:rFonts w:eastAsia="Calibri" w:cs="Arial"/>
          <w:sz w:val="16"/>
          <w:szCs w:val="28"/>
        </w:rPr>
        <w:t>even</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color</w:t>
      </w:r>
      <w:r w:rsidRPr="00087A72">
        <w:rPr>
          <w:rFonts w:cs="Arial"/>
          <w:sz w:val="16"/>
          <w:szCs w:val="28"/>
        </w:rPr>
        <w:t xml:space="preserve"> </w:t>
      </w:r>
      <w:r w:rsidRPr="00087A72">
        <w:rPr>
          <w:rFonts w:eastAsia="Calibri" w:cs="Arial"/>
          <w:sz w:val="16"/>
          <w:szCs w:val="28"/>
        </w:rPr>
        <w:t>critique</w:t>
      </w:r>
      <w:r w:rsidRPr="00087A72">
        <w:rPr>
          <w:rFonts w:cs="Arial"/>
          <w:sz w:val="16"/>
          <w:szCs w:val="28"/>
        </w:rPr>
        <w:t xml:space="preserve">), </w:t>
      </w:r>
      <w:r w:rsidRPr="00087A72">
        <w:rPr>
          <w:rFonts w:eastAsia="Calibri" w:cs="Arial"/>
          <w:sz w:val="16"/>
          <w:szCs w:val="28"/>
        </w:rPr>
        <w:t>then</w:t>
      </w:r>
      <w:r w:rsidRPr="00087A72">
        <w:rPr>
          <w:rFonts w:cs="Arial"/>
          <w:sz w:val="16"/>
          <w:szCs w:val="28"/>
        </w:rPr>
        <w:t xml:space="preserve">, </w:t>
      </w:r>
      <w:r w:rsidRPr="00087A72">
        <w:rPr>
          <w:rFonts w:eastAsia="Calibri" w:cs="Arial"/>
          <w:sz w:val="16"/>
          <w:szCs w:val="28"/>
        </w:rPr>
        <w:t>rests</w:t>
      </w:r>
      <w:r w:rsidRPr="00087A72">
        <w:rPr>
          <w:rFonts w:cs="Arial"/>
          <w:sz w:val="16"/>
          <w:szCs w:val="28"/>
        </w:rPr>
        <w:t xml:space="preserve"> </w:t>
      </w:r>
      <w:r w:rsidRPr="00087A72">
        <w:rPr>
          <w:rFonts w:eastAsia="Calibri" w:cs="Arial"/>
          <w:sz w:val="16"/>
          <w:szCs w:val="28"/>
        </w:rPr>
        <w:t>on</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presumption</w:t>
      </w:r>
      <w:r w:rsidRPr="00087A72">
        <w:rPr>
          <w:rFonts w:cs="Arial"/>
          <w:sz w:val="16"/>
          <w:szCs w:val="28"/>
        </w:rPr>
        <w:t xml:space="preserve"> </w:t>
      </w:r>
      <w:r w:rsidRPr="00087A72">
        <w:rPr>
          <w:rFonts w:eastAsia="Calibri" w:cs="Arial"/>
          <w:sz w:val="16"/>
          <w:szCs w:val="28"/>
        </w:rPr>
        <w:t>of</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U</w:t>
      </w:r>
      <w:r w:rsidRPr="00087A72">
        <w:rPr>
          <w:rFonts w:cs="Arial"/>
          <w:sz w:val="16"/>
          <w:szCs w:val="28"/>
        </w:rPr>
        <w:t>.</w:t>
      </w:r>
      <w:r w:rsidRPr="00087A72">
        <w:rPr>
          <w:rFonts w:eastAsia="Calibri" w:cs="Arial"/>
          <w:sz w:val="16"/>
          <w:szCs w:val="28"/>
        </w:rPr>
        <w:t>S</w:t>
      </w:r>
      <w:r w:rsidRPr="00087A72">
        <w:rPr>
          <w:rFonts w:cs="Arial"/>
          <w:sz w:val="16"/>
          <w:szCs w:val="28"/>
        </w:rPr>
        <w:t xml:space="preserve">. </w:t>
      </w:r>
      <w:r w:rsidRPr="00087A72">
        <w:rPr>
          <w:rFonts w:eastAsia="Calibri" w:cs="Arial"/>
          <w:sz w:val="16"/>
          <w:szCs w:val="28"/>
        </w:rPr>
        <w:t>settler</w:t>
      </w:r>
      <w:r w:rsidRPr="00087A72">
        <w:rPr>
          <w:rFonts w:cs="Arial"/>
          <w:sz w:val="16"/>
          <w:szCs w:val="28"/>
        </w:rPr>
        <w:t xml:space="preserve"> </w:t>
      </w:r>
      <w:r w:rsidRPr="00087A72">
        <w:rPr>
          <w:rFonts w:eastAsia="Calibri" w:cs="Arial"/>
          <w:sz w:val="16"/>
          <w:szCs w:val="28"/>
        </w:rPr>
        <w:t>colonial</w:t>
      </w:r>
      <w:r w:rsidRPr="00087A72">
        <w:rPr>
          <w:rFonts w:cs="Arial"/>
          <w:sz w:val="16"/>
          <w:szCs w:val="28"/>
        </w:rPr>
        <w:t xml:space="preserve"> </w:t>
      </w:r>
      <w:r w:rsidRPr="00087A72">
        <w:rPr>
          <w:rFonts w:eastAsia="Calibri" w:cs="Arial"/>
          <w:sz w:val="16"/>
          <w:szCs w:val="28"/>
        </w:rPr>
        <w:t>state</w:t>
      </w:r>
      <w:r w:rsidRPr="00087A72">
        <w:rPr>
          <w:rFonts w:cs="Arial"/>
          <w:sz w:val="16"/>
          <w:szCs w:val="28"/>
        </w:rPr>
        <w:t xml:space="preserve">. </w:t>
      </w:r>
      <w:r w:rsidRPr="00087A72">
        <w:rPr>
          <w:rFonts w:eastAsia="Calibri" w:cs="Arial"/>
          <w:sz w:val="16"/>
          <w:szCs w:val="28"/>
        </w:rPr>
        <w:t>Thus</w:t>
      </w:r>
      <w:r w:rsidRPr="00087A72">
        <w:rPr>
          <w:rFonts w:cs="Arial"/>
          <w:sz w:val="16"/>
          <w:szCs w:val="28"/>
        </w:rPr>
        <w:t xml:space="preserve"> </w:t>
      </w:r>
      <w:r w:rsidRPr="00087A72">
        <w:rPr>
          <w:rFonts w:eastAsia="Calibri" w:cs="Arial"/>
          <w:sz w:val="16"/>
          <w:szCs w:val="28"/>
        </w:rPr>
        <w:t>this</w:t>
      </w:r>
      <w:r w:rsidRPr="00087A72">
        <w:rPr>
          <w:rFonts w:cs="Arial"/>
          <w:sz w:val="16"/>
          <w:szCs w:val="28"/>
        </w:rPr>
        <w:t xml:space="preserve"> </w:t>
      </w:r>
      <w:r w:rsidRPr="00087A72">
        <w:rPr>
          <w:rFonts w:eastAsia="Calibri" w:cs="Arial"/>
          <w:sz w:val="16"/>
          <w:szCs w:val="28"/>
        </w:rPr>
        <w:t>essay</w:t>
      </w:r>
      <w:r w:rsidRPr="00087A72">
        <w:rPr>
          <w:rFonts w:cs="Arial"/>
          <w:sz w:val="16"/>
          <w:szCs w:val="28"/>
        </w:rPr>
        <w:t xml:space="preserve"> </w:t>
      </w:r>
      <w:r w:rsidRPr="00087A72">
        <w:rPr>
          <w:rFonts w:eastAsia="Calibri" w:cs="Arial"/>
          <w:sz w:val="16"/>
          <w:szCs w:val="28"/>
        </w:rPr>
        <w:t>puts</w:t>
      </w:r>
      <w:r w:rsidRPr="00087A72">
        <w:rPr>
          <w:rFonts w:cs="Arial"/>
          <w:sz w:val="16"/>
          <w:szCs w:val="28"/>
        </w:rPr>
        <w:t xml:space="preserve"> </w:t>
      </w:r>
      <w:r w:rsidRPr="00087A72">
        <w:rPr>
          <w:rFonts w:eastAsia="Calibri" w:cs="Arial"/>
          <w:sz w:val="16"/>
          <w:szCs w:val="28"/>
        </w:rPr>
        <w:t>Native</w:t>
      </w:r>
      <w:r w:rsidRPr="00087A72">
        <w:rPr>
          <w:rFonts w:cs="Arial"/>
          <w:sz w:val="16"/>
          <w:szCs w:val="28"/>
        </w:rPr>
        <w:t xml:space="preserve"> </w:t>
      </w:r>
      <w:r w:rsidRPr="00087A72">
        <w:rPr>
          <w:rFonts w:eastAsia="Calibri" w:cs="Arial"/>
          <w:sz w:val="16"/>
          <w:szCs w:val="28"/>
        </w:rPr>
        <w:t>studies</w:t>
      </w:r>
      <w:r w:rsidRPr="00087A72">
        <w:rPr>
          <w:rFonts w:cs="Arial"/>
          <w:sz w:val="16"/>
          <w:szCs w:val="28"/>
        </w:rPr>
        <w:t xml:space="preserve"> </w:t>
      </w:r>
      <w:r w:rsidRPr="00087A72">
        <w:rPr>
          <w:rFonts w:eastAsia="Calibri" w:cs="Arial"/>
          <w:sz w:val="16"/>
          <w:szCs w:val="28"/>
        </w:rPr>
        <w:t>into</w:t>
      </w:r>
      <w:r w:rsidRPr="00087A72">
        <w:rPr>
          <w:rFonts w:cs="Arial"/>
          <w:sz w:val="16"/>
          <w:szCs w:val="28"/>
        </w:rPr>
        <w:t xml:space="preserve"> </w:t>
      </w:r>
      <w:r w:rsidRPr="00087A72">
        <w:rPr>
          <w:rFonts w:eastAsia="Calibri" w:cs="Arial"/>
          <w:sz w:val="16"/>
          <w:szCs w:val="28"/>
        </w:rPr>
        <w:t>conversation</w:t>
      </w:r>
      <w:r w:rsidRPr="00087A72">
        <w:rPr>
          <w:rFonts w:cs="Arial"/>
          <w:sz w:val="16"/>
          <w:szCs w:val="28"/>
        </w:rPr>
        <w:t xml:space="preserve"> </w:t>
      </w:r>
      <w:r w:rsidRPr="00087A72">
        <w:rPr>
          <w:rFonts w:eastAsia="Calibri" w:cs="Arial"/>
          <w:sz w:val="16"/>
          <w:szCs w:val="28"/>
        </w:rPr>
        <w:t>with</w:t>
      </w:r>
      <w:r w:rsidRPr="00087A72">
        <w:rPr>
          <w:rFonts w:cs="Arial"/>
          <w:sz w:val="16"/>
          <w:szCs w:val="28"/>
        </w:rPr>
        <w:t xml:space="preserve"> </w:t>
      </w:r>
      <w:r w:rsidRPr="00087A72">
        <w:rPr>
          <w:rFonts w:eastAsia="Calibri" w:cs="Arial"/>
          <w:sz w:val="16"/>
          <w:szCs w:val="28"/>
        </w:rPr>
        <w:t>queer</w:t>
      </w:r>
      <w:r w:rsidRPr="00087A72">
        <w:rPr>
          <w:rFonts w:cs="Arial"/>
          <w:sz w:val="16"/>
          <w:szCs w:val="28"/>
        </w:rPr>
        <w:t xml:space="preserve"> </w:t>
      </w:r>
      <w:r w:rsidRPr="00087A72">
        <w:rPr>
          <w:rFonts w:eastAsia="Calibri" w:cs="Arial"/>
          <w:sz w:val="16"/>
          <w:szCs w:val="28"/>
        </w:rPr>
        <w:t>theory</w:t>
      </w:r>
      <w:r w:rsidRPr="00087A72">
        <w:rPr>
          <w:rFonts w:cs="Arial"/>
          <w:sz w:val="16"/>
          <w:szCs w:val="28"/>
        </w:rPr>
        <w:t xml:space="preserve"> </w:t>
      </w:r>
      <w:r w:rsidRPr="00087A72">
        <w:rPr>
          <w:rFonts w:eastAsia="Calibri" w:cs="Arial"/>
          <w:sz w:val="16"/>
          <w:szCs w:val="28"/>
        </w:rPr>
        <w:t>to</w:t>
      </w:r>
      <w:r w:rsidRPr="00087A72">
        <w:rPr>
          <w:rFonts w:cs="Arial"/>
          <w:sz w:val="16"/>
          <w:szCs w:val="28"/>
        </w:rPr>
        <w:t xml:space="preserve"> </w:t>
      </w:r>
      <w:r w:rsidRPr="00087A72">
        <w:rPr>
          <w:rFonts w:eastAsia="Calibri" w:cs="Arial"/>
          <w:sz w:val="16"/>
          <w:szCs w:val="28"/>
        </w:rPr>
        <w:t>look</w:t>
      </w:r>
      <w:r w:rsidRPr="00087A72">
        <w:rPr>
          <w:rFonts w:cs="Arial"/>
          <w:sz w:val="16"/>
          <w:szCs w:val="28"/>
        </w:rPr>
        <w:t xml:space="preserve"> </w:t>
      </w:r>
      <w:r w:rsidRPr="00087A72">
        <w:rPr>
          <w:rFonts w:eastAsia="Calibri" w:cs="Arial"/>
          <w:sz w:val="16"/>
          <w:szCs w:val="28"/>
        </w:rPr>
        <w:t>at</w:t>
      </w:r>
      <w:r w:rsidRPr="00087A72">
        <w:rPr>
          <w:rFonts w:cs="Arial"/>
          <w:sz w:val="16"/>
          <w:szCs w:val="28"/>
        </w:rPr>
        <w:t xml:space="preserve"> </w:t>
      </w:r>
      <w:r w:rsidRPr="00087A72">
        <w:rPr>
          <w:rFonts w:eastAsia="Calibri" w:cs="Arial"/>
          <w:sz w:val="16"/>
          <w:szCs w:val="28"/>
        </w:rPr>
        <w:t>both</w:t>
      </w:r>
      <w:r w:rsidRPr="00087A72">
        <w:rPr>
          <w:rFonts w:cs="Arial"/>
          <w:sz w:val="16"/>
          <w:szCs w:val="28"/>
        </w:rPr>
        <w:t xml:space="preserve"> </w:t>
      </w:r>
      <w:r w:rsidRPr="00087A72">
        <w:rPr>
          <w:rFonts w:eastAsia="Calibri" w:cs="Arial"/>
          <w:sz w:val="16"/>
          <w:szCs w:val="28"/>
        </w:rPr>
        <w:t>the</w:t>
      </w:r>
      <w:r w:rsidRPr="00087A72">
        <w:rPr>
          <w:rFonts w:cs="Arial"/>
          <w:sz w:val="16"/>
          <w:szCs w:val="28"/>
        </w:rPr>
        <w:t xml:space="preserve"> </w:t>
      </w:r>
      <w:r w:rsidRPr="00087A72">
        <w:rPr>
          <w:rFonts w:eastAsia="Calibri" w:cs="Arial"/>
          <w:sz w:val="16"/>
          <w:szCs w:val="28"/>
        </w:rPr>
        <w:t>possibilities</w:t>
      </w:r>
      <w:r w:rsidRPr="00087A72">
        <w:rPr>
          <w:rFonts w:cs="Arial"/>
          <w:sz w:val="16"/>
          <w:szCs w:val="28"/>
        </w:rPr>
        <w:t xml:space="preserve"> </w:t>
      </w:r>
      <w:r w:rsidRPr="00087A72">
        <w:rPr>
          <w:rFonts w:eastAsia="Calibri" w:cs="Arial"/>
          <w:sz w:val="16"/>
          <w:szCs w:val="28"/>
        </w:rPr>
        <w:t>and</w:t>
      </w:r>
      <w:r w:rsidRPr="00087A72">
        <w:rPr>
          <w:rFonts w:cs="Arial"/>
          <w:sz w:val="16"/>
          <w:szCs w:val="28"/>
        </w:rPr>
        <w:t xml:space="preserve"> </w:t>
      </w:r>
      <w:r w:rsidRPr="00087A72">
        <w:rPr>
          <w:rFonts w:eastAsia="Calibri" w:cs="Arial"/>
          <w:sz w:val="16"/>
          <w:szCs w:val="28"/>
        </w:rPr>
        <w:t>limit of</w:t>
      </w:r>
      <w:r w:rsidRPr="00087A72">
        <w:rPr>
          <w:rFonts w:cs="Arial"/>
          <w:sz w:val="16"/>
          <w:szCs w:val="28"/>
        </w:rPr>
        <w:t xml:space="preserve"> </w:t>
      </w:r>
      <w:r w:rsidRPr="00087A72">
        <w:rPr>
          <w:rFonts w:eastAsia="Calibri" w:cs="Arial"/>
          <w:sz w:val="16"/>
          <w:szCs w:val="28"/>
        </w:rPr>
        <w:t>a</w:t>
      </w:r>
      <w:r w:rsidRPr="00087A72">
        <w:rPr>
          <w:rFonts w:cs="Arial"/>
          <w:sz w:val="16"/>
          <w:szCs w:val="28"/>
        </w:rPr>
        <w:t xml:space="preserve"> </w:t>
      </w:r>
      <w:r w:rsidRPr="00087A72">
        <w:rPr>
          <w:rFonts w:eastAsia="Calibri" w:cs="Arial"/>
          <w:sz w:val="16"/>
          <w:szCs w:val="28"/>
        </w:rPr>
        <w:t>postidentity</w:t>
      </w:r>
      <w:r w:rsidRPr="00087A72">
        <w:rPr>
          <w:rFonts w:cs="Arial"/>
          <w:sz w:val="16"/>
          <w:szCs w:val="28"/>
        </w:rPr>
        <w:t xml:space="preserve"> </w:t>
      </w:r>
      <w:r w:rsidRPr="00087A72">
        <w:rPr>
          <w:rFonts w:eastAsia="Calibri" w:cs="Arial"/>
          <w:sz w:val="16"/>
          <w:szCs w:val="28"/>
        </w:rPr>
        <w:t>analytic</w:t>
      </w:r>
      <w:r w:rsidRPr="00087A72">
        <w:rPr>
          <w:rFonts w:cs="Arial"/>
          <w:sz w:val="16"/>
          <w:szCs w:val="28"/>
        </w:rPr>
        <w:t>.</w:t>
      </w:r>
    </w:p>
    <w:p w:rsidR="00792F86" w:rsidRPr="00087A72" w:rsidRDefault="00792F86" w:rsidP="00792F86">
      <w:pPr>
        <w:pStyle w:val="Heading3"/>
      </w:pPr>
      <w:r w:rsidRPr="00087A72">
        <w:t>Permutation</w:t>
      </w:r>
    </w:p>
    <w:p w:rsidR="00032E5A" w:rsidRPr="00087A72" w:rsidRDefault="00032E5A" w:rsidP="00032E5A">
      <w:pPr>
        <w:pStyle w:val="Heading4"/>
      </w:pPr>
      <w:r w:rsidRPr="00087A72">
        <w:t>Gender-focus is key to decolonization</w:t>
      </w:r>
    </w:p>
    <w:p w:rsidR="00032E5A" w:rsidRPr="00087A72" w:rsidRDefault="00032E5A" w:rsidP="00032E5A">
      <w:pPr>
        <w:rPr>
          <w:rStyle w:val="Style13ptBold"/>
        </w:rPr>
      </w:pPr>
      <w:r w:rsidRPr="00087A72">
        <w:rPr>
          <w:rStyle w:val="Style13ptBold"/>
        </w:rPr>
        <w:t xml:space="preserve">Schiwy 07 </w:t>
      </w:r>
      <w:r w:rsidRPr="00087A72">
        <w:t>(Freya, Freya Schiwy is Associate Professor of Latin American Media and Cultural Studies at the University of California, Riverside where she teaches in the Media and Cultural Studies Department and the Hispanic Studies Department. “Decolonization and the Question of Subjectivity” Cultural Studies, 21:2-3, pp. 271-273)</w:t>
      </w:r>
    </w:p>
    <w:p w:rsidR="00032E5A" w:rsidRPr="00087A72" w:rsidRDefault="00032E5A" w:rsidP="00032E5A">
      <w:r w:rsidRPr="00087A72">
        <w:rPr>
          <w:rStyle w:val="StyleUnderline"/>
        </w:rPr>
        <w:t>Gender has been paramount to the process of Decolonization</w:t>
      </w:r>
      <w:r w:rsidRPr="00087A72">
        <w:t xml:space="preserve">. In Latin America, indigenous intellectuals such as Fausto Reinaga have held forth the idea of gender complementarity as an illustration of the colonial difference, that is, as an element that distinguishes Aymara gender relations from western patriarchy (1981, pp. 89 90). While for Reinaga gender complementarity is a reality, for Marı´a Eugenia Choque Quispe </w:t>
      </w:r>
      <w:r w:rsidRPr="00087A72">
        <w:rPr>
          <w:rStyle w:val="StyleUnderline"/>
        </w:rPr>
        <w:t>gender complementarity is an ideal that the colonial experience itself has compromised</w:t>
      </w:r>
      <w:r w:rsidRPr="00087A72">
        <w:t xml:space="preserve"> (1998, p. 12). </w:t>
      </w:r>
      <w:r w:rsidRPr="00087A72">
        <w:rPr>
          <w:rStyle w:val="StyleUnderline"/>
        </w:rPr>
        <w:t>For many indigenous women, questioning gender paradigms in the process of decolonization has helped to constitute indigenous cultures as dynamic practices that are in need of re-invention rather than offering a return to an idealized past</w:t>
      </w:r>
      <w:r w:rsidRPr="00087A72">
        <w:t xml:space="preserve"> (Cervone 1998, Mujeres Indı´genas de la CONAIE 1994). Documentary and fiction videos, directed and produced by members of indigenous communities frequently cast women as the guardians of tradition; they enact the transmission of social memory and perform gender complementarity on screen. At the same time, videomakers foster debates over </w:t>
      </w:r>
      <w:r w:rsidRPr="00087A72">
        <w:rPr>
          <w:rStyle w:val="StyleUnderline"/>
        </w:rPr>
        <w:t>the links between gender and the colonial subalternization of knowledge</w:t>
      </w:r>
      <w:r w:rsidRPr="00087A72">
        <w:t xml:space="preserve">. For some indigenous videomakers gender complementarity itself has become a metaphor for thinking decolonized relations between indigenous communities and national society (Schiwy 2002). Social memory and subalternized knowledge is embodied and transmitted in gendered ways but the enactment and representation of such links between knowledge and </w:t>
      </w:r>
      <w:r w:rsidRPr="00087A72">
        <w:rPr>
          <w:rStyle w:val="StyleUnderline"/>
        </w:rPr>
        <w:t>the female body in the discourse of decolonization has been a central point of debate not only for indigenous movements in Latin America. In postcolonial discussions focused on India and Northern Africa, scholars such as Partha Chatterjee asked whether decolonization mustn’t ‘include within it a struggle against the false essentialism of home/world, spiritual/material, feminine/masculine propagated by nationalist ideology’</w:t>
      </w:r>
      <w:r w:rsidRPr="00087A72">
        <w:t xml:space="preserve"> (1990, p. 252). </w:t>
      </w:r>
      <w:r w:rsidRPr="00087A72">
        <w:rPr>
          <w:rStyle w:val="StyleUnderline"/>
        </w:rPr>
        <w:t>While gender concepts are clearly crucial to decolonization, the heterosexual model through which complementarity is thought affirms Andean duality and hides those subjectivities and forms of desire that would challenge binary thinking itself</w:t>
      </w:r>
      <w:r w:rsidRPr="00087A72">
        <w:t>. Indeed, as, the literary critic Michael Horswell argues, the Andean gender binary is itself a modern/colonial construct (2003). Decolonization and gender also intersect in feminist criticism of the geopolitics of knowledge. The Chilean cultural critics Nelly Richard (1996) and Kemy Oyarzu´n (1992) have frowned on Latin American and feminist scholars studying Latin America for essentializing the concepts of man and woman in Latin America, thus issuing a critique of the geopolitics of knowledge that resonates with Chandra Mohanty’s well known arguments about the making of the theoretical subject of feminism (1988). As Richard and Oyarzu´n c</w:t>
      </w:r>
      <w:r w:rsidRPr="00087A72">
        <w:rPr>
          <w:rStyle w:val="StyleUnderline"/>
        </w:rPr>
        <w:t>all for a deconstruction of gender categories, they themselves, however, rely on a problematic notion of heterogeneity that fails to interrogate how gender and colonial legacies congeal in the process of theorizing in Latin America across different social classes, ethnicities, and technologies of knowledge</w:t>
      </w:r>
      <w:r w:rsidRPr="00087A72">
        <w:t xml:space="preserve">. The Bolivian performance activists Julia Paredes and Maria Galindo who have worked with urban Aymara women, in turn, have countered the dense interrelations of colonial legacies and heterosexual normativity through graffitti, street performance, and audiovisual media. All of these approaches to decolonization share a need to address the intersection of gender relations and colonial subalternization. Posing the question of gender allows to discern added complexities of the constitutive elements of the coloniality of power. Asking how modern/colonial constructs of gender are perpetuated and contested also helps to better understand the ways decolonization pushes against the building blocks of coloniality and where, at times inadvertently, decolonization recreates these. </w:t>
      </w:r>
    </w:p>
    <w:p w:rsidR="00792F86" w:rsidRPr="00087A72" w:rsidRDefault="00792F86" w:rsidP="00792F86">
      <w:pPr>
        <w:pStyle w:val="Heading4"/>
      </w:pPr>
      <w:r w:rsidRPr="00087A72">
        <w:t xml:space="preserve">Perm is possible solving for heteronormality is key to abolishing setter colonialism     </w:t>
      </w:r>
    </w:p>
    <w:p w:rsidR="00792F86" w:rsidRPr="00087A72" w:rsidRDefault="006931C7" w:rsidP="00792F86">
      <w:pPr>
        <w:rPr>
          <w:rFonts w:cs="Arial"/>
          <w:b/>
          <w:bCs/>
          <w:color w:val="222222"/>
          <w:shd w:val="clear" w:color="auto" w:fill="FFFFFF"/>
        </w:rPr>
      </w:pPr>
      <w:hyperlink r:id="rId33" w:history="1">
        <w:r w:rsidR="00792F86" w:rsidRPr="00087A72">
          <w:rPr>
            <w:rStyle w:val="Hyperlink"/>
            <w:b/>
            <w:sz w:val="26"/>
          </w:rPr>
          <w:t>Bell</w:t>
        </w:r>
      </w:hyperlink>
      <w:r w:rsidR="00792F86" w:rsidRPr="00087A72">
        <w:rPr>
          <w:b/>
          <w:sz w:val="26"/>
          <w:u w:val="single"/>
        </w:rPr>
        <w:t xml:space="preserve"> </w:t>
      </w:r>
      <w:r w:rsidR="00792F86" w:rsidRPr="00087A72">
        <w:rPr>
          <w:b/>
          <w:sz w:val="26"/>
        </w:rPr>
        <w:t>08</w:t>
      </w:r>
      <w:r w:rsidR="00792F86" w:rsidRPr="00087A72">
        <w:rPr>
          <w:b/>
          <w:sz w:val="26"/>
          <w:u w:val="single"/>
        </w:rPr>
        <w:t xml:space="preserve"> </w:t>
      </w:r>
      <w:r w:rsidR="00792F86" w:rsidRPr="00087A72">
        <w:rPr>
          <w:szCs w:val="16"/>
        </w:rPr>
        <w:t>(</w:t>
      </w:r>
      <w:hyperlink r:id="rId34" w:history="1">
        <w:r w:rsidR="00792F86" w:rsidRPr="00087A72">
          <w:rPr>
            <w:rStyle w:val="Hyperlink"/>
            <w:szCs w:val="16"/>
          </w:rPr>
          <w:t>Avril Bell</w:t>
        </w:r>
      </w:hyperlink>
      <w:r w:rsidR="00792F86" w:rsidRPr="00087A72">
        <w:rPr>
          <w:szCs w:val="16"/>
        </w:rPr>
        <w:t xml:space="preserve"> </w:t>
      </w:r>
      <w:r w:rsidR="00792F86" w:rsidRPr="00087A72">
        <w:rPr>
          <w:rFonts w:cs="Arial"/>
          <w:color w:val="222222"/>
          <w:shd w:val="clear" w:color="auto" w:fill="FFFFFF"/>
        </w:rPr>
        <w:t xml:space="preserve">Senior Lecturer in Sociology at The University of Auckland, New Zealand. She specializes in settler identities and the relationships between settler and indigenous peoples, particularly in relation to New Zealand society  </w:t>
      </w:r>
      <w:r w:rsidR="00792F86" w:rsidRPr="00087A72">
        <w:rPr>
          <w:rFonts w:cs="Arial"/>
          <w:b/>
          <w:bCs/>
          <w:color w:val="222222"/>
          <w:shd w:val="clear" w:color="auto" w:fill="FFFFFF"/>
        </w:rPr>
        <w:t>RECOGNITION OR ETHICS?</w:t>
      </w:r>
    </w:p>
    <w:p w:rsidR="00792F86" w:rsidRPr="00087A72" w:rsidRDefault="00792F86" w:rsidP="00792F86">
      <w:pPr>
        <w:rPr>
          <w:rFonts w:cs="Arial"/>
          <w:i/>
          <w:iCs/>
          <w:color w:val="222222"/>
          <w:shd w:val="clear" w:color="auto" w:fill="FFFFFF"/>
        </w:rPr>
      </w:pPr>
      <w:r w:rsidRPr="00087A72">
        <w:rPr>
          <w:rFonts w:cs="Arial"/>
          <w:i/>
          <w:iCs/>
          <w:color w:val="222222"/>
          <w:shd w:val="clear" w:color="auto" w:fill="FFFFFF"/>
        </w:rPr>
        <w:t>De/centering and the legacy of settler colonialism</w:t>
      </w:r>
    </w:p>
    <w:p w:rsidR="00792F86" w:rsidRPr="00087A72" w:rsidRDefault="00792F86" w:rsidP="00792F86">
      <w:pPr>
        <w:rPr>
          <w:b/>
          <w:sz w:val="26"/>
          <w:u w:val="single"/>
        </w:rPr>
      </w:pPr>
    </w:p>
    <w:p w:rsidR="00792F86" w:rsidRPr="00087A72" w:rsidRDefault="00792F86" w:rsidP="00792F86">
      <w:pPr>
        <w:rPr>
          <w:szCs w:val="16"/>
        </w:rPr>
      </w:pPr>
      <w:r w:rsidRPr="00087A72">
        <w:rPr>
          <w:szCs w:val="16"/>
        </w:rPr>
        <w:t xml:space="preserve">Native </w:t>
      </w:r>
      <w:r w:rsidRPr="00087A72">
        <w:rPr>
          <w:rStyle w:val="StyleUnderline"/>
        </w:rPr>
        <w:t>feminist theories centrally address two intertwined ideas that are significant but often overlooked in feminist discourses</w:t>
      </w:r>
      <w:r w:rsidRPr="00087A72">
        <w:rPr>
          <w:szCs w:val="16"/>
        </w:rPr>
        <w:t xml:space="preserve">: the </w:t>
      </w:r>
      <w:r w:rsidRPr="00087A72">
        <w:rPr>
          <w:rStyle w:val="StyleUnderline"/>
        </w:rPr>
        <w:t>United States and many other Western countries</w:t>
      </w:r>
      <w:r w:rsidRPr="00087A72">
        <w:rPr>
          <w:szCs w:val="16"/>
        </w:rPr>
        <w:t xml:space="preserve">, including Canada, Australia, and New Zealand, </w:t>
      </w:r>
      <w:r w:rsidRPr="00087A72">
        <w:rPr>
          <w:rStyle w:val="StyleUnderline"/>
        </w:rPr>
        <w:t>are settler colonial nation-states, and settler colonialism has been and continues to be a gendered process</w:t>
      </w:r>
      <w:r w:rsidRPr="00087A72">
        <w:rPr>
          <w:szCs w:val="16"/>
        </w:rPr>
        <w:t xml:space="preserve">. Because the United States is balanced upon notions of </w:t>
      </w:r>
      <w:r w:rsidRPr="00087A72">
        <w:rPr>
          <w:rStyle w:val="StyleUnderline"/>
        </w:rPr>
        <w:t xml:space="preserve">white supremacy and heteropatriarchy, everyone living in the country is not only racialized and gendered, but also has a relationship to settler colonialism. Native feminist theories offer new and reclaimed ways of thinking through not only how settler colonialism has impacted Indigenous and settler communities, but also how feminist theories can imagine and realize different modes of nationalism and alliances in the future </w:t>
      </w:r>
      <w:r w:rsidRPr="00087A72">
        <w:rPr>
          <w:szCs w:val="16"/>
        </w:rPr>
        <w:t xml:space="preserve">(see also Smith 2007).1 This article highlights five central challenges that </w:t>
      </w:r>
      <w:r w:rsidRPr="00087A72">
        <w:rPr>
          <w:rStyle w:val="StyleUnderline"/>
        </w:rPr>
        <w:t>Native feminist theories pose to gender and women’s studies. With these challenges, we offer suggestions for meaningful engagement, arguing overall that attending to the links between heteropatriarchy and settler colonialism is intellectually and politically imperative</w:t>
      </w:r>
      <w:r w:rsidRPr="00087A72">
        <w:rPr>
          <w:szCs w:val="16"/>
        </w:rPr>
        <w:t>. Although this article focuses primarily on gender and women’s studies</w:t>
      </w:r>
      <w:r w:rsidRPr="00087A72">
        <w:rPr>
          <w:rStyle w:val="StyleUnderline"/>
        </w:rPr>
        <w:t>, Native feminist theories also importantly highlight how ethnic studies has failed to adequately address settler colonialism</w:t>
      </w:r>
      <w:r w:rsidRPr="00087A72">
        <w:rPr>
          <w:szCs w:val="16"/>
        </w:rPr>
        <w:t xml:space="preserve">. Attending to </w:t>
      </w:r>
      <w:r w:rsidRPr="00087A72">
        <w:rPr>
          <w:rStyle w:val="StyleUnderline"/>
        </w:rPr>
        <w:t>settler colonialism requires a significant departure from how gender and women’s studies and ethnic studies are regularly understood and taugh</w:t>
      </w:r>
      <w:r w:rsidRPr="00087A72">
        <w:rPr>
          <w:szCs w:val="16"/>
        </w:rPr>
        <w:t xml:space="preserve">t. Conventionally, </w:t>
      </w:r>
      <w:r w:rsidRPr="00087A72">
        <w:rPr>
          <w:rStyle w:val="StyleUnderline"/>
        </w:rPr>
        <w:t>it is assumed that gender and women’s studies is inclusive of those who identify as women and indeed all people who are gendered, and that ethnic studies addresses Indigenous concerns, along with those of other ethnic groups</w:t>
      </w:r>
      <w:r w:rsidRPr="00087A72">
        <w:rPr>
          <w:szCs w:val="16"/>
        </w:rPr>
        <w:t>. These fields teach people to think about themselves in relation to a gendered and racialized society (Omi and Winant 1994). However</w:t>
      </w:r>
      <w:r w:rsidRPr="00087A72">
        <w:rPr>
          <w:rStyle w:val="StyleUnderline"/>
        </w:rPr>
        <w:t>, engaging settler colonialism involves</w:t>
      </w:r>
      <w:r w:rsidRPr="00087A72">
        <w:rPr>
          <w:szCs w:val="16"/>
        </w:rPr>
        <w:t xml:space="preserve"> different frameworks from the ones these fields often prioritize. While both </w:t>
      </w:r>
      <w:r w:rsidRPr="00087A72">
        <w:rPr>
          <w:rStyle w:val="StyleUnderline"/>
        </w:rPr>
        <w:t>gender and women’s studies and ethnic studies unmask gender and race as social constructions</w:t>
      </w:r>
      <w:r w:rsidRPr="00087A72">
        <w:rPr>
          <w:szCs w:val="16"/>
        </w:rPr>
        <w:t xml:space="preserve">, with often devastating material effects for women and nonwhite people, respectively, these fields also expose various mythologies about gender and race, including the myth of misogyny and racism as to-be-expected characteristics of human nature. Yet, within </w:t>
      </w:r>
      <w:r w:rsidRPr="00087A72">
        <w:rPr>
          <w:rStyle w:val="StyleUnderline"/>
        </w:rPr>
        <w:t>this important work, too often the consideration of Indigenous peoples remains rooted in understanding colonialism</w:t>
      </w:r>
      <w:r w:rsidRPr="00087A72">
        <w:rPr>
          <w:szCs w:val="16"/>
        </w:rPr>
        <w:t xml:space="preserve"> (like statesanctioned slavery) as an historical point in time away from which our society has progressed. Centering settler colonialism within gender and women’s studies and ethnic studies instead exposes the still-existing structure of settler colonization and its powerful effects on Indigenous peoples and others. </w:t>
      </w:r>
      <w:r w:rsidRPr="00087A72">
        <w:rPr>
          <w:rStyle w:val="StyleUnderline"/>
        </w:rPr>
        <w:t xml:space="preserve">This recognition within gender and women’s studies and ethnic studies makes possible new visions of </w:t>
      </w:r>
      <w:r w:rsidRPr="00087A72">
        <w:rPr>
          <w:szCs w:val="16"/>
        </w:rPr>
        <w:t xml:space="preserve">what </w:t>
      </w:r>
      <w:r w:rsidRPr="00087A72">
        <w:rPr>
          <w:rStyle w:val="StyleUnderline"/>
        </w:rPr>
        <w:t xml:space="preserve">decolonization </w:t>
      </w:r>
      <w:r w:rsidRPr="00087A72">
        <w:rPr>
          <w:szCs w:val="16"/>
        </w:rPr>
        <w:t>might look like for all peoples. It also opens up the possibility of new forms of activism based on critically thought-out alliances, rather than always taking the shape of alliances within and between seemingly naturally formed and identifiable groups of people—namely, women and people of color—as given</w:t>
      </w:r>
      <w:r w:rsidRPr="00087A72">
        <w:rPr>
          <w:b/>
          <w:sz w:val="26"/>
          <w:u w:val="single"/>
        </w:rPr>
        <w:t xml:space="preserve">. </w:t>
      </w:r>
      <w:r w:rsidRPr="00087A72">
        <w:rPr>
          <w:szCs w:val="16"/>
        </w:rPr>
        <w:t xml:space="preserve">In fact, the prevalence </w:t>
      </w:r>
      <w:r w:rsidRPr="00087A72">
        <w:rPr>
          <w:rStyle w:val="StyleUnderline"/>
        </w:rPr>
        <w:t>of liberal multicultural discourses today effectively works to maintain settler colonialism because they make it easy to assume that all minorities and ethnic groups are different though working toward inclusion and equality, each in its own similar and parallel wa</w:t>
      </w:r>
      <w:r w:rsidRPr="00087A72">
        <w:rPr>
          <w:szCs w:val="16"/>
        </w:rPr>
        <w:t xml:space="preserve">y. </w:t>
      </w:r>
      <w:r w:rsidRPr="00087A72">
        <w:rPr>
          <w:rStyle w:val="StyleUnderline"/>
        </w:rPr>
        <w:t>Justice is often put in terms that coincide with the expansion of the settler state</w:t>
      </w:r>
      <w:r w:rsidRPr="00087A72">
        <w:rPr>
          <w:szCs w:val="16"/>
        </w:rPr>
        <w:t xml:space="preserve"> (see Scott Lauria Morgensen [2011] for a discussion of the compatibility of queer politics with white normativity and settler society). While Indigenous peoples do form important alliances with people of color, Indigenous communities’ concerns are often not about achieving formal equality or civil rights within a nationstate, but instead achieving substantial independence from a Western nationstate—independence decided on their own terms. The </w:t>
      </w:r>
      <w:r w:rsidRPr="00087A72">
        <w:rPr>
          <w:rStyle w:val="StyleUnderline"/>
        </w:rPr>
        <w:t xml:space="preserve">feminist concerns of white women, women of color, and Indigenous women thus often differ </w:t>
      </w:r>
      <w:r w:rsidRPr="00087A72">
        <w:rPr>
          <w:szCs w:val="16"/>
        </w:rPr>
        <w:t xml:space="preserve">and conflict with one another. In other words, within </w:t>
      </w:r>
      <w:r w:rsidRPr="00087A72">
        <w:rPr>
          <w:rStyle w:val="StyleUnderline"/>
        </w:rPr>
        <w:t>the context of land and settler colonialism, the issues facing Indigenous women, as inseparable from the issues facing Indigenous peoples as a whole, are resolved via decolonization and sovereignty</w:t>
      </w:r>
      <w:r w:rsidRPr="00087A72">
        <w:rPr>
          <w:szCs w:val="16"/>
        </w:rPr>
        <w:t xml:space="preserve">, not (just) parity. We write as three Indigenous women–identified scholars situated variously in the disciplines of ethnic studies, education, and Indigenous studies.2 Each of us works to apply Indigenous theories and decolonizing frameworks to contemporary social realities in order to contest the rampant misrepresentations of Indigenous peoples and their lives in school curricula, the media, and the sociological imagination, and Native feminism has given us important tools to do such work. We believe that the challenges this article describes will be relevant to many disciplines, including our home disciplines of ethnic studies, education, and Indigenous studies, where feminist theories have long been important. Yet, we address this article primarily to theorists and activists of mainstream, or “whitestream,” feminism, as well as to other feminisms and nationalisms, including Asian, black, Latina, third world, transnational, and queer feminisms and nationalisms, because greater engagement between Native feminist theories and other feminisms is sorely needed.3 Our challenges respectfully push both </w:t>
      </w:r>
      <w:r w:rsidRPr="00087A72">
        <w:rPr>
          <w:rStyle w:val="StyleUnderline"/>
        </w:rPr>
        <w:t>conventional modes of feminism and more radical ones, as we see the need to interrogate everywhere</w:t>
      </w:r>
      <w:r w:rsidRPr="00087A72">
        <w:rPr>
          <w:szCs w:val="16"/>
        </w:rPr>
        <w:t xml:space="preserve"> what Rey Chow has termed “the ascendancy of whiteness,” a concept denoting the multiple ways that the condition of being white, and enjoying the often nationalist privileges of that whiteness, is made to seem neutral and inviting or inclusive of racial, sexual, and other minorities (Chow, qtd. in Morgensen 2010, 105; see also Puar 2007). By being included (whether by choice, coercion, or force) in </w:t>
      </w:r>
      <w:r w:rsidRPr="00087A72">
        <w:rPr>
          <w:rStyle w:val="StyleUnderline"/>
        </w:rPr>
        <w:t>whiteness, a wide array of Indigenous peoples, people of color, and queer communities are given the “opportunity” to take part in the settling processes that dispossess just such “other-ed” peoples globally</w:t>
      </w:r>
      <w:r w:rsidRPr="00087A72">
        <w:rPr>
          <w:szCs w:val="16"/>
        </w:rPr>
        <w:t xml:space="preserve">. Such opportunities include everything from participating in the global War on Terror, as scholars like Jasbir K. Puar (2007) </w:t>
      </w:r>
      <w:r w:rsidRPr="00087A72">
        <w:rPr>
          <w:rStyle w:val="StyleUnderline"/>
        </w:rPr>
        <w:t>brilliantly critique, to naturalizing and maintaining settler colonialism in the United States</w:t>
      </w:r>
      <w:r w:rsidRPr="00087A72">
        <w:rPr>
          <w:szCs w:val="16"/>
        </w:rPr>
        <w:t xml:space="preserve">. We argue that allying one’s self with feminism should not require consenting to inclusion within a larger agenda of whiteness; indeed, we believe that Native feminist theories demonstrate that feminisms, when allied with other key causes, hold a unique potential to decolonize the ascendancy of whiteness in many global contexts. Overall, we write in conversation with other Native and Indigenous studies scholars at a time when Native feminist theories are at the forefront of many of the most exciting and challenging works coming out of Native and Indigenous studies. Yet, Native feminist theories, and the arguments we make in this article, come from a long line of activism and intellectual thought. We, and the contemporary Native feminist theories our article focuses on, are indebted to a rich history of Native feminist theories circulated both within and against whitestream feminism and other academic fields since at least the 1960s. Native feminist theories have thrived in the past five decades, and yet, these theories have been given far too little attention by academic disciplines whose fields might benefit from such work the most.4 We view the work done by both early and contemporary Native women scholars, artists, and activists, often completed without substantial institutional support and with significant personal cost, as intellectual gifts. Without them, our uphill battle would be even steeper and lonelier and our own thinking less rich. Gifts like these come with a kind of responsibility—a responsibility that is less a burden than a desire to continue to create a future for Native feminist theories to thrive. Thus, our article is oriented by a passion to amplify Native feminist theories in a continued effort to unsettle both the academy at large and gender and women’s studies in particular. </w:t>
      </w:r>
    </w:p>
    <w:p w:rsidR="00032E5A" w:rsidRPr="00087A72" w:rsidRDefault="00032E5A" w:rsidP="00032E5A">
      <w:pPr>
        <w:pStyle w:val="Heading3"/>
      </w:pPr>
      <w:r w:rsidRPr="00087A72">
        <w:t>Queer Theory Solves</w:t>
      </w:r>
    </w:p>
    <w:p w:rsidR="00032E5A" w:rsidRPr="00087A72" w:rsidRDefault="00032E5A" w:rsidP="00032E5A">
      <w:pPr>
        <w:pStyle w:val="Heading4"/>
        <w:rPr>
          <w:rStyle w:val="Emphasis"/>
        </w:rPr>
      </w:pPr>
      <w:r w:rsidRPr="00087A72">
        <w:t>Queer theorization and the categorizations of sexuality provide framework for a critique of US settler colonialism, which takes into account and solves the native identity crisis that the colonizers had created.</w:t>
      </w:r>
    </w:p>
    <w:p w:rsidR="00032E5A" w:rsidRPr="00087A72" w:rsidRDefault="00032E5A" w:rsidP="00032E5A">
      <w:pPr>
        <w:spacing w:after="0" w:line="240" w:lineRule="auto"/>
      </w:pPr>
      <w:r w:rsidRPr="00087A72">
        <w:rPr>
          <w:rStyle w:val="Style13ptBold"/>
        </w:rPr>
        <w:t>Wander 18</w:t>
      </w:r>
      <w:r w:rsidRPr="00087A72">
        <w:rPr>
          <w:rFonts w:ascii="Times New Roman" w:eastAsia="Times New Roman" w:hAnsi="Times New Roman" w:cs="Times New Roman"/>
          <w:sz w:val="20"/>
          <w:szCs w:val="20"/>
        </w:rPr>
        <w:t xml:space="preserve"> </w:t>
      </w:r>
      <w:r w:rsidRPr="00087A72">
        <w:t>(Ryan, Western American Literature, “Queer” Volume 53, Number 1, Spring 2018, pp. 63-68 (Article) Published by University of Nebraska Press DOI:\https://doi.org/10.1353/wal.2018.0026)</w:t>
      </w:r>
    </w:p>
    <w:p w:rsidR="00032E5A" w:rsidRPr="00087A72" w:rsidRDefault="00032E5A" w:rsidP="00032E5A">
      <w:pPr>
        <w:rPr>
          <w:b/>
          <w:iCs/>
          <w:sz w:val="24"/>
          <w:u w:val="single"/>
        </w:rPr>
      </w:pPr>
      <w:r w:rsidRPr="00087A72">
        <w:t xml:space="preserve">I propose that </w:t>
      </w:r>
      <w:r w:rsidRPr="00087A72">
        <w:rPr>
          <w:rStyle w:val="Emphasis"/>
        </w:rPr>
        <w:t>we understand “queer” as an analytic keyword whose adjectival</w:t>
      </w:r>
      <w:r w:rsidRPr="00087A72">
        <w:t xml:space="preserve"> (as in queer theory), noun (as in persons who identify as queers), and verbal (as in to queer the West) forms </w:t>
      </w:r>
      <w:r w:rsidRPr="00087A72">
        <w:rPr>
          <w:rStyle w:val="StyleUnderline"/>
        </w:rPr>
        <w:t>are all integral to the past, present, and future of western American cultural production and scholarship. I propose this understanding not in an imperialistic or totalizing spirit but in the denaturalizing spirit</w:t>
      </w:r>
      <w:r w:rsidRPr="00087A72">
        <w:t xml:space="preserve">— the thinking otherwise approach— that informs the theoretical and political </w:t>
      </w:r>
      <w:r w:rsidRPr="00087A72">
        <w:rPr>
          <w:rStyle w:val="StyleUnderline"/>
        </w:rPr>
        <w:t>promise of queer thought within and beyond western American literary and cultural studies. This notion of “thinking otherwise” has its roots in poststructuralist approaches to language, history, and knowledge</w:t>
      </w:r>
      <w:r w:rsidRPr="00087A72">
        <w:t xml:space="preserve">, such as Derridean deconstruction and Foucauldian genealogy. To engage in queer thought is to examine, destabilize, and undo the (binary) categories through </w:t>
      </w:r>
      <w:r w:rsidRPr="00087A72">
        <w:rPr>
          <w:rStyle w:val="StyleUnderline"/>
        </w:rPr>
        <w:t xml:space="preserve">which we experience and know our own and others’ sex, sexuality, and gender. When queer studies scholars think otherwise, we engage in projects that imagine new modes of identity and sociality, family and futurity. </w:t>
      </w:r>
      <w:r w:rsidRPr="00087A72">
        <w:t xml:space="preserve">What we imagine are new worlds. The terms “queer” and “queer theory” are notoriously slippery, and purposefully so. As </w:t>
      </w:r>
      <w:r w:rsidRPr="00087A72">
        <w:rPr>
          <w:rStyle w:val="StyleUnderline"/>
        </w:rPr>
        <w:t>poststructuralist formations, they are not really terms within a politics of identity; rather, they partake of a politics of difference and relationality, as queer theorist Annamarie Jagose has demonstrated. Indeed, one of the defining characteristics of the many diverse academic mobilizations of the terms “queer” and “queer theory”— whether antisocial or utopian</w:t>
      </w:r>
      <w:r w:rsidRPr="00087A72">
        <w:t xml:space="preserve">, Foucauldian, Marxian, or psychoanalytic— has been a </w:t>
      </w:r>
      <w:r w:rsidRPr="00087A72">
        <w:rPr>
          <w:rStyle w:val="Emphasis"/>
        </w:rPr>
        <w:t xml:space="preserve">structuring binary of queer versus normative. In place of falsely stable and often exclusionary unities such as gay and straight people or gay and straight culture, “queer” names those bodies and practices </w:t>
      </w:r>
      <w:r w:rsidRPr="00087A72">
        <w:t>64 Western American Literature vol. 53, no. 1 spring 2018 that stand askew of what “normal” folks look like and do</w:t>
      </w:r>
      <w:r w:rsidRPr="00087A72">
        <w:rPr>
          <w:rStyle w:val="Emphasis"/>
        </w:rPr>
        <w:t>. Queer theory and politics develop around sexuality and gender, but they are concerned as well with all those aspects of individual and social life on which gender and sexual norms exert an informing, often coercive infl uence.</w:t>
      </w:r>
      <w:r w:rsidRPr="00087A72">
        <w:t xml:space="preserve"> Queer theorists Robyn Wiegman and Elizabeth Wilson recently have suggested that this emphasis on </w:t>
      </w:r>
      <w:r w:rsidRPr="00087A72">
        <w:rPr>
          <w:rStyle w:val="StyleUnderline"/>
        </w:rPr>
        <w:t>opposition to the “normal” threatens to create (perhaps already has created) a new and equally false unity out of the heterogeneity of “normal” people and practices</w:t>
      </w:r>
      <w:r w:rsidRPr="00087A72">
        <w:t xml:space="preserve">. Despite this emerging limit, the wideranging critical and epistemological implications of queer theory’s politics of difference and relationality allow us to (re)read western American cultures and scholarship as particularly productive sites of queerness. To apprehend sufficiently the queerness of the North American West, </w:t>
      </w:r>
      <w:r w:rsidRPr="00087A72">
        <w:rPr>
          <w:rStyle w:val="Emphasis"/>
        </w:rPr>
        <w:t>we need to begin with the Indigenous peoples and practices rendered queer by their difference from Anglo- American social and political norms.</w:t>
      </w:r>
      <w:r w:rsidRPr="00087A72">
        <w:t xml:space="preserve"> As queer Indigenous studies scholar Mark Rifkin has argued</w:t>
      </w:r>
      <w:r w:rsidRPr="00087A72">
        <w:rPr>
          <w:rStyle w:val="Emphasis"/>
        </w:rPr>
        <w:t>, Indigenous kinship formations eccentric to AngloAmerican social and political forms provided a pretext for the dispossession of native peoples, who were portrayed “as primitively perverse, as needing to be trained in the ostensibly natural kinds of privatized intimacy organizing bourgeois family life”</w:t>
      </w:r>
      <w:r w:rsidRPr="00087A72">
        <w:t xml:space="preserve"> (When 34). In Rifkin’s hands, </w:t>
      </w:r>
      <w:r w:rsidRPr="00087A72">
        <w:rPr>
          <w:rStyle w:val="Emphasis"/>
        </w:rPr>
        <w:t>queer theory and the category of sexuality provide a powerful major framework for a critique of US settler colonialism.</w:t>
      </w:r>
      <w:r w:rsidRPr="00087A72">
        <w:t xml:space="preserve"> Moreover, as Lisa Tatonetti points to in her piece in this volume, other forms of Indigenous queerness, such as the female warrior masculinity of the Dakota woman Tusee in Zitkala- Ša’s short story “A Warrior’s Daughter,” can be productive and protective for the family and the tribe. Th is is not to say that a character like Tusee </w:t>
      </w:r>
      <w:r w:rsidRPr="00087A72">
        <w:rPr>
          <w:rStyle w:val="StyleUnderline"/>
        </w:rPr>
        <w:t>or many of the Indigenous individuals and collectivities that Rifkin treats in his study would have self- identifi ed as queer. Rather, the point of Rifkin’s approach to Indigenous kinship, and of Tatonetti’s reading of Tusee, is to recognize the central and labile place of queer sexualities and queer genders in the histories and cultures of the North American West</w:t>
      </w:r>
      <w:r w:rsidRPr="00087A72">
        <w:t xml:space="preserve">. It is to think relationally about the space and the people who inhabit it. For the West is not intrinsically or essentially queer, though it is home to many people, Indigenous Ryan Wander 65 and non- Indigenous, who identify themselves as queer. </w:t>
      </w:r>
      <w:r w:rsidRPr="00087A72">
        <w:rPr>
          <w:rStyle w:val="Emphasis"/>
        </w:rPr>
        <w:t xml:space="preserve">Rather, the West is queer in relation to the various and heterogeneous normativities— the “normal” people and practices— that are constituted and reproduced every day. </w:t>
      </w:r>
    </w:p>
    <w:p w:rsidR="00CD7A9B" w:rsidRPr="00087A72" w:rsidRDefault="00CD7A9B" w:rsidP="00496C79">
      <w:pPr>
        <w:pStyle w:val="Heading2"/>
      </w:pPr>
      <w:r w:rsidRPr="00087A72">
        <w:t>Survivors – Anzaldua</w:t>
      </w:r>
    </w:p>
    <w:p w:rsidR="00032E5A" w:rsidRPr="00087A72" w:rsidRDefault="00032E5A" w:rsidP="00CD7A9B">
      <w:pPr>
        <w:pStyle w:val="Heading3"/>
      </w:pPr>
      <w:r w:rsidRPr="00087A72">
        <w:t>Mestiza Consciousness Solves</w:t>
      </w:r>
    </w:p>
    <w:p w:rsidR="00032E5A" w:rsidRPr="00087A72" w:rsidRDefault="00032E5A" w:rsidP="00032E5A">
      <w:pPr>
        <w:pStyle w:val="Heading4"/>
      </w:pPr>
      <w:r w:rsidRPr="00087A72">
        <w:t xml:space="preserve">The concept of the the mestiza allows indigenous folk who find themselves straddling borders to navigate through different lands and learn of the history of violent colonialism that preceeded them. It is not a romanticism of the injustices faced by indigenous folk, rather something that allows people to go back to their roots and explore more about their identity. </w:t>
      </w:r>
    </w:p>
    <w:p w:rsidR="00032E5A" w:rsidRPr="00087A72" w:rsidRDefault="00032E5A" w:rsidP="00032E5A">
      <w:pPr>
        <w:rPr>
          <w:sz w:val="16"/>
          <w:szCs w:val="16"/>
        </w:rPr>
      </w:pPr>
      <w:r w:rsidRPr="00087A72">
        <w:rPr>
          <w:b/>
          <w:sz w:val="26"/>
          <w:szCs w:val="26"/>
        </w:rPr>
        <w:t xml:space="preserve">Blanco 2015 </w:t>
      </w:r>
      <w:r w:rsidRPr="00087A72">
        <w:rPr>
          <w:sz w:val="16"/>
          <w:szCs w:val="16"/>
        </w:rPr>
        <w:t xml:space="preserve">(Patti Blanco is the Education Programs Assistant at the University of Arizona Poetry Center.t, “An Interview with Gloria Anzaldúa”, </w:t>
      </w:r>
      <w:hyperlink r:id="rId35" w:history="1">
        <w:r w:rsidRPr="00087A72">
          <w:rPr>
            <w:rStyle w:val="Hyperlink"/>
            <w:sz w:val="16"/>
            <w:szCs w:val="16"/>
          </w:rPr>
          <w:t>https://poetry.arizona.edu/blog/interview-gloria-anzald%C3%Baa</w:t>
        </w:r>
      </w:hyperlink>
      <w:r w:rsidRPr="00087A72">
        <w:rPr>
          <w:sz w:val="16"/>
          <w:szCs w:val="16"/>
        </w:rPr>
        <w:t xml:space="preserve">, NOVEMBER 12TH, 2015) [JNFS] </w:t>
      </w:r>
    </w:p>
    <w:p w:rsidR="00032E5A" w:rsidRPr="00087A72" w:rsidRDefault="00032E5A" w:rsidP="00032E5A">
      <w:pPr>
        <w:rPr>
          <w:sz w:val="16"/>
        </w:rPr>
      </w:pPr>
      <w:r w:rsidRPr="00087A72">
        <w:rPr>
          <w:sz w:val="16"/>
        </w:rPr>
        <w:t xml:space="preserve">Gloria Anzaldúa writes in prose and poetry, Spanish and English, about her experience as a Chicana Tejana lesbian-feminist. Her latest work is the anthology, Making Face, Making Soul/ Haciendo Caras, (The Aunt Lute Foundation, 1990). Her book Borderlands/ La Frontera: The New Mestiza (Spinsters/ Aunt Lute, 1987) was chosen as one of the 38 best books of 1987 by Library Journal. She co-edited the award-winning This Bridge Called My Back: Writings by Radical Women of Color (Kitchen Table: Women of Color Press, 1983). Anzaldúa is currently editing an anthology of essays, Lloronas / Women Who Wail: Explorations of Self-Representation and the Production of Knowledge, Writing, and Identities, due out in 1994 from the Aunt Lute Foundation. La llorona is a legend, common in Mexico and the southwestern United States, which tells of a weeping woman, usually seen wandering the countryside, who is searching for her children which were either stolen from her or killed by her own hand, according to the version being told. It is believed that the tale originally referred to Malinche, the Indian woman who bore children to Hernán Cortés, conqueror of Mexico. </w:t>
      </w:r>
      <w:r w:rsidRPr="00087A72">
        <w:rPr>
          <w:rStyle w:val="StyleUnderline"/>
        </w:rPr>
        <w:t>In the following interview, Anzaldúa discusses la mestiza (a woman of mixed blood, usually Spanish and Indian) and mestizaje, the heritage of mixed blood.</w:t>
      </w:r>
      <w:r w:rsidRPr="00087A72">
        <w:rPr>
          <w:sz w:val="16"/>
        </w:rPr>
        <w:t xml:space="preserve"> At this point in the book, it seems as though the idea of who you're describing is not the mestiza with a small "m"—the Chicana on the border of Texas and Mexico, or the southwest and Mexico—but a kind of concept of "la Mestiza" with a big "M." Gloria Anzaldúa: I think you're right. The use of the capital in "Mestiza" goes along with the capital in "Borderlands." If it's an actual, physical borderlands, I use the small "b." If it's a metaphorical Borderlands I use the big "B." So I think you're right; in this case I should have used the big "M." Typically, for me, </w:t>
      </w:r>
      <w:r w:rsidRPr="00087A72">
        <w:rPr>
          <w:rStyle w:val="StyleUnderline"/>
        </w:rPr>
        <w:t xml:space="preserve">the "new Mestiza" is a kind of border </w:t>
      </w:r>
      <w:r w:rsidRPr="00087A72">
        <w:rPr>
          <w:rStyle w:val="StyleUnderline"/>
          <w:strike/>
        </w:rPr>
        <w:t>woman</w:t>
      </w:r>
      <w:r w:rsidRPr="00087A72">
        <w:rPr>
          <w:rStyle w:val="StyleUnderline"/>
        </w:rPr>
        <w:t xml:space="preserve"> who is able to negotiate between different cultures and cross over from one to the other and therefore has a perspective of all those different worlds that someone who is mono-cultural cannot have</w:t>
      </w:r>
      <w:r w:rsidRPr="00087A72">
        <w:rPr>
          <w:sz w:val="16"/>
        </w:rPr>
        <w:t xml:space="preserve">. And because she has that kind of perspective, tiene conocimiento: </w:t>
      </w:r>
      <w:r w:rsidRPr="00087A72">
        <w:rPr>
          <w:rStyle w:val="StyleUnderline"/>
          <w:strike/>
        </w:rPr>
        <w:t>she</w:t>
      </w:r>
      <w:r w:rsidRPr="00087A72">
        <w:rPr>
          <w:rStyle w:val="StyleUnderline"/>
        </w:rPr>
        <w:t xml:space="preserve"> has an understanding of what's going on in all these different terrains</w:t>
      </w:r>
      <w:r w:rsidRPr="00087A72">
        <w:rPr>
          <w:sz w:val="16"/>
        </w:rPr>
        <w:t xml:space="preserve">. </w:t>
      </w:r>
      <w:r w:rsidRPr="00087A72">
        <w:rPr>
          <w:rStyle w:val="Emphasis"/>
        </w:rPr>
        <w:t xml:space="preserve">And so </w:t>
      </w:r>
      <w:r w:rsidRPr="00087A72">
        <w:rPr>
          <w:rStyle w:val="Emphasis"/>
          <w:strike/>
        </w:rPr>
        <w:t>her</w:t>
      </w:r>
      <w:r w:rsidRPr="00087A72">
        <w:rPr>
          <w:rStyle w:val="Emphasis"/>
        </w:rPr>
        <w:t xml:space="preserve"> interpretation is based on perceiving more about the different realities in this world than someone who is just mono-cultural.</w:t>
      </w:r>
      <w:r w:rsidRPr="00087A72">
        <w:rPr>
          <w:sz w:val="16"/>
        </w:rPr>
        <w:t xml:space="preserve"> What I was trying to do is set up an ideal—</w:t>
      </w:r>
      <w:r w:rsidRPr="00087A72">
        <w:rPr>
          <w:rStyle w:val="StyleUnderline"/>
        </w:rPr>
        <w:t>this woman is a superhero, a superwoman and she doesn't exist. Yet if just one aspect of the new Mestiza is in us, then we can say, "I have that quality, too; I'm not so bad.</w:t>
      </w:r>
      <w:r w:rsidRPr="00087A72">
        <w:rPr>
          <w:sz w:val="16"/>
        </w:rPr>
        <w:t xml:space="preserve"> This is a strength in me. This is a facultad. " So these are all facultades: abilities, capabilities that a person that crosses cultures and shapes/shifts identity may have in the future. In my latest book, which is like a sequel to Borderlands, I break it down and I talk about mestizaje as it is known in the U.S ... </w:t>
      </w:r>
      <w:r w:rsidRPr="00087A72">
        <w:rPr>
          <w:rStyle w:val="StyleUnderline"/>
        </w:rPr>
        <w:t>The new Mestiza</w:t>
      </w:r>
      <w:r w:rsidRPr="00087A72">
        <w:rPr>
          <w:sz w:val="16"/>
        </w:rPr>
        <w:t xml:space="preserve"> for me is a feminist, is definitely a feminist, whether she calls herself that or not. And she's different from the old mestiza because it's no longer just a question of blood, </w:t>
      </w:r>
      <w:r w:rsidRPr="00087A72">
        <w:rPr>
          <w:rStyle w:val="StyleUnderline"/>
        </w:rPr>
        <w:t xml:space="preserve">it's no longer a matter of one being Indian or black or Asian or Spanish; you may have those bloods and be raised in a white, middle-class world, or you may be a white woman but be raised in a Chicano community. So </w:t>
      </w:r>
      <w:r w:rsidRPr="00087A72">
        <w:rPr>
          <w:rStyle w:val="Emphasis"/>
        </w:rPr>
        <w:t>it goes beyond just the biological mestiza…</w:t>
      </w:r>
      <w:r w:rsidRPr="00087A72">
        <w:rPr>
          <w:rStyle w:val="StyleUnderline"/>
        </w:rPr>
        <w:t xml:space="preserve"> there's such a thing as a cultural mestiza. It's a kind of consciousness.</w:t>
      </w:r>
      <w:r w:rsidRPr="00087A72">
        <w:rPr>
          <w:sz w:val="16"/>
        </w:rPr>
        <w:t xml:space="preserve"> But I'm also open; I just throw out these ideas and hope people will explore them and take off on them. I'm co-editing the book on mestiza consciousness and I'm encouraging people to disagree or agree or take that concept and go in other direction. I continue to work on the new Mestiza, </w:t>
      </w:r>
      <w:r w:rsidRPr="00087A72">
        <w:rPr>
          <w:rStyle w:val="StyleUnderline"/>
        </w:rPr>
        <w:t>mestizaje, the nationalist trend that all cultures go through</w:t>
      </w:r>
      <w:r w:rsidRPr="00087A72">
        <w:rPr>
          <w:sz w:val="16"/>
        </w:rPr>
        <w:t xml:space="preserve">. And also something that I call the "new tribalism," which is adhering to one's ethnic identity, one's racial identity, </w:t>
      </w:r>
      <w:r w:rsidRPr="00087A72">
        <w:rPr>
          <w:rStyle w:val="Emphasis"/>
        </w:rPr>
        <w:t xml:space="preserve">but yet not isolating oneself from other ethnic communities or the white community, or even the international communities. </w:t>
      </w:r>
      <w:r w:rsidRPr="00087A72">
        <w:rPr>
          <w:sz w:val="16"/>
        </w:rPr>
        <w:t xml:space="preserve">I have received some adverse criticism for Borderlands. </w:t>
      </w:r>
      <w:r w:rsidRPr="00087A72">
        <w:rPr>
          <w:rStyle w:val="Emphasis"/>
        </w:rPr>
        <w:t>I'm accused of trying to return to the tribe and isolating, and yearning for this lost paradise.</w:t>
      </w:r>
      <w:r w:rsidRPr="00087A72">
        <w:rPr>
          <w:sz w:val="16"/>
        </w:rPr>
        <w:t xml:space="preserve"> Patti: Can you respond to those claims? </w:t>
      </w:r>
      <w:r w:rsidRPr="00087A72">
        <w:rPr>
          <w:rStyle w:val="StyleUnderline"/>
        </w:rPr>
        <w:t xml:space="preserve">Gloria: Well, I think for me, la llorona typifies my reflection on the lost land, the lost homeland, because </w:t>
      </w:r>
      <w:r w:rsidRPr="00087A72">
        <w:rPr>
          <w:rStyle w:val="Emphasis"/>
        </w:rPr>
        <w:t>we're a people that, first of all, had an identity imposed on us by the Spaniards and then later by the Anglos</w:t>
      </w:r>
      <w:r w:rsidRPr="00087A72">
        <w:rPr>
          <w:rStyle w:val="StyleUnderline"/>
        </w:rPr>
        <w:t>. That took away our personhood, who we really were, a sense of self.</w:t>
      </w:r>
      <w:r w:rsidRPr="00087A72">
        <w:rPr>
          <w:rStyle w:val="Emphasis"/>
        </w:rPr>
        <w:t xml:space="preserve"> Then our land was taken away—and we were very much rooted to the land, our ancestors. Now, as modem-day mestizas and mestizos, as modern-day Chicanos, our language is not permitted. </w:t>
      </w:r>
      <w:r w:rsidRPr="00087A72">
        <w:rPr>
          <w:rStyle w:val="StyleUnderline"/>
        </w:rPr>
        <w:t xml:space="preserve">When I was growing up, we were not allowed to speak Spanish in school. And then in California they passed that English-only law ... </w:t>
      </w:r>
      <w:r w:rsidRPr="00087A72">
        <w:rPr>
          <w:sz w:val="16"/>
        </w:rPr>
        <w:t xml:space="preserve">Patti: It was passed here, too. Gloria: Ay, que feo… and then </w:t>
      </w:r>
      <w:r w:rsidRPr="00087A72">
        <w:rPr>
          <w:rStyle w:val="Emphasis"/>
        </w:rPr>
        <w:t>the whole thing with the land—Indians are still being ripped off and Chicanos are still being ripped off: there's a loss</w:t>
      </w:r>
      <w:r w:rsidRPr="00087A72">
        <w:rPr>
          <w:sz w:val="16"/>
        </w:rPr>
        <w:t xml:space="preserve">—la llorona is weeping and wailing for her lost children and we're still mourning the loss of our past and before we can come to grips with the trauma, the susto, that </w:t>
      </w:r>
      <w:r w:rsidRPr="00087A72">
        <w:rPr>
          <w:rStyle w:val="Emphasis"/>
        </w:rPr>
        <w:t>we suffer because of all the assaults by all these different colonizers</w:t>
      </w:r>
      <w:r w:rsidRPr="00087A72">
        <w:rPr>
          <w:sz w:val="16"/>
        </w:rPr>
        <w:t>—los patones [big-footed ones]—</w:t>
      </w:r>
      <w:r w:rsidRPr="00087A72">
        <w:rPr>
          <w:rStyle w:val="Emphasis"/>
        </w:rPr>
        <w:t>we need to look at our history. For us to know who we are now, and where we are going, it's very necessary to retrace our steps, because we have an ethnic identity and that ethnic identity has a history</w:t>
      </w:r>
      <w:r w:rsidRPr="00087A72">
        <w:rPr>
          <w:sz w:val="16"/>
        </w:rPr>
        <w:t xml:space="preserve">. What I was trying to do in Borderlands is retrace some of our history and go beyond just Columbus—go to pre-Columbian days and, especially, to see what the lot of the women was. So that's what I study in Borderlands. I explore the Virgen de Guadalupe and Coatlicue and Tonantizin and snake woman. </w:t>
      </w:r>
      <w:r w:rsidRPr="00087A72">
        <w:rPr>
          <w:rStyle w:val="Emphasis"/>
        </w:rPr>
        <w:t>It wasn't that I was idealizing these cultures because they were screwed up, too</w:t>
      </w:r>
      <w:r w:rsidRPr="00087A72">
        <w:rPr>
          <w:rStyle w:val="StyleUnderline"/>
        </w:rPr>
        <w:t xml:space="preserve">. For example, the lesbians—patlaches, which is a Nahual word—were stoned to death, as were women and men who committed adultery. And there was very much the same kind of patriarchal oppression of women then as in western culture, so </w:t>
      </w:r>
      <w:r w:rsidRPr="00087A72">
        <w:rPr>
          <w:rStyle w:val="Emphasis"/>
        </w:rPr>
        <w:t>it's not like I'm trying to romanticize them or idealize them.</w:t>
      </w:r>
      <w:r w:rsidRPr="00087A72">
        <w:rPr>
          <w:rStyle w:val="StyleUnderline"/>
        </w:rPr>
        <w:t xml:space="preserve"> I just want to know my different roots because the only roots that have been taught me were that Columbus discovered America and that we're Hispanic and we're Latinas and Latinos. </w:t>
      </w:r>
      <w:r w:rsidRPr="00087A72">
        <w:rPr>
          <w:rStyle w:val="Emphasis"/>
        </w:rPr>
        <w:t>That's a very small part of our history</w:t>
      </w:r>
      <w:r w:rsidRPr="00087A72">
        <w:rPr>
          <w:rStyle w:val="StyleUnderline"/>
        </w:rPr>
        <w:t xml:space="preserve">. So, </w:t>
      </w:r>
      <w:r w:rsidRPr="00087A72">
        <w:rPr>
          <w:rStyle w:val="Emphasis"/>
        </w:rPr>
        <w:t>there is a nostalgia for what is lost</w:t>
      </w:r>
      <w:r w:rsidRPr="00087A72">
        <w:rPr>
          <w:rStyle w:val="StyleUnderline"/>
        </w:rPr>
        <w:t>, especially if, as the years go by, your imagination compensates for the problems that you are having and all the anxieties and stresses.</w:t>
      </w:r>
      <w:r w:rsidRPr="00087A72">
        <w:rPr>
          <w:sz w:val="16"/>
        </w:rPr>
        <w:t xml:space="preserve"> Maybe you start idealizing your childhood, for instance, and then when you return to your childhood home you see how small the house is and how shabby the windows look. So time has a way of compensating for the problems going on today by making the past a little more beautiful. I think that's the tendency with all people—</w:t>
      </w:r>
      <w:r w:rsidRPr="00087A72">
        <w:rPr>
          <w:rStyle w:val="Emphasis"/>
        </w:rPr>
        <w:t>there's a yearning for this innocence, this time and place of innocence. I recognize that urge, that loneliness. And so I address it.</w:t>
      </w:r>
    </w:p>
    <w:p w:rsidR="00032E5A" w:rsidRPr="00087A72" w:rsidRDefault="00032E5A" w:rsidP="00032E5A"/>
    <w:p w:rsidR="00032E5A" w:rsidRPr="00087A72" w:rsidRDefault="00032E5A" w:rsidP="00032E5A">
      <w:pPr>
        <w:pStyle w:val="Heading4"/>
      </w:pPr>
      <w:r w:rsidRPr="00087A72">
        <w:t xml:space="preserve">A mestiza conscious is good for the people who are on the ‘border’ of being the settler and the settled. It’s about embracing both identities where one can start to heal. Anzaldúa is an example of this as she both embraces that she is the colonized and colonizer in her blood by doing so we create spaces of healing </w:t>
      </w:r>
    </w:p>
    <w:p w:rsidR="00032E5A" w:rsidRPr="00087A72" w:rsidRDefault="00032E5A" w:rsidP="00032E5A">
      <w:pPr>
        <w:rPr>
          <w:rStyle w:val="Style13ptBold"/>
        </w:rPr>
      </w:pPr>
      <w:r w:rsidRPr="00087A72">
        <w:rPr>
          <w:rStyle w:val="Style13ptBold"/>
        </w:rPr>
        <w:t xml:space="preserve">Herríques-Betancor </w:t>
      </w:r>
      <w:r w:rsidRPr="00087A72">
        <w:rPr>
          <w:rStyle w:val="Style13ptBold"/>
          <w:b w:val="0"/>
          <w:sz w:val="16"/>
          <w:szCs w:val="16"/>
        </w:rPr>
        <w:t xml:space="preserve">(María Henríquez-Betancor, Universidad de Las Palmas de Gran Canaria, Spain “Anzaldúa and ‘the new mestiza’: A Chicana dives into collective identity” </w:t>
      </w:r>
      <w:r w:rsidRPr="00087A72">
        <w:rPr>
          <w:rStyle w:val="Style13ptBold"/>
          <w:b w:val="0"/>
          <w:i/>
          <w:sz w:val="16"/>
          <w:szCs w:val="16"/>
        </w:rPr>
        <w:t>Language Value</w:t>
      </w:r>
      <w:r w:rsidRPr="00087A72">
        <w:rPr>
          <w:rStyle w:val="Style13ptBold"/>
          <w:b w:val="0"/>
          <w:sz w:val="16"/>
          <w:szCs w:val="16"/>
        </w:rPr>
        <w:t xml:space="preserve"> December 2012, Volume 4, Number 2 pp. 39-44) [JNFS]</w:t>
      </w:r>
    </w:p>
    <w:p w:rsidR="00032E5A" w:rsidRPr="00087A72" w:rsidRDefault="00032E5A" w:rsidP="00032E5A">
      <w:pPr>
        <w:rPr>
          <w:sz w:val="16"/>
        </w:rPr>
      </w:pPr>
      <w:r w:rsidRPr="00087A72">
        <w:rPr>
          <w:rStyle w:val="StyleUnderline"/>
        </w:rPr>
        <w:t>In Borderlands, Anzaldúa verbalizes several Chicana realities, including that of her Indigenous ancestors, her mother’s Mexican heritage, and the undocumented status of women in the U.S. In addition, she traces the linguistic frustrations experienced by Chicana academics.</w:t>
      </w:r>
      <w:r w:rsidRPr="00087A72">
        <w:rPr>
          <w:sz w:val="16"/>
        </w:rPr>
        <w:t xml:space="preserve"> The Chicana/o realities she represents are the result both of various encounters in her own life as well as the experiences of others that she has gathered into herself. </w:t>
      </w:r>
      <w:r w:rsidRPr="00087A72">
        <w:rPr>
          <w:rStyle w:val="StyleUnderline"/>
        </w:rPr>
        <w:t>Anzaldúa voices a theoretical Chicana/o positionality in her paradigm of the “new mestiza” who “has a plural personality and who operates in a pluralistic mode”</w:t>
      </w:r>
      <w:r w:rsidRPr="00087A72">
        <w:rPr>
          <w:sz w:val="16"/>
        </w:rPr>
        <w:t xml:space="preserve"> (1987: 79). Anzaldúa theorizes the Chicana identity conflict within a feminist, personal, collective, cultural and racial context. Because of multicultural and multiracial influences, the new mestiza expresses herself with behaviors, words, and attitudes that are sometimes contradictory. </w:t>
      </w:r>
      <w:r w:rsidRPr="00087A72">
        <w:rPr>
          <w:rStyle w:val="StyleUnderline"/>
        </w:rPr>
        <w:t>She learns to tolerate the fact that her racial and cultural identity is not clear to Anglo-Americans or Mexicans, and she adapts her behavior to each situation</w:t>
      </w:r>
      <w:r w:rsidRPr="00087A72">
        <w:rPr>
          <w:sz w:val="16"/>
        </w:rPr>
        <w:t>. In other words, “</w:t>
      </w:r>
      <w:r w:rsidRPr="00087A72">
        <w:rPr>
          <w:rStyle w:val="Emphasis"/>
        </w:rPr>
        <w:t>she learns to be an Indian in Mexican culture, to be Mexican from an Anglo point of view</w:t>
      </w:r>
      <w:r w:rsidRPr="00087A72">
        <w:rPr>
          <w:sz w:val="16"/>
        </w:rPr>
        <w:t xml:space="preserve">” (1987: 79). </w:t>
      </w:r>
      <w:r w:rsidRPr="00087A72">
        <w:rPr>
          <w:rStyle w:val="Emphasis"/>
        </w:rPr>
        <w:t>Anzaldúa herself identifies primarily with her Indigenous roots and she often questions her Hispanic as well as Anglo-Saxon heritage.</w:t>
      </w:r>
      <w:r w:rsidRPr="00087A72">
        <w:rPr>
          <w:sz w:val="16"/>
        </w:rPr>
        <w:t xml:space="preserve"> </w:t>
      </w:r>
      <w:r w:rsidRPr="00087A72">
        <w:rPr>
          <w:rStyle w:val="Emphasis"/>
        </w:rPr>
        <w:t>She resists accommodating the identifying labels that patriarchal society, with its absolute terms, compels her to do. Likewise, she rejects choosing between her racial and historical influences or positioning herself as either a Mexican or North American</w:t>
      </w:r>
      <w:r w:rsidRPr="00087A72">
        <w:rPr>
          <w:sz w:val="16"/>
        </w:rPr>
        <w:t xml:space="preserve">. She rejects “the dual personality”1 that catalogues her as a Mexican-American and welcomes </w:t>
      </w:r>
      <w:r w:rsidRPr="00087A72">
        <w:rPr>
          <w:rStyle w:val="Emphasis"/>
        </w:rPr>
        <w:t xml:space="preserve">the new “mestiza’s” plural personality that embraces all the different parts of which she is made. The cultural mixture and the personal evolution meet in the “new mestiza” who presents herself as subject of her own changes. </w:t>
      </w:r>
      <w:r w:rsidRPr="00087A72">
        <w:rPr>
          <w:sz w:val="16"/>
        </w:rPr>
        <w:t xml:space="preserve">Through her image of the “new mestiza”, Anzaldúa encourages Chicanas to break alienating dichotomies of thought. According to critic María C. González “for Anzaldúa </w:t>
      </w:r>
      <w:r w:rsidRPr="00087A72">
        <w:rPr>
          <w:rStyle w:val="StyleUnderline"/>
        </w:rPr>
        <w:t>dual thinking has split the individual into an unhealthy creature</w:t>
      </w:r>
      <w:r w:rsidRPr="00087A72">
        <w:rPr>
          <w:sz w:val="16"/>
        </w:rPr>
        <w:t xml:space="preserve">. This dualism has continued to reproduce itself to become the dominant system of thought” (1996: 29). To resist the dual thinking of Western culture, Anzaldúa suggests that we must first unlearn “the puta/virgen dichotomy” (1987: 84). </w:t>
      </w:r>
      <w:r w:rsidRPr="00087A72">
        <w:rPr>
          <w:rStyle w:val="StyleUnderline"/>
        </w:rPr>
        <w:t>Rejecting the Virgin/whore construct means annulling sexist prejudices that classify women according to their sexual and social behavior</w:t>
      </w:r>
      <w:r w:rsidRPr="00087A72">
        <w:rPr>
          <w:sz w:val="16"/>
        </w:rPr>
        <w:t xml:space="preserve">. </w:t>
      </w:r>
      <w:r w:rsidRPr="00087A72">
        <w:rPr>
          <w:rStyle w:val="StyleUnderline"/>
        </w:rPr>
        <w:t>To start dissolving this dichotomy the “new mestiza” has to break the patriarchal socially-established roles and behaviors believed to be correct for their gender</w:t>
      </w:r>
      <w:r w:rsidRPr="00087A72">
        <w:rPr>
          <w:sz w:val="16"/>
        </w:rPr>
        <w:t xml:space="preserve">. According to Anzaldúa then, “La mestiza constantly has to shift out of habitual formations” (1987: 79). In addition, the “new mestiza” is a powerful image of the Chicana’s appropriation of her independence. Her potent self-definition begins after she has faced and tolerated the conflicts generated by her hybrid identity. According to Rebolledo, “Anzaldúa also clearly defined the historical oppression that made women feel they couldn’t cross the borders, and the empowerment that occurred when they realized that it was their choice” (1995: 103). </w:t>
      </w:r>
      <w:r w:rsidRPr="00087A72">
        <w:rPr>
          <w:rStyle w:val="StyleUnderline"/>
        </w:rPr>
        <w:t>Anzaldúa states it thusly: “My Chicana identity is grounded in the Indian woman’s history of resistance.</w:t>
      </w:r>
      <w:r w:rsidRPr="00087A72">
        <w:rPr>
          <w:sz w:val="16"/>
        </w:rPr>
        <w:t xml:space="preserve"> [...] So mama, Raza, how wonderful, no tener que rendir cuentas a nadie. I feel perfectly free to rebel against my culture” (1987: 21). When addressing the “Raza”, </w:t>
      </w:r>
      <w:r w:rsidRPr="00087A72">
        <w:rPr>
          <w:rStyle w:val="StyleUnderline"/>
        </w:rPr>
        <w:t>Anzaldúa refers to the historical, racial and cultural forces of her people that have oppressed her and which she has trespassed in her search for liberation as a Chicana lesbian.</w:t>
      </w:r>
      <w:r w:rsidRPr="00087A72">
        <w:rPr>
          <w:sz w:val="16"/>
        </w:rPr>
        <w:t xml:space="preserve"> As Anzaldúa sees it, resistance begins individually but must also expand to the Chicana collectivity. I. THE PATH TOWARDS A MESTIZA CONSCIOUSNESS: SPACES FOR CULTURAL AND PERSONAL EVOLUTION I suggest that the seventh essay of Borderlands, Anzaldúa rewrites her personal experiences and analyzes the evolution of her life trajectory towards “the mestiza’s consciousness”. She describes thusly: “Though it is a source of intense pain, its energy comes from continual creative motion that keeps breaking down the unitary aspect of each new paradigm” (1987: 80). The pain caused by this new consciousness is rooted in the rupture of paradigms from which her identity has been constructed and the rebellion against any ideology or behavior that would suppress “the new mestiza”. As much as her destiny, “El camino de la mestiza” (the mestiza’s way) includes places of change and spaces of transition towards a new way of thinking and feeling. A shared characteristic of what is referred to here is the permanent evolution of movement, its adaptability to external circumstances and personal conditions. </w:t>
      </w:r>
      <w:r w:rsidRPr="00087A72">
        <w:rPr>
          <w:rStyle w:val="StyleUnderline"/>
        </w:rPr>
        <w:t>The new mestiza’s consciousness is not a static condition but a beingness that is constantly redefined.</w:t>
      </w:r>
      <w:r w:rsidRPr="00087A72">
        <w:rPr>
          <w:sz w:val="16"/>
        </w:rPr>
        <w:t xml:space="preserve"> According to Chéla Sandoval: “La conciencia de la mestiza is born of life lived in the ‘crossroads’ between races, nations, languages, genders, sexualities, and cultures: It is a developed subjectivity capable of transformation and relocation [...]” (1998: 359). In Anzaldúa’s words it is defined as an attempt “to work out a synthesis” in which “the self has added a third element which is greater than the sum of its severed parts” (1987: 79- 80). </w:t>
      </w:r>
      <w:r w:rsidRPr="00087A72">
        <w:rPr>
          <w:rStyle w:val="StyleUnderline"/>
        </w:rPr>
        <w:t>This new consciousness emerges as a space of redefinition of what has been achieved as much as the creation of new ideas and images: “By creating a new mythos-- that is, a change in the way we perceive reality, the way we see ourselves, and the ways we behave--la mestiza creates a new consciousness</w:t>
      </w:r>
      <w:r w:rsidRPr="00087A72">
        <w:rPr>
          <w:sz w:val="16"/>
        </w:rPr>
        <w:t xml:space="preserve"> ” (1987: 80). The seventh essay brilliantly coalesces the six essays that precede it. In “El camino de la mestiza”, which is one of the sections in the seventh essay, there is an echo of the issues that Anzaldúa has tackled in the previous six essays. Initially she defends the construction of a new consciousness that implies a critical attitude toward her historical past. </w:t>
      </w:r>
      <w:r w:rsidRPr="00087A72">
        <w:rPr>
          <w:rStyle w:val="Emphasis"/>
        </w:rPr>
        <w:t>In order to understand the oppression suffered by the new mestiza, it is necessary to analyze it from its cultural and temporal origins</w:t>
      </w:r>
      <w:r w:rsidRPr="00087A72">
        <w:rPr>
          <w:sz w:val="16"/>
        </w:rPr>
        <w:t>. This is the task carried out by Anzaldúa, who, in her first essay, dedicated to “The Homeland, Aztlán/El Otro Mexico”, re-writes the story of the Chicano people from her contemporary Chicana perspective</w:t>
      </w:r>
      <w:r w:rsidRPr="00087A72">
        <w:rPr>
          <w:rStyle w:val="Emphasis"/>
        </w:rPr>
        <w:t>. It is Anzaldúa’s understanding that for the mestiza to initiate the road towards the constitution of the collective consciousness one has to look first at the individual and collective past in order to analyze the racial and cultural origins</w:t>
      </w:r>
      <w:r w:rsidRPr="00087A72">
        <w:rPr>
          <w:sz w:val="16"/>
        </w:rPr>
        <w:t xml:space="preserve">: “Her first step is to take inventory. Despojando, desgranando, quitando paja. Just what did she inherit from her ancestors? This weight on her back –which is the baggage from the Indian mother, which the baggage from the Spanish father, and which the baggage from the Anglo?” (1987: 82). In the second essay, “Movimientos de rebeldía y culturas que traicionan”, Anzaldúa tries to differentiate among “lo heredado, lo adquirido y lo impuesto” (1987: 82) (what has been inherited, acquired and imposed), which is another step in the mestiza’s journey. In this essay, she analyzes and accepts her rebelliousness, criticizing the influence of the Anglo-Saxon patriarchal culture while claiming her indigenous identity because it is “a new political stance as a fully racialized feminist Chicana” (Saldívar- Hull 1999: 5). In “Entering the serpent”, the third essay in Borderlands, the narrator explores “lo heredado” (what has been inherited) from the former indigenous cultures: here she revises the patriarchal articulation of the figure of the Virgin of Guadalupe and La Llorona within culture and history. As Sonia Saldívar-Hull affirms, “By rewriting the stories of Malinali, La Llorona and the Virgin of Guadalupe, Anzaldúa is strategically reclaiming a ground for female historical presence” (1999: 6). Anzaldúa re-invents these two myths from the Chicana feminist perspective of the “new mestiza”, and this lays the groundwork for the next essay in which she incorporates Coatlicue, the Aztec goddess. In “La herencia de Coatlicue / The Coatlicue State”, Anzaldúa analyzes in depth the nature of this change embodied in the figure of Coatlicue. Once she accepts this figure as the image of transformative strength, Anzaldúa breaks down emotionally due to the contradictions of her identity: “I locked the door, kept the world out; I vegetated, hibernated, remained in stasis, idled. No telephone, no television, no radio. Alone with the presence in the room. Who? Me, my psyche, the Shadow Beast?” (1987: 44). Part of the process and progression of acknowledging difference in this breakdown, </w:t>
      </w:r>
      <w:r w:rsidRPr="00087A72">
        <w:rPr>
          <w:rStyle w:val="StyleUnderline"/>
        </w:rPr>
        <w:t>Anzaldúa realizes that “there are many defense strategies that the self uses to escape the agony of inadequacy and I have used all of them. I have split from and disowned those parts of myself that others rejected”</w:t>
      </w:r>
      <w:r w:rsidRPr="00087A72">
        <w:rPr>
          <w:sz w:val="16"/>
        </w:rPr>
        <w:t xml:space="preserve"> (1987: 45). </w:t>
      </w:r>
      <w:r w:rsidRPr="00087A72">
        <w:rPr>
          <w:rStyle w:val="Emphasis"/>
        </w:rPr>
        <w:t>She realizes this is a collective crisis, for many Chicanos have felt like her: “As a person, as a people, we, Chicanos, blame ourselves, hate ourselves, terrorize ourselves</w:t>
      </w:r>
      <w:r w:rsidRPr="00087A72">
        <w:rPr>
          <w:sz w:val="16"/>
        </w:rPr>
        <w:t xml:space="preserve">. [...] we suspect that there is something ‘wrong’ with us, something fundamentally ‘wrong’” (1987: 45). </w:t>
      </w:r>
      <w:r w:rsidRPr="00087A72">
        <w:rPr>
          <w:rStyle w:val="StyleUnderline"/>
        </w:rPr>
        <w:t>According to Anzaldúa many people (not only Chicanos) who find themselves in this situation keep busy doing mundane things in order to avoid “seeing” this painful inner reality, and thus “awareness does not happen</w:t>
      </w:r>
      <w:r w:rsidRPr="00087A72">
        <w:rPr>
          <w:sz w:val="16"/>
        </w:rPr>
        <w:t>” (1987: 45). This is the moment to see “the face of fear in the mirror” so that “it registers in our consciousness” (1987: 45). Because of this risk of being paralized by the fear of not overcoming this feeling of being inferior, “the Coatlicue State can be a way station or it can be a way of life” as this goddess is “the symbol of the underground aspects of the psyche” (1987: 46), those we would rather not recognize. In the fifth essay, “How to tame a wild tongue”, Anzaldúa powerfully revises and interprets the multilingual Chicana identity; she describes her linguistic experience as a Chicana woman living in Texas, while she rejects the self-marginalization practiced by many Chicanas and resists the social contempt aroused by her use of both Spanish and English. Anzaldúa advocates for a variety of Chicana languages while she vindicates Chicano Spanish as a language that synthesizes both the Spanish and the Anglo- American influences, enabling the development of new terms in both. Yet this is not the only language that represents Chicanos, as “there is no one Chicano language just as there is no one Chicano experience” (1987: 58). The linguistic aspect goes hand in hand with the individual and collective Chicana awareness, for as Anzaldúa says, “I am my language” (1987: 59) and “if a person, Chicana or Latina, has a low estimation of my native tongue, she also has a low estimation of me” (1987: 58). Hers is a language claim that invokes her sexual, gender, and writerly identities. Indeed, there are so many culturally-specific taboos that are collectively given no representational space in it, she must assert, “I will overcome the tradition of silence” (1987: 59). The numerous uses of language and what these mean to the rich construction of culture become a political and personal issue where her rebellion as a Chicana woman writer is also manifest.</w:t>
      </w:r>
    </w:p>
    <w:p w:rsidR="00032E5A" w:rsidRPr="00087A72" w:rsidRDefault="00032E5A" w:rsidP="00CD7A9B">
      <w:pPr>
        <w:pStyle w:val="Heading3"/>
      </w:pPr>
      <w:r w:rsidRPr="00087A72">
        <w:t>Mestizaje Turn</w:t>
      </w:r>
    </w:p>
    <w:p w:rsidR="00032E5A" w:rsidRPr="00087A72" w:rsidRDefault="00032E5A" w:rsidP="00032E5A">
      <w:pPr>
        <w:pStyle w:val="Heading4"/>
        <w:rPr>
          <w:b w:val="0"/>
        </w:rPr>
      </w:pPr>
      <w:r w:rsidRPr="00087A72">
        <w:rPr>
          <w:i/>
        </w:rPr>
        <w:t xml:space="preserve">Mestizaje </w:t>
      </w:r>
      <w:r w:rsidRPr="00087A72">
        <w:t xml:space="preserve">is not an inclusive guise under which racial exclusivity permeates - </w:t>
      </w:r>
      <w:r w:rsidRPr="00087A72">
        <w:rPr>
          <w:i/>
        </w:rPr>
        <w:t>Mestizaje</w:t>
      </w:r>
      <w:r w:rsidRPr="00087A72">
        <w:t xml:space="preserve"> is a space of struggle where it is poss</w:t>
      </w:r>
      <w:r w:rsidR="00E711F2" w:rsidRPr="00087A72">
        <w:t xml:space="preserve">ible for status quo dichotomies </w:t>
      </w:r>
      <w:r w:rsidRPr="00087A72">
        <w:t>to</w:t>
      </w:r>
      <w:r w:rsidR="00E711F2" w:rsidRPr="00087A72">
        <w:t xml:space="preserve"> be</w:t>
      </w:r>
      <w:r w:rsidRPr="00087A72">
        <w:t xml:space="preserve"> interrupted. The transformation of these existing spaces plays into the larger process of the production of hybrid </w:t>
      </w:r>
      <w:r w:rsidRPr="00087A72">
        <w:rPr>
          <w:i/>
        </w:rPr>
        <w:t>mestiza</w:t>
      </w:r>
      <w:r w:rsidRPr="00087A72">
        <w:t xml:space="preserve"> identities via cultural syncretism and indigenous diasporic movements.</w:t>
      </w:r>
      <w:r w:rsidRPr="00087A72">
        <w:rPr>
          <w:b w:val="0"/>
        </w:rPr>
        <w:t xml:space="preserve"> </w:t>
      </w:r>
    </w:p>
    <w:p w:rsidR="00032E5A" w:rsidRPr="00087A72" w:rsidRDefault="00032E5A" w:rsidP="00032E5A">
      <w:pPr>
        <w:rPr>
          <w:rStyle w:val="Style13ptBold"/>
          <w:i/>
          <w:sz w:val="20"/>
          <w:szCs w:val="20"/>
        </w:rPr>
      </w:pPr>
      <w:r w:rsidRPr="00087A72">
        <w:rPr>
          <w:rStyle w:val="Style13ptBold"/>
        </w:rPr>
        <w:t xml:space="preserve">Wade, 2005 </w:t>
      </w:r>
      <w:r w:rsidRPr="00087A72">
        <w:rPr>
          <w:rStyle w:val="Style13ptBold"/>
          <w:sz w:val="20"/>
          <w:szCs w:val="20"/>
        </w:rPr>
        <w:t xml:space="preserve">(Peter, British anthropologist who specializes in issues of race and ethnicity in Latin America, Professor of Social Anthropology at the University of Manchester, “Rethinking Mestizaje: Ideology and Lived Experience”, </w:t>
      </w:r>
      <w:r w:rsidRPr="00087A72">
        <w:rPr>
          <w:rStyle w:val="Style13ptBold"/>
          <w:i/>
          <w:sz w:val="20"/>
          <w:szCs w:val="20"/>
        </w:rPr>
        <w:t xml:space="preserve">Journal of Latin American Studies, </w:t>
      </w:r>
      <w:r w:rsidRPr="00087A72">
        <w:rPr>
          <w:rStyle w:val="Style13ptBold"/>
          <w:sz w:val="20"/>
          <w:szCs w:val="20"/>
        </w:rPr>
        <w:t>Volume 37, No. 2, May 2005, pp. 254-257) [SP]</w:t>
      </w:r>
    </w:p>
    <w:p w:rsidR="00032E5A" w:rsidRPr="00087A72" w:rsidRDefault="00032E5A" w:rsidP="00032E5A">
      <w:pPr>
        <w:rPr>
          <w:sz w:val="16"/>
        </w:rPr>
      </w:pPr>
      <w:r w:rsidRPr="00087A72">
        <w:rPr>
          <w:u w:val="single"/>
        </w:rPr>
        <w:t>In this article I have proposed a view of mestizaje as multiple and with many meanings, among them the image of a mosaic, made up of different elements and processes, which can be manifest within the body and the family, as well as the nation</w:t>
      </w:r>
      <w:r w:rsidRPr="00087A72">
        <w:rPr>
          <w:sz w:val="16"/>
        </w:rPr>
        <w:t xml:space="preserve">. Seen in this way, mestizaje has spaces for many different possible elements, including black and indigenous ones, which are more than merely possible candidates for future mixture; it also implies processes of inclusion that go beyond mere rhetorical discourse. This is not an apology for mestizaje. I am not proposing here that mestizaje is ‘in reality’ a benevolent process because it has dimensions of inclusion that go beyond simple rhetoric. </w:t>
      </w:r>
      <w:r w:rsidRPr="00087A72">
        <w:rPr>
          <w:u w:val="single"/>
        </w:rPr>
        <w:t>Rather I am arguing that mestizaje has both difference and sameness, homogeneity and heterogeneity, inclusion and exclusion as constitutive elements. These oppositions cannot be aligned with other dualisms, such as elite versus subaltern or ideology versus lived experience. Nation-building elites, middle class mestizos and working class black and mestizo people all live with these constitutive tensions within them in an experience which includes, rather than being opposed to, the pro- duction and consumption of ideologies</w:t>
      </w:r>
      <w:r w:rsidRPr="00087A72">
        <w:rPr>
          <w:sz w:val="16"/>
        </w:rPr>
        <w:t xml:space="preserve">. Dominant nationalist discourses of mestizaje also reproduce, albeit sometimes only implicitly, the vision of mesti- zaje as a mosaic of differences. Placido, it is worth noting, insists that the Mar ́ıa Lionza cult, while it might contain some counter-hegemonic aspects, cannot be understood simply as a religion of resistance against the state, precisely because the cult is the result of an intersection of the practices and discourses of the devotees, academic commentators and the state. Indeed, it is this very dynamic that has allowed it to become an official emblem of the nation.45 </w:t>
      </w:r>
      <w:r w:rsidRPr="00087A72">
        <w:rPr>
          <w:u w:val="single"/>
        </w:rPr>
        <w:t>The difference between ideas of mixture as seen from above and below in the racial hierarchy is not the difference between seeing it as a fusion and as a mosaic, but rather the role played by hierarchy and power in the ordering of the elements of the mosaic. Blackness and indigenousness can still be subjected to hierarchical orderings in which they are made to occupy inferior locations and are discriminated against and/or rendered exotic.</w:t>
      </w:r>
      <w:r w:rsidRPr="00087A72">
        <w:rPr>
          <w:sz w:val="16"/>
        </w:rPr>
        <w:t xml:space="preserve"> If the idea of the mosaic implies that there are spaces for blackness and indigenousness, which do not locate them simply as candidates for future elimination through mixture and which may be personal and embodied spaces, then it is important to recognise that these spaces remain subject to the hierarchies of power and value inherent both in traditional ideologies of blanqueamiento, which favour whiteness and devalue blackness and indigenousness, and in more recent ideologies of multiculturalism, which tend to limit the nature of the space blackness and indigenousness can occupy. </w:t>
      </w:r>
      <w:r w:rsidRPr="00087A72">
        <w:rPr>
          <w:b/>
          <w:u w:val="single"/>
        </w:rPr>
        <w:t>In this sense, mestizaje is a space of struggle and contest. It is not a reason for automatic optimism or for Latin Americans to feel benevolent about their societies simply because mestizaje can have inclusive effects. It is a site of struggle to see what and who is going to be included and excluded, and in what way; to see to what extent existing value hierarchies can be disrupted</w:t>
      </w:r>
      <w:r w:rsidRPr="00087A72">
        <w:rPr>
          <w:sz w:val="16"/>
        </w:rPr>
        <w:t xml:space="preserve">. </w:t>
      </w:r>
      <w:r w:rsidRPr="00087A72">
        <w:rPr>
          <w:u w:val="single"/>
        </w:rPr>
        <w:t>In Colombia, to take the country I know best, but also in other Latin American countries that have embraced some version of multiculturalism, this struggle continues.46 New constitutions – such as that in Colombia in 1991 – and legal reforms – such as Colombia’s 1993 Black Communities Law47 – undoubtedly open new spaces for blackness and indigenousness</w:t>
      </w:r>
      <w:r w:rsidRPr="00087A72">
        <w:rPr>
          <w:sz w:val="16"/>
        </w:rPr>
        <w:t xml:space="preserve">, but such spaces are not, as I hope to have shown, unprecedented, as older ideologies of the mestizo nation also had some space for these elements. Rather </w:t>
      </w:r>
      <w:r w:rsidRPr="00087A72">
        <w:rPr>
          <w:u w:val="single"/>
        </w:rPr>
        <w:t>they are transformations of existing spaces.</w:t>
      </w:r>
      <w:r w:rsidRPr="00087A72">
        <w:rPr>
          <w:sz w:val="16"/>
        </w:rPr>
        <w:t xml:space="preserve"> There is less of a radical conceptual rupture than it might appear. The same struggle exists to make those new spaces mean something concrete, to create new forms of mosaic. Coda: some reflections on mestizaje and hybridity I think the foregoing argument has some interesting implications for current theories of hybridity. </w:t>
      </w:r>
      <w:r w:rsidRPr="00087A72">
        <w:rPr>
          <w:u w:val="single"/>
        </w:rPr>
        <w:t>A Latin American perspective on mestizaje and an approach to it as a lived process as well as an ideology seems to highlight an inescapable interweaving of inclusion and exclusion in processes of mixture. Mestizaje always involves both processes and one cannot be separated from the other</w:t>
      </w:r>
      <w:r w:rsidRPr="00087A72">
        <w:rPr>
          <w:sz w:val="16"/>
        </w:rPr>
        <w:t xml:space="preserve">. This is particularly evident in Latin America and provides a critical view of some concepts of hybridity and hybridising diasporic movements that have emerged from other non-Latin American contexts – irrespective of whether or not one chooses to include Latin America within post-colonialist studies.48 </w:t>
      </w:r>
      <w:r w:rsidRPr="00087A72">
        <w:rPr>
          <w:u w:val="single"/>
        </w:rPr>
        <w:t>Theorists such as Hall, Bhabha and Gilroy have tended to see certain forms of hybridity as positive forces for creating non-essentialist and inclusive identities. Young notes that, in Hall’s work – and I think something similar can be seen in Gilroy’s work – one can detect two versions of hy- bridity</w:t>
      </w:r>
      <w:r w:rsidRPr="00087A72">
        <w:rPr>
          <w:sz w:val="16"/>
        </w:rPr>
        <w:t xml:space="preserve">.49 </w:t>
      </w:r>
      <w:r w:rsidRPr="00087A72">
        <w:rPr>
          <w:u w:val="single"/>
        </w:rPr>
        <w:t>The first, which as a shorthand I will call roots-hybridity, depends on a simple syncretism of two anterior wholes to make a third new whole. In this teleological mode, roots and belonging are paramount and exclus- ive essentialisms can easily be reproduced. The second, which I will label routes-hybridity, depends on unpredictable diasporic movements, creating unstable complex networks, not reducible to teleological progressions, but moving to and fro erratically in time and space.</w:t>
      </w:r>
      <w:r w:rsidRPr="00087A72">
        <w:rPr>
          <w:sz w:val="16"/>
        </w:rPr>
        <w:t xml:space="preserve"> In this mode, routes and movement are paramount and exclusivism gives way to more inclusive identities based, for example, on perception of common interests and goals, rather than common origins. These two modes of hybridity exist in tension, but the latter is seen by these theorists in some sense as a progression from or challenge to the former, if not as its simple opposite. Such claims for hybridity have been subject to various critiques, most commonly that the whole notion of hybridity does not adequately address, and may even be collusive with, the realities of a capitalist political econ- omy.50 Zizek notes that for ‘the poor (im)migrant worker driven from his home by poverty or (ethnic, religious) violence,_the celebrated ‘‘hybridity’’ designates a very tangible traumatic experience of never being able to settle down properly and legalise his status.’51 </w:t>
      </w:r>
      <w:r w:rsidRPr="00087A72">
        <w:rPr>
          <w:u w:val="single"/>
        </w:rPr>
        <w:t>My point is slightly different. If one looks at mixture through the lens of Latin American mestizaje it suggests that the routes form of hybridity cannot escape from the roots form. The two are mutually implicated and co- dependent. Indeed, one depends on the other for its effect. As I have tried to show with Latin American examples, people are constantly thinking in terms of roots and (racial) origins, and they may make inclusive spaces for these origins within their own bodies and families. It is impossible to conceive of processes of mixture without recourse to ideas about origins and roots, and routes-hybridity modes of mixture are implicated in this. Yet thinking in terms of roots and origins is not necessarily as essentialist and exclusivist as it might first seem. The idea of a mestizo person as a mosaic of racialised elements does not lend itself very easily to an essentialist definition of identity</w:t>
      </w:r>
      <w:r w:rsidRPr="00087A72">
        <w:rPr>
          <w:sz w:val="16"/>
        </w:rPr>
        <w:t>. Yet the elements themselves can retain an essentialist definition (as in the notion that having ‘the heart of black man’ caused an emotional affinity with tropical music). And, of course, the elements are easily subjected to evaluations that reinforce existing racial hierarchies and racial stereotypes.</w:t>
      </w:r>
    </w:p>
    <w:p w:rsidR="00032E5A" w:rsidRPr="00087A72" w:rsidRDefault="00032E5A" w:rsidP="00CD7A9B">
      <w:pPr>
        <w:pStyle w:val="Heading3"/>
      </w:pPr>
      <w:r w:rsidRPr="00087A72">
        <w:t>Mestizaje No Link</w:t>
      </w:r>
    </w:p>
    <w:p w:rsidR="00032E5A" w:rsidRPr="00087A72" w:rsidRDefault="00032E5A" w:rsidP="00032E5A">
      <w:pPr>
        <w:pStyle w:val="Heading4"/>
        <w:rPr>
          <w:rStyle w:val="Style13ptBold"/>
          <w:b/>
        </w:rPr>
      </w:pPr>
      <w:r w:rsidRPr="00087A72">
        <w:rPr>
          <w:rStyle w:val="Style13ptBold"/>
          <w:b/>
        </w:rPr>
        <w:t xml:space="preserve">The category of the </w:t>
      </w:r>
      <w:r w:rsidRPr="00087A72">
        <w:rPr>
          <w:rStyle w:val="Style13ptBold"/>
          <w:b/>
          <w:i/>
        </w:rPr>
        <w:t>mestiza</w:t>
      </w:r>
      <w:r w:rsidRPr="00087A72">
        <w:rPr>
          <w:rStyle w:val="Style13ptBold"/>
          <w:b/>
        </w:rPr>
        <w:t xml:space="preserve"> is flexible – it is able to serve as a site for fusions, frictions, and negotiations between races in America. As circumstances shift, the conception and alliances of the </w:t>
      </w:r>
      <w:r w:rsidRPr="00087A72">
        <w:rPr>
          <w:rStyle w:val="Style13ptBold"/>
          <w:b/>
          <w:i/>
        </w:rPr>
        <w:t xml:space="preserve">mestiza </w:t>
      </w:r>
      <w:r w:rsidRPr="00087A72">
        <w:rPr>
          <w:rStyle w:val="Style13ptBold"/>
          <w:b/>
        </w:rPr>
        <w:t>do so as well in order to reexamine the contradictory racial dynamics present in the United States</w:t>
      </w:r>
    </w:p>
    <w:p w:rsidR="00032E5A" w:rsidRPr="00087A72" w:rsidRDefault="00032E5A" w:rsidP="00032E5A">
      <w:pPr>
        <w:rPr>
          <w:rStyle w:val="Style13ptBold"/>
        </w:rPr>
      </w:pPr>
      <w:r w:rsidRPr="00087A72">
        <w:rPr>
          <w:rStyle w:val="Style13ptBold"/>
        </w:rPr>
        <w:t xml:space="preserve">Feghali, 2011 </w:t>
      </w:r>
      <w:r w:rsidRPr="00087A72">
        <w:rPr>
          <w:rStyle w:val="Style13ptBold"/>
          <w:sz w:val="20"/>
          <w:szCs w:val="20"/>
        </w:rPr>
        <w:t xml:space="preserve">(Zalfa, PhD in American Studies from University of Nottingham, Fellow of the UK Higher Education Academy, lecturer in American literature, specializing in US and Canadian contemporary literature and cultural studies, “Re-articulating the New Mestiza”, </w:t>
      </w:r>
      <w:r w:rsidRPr="00087A72">
        <w:rPr>
          <w:rStyle w:val="Style13ptBold"/>
          <w:i/>
          <w:sz w:val="20"/>
          <w:szCs w:val="20"/>
        </w:rPr>
        <w:t>Journal of International Women's Studies</w:t>
      </w:r>
      <w:r w:rsidRPr="00087A72">
        <w:rPr>
          <w:rStyle w:val="Style13ptBold"/>
          <w:sz w:val="20"/>
          <w:szCs w:val="20"/>
        </w:rPr>
        <w:t>, Volume 12, No. 2, pp. 67-69) [SP]</w:t>
      </w:r>
    </w:p>
    <w:p w:rsidR="00032E5A" w:rsidRPr="00087A72" w:rsidRDefault="00032E5A" w:rsidP="00032E5A">
      <w:pPr>
        <w:rPr>
          <w:sz w:val="16"/>
        </w:rPr>
      </w:pPr>
      <w:r w:rsidRPr="00087A72">
        <w:rPr>
          <w:u w:val="single"/>
        </w:rPr>
        <w:t>In order to refigure the new mestiza, it is first important to understand the process by which the new mestiza consciousness takes hold. For her part, Anzaldúa presents a series of steps for the new mestiza as she begins her life of action. The first is to “take inventory”, looking at who she is and separating out which parts of her come from which of her disparate ancestor</w:t>
      </w:r>
      <w:r w:rsidRPr="00087A72">
        <w:rPr>
          <w:sz w:val="16"/>
        </w:rPr>
        <w:t>s, before “putting history through a sieve”. After scrutinizing history and identifying lies, she</w:t>
      </w:r>
      <w:r w:rsidRPr="00087A72">
        <w:rPr>
          <w:u w:val="single"/>
        </w:rPr>
        <w:t xml:space="preserve"> “communicates the rupture” with oppressive traditions, “documents the struggle”, “reinterprets history”, and finally, “using new symbols, shapes</w:t>
      </w:r>
      <w:r w:rsidRPr="00087A72">
        <w:rPr>
          <w:sz w:val="16"/>
        </w:rPr>
        <w:t xml:space="preserve"> </w:t>
      </w:r>
      <w:r w:rsidRPr="00087A72">
        <w:rPr>
          <w:u w:val="single"/>
        </w:rPr>
        <w:t>new myths”</w:t>
      </w:r>
      <w:r w:rsidRPr="00087A72">
        <w:rPr>
          <w:sz w:val="16"/>
        </w:rPr>
        <w:t xml:space="preserve"> (Borderlands 104). Although </w:t>
      </w:r>
      <w:r w:rsidRPr="00087A72">
        <w:rPr>
          <w:u w:val="single"/>
        </w:rPr>
        <w:t>she does not go into great detail when describing how this consciousness actually emerges, Anzaldúa recognizes that it is a very arduous process, and does not expect it to move quickly or easily</w:t>
      </w:r>
      <w:r w:rsidRPr="00087A72">
        <w:rPr>
          <w:sz w:val="16"/>
        </w:rPr>
        <w:t xml:space="preserve">. She is in fact familiar with the difficulty of such an endeavor, given that her intention in Borderlands/La Frontera is to mirror this process.8 In fact, Anzaldúa‟s project is, to use a term appropriated by Françoise Lionnet and Shu-mei Shi, one of “theorizing”, which the latter define as “a practice that challenges Eurocentric [in Anzaldúa‟s case, “Western” or binary modes of thought] theories‟ claims while at the same time not giving in to naïve empiricism and documentarity with assumptions of transparent representation of reality” (“Thinking Through the Minor Transnationally” 12). </w:t>
      </w:r>
      <w:r w:rsidRPr="00087A72">
        <w:rPr>
          <w:u w:val="single"/>
        </w:rPr>
        <w:t>The practice and process of “theorizing” is useful in understanding Anzaldúa‟s project as it provides the theoretical rationale and means for rethinking her work</w:t>
      </w:r>
      <w:r w:rsidRPr="00087A72">
        <w:rPr>
          <w:sz w:val="16"/>
        </w:rPr>
        <w:t xml:space="preserve">. In fact, </w:t>
      </w:r>
      <w:r w:rsidRPr="00087A72">
        <w:rPr>
          <w:u w:val="single"/>
        </w:rPr>
        <w:t>I take my cue to refigure the mestiza from Anzaldúa herself, who makes it clear that it is not enough for the mestiza to straddle two or more cultures; she must create “a new consciousness</w:t>
      </w:r>
      <w:r w:rsidRPr="00087A72">
        <w:rPr>
          <w:sz w:val="16"/>
        </w:rPr>
        <w:t xml:space="preserve">.” This consciousness will be part of “a creature that questions the definitions of light and dark and gives them new meanings” (Borderlands 103). </w:t>
      </w:r>
      <w:r w:rsidRPr="00087A72">
        <w:rPr>
          <w:u w:val="single"/>
        </w:rPr>
        <w:t>By Anzaldúa‟s own formulation, therefore, there must be a questioning of basic concepts and precepts in order for this new consciousness to take hold. I suggest that a refiguring of Anzaldúa‟s new mestiza constitutes exactly that process of questioning.</w:t>
      </w:r>
      <w:r w:rsidRPr="00087A72">
        <w:rPr>
          <w:sz w:val="16"/>
        </w:rPr>
        <w:t xml:space="preserve"> In fact, </w:t>
      </w:r>
      <w:r w:rsidRPr="00087A72">
        <w:rPr>
          <w:u w:val="single"/>
        </w:rPr>
        <w:t>Anzaldúa‟s “theorizing” is a continuous process. In the same way, any understanding of the mestiza must also be a continuous process.</w:t>
      </w:r>
      <w:r w:rsidRPr="00087A72">
        <w:rPr>
          <w:sz w:val="16"/>
        </w:rPr>
        <w:t xml:space="preserve"> The </w:t>
      </w:r>
      <w:r w:rsidRPr="00087A72">
        <w:rPr>
          <w:b/>
          <w:u w:val="single"/>
        </w:rPr>
        <w:t>continuous nature of “theorizing” will also have important implications for the formation of alliances and the mobilization of resistance to domination and repression. As circumstances change, our conception of the mestiza shifts and changes and so do her alliances with other oppressed group</w:t>
      </w:r>
      <w:r w:rsidRPr="00087A72">
        <w:rPr>
          <w:sz w:val="16"/>
        </w:rPr>
        <w:t xml:space="preserve">s. A recurring issue that must be addressed in any refiguring of the mestiza, however, is the very utopian nature of Anzaldúa‟s vision. Although many critics agree with Anzaldúa in principle, they find it difficult to accept the “free floating alterity” of her mestiza subject (Pérez-Torres, “Alternate Geographies” 321). Despite this, most agree that “Chicano mestizaje represents a highly valued – but not unproblematic – conceptual tool in contemporary Chicano/a discourse” (335). However, critics including Rafael Perez-Torres, Jose David Saldivar, and Suzanne Bost, will insist on the historicization of any mestiza figure, particularly because of its potential. As Bost notes: </w:t>
      </w:r>
      <w:r w:rsidRPr="00087A72">
        <w:rPr>
          <w:b/>
          <w:u w:val="single"/>
        </w:rPr>
        <w:t>“Despite its ambivalent history, mestizaje is an enabling concept because it suggests ways in which race dynamics in the United States could be reexamined with greater attention to such contradictions”</w:t>
      </w:r>
      <w:r w:rsidRPr="00087A72">
        <w:rPr>
          <w:sz w:val="16"/>
        </w:rPr>
        <w:t xml:space="preserve"> (Mulattas and Mestizas 22). </w:t>
      </w:r>
      <w:r w:rsidRPr="00087A72">
        <w:rPr>
          <w:u w:val="single"/>
        </w:rPr>
        <w:t>One important characteristic of a refigured mestiza would be an expansion and inclusion of similar hybrid figures. Despite being steeped in racial history, the mestiza is, for the most part, inclusive of all races and as a result, ostensibly race-less.</w:t>
      </w:r>
      <w:r w:rsidRPr="00087A72">
        <w:rPr>
          <w:sz w:val="16"/>
        </w:rPr>
        <w:t xml:space="preserve"> </w:t>
      </w:r>
      <w:r w:rsidRPr="00087A72">
        <w:rPr>
          <w:u w:val="single"/>
        </w:rPr>
        <w:t xml:space="preserve">Just as Elleke Boehmer‟s “double vision of the colonized” and W.E.B. DuBois‟ concept of “double consciousness”, any refiguring of the new mestiza needs to expand “to accommodate the vast amalgam” </w:t>
      </w:r>
      <w:r w:rsidRPr="00087A72">
        <w:rPr>
          <w:sz w:val="16"/>
        </w:rPr>
        <w:t xml:space="preserve">(Singh and Schmidt “On the Borders” 29) she hopes to empower. In fact, as Suzanne Bost has noted, mixed identities such as the mestiza, mulatta, or métis/se challenge universalized notions of identity, a point that fits in neatly with this project. In addition to including (but not subsuming) other hybrid figures, the mestiza would have to 8 A cursory look at the structure of </w:t>
      </w:r>
      <w:r w:rsidRPr="00087A72">
        <w:rPr>
          <w:u w:val="single"/>
        </w:rPr>
        <w:t>Borderlands/La Frontera shows that Anzaldúa mirrors the process she prescribes in her own work, suggesting that she sees herself as a vanguard of this movement</w:t>
      </w:r>
      <w:r w:rsidRPr="00087A72">
        <w:rPr>
          <w:sz w:val="16"/>
        </w:rPr>
        <w:t xml:space="preserve">. </w:t>
      </w:r>
      <w:r w:rsidRPr="00087A72">
        <w:rPr>
          <w:u w:val="single"/>
        </w:rPr>
        <w:t>consider bringing in other, less likely, and potentially more controversial figures. In her analysis, Anzaldúa has included homosexuals, for example</w:t>
      </w:r>
      <w:r w:rsidRPr="00087A72">
        <w:rPr>
          <w:sz w:val="16"/>
        </w:rPr>
        <w:t xml:space="preserve">, but does not overtly provide for those who identify as bisexual, transsexual, or transgender. For her own political reasons, she also does not include non-queer whites or straight men. A refigured mestiza would not necessarily have to be female, or Chicana. </w:t>
      </w:r>
      <w:r w:rsidRPr="00087A72">
        <w:rPr>
          <w:u w:val="single"/>
        </w:rPr>
        <w:t>The only requirement levied on new mestizas would be their commitment to a feminist project, for, as Teresa de Lauretis understands the feminist subject, s/he is “not unified or simply divided between positions of masculinity and femininity, but multiply organized across positionalities along several axes and across mutually contradictory discourses and practices” (“Displacing Hegemonic Discourses” 136, her italics). This echoes Anzaldúa‟s own assertion that “the struggle of the mestiza is above all a feminist one”</w:t>
      </w:r>
      <w:r w:rsidRPr="00087A72">
        <w:rPr>
          <w:sz w:val="16"/>
        </w:rPr>
        <w:t xml:space="preserve"> (Borderlands 106) </w:t>
      </w:r>
      <w:r w:rsidRPr="00087A72">
        <w:rPr>
          <w:u w:val="single"/>
        </w:rPr>
        <w:t>and stands as a significant reminder that one‟s commitment to the feminist struggle is not an indicator of one‟s sex or gender</w:t>
      </w:r>
      <w:r w:rsidRPr="00087A72">
        <w:rPr>
          <w:sz w:val="16"/>
        </w:rPr>
        <w:t xml:space="preserve">. As such </w:t>
      </w:r>
      <w:r w:rsidRPr="00087A72">
        <w:rPr>
          <w:b/>
          <w:u w:val="single"/>
        </w:rPr>
        <w:t>“an inclusive paradigm, mestizaje can serve as a model for the fusions, negotiations, frictions, and border crossings between races in the Americas</w:t>
      </w:r>
      <w:r w:rsidRPr="00087A72">
        <w:rPr>
          <w:sz w:val="16"/>
        </w:rPr>
        <w:t>” (Bost, Mulattas and Mestizas 8). If Anzaldúa‟s mestiza were to be broader and more inclusive, one defining characteristic would certainly be her transnational nature. According to Françoise Lionnet and Shu-mei Shi, the transnational “can be conceived as a space of exchange and participation wherever processes of hybridization occur and where it is still possible for cultures to be produced and performed without necessary mediation from the center” (“Thinking Through the Minor” 5</w:t>
      </w:r>
      <w:r w:rsidRPr="00087A72">
        <w:rPr>
          <w:u w:val="single"/>
        </w:rPr>
        <w:t>). This is echoed by Anzaldúa herself, who notes, “the Borderlands are physically present wherever two or more cultures edge each other, where people of different races occupy the same territory, where under, lower, middle and upper classes touch, where the space between two individuals shrinks with intimacy”</w:t>
      </w:r>
      <w:r w:rsidRPr="00087A72">
        <w:rPr>
          <w:sz w:val="16"/>
        </w:rPr>
        <w:t xml:space="preserve"> (Borderlands 19). Anzaldúa, however, does not seem to provide for these other borderlands in her account of the mestiza consciousness, choosing instead to put the spotlight on the Chicano struggle and the borderlands created by the US-Mexico border. This absence is striking and in many ways, stands out as an important deficiency in her theory. In order to fashion a more transnational mestiza, then, our understandings of borders must be more wide-ranging and extensive. </w:t>
      </w:r>
      <w:r w:rsidRPr="00087A72">
        <w:rPr>
          <w:u w:val="single"/>
        </w:rPr>
        <w:t xml:space="preserve">It may be useful to consider Renato Rosaldo‟s characterization of borders as “sites where identities and cultures intersect” </w:t>
      </w:r>
      <w:r w:rsidRPr="00087A72">
        <w:rPr>
          <w:sz w:val="16"/>
        </w:rPr>
        <w:t>(Culture and Truth 149) which are “always in motion” (217). This is interesting because he does not specify borders as physical locations – they could be, for example, internal to one individual. To me, this is the crux of the matter. What processes take place at these sites, and what implications could they have on this discussion of the mestiza?</w:t>
      </w:r>
    </w:p>
    <w:p w:rsidR="001A3503" w:rsidRPr="00087A72" w:rsidRDefault="001A3503" w:rsidP="001A3503">
      <w:pPr>
        <w:pStyle w:val="Heading4"/>
      </w:pPr>
      <w:r w:rsidRPr="00087A72">
        <w:t>Their link evidence is a misreading of Anzaldua’s work on “spiritual activism” which describes the settler’s fetishism of “Two Spirit” Chicana understandings of transnationalism – even their supposed critic agrees that her work on primitivism is a means of mutual decolonization. To deny the lived reality of mestiza as an identity molded from diaspora is the worst form of authenticity testing used by settlers to demarcate who is worthy of indigeneity</w:t>
      </w:r>
    </w:p>
    <w:p w:rsidR="001A3503" w:rsidRPr="00087A72" w:rsidRDefault="001A3503" w:rsidP="001A3503">
      <w:r w:rsidRPr="00087A72">
        <w:rPr>
          <w:rStyle w:val="Style13ptBold"/>
        </w:rPr>
        <w:t>Morgensen, 11</w:t>
      </w:r>
      <w:r w:rsidRPr="00087A72">
        <w:t xml:space="preserve">  S. L. (2011). Spaces between us: Queer settler colonialism and indigenous decolonization. Scott Lauria Morgensen is assistant professor of gender studies at Queenrsquo;s University in Kingston, Ontario. He is coeditor ofQueer Indigenous Studies: Critical Interventions in Theory, Politics, and Literature. // sj</w:t>
      </w:r>
    </w:p>
    <w:p w:rsidR="001A3503" w:rsidRPr="00087A72" w:rsidRDefault="001A3503" w:rsidP="00032E5A">
      <w:pPr>
        <w:rPr>
          <w:sz w:val="16"/>
        </w:rPr>
      </w:pPr>
      <w:r w:rsidRPr="00087A72">
        <w:rPr>
          <w:sz w:val="16"/>
        </w:rPr>
        <w:t xml:space="preserve">Queer Diasporas and Indigenous Solidarity The globalism of U.S. queer modernities has been disrupted by queers of color theorizing diaspora. Some work valorizes queers of color as having this effect, an implication questioned by Puar who locates diasporic queers of color in multiple mediations by homonationalism.18 One such thread implies that diasporic cultural practices by queers of color disrupt colonialism and its legacies. Centering settler colonialism raises the stakes in making such a claim. </w:t>
      </w:r>
      <w:r w:rsidRPr="00087A72">
        <w:rPr>
          <w:rStyle w:val="StyleUnderline"/>
        </w:rPr>
        <w:t>A focus in queer diasporic scholarship on recent globalizations and migrations has framed colonization through the lens of the postcolonial, in which nationalisms, migration, and global governance sustain colonization's "afterlife.""</w:t>
      </w:r>
      <w:r w:rsidRPr="00087A72">
        <w:rPr>
          <w:sz w:val="16"/>
        </w:rPr>
        <w:t xml:space="preserve"> </w:t>
      </w:r>
      <w:r w:rsidRPr="00087A72">
        <w:rPr>
          <w:rStyle w:val="StyleUnderline"/>
        </w:rPr>
        <w:t>Yet a troubling effect of the assertion that today colonization is everywhere is that scholars do not place colonization itself under study or specify its forms.</w:t>
      </w:r>
      <w:r w:rsidRPr="00087A72">
        <w:rPr>
          <w:sz w:val="16"/>
        </w:rPr>
        <w:t xml:space="preserve"> One result is to elide settler colonialism as needing no afterlife because its primary form never ended. As a result, and as Indigenous feminist and queer critics argue, </w:t>
      </w:r>
      <w:r w:rsidRPr="00087A72">
        <w:rPr>
          <w:rStyle w:val="StyleUnderline"/>
        </w:rPr>
        <w:t>queer diasporic accounts of "colonialism" tend not to explain the colonial formation of settler societies, or the locations of diasporic queers of color within them as non-Natives in relation to Native peoples.</w:t>
      </w:r>
      <w:r w:rsidRPr="00087A72">
        <w:rPr>
          <w:sz w:val="16"/>
        </w:rPr>
        <w:t xml:space="preserve"> Articulations of diasporic queers of color with U.S. settler colonialism can be elicited from current scholarship. Martin Manalansan explains that diasporic Filipino gay men challenge their colonial locations as racially premodern in relation to U.S. queer modernities by destabilizing "a 247 monolithic gay identity," in a "counter-narrative to the prevailing view of the immigrant route as a movement away from tradition in the homeland and toward an assimilated modern life in the land of settlement.""' When Manalansan affirms an alternative form of modernity" formed by Filipinos negotiating legacies of U.S. colonization, he invites asking how this relates in "the land of settlement" to white settler rule relocating and marginalizing Filipinos as occupants of Native American and Kanaka Maoli lands.21 Interpreting how Filipino gay men claim transnational identities in relation to Native queer diasporas on stolen land could clarify how they perform queer modernities that, by defying U.S. colonial modernity, also open all its settler colonial power to question. Juana Rodriguez deepens such themes by tracing how "queer Latinidad" troubles U.S. colonial power by evaluating settler colonialism. In her account, the San Francisco queer Latino/a AIDS organization Proyecto Contra SIDA Por Vida defines queer Latino/a diasporas as anticolonial when its members transpose the European conquest of the Americas as a metaphor for the U.S. colonial relationship to Latin America. In doing so, Rodriguez relates, Proyecto invokes Latino/a and specifically Chicano/a queer identifications with indigeneity.22 Longtime Proyecto organizer Ricardo Bracho wrote in its mission statement, "queremos romper el silencio y repression among our pueblos who for 500 years have been colonized/ catholocized/deeroticized." Here Bracho evokes his co-imagining with Cherrie Moraga of a "queer Aztlan," in which claiming erotic belonging to Indigenous heritage defies Chicano/a internalizations of white supremacy and colonial discourse while invoking, in Moraga's words, "a Chicano homeland that could embrace all its people, including its joteria."23 Rodriguez explains that Proyecto's mission and art projects portray queer Latinos/as as mestizo/a and encourage embracing indigeneity as part of an antiracist and anticolonial queer diasporic consciousness that rejects U.S. whiteness as colonial. Yet the words and images 248 Rodriguez examines do not name the relationship of queer Latino/a indigeneity to the colonial situations of Native nations in the United States or Latin America today. She thus suggests potential ties and sustained differences among anticolonial theories of queer Latino/a indigeneity and the relationship among indigeneity, settler colonization, and queerness for Native nations. Chicana feminist and queer theorists have plied the tensions in such ties, notably when examining the work of Gloria Anzaldua as well as Moraga and Bracho as performing what Emma Perez calls a "decolonial imaginary."24 This work defies the violences of conquest that forcibly amalgamated Indigenous peoples with Europeans, subjugated mestizos as a racialized caste, a n d established Western civilizationalism and its colonial, racialist, and heteropatriarchal logics of domination. Reaffirming ancestral indigeneity allows not only renewed Indigenous Chicano/a identification but also potential alliances with Native peoples who survived conquest by maintaining national differences. In particular, many ties exist between a Chicano/a queer decolonial imaginary and Native American Two-Spirit identity, as attested by Two-Spirit people who take inspiration in their decolonial work from that of Anzaldua. Mindful of these interconnections, I deepen their discussion by considering how Anzaldua's Chicana queer claims on indigeneity historically engaged white settler queer primitivism. By reflecting on these engagements in her later work, Anzaldua opens to question the degree to which doing so extended or troubled the globalist and white settler logics of queer primitivism. I have argued that </w:t>
      </w:r>
      <w:r w:rsidRPr="00087A72">
        <w:rPr>
          <w:rStyle w:val="StyleUnderline"/>
        </w:rPr>
        <w:t>globalism in white settler queer primitivism obscures its subjects' locations in settler colonialism, and that these must be marked in relation to Two-Spirit people to accountably form transnational alliance.</w:t>
      </w:r>
      <w:r w:rsidRPr="00087A72">
        <w:rPr>
          <w:sz w:val="16"/>
        </w:rPr>
        <w:t xml:space="preserve"> My reading of </w:t>
      </w:r>
      <w:r w:rsidRPr="00087A72">
        <w:rPr>
          <w:rStyle w:val="StyleUnderline"/>
        </w:rPr>
        <w:t>Anzaldua in relation to this is shaped by two concerns:</w:t>
      </w:r>
      <w:r w:rsidRPr="00087A72">
        <w:rPr>
          <w:sz w:val="16"/>
        </w:rPr>
        <w:t xml:space="preserve"> m y demonstration </w:t>
      </w:r>
      <w:r w:rsidRPr="00087A72">
        <w:rPr>
          <w:rStyle w:val="StyleUnderline"/>
        </w:rPr>
        <w:t>that Two-Spirit people intimately engaged white queer colonial desires to produce discrepant, decolonial ends; and</w:t>
      </w:r>
      <w:r w:rsidRPr="00087A72">
        <w:rPr>
          <w:sz w:val="16"/>
        </w:rPr>
        <w:t xml:space="preserve"> the fact </w:t>
      </w:r>
      <w:r w:rsidRPr="00087A72">
        <w:rPr>
          <w:rStyle w:val="Emphasis"/>
        </w:rPr>
        <w:t>that</w:t>
      </w:r>
      <w:r w:rsidRPr="00087A72">
        <w:rPr>
          <w:sz w:val="16"/>
        </w:rPr>
        <w:t xml:space="preserve"> 249 </w:t>
      </w:r>
      <w:r w:rsidRPr="00087A72">
        <w:rPr>
          <w:rStyle w:val="Emphasis"/>
        </w:rPr>
        <w:t xml:space="preserve">whitesupremacist settler colonialism genocidally locates Chicanos/as and other mixed-blood Native peoples outside authentic indigeneity precisely to block their claims on Indigenous heritage-perhaps because such claims trouble the primacy of state-authenticated indigeneity when determining who can claim to be Native. </w:t>
      </w:r>
      <w:r w:rsidRPr="00087A72">
        <w:rPr>
          <w:sz w:val="16"/>
        </w:rPr>
        <w:t>With this in mind, I navigate between the possibility of reading Anzaldua as recapitulating or disturbing white settler queer primitivism to end on the crucial question: how Chicano/a queers and Native American Two-Spirit people are now, or can become, aligned in the space of transnational solidarity committed to mutual decolonizations. Anzaldua's work has been subject to many critiques of its adaptations of colonial discourse on indigeneity. The observation that she adapts colonial discourse is less interesting to me than an explication of the ends to which this adaptation leads. I push other scholars' critiques to ask</w:t>
      </w:r>
      <w:r w:rsidRPr="00087A72">
        <w:rPr>
          <w:rStyle w:val="StyleUnderline"/>
        </w:rPr>
        <w:t>: along what national horizons in a settler colonial society do Anzaldua's engagements with colonial discourse travel, and how does this block or engender alliances with contemporary Native peoples, including Two-Spirit people as members of their nations?</w:t>
      </w:r>
      <w:r w:rsidRPr="00087A72">
        <w:rPr>
          <w:sz w:val="16"/>
        </w:rPr>
        <w:t xml:space="preserve"> Sheila Marie Contreras reads Anzaldua's adaptations of race essentialism and primitivism in niestizaje by noting that "certain features of the primitive have changed surprisingly little in the migration from Anglo and European textual projects to a Chicana indigenist manifesto," as when Anzaldua cites "a colonial and anthropological archive" that "reproduce(s) the convention of anthropology and modern primitivism.""s </w:t>
      </w:r>
      <w:r w:rsidRPr="00087A72">
        <w:rPr>
          <w:rStyle w:val="Emphasis"/>
        </w:rPr>
        <w:t>The important point is not that Anzaldua cites narratives of primitivity legible in colonial texts, but whether or not her use also tracks the globalist epistemology of anthropology that amalgamates Indigenous differences as the "primitivity" needed for "modern" subjects to consume to know their own roots.</w:t>
      </w:r>
      <w:r w:rsidRPr="00087A72">
        <w:rPr>
          <w:sz w:val="16"/>
        </w:rPr>
        <w:t xml:space="preserve"> </w:t>
      </w:r>
      <w:r w:rsidRPr="00087A72">
        <w:rPr>
          <w:rStyle w:val="Emphasis"/>
        </w:rPr>
        <w:t>Contreras further notes that "whether primitivist borrowings are viewed in terms of artistic invention, spiritual reconstitution, or social transformation, they always 250 promote quite consciously a critique of Western norms, as does Anzaldua.</w:t>
      </w:r>
      <w:r w:rsidRPr="00087A72">
        <w:rPr>
          <w:sz w:val="16"/>
        </w:rPr>
        <w:t xml:space="preserve">zh She here affirms Philip Deloria's observation that in the United States, </w:t>
      </w:r>
      <w:r w:rsidRPr="00087A72">
        <w:rPr>
          <w:rStyle w:val="StyleUnderline"/>
        </w:rPr>
        <w:t>settler formulations of primitivism as opposition define the normative formation of white settler subjects of the civilizational West, and that this route to subjectivity must be displaced if invoking primitivism will act to destabilize, rather than restabilize, settler colonialism</w:t>
      </w:r>
      <w:r w:rsidRPr="00087A72">
        <w:rPr>
          <w:sz w:val="16"/>
        </w:rPr>
        <w:t xml:space="preserve">. Maria Saldana-Portillo argues that Anzaldua's play on mestizaje recapitulates revolutionary nationalism and its racialization in Mexico: What Anzaldua does not recognize ... is that her very focus on the Aztec female deities is an effect of the PRI's [Partido Revolucionario Institutional] statist policies to resuscitate, through state-funded documentation, this particular, defunct Mexican Indian culture and history to the exclusion of dozens of living indigenous Linking Saldana-Portillo and Deloria (through Contreras), we might ask to what degree Anzaldua's vision of Chicano/a queer indigeneity or, in Moraga and Bracho's terms, a "queer Aztlan" defines this decolonial nationality in a manner that disrupts or repeats the national horizons of U.S. American or Mexican settler colonialism. These critiques can be complicated by articulating them with the theoretical insights of women of color feminism that Anzaldua also inspired. Anzaldua offered "la conciencia de la mestiza" as a de-essentializing theory of Chicana subjectivity, echoing what Alarcon described for the theoretical subjects of This Bridge Called My Back" as "consciousness as a site of multiple voicings."2s Sandoval, in Methodology of the Oppressed, cites mestiza consciousness and interlinked theories in her claim that U.S./Third World feminists "differentially" traversed modernist oppositional movements to create decolonial feminist and queer projects. Yet, if Anzaldua inspired 251 women of color feminism to critically inhabit and cross colonial borders and open their contingency to change, her work may be pressed by certain other implications. Sandoval's account of a postmodern economy of cultural difference invites asking whether Anzaldua has portrayed Chicano/a queer indigeneity by facilitating or troubling globalist logics of indigeneity and methods for their circulation. In turn, the alliance politics of U.S./ Third World feminism-in Chandra Mohanty's words, to create "a political constituency, not a biological or even a sociological one," from "a common context of struggle"-troubles any feminist claims on a universality not situated by historically contingent struggle.29 Read together, </w:t>
      </w:r>
      <w:r w:rsidRPr="00087A72">
        <w:rPr>
          <w:rStyle w:val="StyleUnderline"/>
        </w:rPr>
        <w:t>Mohanty and Sandoval place in question whether globalist imaginaries of indigeneity-if or when they appear in Anzaldua's work-interrupt, or may be altered to enable, alliance among Chicano/a queers and Native American Two-Spirit people, whose activism defies globalism by situating national differences in transnational alliances.</w:t>
      </w:r>
    </w:p>
    <w:p w:rsidR="00CD7A9B" w:rsidRPr="00087A72" w:rsidRDefault="00032E5A" w:rsidP="00CD7A9B">
      <w:pPr>
        <w:pStyle w:val="Heading3"/>
      </w:pPr>
      <w:r w:rsidRPr="00087A72">
        <w:t xml:space="preserve">Border Methodologies </w:t>
      </w:r>
      <w:r w:rsidR="00CD7A9B" w:rsidRPr="00087A72">
        <w:t>No Link/Turn</w:t>
      </w:r>
    </w:p>
    <w:p w:rsidR="00CD7A9B" w:rsidRPr="00087A72" w:rsidRDefault="00CD7A9B" w:rsidP="00CD7A9B">
      <w:pPr>
        <w:pStyle w:val="Heading4"/>
      </w:pPr>
      <w:r w:rsidRPr="00087A72">
        <w:t xml:space="preserve">A method of border methodologies as the 1ac challenges the bigger power structures such as whiteness to understand our histories and others as well. The rhetoric that Anzaldúa uses isn’t one that furthers the drive of settler violence but embraces the histories of through a transformative pedagogy  </w:t>
      </w:r>
    </w:p>
    <w:p w:rsidR="00CD7A9B" w:rsidRPr="00087A72" w:rsidRDefault="00CD7A9B" w:rsidP="00CD7A9B">
      <w:pPr>
        <w:rPr>
          <w:rStyle w:val="Style13ptBold"/>
          <w:b w:val="0"/>
          <w:sz w:val="16"/>
          <w:szCs w:val="16"/>
        </w:rPr>
      </w:pPr>
      <w:r w:rsidRPr="00087A72">
        <w:rPr>
          <w:rStyle w:val="Style13ptBold"/>
        </w:rPr>
        <w:t xml:space="preserve">Gutierrez-Perez 16 </w:t>
      </w:r>
      <w:r w:rsidRPr="00087A72">
        <w:rPr>
          <w:rStyle w:val="Style13ptBold"/>
          <w:b w:val="0"/>
          <w:sz w:val="16"/>
          <w:szCs w:val="16"/>
        </w:rPr>
        <w:t xml:space="preserve">(Robert Gutierrez-Perez, s a Southwest borderlands scholar studying performances of power, resistance, and agency through the lens culture and communication. “A Letter From My Students”: Transformative Pedagogy, Borderlands Performance, and the Critical Junctures of Whiteness”, </w:t>
      </w:r>
      <w:r w:rsidRPr="00087A72">
        <w:rPr>
          <w:rStyle w:val="Style13ptBold"/>
          <w:b w:val="0"/>
          <w:i/>
          <w:sz w:val="16"/>
          <w:szCs w:val="16"/>
        </w:rPr>
        <w:t>Liminalities: A Journal of Performance Studies</w:t>
      </w:r>
      <w:r w:rsidRPr="00087A72">
        <w:rPr>
          <w:rStyle w:val="Style13ptBold"/>
          <w:b w:val="0"/>
          <w:sz w:val="16"/>
          <w:szCs w:val="16"/>
        </w:rPr>
        <w:t>, Vol. 12, No. 4 (2016) pp. 10-16) [JS]</w:t>
      </w:r>
    </w:p>
    <w:p w:rsidR="00CD7A9B" w:rsidRPr="00087A72" w:rsidRDefault="00CD7A9B" w:rsidP="00CD7A9B">
      <w:pPr>
        <w:rPr>
          <w:sz w:val="16"/>
        </w:rPr>
      </w:pPr>
      <w:r w:rsidRPr="00087A72">
        <w:rPr>
          <w:rStyle w:val="StyleUnderline"/>
        </w:rPr>
        <w:t>By focusing on the rhetorical construction of whiteness, scholars attempt to understand the visible and invisible nature of whiteness that eludes analysis yet exerts influence over our everyday lives</w:t>
      </w:r>
      <w:r w:rsidRPr="00087A72">
        <w:rPr>
          <w:sz w:val="16"/>
        </w:rPr>
        <w:t xml:space="preserve"> (Nakayama and Krizek 293; Warren, “Whiteness” 193). In my persona of “person of color</w:t>
      </w:r>
      <w:r w:rsidRPr="00087A72">
        <w:rPr>
          <w:rStyle w:val="StyleUnderline"/>
        </w:rPr>
        <w:t>,” I struggled with how to show whiteness enacted in and by brown bodies</w:t>
      </w:r>
      <w:r w:rsidRPr="00087A72">
        <w:rPr>
          <w:sz w:val="16"/>
        </w:rPr>
        <w:t xml:space="preserve">, because in introducing a Span- ish-speaking student within the performance, </w:t>
      </w:r>
      <w:r w:rsidRPr="00087A72">
        <w:rPr>
          <w:rStyle w:val="StyleUnderline"/>
        </w:rPr>
        <w:t>I would be calling out the (in)visibility of whiteness not only in prior personas but also in my own failed pedagogical practices.</w:t>
      </w:r>
      <w:r w:rsidRPr="00087A72">
        <w:rPr>
          <w:sz w:val="16"/>
        </w:rPr>
        <w:t xml:space="preserve"> </w:t>
      </w:r>
      <w:r w:rsidRPr="00087A72">
        <w:rPr>
          <w:rStyle w:val="Emphasis"/>
        </w:rPr>
        <w:t xml:space="preserve">Whiteness as an assemblage of contradictions slithers through challenges to its space through the multiplicity of its contradictions and the dynamism of being both universal and particular </w:t>
      </w:r>
      <w:r w:rsidRPr="00087A72">
        <w:rPr>
          <w:sz w:val="16"/>
        </w:rPr>
        <w:t xml:space="preserve">(Nakayama and Krizek 302-303). </w:t>
      </w:r>
      <w:r w:rsidRPr="00087A72">
        <w:rPr>
          <w:rStyle w:val="StyleUnderline"/>
        </w:rPr>
        <w:t>Rhetorical research focused on the strategic and tactical3 power granted temporarily to people who claim, are forced, or are given this social, cultural, and institutional identifier do not claim an essentialized white subject</w:t>
      </w:r>
      <w:r w:rsidRPr="00087A72">
        <w:rPr>
          <w:sz w:val="16"/>
        </w:rPr>
        <w:t xml:space="preserve"> (Warren, “Whiteness” 193). Like in the White male opening persona and the White female persona from the previous </w:t>
      </w:r>
      <w:r w:rsidRPr="00087A72">
        <w:rPr>
          <w:rStyle w:val="StyleUnderline"/>
        </w:rPr>
        <w:t>sections, whiteness as a source of identity and difference becomes (in)visible through an ability to be many things at once, to be everything and nothing, and to be always present and always absent</w:t>
      </w:r>
      <w:r w:rsidRPr="00087A72">
        <w:rPr>
          <w:sz w:val="16"/>
        </w:rPr>
        <w:t xml:space="preserve"> (Nakayama and Krizek 302; Warren, “Bodily Excess” 93). </w:t>
      </w:r>
      <w:r w:rsidRPr="00087A72">
        <w:rPr>
          <w:rStyle w:val="StyleUnderline"/>
        </w:rPr>
        <w:t xml:space="preserve">The visible and invisible nature of whiteness is a critical juncture in transformative pedagogy that offers a chance to acknowledge whiteness because students and instructors need to “see” white privilege before they can start working through failure in the micro and macro towards social justice. </w:t>
      </w:r>
      <w:r w:rsidRPr="00087A72">
        <w:rPr>
          <w:sz w:val="16"/>
        </w:rPr>
        <w:t xml:space="preserve">For instance, the invocation of science (or White as a stable racial identity) privileges the eurocentric traditions of reason, objectivity, and masculinity as opposed to emotion, subjectivity, and femininity. When my person of color persona proclaims himself as standing in for the people of color in the classroom, he acknowledges that students of color stand in a tenuous coalition with their fellow White students, and by making visible the white bodies in the material performance space and the imaginary space of the classroom, this persona inevita- bly feeds into this invocation of science. In other words, </w:t>
      </w:r>
      <w:r w:rsidRPr="00087A72">
        <w:rPr>
          <w:rStyle w:val="Emphasis"/>
        </w:rPr>
        <w:t>the conflation of white- ness with the label of science masks the fact that race is socially-constructed</w:t>
      </w:r>
      <w:r w:rsidRPr="00087A72">
        <w:rPr>
          <w:sz w:val="16"/>
        </w:rPr>
        <w:t xml:space="preserve">, </w:t>
      </w:r>
      <w:r w:rsidRPr="00087A72">
        <w:rPr>
          <w:rStyle w:val="StyleUnderline"/>
        </w:rPr>
        <w:t>and by utilizing privileged cultural currency to propagate a rational stable image of identity</w:t>
      </w:r>
      <w:r w:rsidRPr="00087A72">
        <w:rPr>
          <w:sz w:val="16"/>
        </w:rPr>
        <w:t xml:space="preserve"> (Nakayama and Krizek 300), the paradox of being part of the domi- nant/oppressor class (Freire 59) and enacting a politics of skin (Alexander and Warren 335) drives </w:t>
      </w:r>
      <w:r w:rsidRPr="00087A72">
        <w:rPr>
          <w:rStyle w:val="StyleUnderline"/>
        </w:rPr>
        <w:t>this persona to perform strategies that allow the macro structure of whiteness to remain invisible and unexamined</w:t>
      </w:r>
      <w:r w:rsidRPr="00087A72">
        <w:rPr>
          <w:sz w:val="16"/>
        </w:rPr>
        <w:t xml:space="preserve">. This student of color wants to call out whiteness, but given its strategic rhetorical construction, the persona inevitably must utilize the language of whiteness (i.e., English) to make space for the marginalized bodies in the classroom. Although these students are made marginalized by other students and the instructor, this persona fails to tru- ly interrogate whiteness because he has also fallen into the trap of essentializing racial identity, and therefore, he plunges the classroom space into the strategic rhetoric that only further marks his body as different and marks whiteness as invisible. There are several risks to researching whiteness and for bringing whiteness studies into the classroom towards </w:t>
      </w:r>
      <w:r w:rsidRPr="00087A72">
        <w:rPr>
          <w:rStyle w:val="StyleUnderline"/>
        </w:rPr>
        <w:t>the goals of transformative pedagogy; how- ever, there are several chances for social justice if one succeeds or fails.</w:t>
      </w:r>
      <w:r w:rsidRPr="00087A72">
        <w:rPr>
          <w:sz w:val="16"/>
        </w:rPr>
        <w:t xml:space="preserve"> For in- stance, many scholars worry that studying whiteness only focuses more re- sources onto the already powerful center and may serve to strengthen the privi- leges already afforded by this identifier (Keating, Teaching 63; Warren, “White- ness” 199). In my performance, there is an equal number of “White” personas and “Person of Color” personas, but the majority of the performance time is taken up by the White students. Utilizing humor, I performed a White male student that learned about the importance of speaking out against oppressive power structures, yet he is missing some critical piece in his thinking or doesn’t quite yet know how to use or hear his voice. Inevitably, he fails to locate his voice and even forgets his prepared quote, which is all this student really had to say any- way, and his angry and violent tirade is seen for what it truly is—empty words. This is an example of a trickster performance that utilizes humor to open up more meaningful space for dialogue in serious situations (Salinas 146, 151). This performance suggests that </w:t>
      </w:r>
      <w:r w:rsidRPr="00087A72">
        <w:rPr>
          <w:rStyle w:val="StyleUnderline"/>
        </w:rPr>
        <w:t>if we ignore whiteness studies, then a transformative pedagogy gives up on a chance to deconstruct the center.</w:t>
      </w:r>
      <w:r w:rsidRPr="00087A72">
        <w:rPr>
          <w:sz w:val="16"/>
        </w:rPr>
        <w:t xml:space="preserve"> In the end, this student is so close to becoming an ally for transformative politics but needs more skills, more reflexivity, or more time before he can become a stronger advocate for so- cial justice; in short, he needed to fail to learn more about the privileges of whiteness and the difficulties inherent to navigating the both/and quality and the (in)visible nature of whiteness</w:t>
      </w:r>
      <w:r w:rsidRPr="00087A72">
        <w:rPr>
          <w:rStyle w:val="Emphasis"/>
        </w:rPr>
        <w:t xml:space="preserve">. Transformative pedagogy is a chance to center the intersectional experiences of the marginalized student and acknowledges feminist, queer, and indigenous bodies and knowledge. </w:t>
      </w:r>
      <w:r w:rsidRPr="00087A72">
        <w:rPr>
          <w:sz w:val="16"/>
        </w:rPr>
        <w:t xml:space="preserve">In confronting whiteness in the classroom, many teach- ers and students claim that such a space should be a “safe” place, which “usually translates to mean that the professor lectures to a group of quiet students who respond only when they are called on” (hooks, Teaching 39). However, those teachers fail to acknowledge that the classroom space has never been safe for everyone. In my performance, there are several invisible students that are si- lenced when others have spoken up for them. In creating a performance where every single student joins in a revolution of the classroom, it became clear that some of these silent students would only join this letter if they could voice their concerns directly. For instance, I often share my queer positionality with my students, and although “I understand the complicated nature of naming, of stak- ing a claim and feeling the careful eye of scrutiny, of evaluation, of establishing proof” (Gust and Warren 117). I do this because there is always another queer body hidden within the classroom. For me, graduate school was when I first ex- perienced a classroom instructed by an openly queer scholar, and this absence of positive queer role models throughout my educational career has affected my self-esteem and self-confidence. I’ve often questioned my self-worth as a student, teacher, and scholar, so by making myself vulnerable to the emotional, spiritual, mental, and physical trauma of swimming against the heteronormative current, </w:t>
      </w:r>
      <w:r w:rsidRPr="00087A72">
        <w:rPr>
          <w:rStyle w:val="StyleUnderline"/>
        </w:rPr>
        <w:t>a transformative pedagogy offers a chance to move the center of a space onto marginalized experiences.</w:t>
      </w:r>
      <w:r w:rsidRPr="00087A72">
        <w:rPr>
          <w:sz w:val="16"/>
        </w:rPr>
        <w:t xml:space="preserve"> However, like my students critique, a transformative pedagogy is not always capable of empowering all voices in a classroom, nor is it an antidote for student resistance to a social justice agenda. </w:t>
      </w:r>
      <w:r w:rsidRPr="00087A72">
        <w:rPr>
          <w:rStyle w:val="Emphasis"/>
        </w:rPr>
        <w:t>Drawing on border- lands theory and critical (communication/performance) pedagogy, a transforma- tive pedagogy is a chance to acknowledge a process of striving for social justice that must be pursued and (re)performed regardless of failure</w:t>
      </w:r>
      <w:r w:rsidRPr="00087A72">
        <w:rPr>
          <w:sz w:val="16"/>
        </w:rPr>
        <w:t xml:space="preserve">, and the possibility for a different performance in the classroom is the potential chance for trans- formation. In my performance, the narrative comes to a climax when the body of the “Teacher” is possessed by an Earth deity who literally lies underneath all the students and teacher and calls on the history and politics of colonization and land exploitation to critique the entire system of education. This persona advo- cates for a pedagogy of the land that focuses on how we are implicated in the violent history of the land, the theft of land from indigenous communities, and the socially-constructed nature of owning land (Pendleton Jiménez 220-221). </w:t>
      </w:r>
      <w:r w:rsidRPr="00087A72">
        <w:rPr>
          <w:rStyle w:val="Emphasis"/>
        </w:rPr>
        <w:t>Transformative pedagogy is a project informed by critically theories of education, but it is fundamentally rooted in indigenous knowledge and praxis that actively cultivates a praxis for collective agency,</w:t>
      </w:r>
      <w:r w:rsidRPr="00087A72">
        <w:rPr>
          <w:sz w:val="16"/>
        </w:rPr>
        <w:t xml:space="preserve"> </w:t>
      </w:r>
      <w:r w:rsidRPr="00087A72">
        <w:rPr>
          <w:rStyle w:val="Emphasis"/>
        </w:rPr>
        <w:t>that interrogates both democracy and indigenous sovereignty, and that is grounded in hope</w:t>
      </w:r>
      <w:r w:rsidRPr="00087A72">
        <w:rPr>
          <w:sz w:val="16"/>
        </w:rPr>
        <w:t xml:space="preserve"> (Grande 250). Inevi- tably, the Earth persona must shake her belly to remind the students and teacher of their place in the world, and this female deity is the final earthquake that destroys the identity of the teacher and thrusts this educator into that traumatic in/between state of nepantla. Drawing </w:t>
      </w:r>
      <w:r w:rsidRPr="00087A72">
        <w:rPr>
          <w:rStyle w:val="Emphasis"/>
        </w:rPr>
        <w:t>on Chicana/o studies and</w:t>
      </w:r>
      <w:r w:rsidRPr="00087A72">
        <w:rPr>
          <w:sz w:val="16"/>
        </w:rPr>
        <w:t xml:space="preserve"> </w:t>
      </w:r>
      <w:r w:rsidRPr="00087A72">
        <w:rPr>
          <w:rStyle w:val="Emphasis"/>
        </w:rPr>
        <w:t>Red pedagogy, a transformative pedagogy is a chance to honor the land and remember indigenous knowledge by challenging whiteness as a decolonial project that</w:t>
      </w:r>
      <w:r w:rsidRPr="00087A72">
        <w:rPr>
          <w:sz w:val="16"/>
        </w:rPr>
        <w:t xml:space="preserve"> “makes no claim to political neutrality but rather engages a method of analysis and social inquiry that troubles the capitalist-imperialist aims of unfettered competition, accumulation and exploitation” (Grande 250). Although there are risks to addressing whiteness in the classroom, </w:t>
      </w:r>
      <w:r w:rsidRPr="00087A72">
        <w:rPr>
          <w:rStyle w:val="StyleUnderline"/>
        </w:rPr>
        <w:t xml:space="preserve">the opportunity to center feminist, queer, and indig- enous bodies and knowledges is a chance to break apart the center </w:t>
      </w:r>
      <w:r w:rsidRPr="00087A72">
        <w:rPr>
          <w:sz w:val="16"/>
        </w:rPr>
        <w:t>and move teachers and students into more empowered states of being in the classroom space. Before undertaking this auto/ethnographic report, I attempted to respond to the Letter from My Students through a performance entitled A Letter to My Students. In this response letter, I created a performance narrative where the teacher persona responds to the student revolution by failing to transform from a process- oriented ontology (nagualismo) to a product-oriented one (curanderismo) in or- der to join the resistance that his students started. He yearned for a way to heal the maladies and ills of his students for them, and he desperately was searching for a new ontology to the classroom that could satisfy everyone</w:t>
      </w:r>
      <w:r w:rsidRPr="00087A72">
        <w:rPr>
          <w:rStyle w:val="StyleUnderline"/>
        </w:rPr>
        <w:t>. In the border- land cultures between the U.S. and Mexico, a curandera</w:t>
      </w:r>
      <w:r w:rsidRPr="00087A72">
        <w:rPr>
          <w:sz w:val="16"/>
        </w:rPr>
        <w:t xml:space="preserve"> is a folk-healer or shaman that cures physical and spiritual illness with herbs and magic. However, another way to see the curandera is as a historian (Morales). As an historian, the curandera’s body a</w:t>
      </w:r>
      <w:r w:rsidRPr="00087A72">
        <w:rPr>
          <w:rStyle w:val="StyleUnderline"/>
        </w:rPr>
        <w:t>rchives the repertoires of her people and culture through sto- rytelling.</w:t>
      </w:r>
      <w:r w:rsidRPr="00087A72">
        <w:rPr>
          <w:sz w:val="16"/>
        </w:rPr>
        <w:t xml:space="preserve"> But “storytelling is not neutral. Curandera historians make this explic- it, openly naming our partisanship, our intent to influence how people think” (Morales 25). As my teacher persona discovered in A Letter to My Students, a curandera is not a product-oriented ontology, and in trying to archive the histories of his students for them, he fails because he is not allowing his students to fail and be reflexive. Additionally, he was not allowing himself to accept and be reflexive of his own failures as a teacher. To be clear, I am not claiming an identity as a nagual or a curandera, but </w:t>
      </w:r>
      <w:r w:rsidRPr="00087A72">
        <w:rPr>
          <w:rStyle w:val="Emphasis"/>
        </w:rPr>
        <w:t>these well-researched indigenous symbols and images</w:t>
      </w:r>
      <w:r w:rsidRPr="00087A72">
        <w:rPr>
          <w:sz w:val="16"/>
        </w:rPr>
        <w:t xml:space="preserve"> (Anzaldúa; Caputi; Keating, Transformation; Lara; Pineau; Moraga; Mo- rales; Salinas; Vásquez, Zaytoun) </w:t>
      </w:r>
      <w:r w:rsidRPr="00087A72">
        <w:rPr>
          <w:rStyle w:val="Emphasis"/>
        </w:rPr>
        <w:t>are useful metaphors to replace the old and dead metaphors that are no longer working to transform classroom spaces</w:t>
      </w:r>
      <w:r w:rsidRPr="00087A72">
        <w:rPr>
          <w:sz w:val="16"/>
        </w:rPr>
        <w:t xml:space="preserve"> (Anzaldúa, Reader). In reconsidering our metaphors, students and teachers are empowered to embrace failure not as a product, but as a process of critical re- flexivity, embodied transformative pedagogy, and striving for justice. </w:t>
      </w:r>
      <w:r w:rsidRPr="00087A72">
        <w:rPr>
          <w:rStyle w:val="StyleUnderline"/>
        </w:rPr>
        <w:t>A transformative pedagogy must be open to failure because confronting whiteness as a privilege, as both/and, and as (in)visible is always already embedded in politics, ambiguity, and contradictions</w:t>
      </w:r>
      <w:r w:rsidRPr="00087A72">
        <w:rPr>
          <w:sz w:val="16"/>
        </w:rPr>
        <w:t xml:space="preserve">. So failure is an inevitable truth to social justice work. A transformative pedagogy does not advocate for a teacher-actor that reduces a transformative agenda to style or passive theatre. Nor does it advocate for a teacher-artist that imposes structure and borders onto creativity (Pineau; Warren, “Whiteness” 195). Rather, as a teacher-performer engaging the classroom with educational poetics, play, process, and power, a transformative pedagogy acknowledges that identity is a complex matrix of mul- tiple and always overlapping selves performing in relationship to the context and communities in which they are emerged (Pineau 29). By purposely performing a praxis of ambiguity, liminality, chance, and failure, a teacher-performer remains flexible to create and utilize liminal spaces to stay “relevant and influential by reinventing [oneself] in different ways to meet new and expanding contexts” (Salinas 155). Although using poetics to play with the power and processual na- ture of borders and liminal states can often fail (Salinas 151), </w:t>
      </w:r>
      <w:r w:rsidRPr="00087A72">
        <w:rPr>
          <w:rStyle w:val="StyleUnderline"/>
        </w:rPr>
        <w:t>a transformative pedagogy understands that there is a chance for transformation in failure be- cause the imagining of new performances and ways to interact with the class- room space plays a role in the reflexive process of putting our scattered and traumatized identities back together after confronting oppressive power structures, such as whiteness.</w:t>
      </w:r>
      <w:r w:rsidRPr="00087A72">
        <w:rPr>
          <w:sz w:val="16"/>
        </w:rPr>
        <w:t xml:space="preserve"> In the end, a transformative pedagogy uses the chance of failure to keep moving, shifting, and striving towards social justice. Through the performance of A Letter from My Students, I have confronted my fears associated with enacting a transformative pedagogy in the classroom. Embodying and analyzing my fail- ures as a teacher meant placing my own mestizo body on the line and holding myself accountable to a praxis of ambiguity, liminality, chance, and failure. Ad- ditionally, it is humbling to accept and share that my performance of A Letter to My Students was a failure. As a performance created and performed alongside A Letter from My Students, I received yet ignored critical advice from mentors and colleagues that suggested changes or that critiqued the response as reestablish- ing problematic power binaries between teacher and student. A part of my fail- ure lies in creating a response that took a position of individual responsibility without taking into account the larger systems of power at work within higher education classrooms, such as the critical junctures of whiteness. In trying to confront my pedagogical fears, I (re)created through a navel-gazing perfor- mance just another teacher trying to regain control of his classroom rather than a teacher joining a revolution of higher education spaces. However, in this fail- ure, I have remembered that addressing whiteness, performance, and advocacy in higher education is a chance to transform spaces through a process of reflex- ivity and critical thinking. Reframing failure as a process over product can help move us toward a vision of transforming the educational system for everyone. By doing so, teachers and students alike through the recognition and playful manipulation of ambiguity, liminality, chance, and the ever present potential of productive destruction can embrace the best of what education can and should be.</w:t>
      </w:r>
    </w:p>
    <w:p w:rsidR="00CD7A9B" w:rsidRPr="00087A72" w:rsidRDefault="00CD7A9B" w:rsidP="00CD7A9B">
      <w:pPr>
        <w:pStyle w:val="Heading3"/>
      </w:pPr>
      <w:r w:rsidRPr="00087A72">
        <w:t>Permutation</w:t>
      </w:r>
    </w:p>
    <w:p w:rsidR="00CD7A9B" w:rsidRPr="00087A72" w:rsidRDefault="00CD7A9B" w:rsidP="00CD7A9B">
      <w:pPr>
        <w:pStyle w:val="Heading4"/>
      </w:pPr>
      <w:r w:rsidRPr="00087A72">
        <w:t xml:space="preserve">A border pedagogy and red pedagogy are both methods that can be used together to offer hope and create societal changes </w:t>
      </w:r>
    </w:p>
    <w:p w:rsidR="00CD7A9B" w:rsidRPr="00087A72" w:rsidRDefault="00CD7A9B" w:rsidP="00CD7A9B">
      <w:pPr>
        <w:rPr>
          <w:rStyle w:val="Style13ptBold"/>
          <w:b w:val="0"/>
          <w:sz w:val="16"/>
          <w:szCs w:val="16"/>
        </w:rPr>
      </w:pPr>
      <w:r w:rsidRPr="00087A72">
        <w:rPr>
          <w:rStyle w:val="Style13ptBold"/>
        </w:rPr>
        <w:t xml:space="preserve">Cashman 16 </w:t>
      </w:r>
      <w:r w:rsidRPr="00087A72">
        <w:rPr>
          <w:rStyle w:val="Style13ptBold"/>
          <w:b w:val="0"/>
          <w:sz w:val="16"/>
          <w:szCs w:val="16"/>
        </w:rPr>
        <w:t>(Timothy G. Cashman, University Of Texas At El Paso, Utep · Department of Teacher Education, “Navigating The Intersection Of Place-Based Pedagogy And Border Pedagogy: Resituating Our Positions Through Critical Border Dialogism”</w:t>
      </w:r>
      <w:r w:rsidRPr="00087A72">
        <w:rPr>
          <w:rStyle w:val="Style13ptBold"/>
          <w:b w:val="0"/>
          <w:i/>
          <w:sz w:val="16"/>
          <w:szCs w:val="16"/>
        </w:rPr>
        <w:t xml:space="preserve"> International Journal Of Critical Pedagogy, </w:t>
      </w:r>
      <w:r w:rsidRPr="00087A72">
        <w:rPr>
          <w:rStyle w:val="Style13ptBold"/>
          <w:b w:val="0"/>
          <w:sz w:val="16"/>
          <w:szCs w:val="16"/>
        </w:rPr>
        <w:t>Vol. 7 No. 1, pp 39-41) [JS]</w:t>
      </w:r>
    </w:p>
    <w:p w:rsidR="00CD7A9B" w:rsidRPr="00087A72" w:rsidRDefault="00CD7A9B" w:rsidP="00CD7A9B">
      <w:pPr>
        <w:rPr>
          <w:b/>
          <w:iCs/>
          <w:sz w:val="26"/>
          <w:u w:val="single"/>
        </w:rPr>
      </w:pPr>
      <w:r w:rsidRPr="00087A72">
        <w:rPr>
          <w:rStyle w:val="Emphasis"/>
        </w:rPr>
        <w:t>critical border dialogism is influenced by indigenous knowledge that crosses multiple conditions of borders</w:t>
      </w:r>
      <w:r w:rsidRPr="00087A72">
        <w:rPr>
          <w:sz w:val="16"/>
        </w:rPr>
        <w:t>. “</w:t>
      </w:r>
      <w:r w:rsidRPr="00087A72">
        <w:rPr>
          <w:rStyle w:val="Emphasis"/>
        </w:rPr>
        <w:t>Nepantla”, as a form of indigenous knowledge, is a key part of the dialogue indispensable for critical border praxis</w:t>
      </w:r>
      <w:r w:rsidRPr="00087A72">
        <w:rPr>
          <w:sz w:val="16"/>
        </w:rPr>
        <w:t xml:space="preserve">. Nepantla is a word that originated in the Nahuatl language, the lingua franca of the indigenous Nahua in Mexico and Central America (Anzaldúa, 1987; Maffie, 2007). </w:t>
      </w:r>
      <w:r w:rsidRPr="00087A72">
        <w:rPr>
          <w:rStyle w:val="Emphasis"/>
        </w:rPr>
        <w:t>Nepantla serves a form of indigenous knowledge that places people and things within surroundings characterized by dynamism, fluidity, and the possibilities for social transformation</w:t>
      </w:r>
      <w:r w:rsidRPr="00087A72">
        <w:rPr>
          <w:sz w:val="16"/>
        </w:rPr>
        <w:t xml:space="preserve">. Anzaldúa, (1987) defined </w:t>
      </w:r>
      <w:r w:rsidRPr="00087A72">
        <w:rPr>
          <w:rStyle w:val="StyleUnderline"/>
        </w:rPr>
        <w:t>nepantla</w:t>
      </w:r>
      <w:r w:rsidRPr="00087A72">
        <w:rPr>
          <w:sz w:val="16"/>
        </w:rPr>
        <w:t xml:space="preserve"> as </w:t>
      </w:r>
      <w:r w:rsidRPr="00087A72">
        <w:rPr>
          <w:rStyle w:val="StyleUnderline"/>
        </w:rPr>
        <w:t>bridges that crossliminal spaces to connect worlds.</w:t>
      </w:r>
      <w:r w:rsidRPr="00087A72">
        <w:rPr>
          <w:sz w:val="16"/>
        </w:rPr>
        <w:t xml:space="preserve"> Abraham (2014) maintained that the Nahua held perspectives of a world characterized by elements of disorder, the process of becoming, and flexibility or transitions. Maffie (2007) stated that historically, n</w:t>
      </w:r>
      <w:r w:rsidRPr="00087A72">
        <w:rPr>
          <w:rStyle w:val="StyleUnderline"/>
        </w:rPr>
        <w:t>epantla was the part of how the Nahua envisioned the world and is rooted in a belief system that places people and cultural objects within “a dynamic zone of mutual transaction, confluence, unstable and diffuse identity, and trans- formation</w:t>
      </w:r>
      <w:r w:rsidRPr="00087A72">
        <w:rPr>
          <w:sz w:val="16"/>
        </w:rPr>
        <w:t xml:space="preserve">” (p. 16). Mignolo (2000b) argued that the Nahua developed nepantla as a consciousness in response to their encounter and subsequent ideological and physical domination by Spanish conquistadors, invaders, and missionaries. Maffie (2007) spoke of nepantla as being a process that is “dialectical, transitional, and oscillating; centering as well as destabilizing; and abundant with mutuality and reciprocity” (p. 11). </w:t>
      </w:r>
      <w:r w:rsidRPr="00087A72">
        <w:rPr>
          <w:rStyle w:val="Emphasis"/>
        </w:rPr>
        <w:t>Nepantla is simultaneously destructive and creative, it is also “transformative”</w:t>
      </w:r>
      <w:r w:rsidRPr="00087A72">
        <w:rPr>
          <w:sz w:val="16"/>
        </w:rPr>
        <w:t xml:space="preserve"> (p. 11). Abraham (2014) linked Anzaldúa’s nepantla to Bakhtin’s ideologi- cal becoming. </w:t>
      </w:r>
      <w:r w:rsidRPr="00087A72">
        <w:rPr>
          <w:rStyle w:val="Emphasis"/>
        </w:rPr>
        <w:t>Nepantla leads us to question physical, linguistic, social, and cultural borders.</w:t>
      </w:r>
      <w:r w:rsidRPr="00087A72">
        <w:rPr>
          <w:sz w:val="16"/>
        </w:rPr>
        <w:t xml:space="preserve"> </w:t>
      </w:r>
      <w:r w:rsidRPr="00087A72">
        <w:rPr>
          <w:rStyle w:val="StyleUnderline"/>
        </w:rPr>
        <w:t>Both nepantla and the notion of becoming are theoretical stances that put forth that we, as humans, are in a continual process of forming ideas and that those ideas are influenced by historical and current discourses</w:t>
      </w:r>
      <w:r w:rsidRPr="00087A72">
        <w:rPr>
          <w:sz w:val="16"/>
        </w:rPr>
        <w:t xml:space="preserve"> (Abraham, 2014). Educators may be applying the worldviews espoused in nepantla in today’s classrooms through red pedagogy (Grande, 2004). </w:t>
      </w:r>
      <w:r w:rsidRPr="00087A72">
        <w:rPr>
          <w:rStyle w:val="StyleUnderline"/>
        </w:rPr>
        <w:t>Red pedagogy is based, in part, on the following argument for decolonized education</w:t>
      </w:r>
      <w:r w:rsidRPr="00087A72">
        <w:rPr>
          <w:sz w:val="16"/>
        </w:rPr>
        <w:t xml:space="preserve">: The ongoing injustices of the world call educators-as-students- as-activists to work together—to be in solidarity as we work </w:t>
      </w:r>
      <w:r w:rsidRPr="00087A72">
        <w:rPr>
          <w:rStyle w:val="StyleUnderline"/>
        </w:rPr>
        <w:t>to change the history of empire and struggle in the common project of decolonization</w:t>
      </w:r>
      <w:r w:rsidRPr="00087A72">
        <w:rPr>
          <w:sz w:val="16"/>
        </w:rPr>
        <w:t xml:space="preserve">. </w:t>
      </w:r>
      <w:r w:rsidRPr="00087A72">
        <w:rPr>
          <w:rStyle w:val="StyleUnderline"/>
        </w:rPr>
        <w:t>To do so requires courage, humility, and love.</w:t>
      </w:r>
      <w:r w:rsidRPr="00087A72">
        <w:rPr>
          <w:sz w:val="16"/>
        </w:rPr>
        <w:t xml:space="preserve"> (Grande, 2004, p. 175) </w:t>
      </w:r>
      <w:r w:rsidRPr="00087A72">
        <w:rPr>
          <w:rStyle w:val="StyleUnderline"/>
        </w:rPr>
        <w:t xml:space="preserve">Red pedagogy brings a realization and consideration for sovereignty and living out active presences and “survivances.” </w:t>
      </w:r>
      <w:r w:rsidRPr="00087A72">
        <w:rPr>
          <w:sz w:val="16"/>
        </w:rPr>
        <w:t xml:space="preserve">Grande (2004) described survivances as native renunciations of dominance, tragedy, and victimry. The survivance narratives contemplate </w:t>
      </w:r>
      <w:r w:rsidRPr="00087A72">
        <w:rPr>
          <w:rStyle w:val="StyleUnderline"/>
        </w:rPr>
        <w:t>the “struggles of indigenous peoples and the lived reality of colonization as a com- plexity that extends far beyond the parameters of economic capitalist oppression”</w:t>
      </w:r>
      <w:r w:rsidRPr="00087A72">
        <w:rPr>
          <w:sz w:val="16"/>
        </w:rPr>
        <w:t xml:space="preserve"> (p. 175). Grande (2004) put forth that s</w:t>
      </w:r>
      <w:r w:rsidRPr="00087A72">
        <w:rPr>
          <w:rStyle w:val="StyleUnderline"/>
        </w:rPr>
        <w:t>cholars, educators, and students “must exercise critical consciousness” and create a new meeting place for “indigenous and nonindigenous peoples will work in olidarity to envision a way of life and replete with spirit</w:t>
      </w:r>
      <w:r w:rsidRPr="00087A72">
        <w:rPr>
          <w:sz w:val="16"/>
        </w:rPr>
        <w:t xml:space="preserve">” (p. 176). </w:t>
      </w:r>
      <w:r w:rsidRPr="00087A72">
        <w:rPr>
          <w:rStyle w:val="Emphasis"/>
        </w:rPr>
        <w:t>Critical border dialogism provides spaces for crossing the borders that were determined by dominant groups and offers opportunities for dialectical approaches to “otherness”</w:t>
      </w:r>
      <w:r w:rsidRPr="00087A72">
        <w:rPr>
          <w:sz w:val="16"/>
        </w:rPr>
        <w:t xml:space="preserve">. </w:t>
      </w:r>
      <w:r w:rsidRPr="00087A72">
        <w:rPr>
          <w:rStyle w:val="Emphasis"/>
        </w:rPr>
        <w:t>Nepantla and red pedagogy provide educational systems and policymakers with counter-narratives in an age of high-stakes assessments, funding shortfalls for public educa- tion, and the creeping privatization of public education.</w:t>
      </w:r>
      <w:r w:rsidRPr="00087A72">
        <w:rPr>
          <w:sz w:val="16"/>
        </w:rPr>
        <w:t xml:space="preserve"> </w:t>
      </w:r>
      <w:r w:rsidRPr="00087A72">
        <w:rPr>
          <w:rStyle w:val="Emphasis"/>
        </w:rPr>
        <w:t>Indigenous pedagogies that correspond with nepantla and red pedagogy challenge the neo-positivist beliefs of our current materialistic, consumerist society. Nepantla and red pedagogy offer hope for the repositioning of educators and cultural workers, so that they become empowered and better equipped to challenge dominant educational discourses.</w:t>
      </w:r>
    </w:p>
    <w:p w:rsidR="009F0BAC" w:rsidRPr="00087A72" w:rsidRDefault="009F0BAC" w:rsidP="00496C79">
      <w:pPr>
        <w:pStyle w:val="Heading2"/>
      </w:pPr>
      <w:r w:rsidRPr="00087A72">
        <w:t>Sp 2 – Asylum</w:t>
      </w:r>
    </w:p>
    <w:p w:rsidR="009F0BAC" w:rsidRPr="00087A72" w:rsidRDefault="009F0BAC" w:rsidP="009F0BAC">
      <w:pPr>
        <w:pStyle w:val="Heading3"/>
      </w:pPr>
      <w:r w:rsidRPr="00087A72">
        <w:t>Derrida Link Turn</w:t>
      </w:r>
    </w:p>
    <w:p w:rsidR="009F0BAC" w:rsidRPr="00087A72" w:rsidRDefault="009F0BAC" w:rsidP="009F0BAC">
      <w:pPr>
        <w:pStyle w:val="Heading4"/>
      </w:pPr>
      <w:r w:rsidRPr="00087A72">
        <w:t xml:space="preserve">Derrida criticizes the paradoxical nature of settler colonialism in which the inclusion/exclusion, civil/uncivil, and the human/beast dualities are created by the sovereign. </w:t>
      </w:r>
    </w:p>
    <w:p w:rsidR="009F0BAC" w:rsidRPr="00087A72" w:rsidRDefault="009F0BAC" w:rsidP="009F0BAC">
      <w:r w:rsidRPr="00087A72">
        <w:rPr>
          <w:rStyle w:val="Style13ptBold"/>
        </w:rPr>
        <w:t>Byrd 13</w:t>
      </w:r>
      <w:r w:rsidRPr="00087A72">
        <w:t xml:space="preserve"> (Jodi A. Citizen of the Chickasaw Nation of Oklahoma and assistant professor of American Indian studies and English at the University of Illinois at Urbanandash;Champaign. “Follow the typical signs: settler sovereignty and its discontents” </w:t>
      </w:r>
      <w:r w:rsidRPr="00087A72">
        <w:rPr>
          <w:i/>
        </w:rPr>
        <w:t>Settler Colonial Studies</w:t>
      </w:r>
      <w:r w:rsidRPr="00087A72">
        <w:t xml:space="preserve"> pg. 152-153) OD</w:t>
      </w:r>
    </w:p>
    <w:p w:rsidR="009F0BAC" w:rsidRPr="00087A72" w:rsidRDefault="009F0BAC" w:rsidP="009F0BAC">
      <w:pPr>
        <w:rPr>
          <w:sz w:val="16"/>
        </w:rPr>
      </w:pPr>
      <w:r w:rsidRPr="00087A72">
        <w:rPr>
          <w:sz w:val="16"/>
        </w:rPr>
        <w:t>Williams observes that George Washington evoked “the Western country” to signify the bestial and hostile savages lurking at the edges of civilization and settlement, creating in the process, the space of the Indian as metonymy for frontier. When Washington described the expropriation of land from Indians as an experience that is like driving the Wild Beasts of the Forest which return as soon as the pursuit is at an end and fall perhaps on those that are left there; when the gradual extension of our settlements will as certainly cause the Savage as the Wolf to retire; both being beasts of prey though they differ in shape, he captured the dialectical binds of sovereignty – perfect and settler or something else entirely – that depend upon exception, abandonment, and difference to demarcate power and dominion.2 There are a couple of things to note here within this quote. First, the evolution of “frontier” and “Indian country” from “the Western country” signals some of the semiotic transformations that settler colonialism, as a system of replacement, affects spatially as well as temporally. “</w:t>
      </w:r>
      <w:r w:rsidRPr="00087A72">
        <w:rPr>
          <w:rStyle w:val="StyleUnderline"/>
        </w:rPr>
        <w:t>Western country” has come to mean something radically different in the wake of postcolonial critiques t</w:t>
      </w:r>
      <w:r w:rsidRPr="00087A72">
        <w:rPr>
          <w:sz w:val="16"/>
        </w:rPr>
        <w:t xml:space="preserve">hat rendered the world into the West and the rest of us and such a semiotic shift over time fulfills the structural intent of </w:t>
      </w:r>
      <w:r w:rsidRPr="00087A72">
        <w:rPr>
          <w:rStyle w:val="StyleUnderline"/>
        </w:rPr>
        <w:t xml:space="preserve">Washington’s plan to retire and replace both savage and wolf with white humanity, cultivation, and civilization. </w:t>
      </w:r>
      <w:r w:rsidRPr="00087A72">
        <w:rPr>
          <w:sz w:val="16"/>
        </w:rPr>
        <w:t xml:space="preserve">Second, and more importantly within </w:t>
      </w:r>
      <w:r w:rsidRPr="00087A72">
        <w:rPr>
          <w:rStyle w:val="Emphasis"/>
        </w:rPr>
        <w:t>Washington’s plans for settlement, is the fundamental dialectical trap of sovereignty</w:t>
      </w:r>
      <w:r w:rsidRPr="00087A72">
        <w:rPr>
          <w:sz w:val="16"/>
        </w:rPr>
        <w:t xml:space="preserve"> that is marked</w:t>
      </w:r>
      <w:r w:rsidRPr="00087A72">
        <w:rPr>
          <w:rStyle w:val="Emphasis"/>
        </w:rPr>
        <w:t>, according to Derrida, by a savage absence and a metonymic substitution</w:t>
      </w:r>
      <w:r w:rsidRPr="00087A72">
        <w:rPr>
          <w:sz w:val="16"/>
        </w:rPr>
        <w:t>. “</w:t>
      </w:r>
      <w:r w:rsidRPr="00087A72">
        <w:rPr>
          <w:rStyle w:val="StyleUnderline"/>
        </w:rPr>
        <w:t>The savage as the wolf</w:t>
      </w:r>
      <w:r w:rsidRPr="00087A72">
        <w:rPr>
          <w:sz w:val="16"/>
        </w:rPr>
        <w:t xml:space="preserve">”, </w:t>
      </w:r>
      <w:r w:rsidRPr="00087A72">
        <w:rPr>
          <w:rStyle w:val="StyleUnderline"/>
        </w:rPr>
        <w:t>announced by Washington, functions as a bestial taxonomy that provides the foundational threshold between human and inhuman, civil and uncivil</w:t>
      </w:r>
      <w:r w:rsidRPr="00087A72">
        <w:rPr>
          <w:sz w:val="16"/>
        </w:rPr>
        <w:t xml:space="preserve">, that </w:t>
      </w:r>
      <w:r w:rsidRPr="00087A72">
        <w:rPr>
          <w:rStyle w:val="Emphasis"/>
        </w:rPr>
        <w:t xml:space="preserve">conjoins Indian with savage and savage with beast at the same time that it creates the sovereign as an enunciative force of law who is, like the beast, also outside law. </w:t>
      </w:r>
      <w:r w:rsidRPr="00087A72">
        <w:rPr>
          <w:rStyle w:val="StyleUnderline"/>
        </w:rPr>
        <w:t>According to Derrida, sovereignty articulates itself at the threshold</w:t>
      </w:r>
      <w:r w:rsidRPr="00087A72">
        <w:rPr>
          <w:sz w:val="16"/>
        </w:rPr>
        <w:t xml:space="preserve"> between humanity and bestiality and is, within Derrida’s discussion of the frontier, </w:t>
      </w:r>
      <w:r w:rsidRPr="00087A72">
        <w:rPr>
          <w:rStyle w:val="StyleUnderline"/>
        </w:rPr>
        <w:t>forever caught within a double bind that creates the necessity of the beast at the exact moment that the beast is abandoned as inhuman in order to differentiate the human</w:t>
      </w:r>
      <w:r w:rsidRPr="00087A72">
        <w:rPr>
          <w:sz w:val="16"/>
        </w:rPr>
        <w:t xml:space="preserve">. Simultaneously, the sovereign is always already in a process of becoming beast precisely because </w:t>
      </w:r>
      <w:r w:rsidRPr="00087A72">
        <w:rPr>
          <w:rStyle w:val="StyleUnderline"/>
        </w:rPr>
        <w:t>the sovereign must prey upon beast and human alike to establish the exception or the threshold that is the sovereign’s power</w:t>
      </w:r>
      <w:r w:rsidRPr="00087A72">
        <w:rPr>
          <w:sz w:val="16"/>
        </w:rPr>
        <w:t xml:space="preserve">. Derrida explains: “The beast becomes the sovereign who becomes the beast; there is the beast and the sovereign, but also the beast is the sovereign, the sovereign is the beast”. 3 In his final lectures, </w:t>
      </w:r>
      <w:r w:rsidRPr="00087A72">
        <w:rPr>
          <w:rStyle w:val="Emphasis"/>
        </w:rPr>
        <w:t>Derrida grappled with both the grammar of political power and the relationality of biopolitics that delineate humanity, masculinity, and sovereignty at the threshold of the casting off of bestiality, femininity, and subjugation.</w:t>
      </w:r>
      <w:r w:rsidRPr="00087A72">
        <w:rPr>
          <w:sz w:val="16"/>
        </w:rPr>
        <w:t xml:space="preserve"> Within the conjunctive analogics of and and is, </w:t>
      </w:r>
      <w:r w:rsidRPr="00087A72">
        <w:rPr>
          <w:rStyle w:val="Emphasis"/>
        </w:rPr>
        <w:t>Derrida powerfully stages the paradox of settler colonialism where inclusion, symmetry, and equation function as the basis for rights on the one hand and termination of indigenous lives and nations on the other.</w:t>
      </w:r>
      <w:r w:rsidRPr="00087A72">
        <w:rPr>
          <w:sz w:val="16"/>
        </w:rPr>
        <w:t xml:space="preserve"> Rather than achieving the perfect settler sovereignty that Lisa Ford 152 J.A. Byrd Downloaded by [McMaster University] at 01:06 17 February 2015 describes as a conflation of sovereignty, territory, and jurisdiction, </w:t>
      </w:r>
      <w:r w:rsidRPr="00087A72">
        <w:rPr>
          <w:rStyle w:val="StyleUnderline"/>
        </w:rPr>
        <w:t>Washington’s enunciation of “the savage as the wolf ”, however, anticipates Derrida and reveals the quagmires that settler colonialism and sovereignty present to indigenous studies</w:t>
      </w:r>
      <w:r w:rsidRPr="00087A72">
        <w:rPr>
          <w:sz w:val="16"/>
        </w:rPr>
        <w:t xml:space="preserve">. Settler sovereignty requires the indigenous as sovereign at the same time that it seeks to conquer it, appropriate it, and render it contained if not nullified once and for all. Slipping amongst and through the binaries of settler/native and civilized/savage that have come to define frontier and settler colonial studies, indigenous sovereignty becomes the necessary ontological prior through which settler nations differentiate themselves and enact their own sovereignty and subjectivity in a process that depends upon a simultaneous recognition and refusal of indigeneity altogether. The Manichean allegories that continue to inform settler colonial studies are indicative of the persistence the frontier has in disciplining the field and reflects some of the Hegelian dialectics that remain operationalized within critical theory. Within Southeastern American Indian philosophies of spatiality and temporality – of which my own tribe, the Chickasaw Nation of Oklahoma, is a part – the world is structured through a slightly different system of complementary balance that places Upper and Lower Worlds into relation with this world. As Cherokee scholar Daniel Heath Justice explains, the worlds of Southeastern cosmology exist “in an intimate relationship of enforced balance, and could be traversed or connected at certain geographic locations or moments in time, or through prescribed ritual acts, events, or behaviors”. </w:t>
      </w:r>
      <w:r w:rsidRPr="00087A72">
        <w:rPr>
          <w:rStyle w:val="StyleUnderline"/>
        </w:rPr>
        <w:t>4 Always in flux and motion, the interconnected worlds work on each other by introducing order and chaos into the system and requiring active engagement in multiple directions to maintain cohesion, liveability, and right relations between and among</w:t>
      </w:r>
      <w:r w:rsidRPr="00087A72">
        <w:rPr>
          <w:sz w:val="16"/>
        </w:rPr>
        <w:t xml:space="preserve">. Anomalies, as Justice explains, are powerful because they transgress the boundaries by existing simultaneously within all worlds. Though the system depends upon defined categories placed in tension, it privileges movement over stasis, fluidity over rigidity, and multidirectionality over master narrative. Such models seem as useful for indigenous studies and settler colonial studies as does a continued focus on frontier historiographies. Certainly, </w:t>
      </w:r>
      <w:r w:rsidRPr="00087A72">
        <w:rPr>
          <w:rStyle w:val="StyleUnderline"/>
        </w:rPr>
        <w:t>the dialectical binaries produced through the European logics of colonialism provide scholars the means to draw the sometimes necessarily hard Manichean differentiations that separate settler from native</w:t>
      </w:r>
      <w:r w:rsidRPr="00087A72">
        <w:rPr>
          <w:sz w:val="16"/>
        </w:rPr>
        <w:t>, north from south, and east from west in ways that matter to anticolonial and indigenous studies around the globe. However, within the domains of US imperialism that have exported liberal multiculturalism as promissory asylum for the world, indigenous peoples in lands that now constitute the global north face a continued colonialism that has mapped multiple dispersals, removals, relocations, and arrivals into the structures settlers have wrought. One of the persistent questions for settler colonial studies is how to address those horizontal histories of slavery, indentureship, and diaspora that force indigenous peoples to take root elsewhere and in someone else’s land. Such spatializations collapse onto and into each other as the Black Atlantic and the Pacific Im</w:t>
      </w:r>
    </w:p>
    <w:p w:rsidR="009F0BAC" w:rsidRPr="00087A72" w:rsidRDefault="009F0BAC" w:rsidP="009F0BAC">
      <w:pPr>
        <w:pStyle w:val="Heading3"/>
      </w:pPr>
      <w:r w:rsidRPr="00087A72">
        <w:t>Butler Link Turn</w:t>
      </w:r>
    </w:p>
    <w:p w:rsidR="009F0BAC" w:rsidRPr="00087A72" w:rsidRDefault="009F0BAC" w:rsidP="009F0BAC">
      <w:pPr>
        <w:pStyle w:val="Heading4"/>
      </w:pPr>
      <w:r w:rsidRPr="00087A72">
        <w:t xml:space="preserve">Butler’s critique of origin stories is applied to the story of colonial domination. </w:t>
      </w:r>
    </w:p>
    <w:p w:rsidR="009F0BAC" w:rsidRPr="00087A72" w:rsidRDefault="009F0BAC" w:rsidP="009F0BAC">
      <w:pPr>
        <w:rPr>
          <w:lang w:eastAsia="zh-CN"/>
        </w:rPr>
      </w:pPr>
      <w:r w:rsidRPr="00087A72">
        <w:rPr>
          <w:rStyle w:val="Style13ptBold"/>
        </w:rPr>
        <w:t>Smith 11</w:t>
      </w:r>
      <w:r w:rsidRPr="00087A72">
        <w:t xml:space="preserve"> (Andrea, American academic, feminist, and activist against violence. Smith's work focuses on issues of violence against women of color and their communities, specifically Native American women. A co-founder of INCITE! “Against the Law: Indigenous Feminism and the Nation-State</w:t>
      </w:r>
      <w:r w:rsidRPr="00087A72">
        <w:rPr>
          <w:lang w:eastAsia="zh-CN"/>
        </w:rPr>
        <w:t xml:space="preserve">” </w:t>
      </w:r>
      <w:r w:rsidRPr="00087A72">
        <w:rPr>
          <w:i/>
          <w:lang w:eastAsia="zh-CN"/>
        </w:rPr>
        <w:t>Unsettling America: Decolonization in Theory &amp; Practice</w:t>
      </w:r>
      <w:r w:rsidRPr="00087A72">
        <w:rPr>
          <w:lang w:eastAsia="zh-CN"/>
        </w:rPr>
        <w:t>) OD</w:t>
      </w:r>
    </w:p>
    <w:p w:rsidR="009F0BAC" w:rsidRPr="00087A72" w:rsidRDefault="009F0BAC" w:rsidP="009F0BAC">
      <w:pPr>
        <w:rPr>
          <w:sz w:val="16"/>
        </w:rPr>
      </w:pPr>
      <w:r w:rsidRPr="00087A72">
        <w:rPr>
          <w:sz w:val="16"/>
        </w:rPr>
        <w:t xml:space="preserve">Edelman makes an important critique of how the </w:t>
      </w:r>
      <w:r w:rsidRPr="00087A72">
        <w:rPr>
          <w:rStyle w:val="StyleUnderline"/>
        </w:rPr>
        <w:t>investment in the future justifies contemporary oppression.</w:t>
      </w:r>
      <w:r w:rsidRPr="00087A72">
        <w:rPr>
          <w:sz w:val="16"/>
        </w:rPr>
        <w:t xml:space="preserve"> Fighting for the future can impel us to reproduce the current social order as it is. Thus Edelman is offering a potentially radical critique of organizing that can be akin to a revolution without guarantees: an antinormativizing of political struggle that challenges how social norms are being reproduced at every turn. </w:t>
      </w:r>
      <w:r w:rsidRPr="00087A72">
        <w:rPr>
          <w:rStyle w:val="StyleUnderline"/>
        </w:rPr>
        <w:t>This analysis could cohere with Judith Butler’s critique of origin stories. Butler demonstrates how the past is mobilized to support contemporary oppres- sive political regimes in the way the future is similarly mobilized under Edel- man’s framework.</w:t>
      </w:r>
      <w:r w:rsidRPr="00087A72">
        <w:rPr>
          <w:sz w:val="16"/>
        </w:rPr>
        <w:t xml:space="preserve"> </w:t>
      </w:r>
      <w:r w:rsidRPr="00087A72">
        <w:rPr>
          <w:rStyle w:val="StyleUnderline"/>
        </w:rPr>
        <w:t>Butler</w:t>
      </w:r>
      <w:r w:rsidRPr="00087A72">
        <w:rPr>
          <w:sz w:val="16"/>
        </w:rPr>
        <w:t xml:space="preserve"> critiques theorists who posit a naturalized prediscursive sexed body as the foundation by which to critique contemporary heteropatriarchal practices. She argues that theorizing a prediscursive body necessarily means that the body cannot be prediscursive, since its account takes place within a discur- sive economy, and hence its account cannot be made outside prevailing power relations within its discursive economy. But positing the body as prediscursive allows the theorist to disavow her or his political investments because the theorist is supposedly rendering an account of the body prior to power relations. </w:t>
      </w:r>
      <w:r w:rsidRPr="00087A72">
        <w:rPr>
          <w:rStyle w:val="Emphasis"/>
        </w:rPr>
        <w:t>Butler’s critique could then be more broadly applied to a critique of “origin stories.” That is, when we critique a contemporary context through an appeal to a prior state before “the fall,” we are necessarily masking power relations through evoking lost origins</w:t>
      </w:r>
      <w:r w:rsidRPr="00087A72">
        <w:rPr>
          <w:sz w:val="16"/>
        </w:rPr>
        <w:t xml:space="preserve">. “The self-justification of a repressive . . . law almost always grounds itself in a story about what it was like before the advent of the law. . . . The fabrication of those origins . . . thereby justifies, the Constitution of the law . . . making the constitution of the law appear as a historical inevitability.”23 </w:t>
      </w:r>
      <w:r w:rsidRPr="00087A72">
        <w:rPr>
          <w:rStyle w:val="Emphasis"/>
        </w:rPr>
        <w:t>Butler’s analysis of “origin stories</w:t>
      </w:r>
      <w:r w:rsidRPr="00087A72">
        <w:rPr>
          <w:rStyle w:val="StyleUnderline"/>
        </w:rPr>
        <w:t>,”</w:t>
      </w:r>
      <w:r w:rsidRPr="00087A72">
        <w:rPr>
          <w:sz w:val="16"/>
        </w:rPr>
        <w:t xml:space="preserve"> in conversation with Jennifer Denetdale’s critique of Native tradi- tion, </w:t>
      </w:r>
      <w:r w:rsidRPr="00087A72">
        <w:rPr>
          <w:rStyle w:val="Emphasis"/>
        </w:rPr>
        <w:t>demonstrates how the appeal to “tradition” often serves as the origin story that buttresses heteropatriarchy and other forms of oppression with Native communities while disavowing its political investments.</w:t>
      </w:r>
      <w:r w:rsidRPr="00087A72">
        <w:rPr>
          <w:sz w:val="16"/>
        </w:rPr>
        <w:t xml:space="preserve">24 In her critique of antiblack racism, homophobia, and U.S. patriotism within Native communities, Denetdale argues that Native communities often support Christian Right ideologies in the name of tradition. Edelman’s critique of futurity could add to Denetdale’s critique of tradition by assessing how organizing for the “seventh generation” coalesces with uncritical uses of tradition to ensure that Native communities reproduce the colonial status quo with its attendant heteropatriarchy. Thus normative futurity depends on an “origin story.” </w:t>
      </w:r>
      <w:r w:rsidRPr="00087A72">
        <w:rPr>
          <w:rStyle w:val="StyleUnderline"/>
        </w:rPr>
        <w:t xml:space="preserve">The future is legiti- mated as a continuation of the past. </w:t>
      </w:r>
      <w:r w:rsidRPr="00087A72">
        <w:rPr>
          <w:sz w:val="16"/>
        </w:rPr>
        <w:t xml:space="preserve">Here I am reminded of how I have often heard Native activists say, “Let us not work on domestic or other forms of gender violence now, we must work on survival issues first.”25 </w:t>
      </w:r>
      <w:r w:rsidRPr="00087A72">
        <w:rPr>
          <w:rStyle w:val="StyleUnderline"/>
        </w:rPr>
        <w:t xml:space="preserve">Of course, since Native women are the women most likely to be killed by acts of gender violence in the United States, they are clearly not surviving. </w:t>
      </w:r>
      <w:r w:rsidRPr="00087A72">
        <w:rPr>
          <w:sz w:val="16"/>
        </w:rPr>
        <w:t>The many works on Native women and feminism that say that we are “American Indian women in that order,” that position gender justice as something to be addressed after decolonization, all speak to how t</w:t>
      </w:r>
      <w:r w:rsidRPr="00087A72">
        <w:rPr>
          <w:rStyle w:val="StyleUnderline"/>
        </w:rPr>
        <w:t>his politics of futurity sacrifices the lives of women and those who are not gender nor- mative for the indefinitely postponed postcolonial future.</w:t>
      </w:r>
      <w:r w:rsidRPr="00087A72">
        <w:rPr>
          <w:sz w:val="16"/>
        </w:rPr>
        <w:t xml:space="preserve"> </w:t>
      </w:r>
    </w:p>
    <w:p w:rsidR="00496C79" w:rsidRPr="00087A72" w:rsidRDefault="00496C79" w:rsidP="00496C79">
      <w:pPr>
        <w:pStyle w:val="Heading2"/>
      </w:pPr>
      <w:r w:rsidRPr="00087A72">
        <w:t>SP 3 – No Borders</w:t>
      </w:r>
    </w:p>
    <w:p w:rsidR="000314EC" w:rsidRPr="00087A72" w:rsidRDefault="000314EC" w:rsidP="00496C79">
      <w:pPr>
        <w:pStyle w:val="Heading3"/>
      </w:pPr>
      <w:r w:rsidRPr="00087A72">
        <w:t>No Borders Solves</w:t>
      </w:r>
    </w:p>
    <w:p w:rsidR="000314EC" w:rsidRPr="00087A72" w:rsidRDefault="000314EC" w:rsidP="000314EC">
      <w:pPr>
        <w:pStyle w:val="Heading4"/>
      </w:pPr>
      <w:r w:rsidRPr="00087A72">
        <w:t>Border militarization ensures capital exploitation and directly effects indigenous populations</w:t>
      </w:r>
    </w:p>
    <w:p w:rsidR="000314EC" w:rsidRPr="00087A72" w:rsidRDefault="000314EC" w:rsidP="000314EC">
      <w:pPr>
        <w:rPr>
          <w:u w:val="single"/>
        </w:rPr>
      </w:pPr>
      <w:r w:rsidRPr="00087A72">
        <w:rPr>
          <w:rStyle w:val="Style13ptBold"/>
        </w:rPr>
        <w:t>Smith 12</w:t>
      </w:r>
      <w:r w:rsidRPr="00087A72">
        <w:t xml:space="preserve"> </w:t>
      </w:r>
      <w:r w:rsidRPr="00087A72">
        <w:rPr>
          <w:sz w:val="18"/>
        </w:rPr>
        <w:t xml:space="preserve">(Andrea, academic activist “Indigeneity, Settler Colonialism, White Supremacy” </w:t>
      </w:r>
      <w:r w:rsidRPr="00087A72">
        <w:rPr>
          <w:i/>
          <w:sz w:val="20"/>
        </w:rPr>
        <w:t xml:space="preserve">Racial Formations in The Twenty-First Century </w:t>
      </w:r>
      <w:r w:rsidRPr="00087A72">
        <w:rPr>
          <w:sz w:val="20"/>
        </w:rPr>
        <w:t>pp85-88</w:t>
      </w:r>
    </w:p>
    <w:p w:rsidR="000314EC" w:rsidRPr="00087A72" w:rsidRDefault="000314EC" w:rsidP="000314EC">
      <w:pPr>
        <w:rPr>
          <w:sz w:val="16"/>
        </w:rPr>
      </w:pPr>
      <w:r w:rsidRPr="00087A72">
        <w:rPr>
          <w:sz w:val="16"/>
        </w:rPr>
        <w:t xml:space="preserve">All people and beings are related to us, so we are being asked to make war on our relatives. We value all life, so war truly must be a last resort. We value Mother Earth as a living being, and the United States military is contaminating the lands, waters, trees, plants and people in Iraq through the use of biowarfare, landmines and depleted uranium. We believe in the great circle of life, and we are doing to the Iraqi people what the US did to our ancestors. All of the killing, maiming, poisoning, and torturing will have drastic effects upon our people, especially on the psychic and cosmological levels. The US has mistreated us in the past and the present, and it has conscripted our minds and hearts so that we are participating in their oppressive behaviour towards another race of humans. (Yellow Bird 2006) Currently, indigenous and immigrant groups are collaborating to fi ght Senate Bill 1070, </w:t>
      </w:r>
      <w:r w:rsidRPr="00087A72">
        <w:rPr>
          <w:u w:val="single"/>
        </w:rPr>
        <w:t>passed into law in Arizona in 2010, which essentially gave police officers carte blanche authority to arrest “suspected” undocumented immigrants</w:t>
      </w:r>
      <w:r w:rsidRPr="00087A72">
        <w:rPr>
          <w:sz w:val="16"/>
        </w:rPr>
        <w:t xml:space="preserve">. </w:t>
      </w:r>
      <w:r w:rsidRPr="00087A72">
        <w:rPr>
          <w:u w:val="single"/>
        </w:rPr>
        <w:t>Indigenous groups in Arizona point to the fact that antiimmigration policies have the simultaneous impact of both reinforcing the legitimacy of the U.S. state while liquidating the claims of indigenous nations within the settler state, particularly those nations that cross U.S. borders</w:t>
      </w:r>
      <w:r w:rsidRPr="00087A72">
        <w:rPr>
          <w:sz w:val="16"/>
        </w:rPr>
        <w:t xml:space="preserve">. According to the O’odham Solidarity Across Borders Collective, </w:t>
      </w:r>
      <w:r w:rsidRPr="00087A72">
        <w:rPr>
          <w:u w:val="single"/>
        </w:rPr>
        <w:t>Border security is needed to ensure neo-liberal projects (NAFTA), and really should be read for what it is: border “regulation/militarization” of indigenous land to ensure capital exportation of people and resources. . . .</w:t>
      </w:r>
      <w:r w:rsidRPr="00087A72">
        <w:rPr>
          <w:sz w:val="16"/>
        </w:rPr>
        <w:t xml:space="preserve"> It must be clear that the immigration struggle is also an indigenous struggle. In order for the state to pass immigration reform, it has called for the “securing” of the borders fi rst, in order to manage the fl ow of migration. This securing includes and is not limited to a physical wall to be made on indigenous land (Tohono O’odham/Lipan Apache to name a few). </w:t>
      </w:r>
      <w:r w:rsidRPr="00087A72">
        <w:rPr>
          <w:u w:val="single"/>
        </w:rPr>
        <w:t>The state’s power to waive pre-existing laws (such as NEPA, NAGPRA) in the name of security, directly attacks indigenous autonomy/sovereignty. . . . If others cannot acknowledge the indigenous people of the land, and call for policies that attack them</w:t>
      </w:r>
      <w:r w:rsidRPr="00087A72">
        <w:rPr>
          <w:sz w:val="16"/>
        </w:rPr>
        <w:t xml:space="preserve"> (O’odham! Yaqui!), such as Berlin Wall–like</w:t>
      </w:r>
      <w:r w:rsidRPr="00087A72">
        <w:rPr>
          <w:u w:val="single"/>
        </w:rPr>
        <w:t>, in the name of “reform/security,” then we will witness the cycles of capitalist imperialism continue long into the 21st Century! . . . Attack the root, not each other.</w:t>
      </w:r>
      <w:r w:rsidRPr="00087A72">
        <w:rPr>
          <w:sz w:val="16"/>
        </w:rPr>
        <w:t xml:space="preserve"> (O’odham Solidarity Across Borders Collective 2010) On May 21, 2010, Native activists occupied the Border Patrol offi ce to protest SB 1070. Among their demands were the following: On this day people who are indigenous to Arizona join with migrants who are indigenous to other parts of the Western Hemisphere in demanding a return to [the] traditional indigenous value of freedom of movement for all people. Prior to the colonization by European nations (Spaniards, English, French) and the establishment of the [E]uropean settler state known as the United States and the artifi cial borders it and other [E]uropean inspired nation states have imposed; indigenous people migrated, traveled and traded with each other without regard to artificial black lines drawn on maps. U.S. immigration policies dehumanize and criminalize people simply because [of] which side of these artifi cial lines they were born on. White settlers whose ancestors have only been here at most for a few hundred years have imposed these policies of terror and death on “immigrants” whose ancestors have lived in this hemisphere for tens of thousands of years, from time immemorial. . . . . . . . . . . . . . . . . . . . . . . . . . . . . . . . . . . . . . . . . . . . . . . . . . . . . . . . . . The protestors are demanding: An end to border militarization The immediate repeal of SB1070 and 287g An end to all racial profiling and the criminalization of our communities No ethnic cleansing or cultural genocide No border patrol encroachment/sweeps on sovereign native land No Deportations No Raids No ID-verification No Checkpoints Yes to immediate and unconditional regularization (“legalization”) of all people Yes to human rights Yes to dignity Yes to respect Yes to respecting Indigenous People[’]s inherent right of migration.p0o </w:t>
      </w:r>
      <w:r w:rsidRPr="00087A72">
        <w:rPr>
          <w:u w:val="single"/>
        </w:rPr>
        <w:t>the occupiers’ statement indicates, they identify as the problem not migration, but the nation-state and its reliance on control and ownership of territory</w:t>
      </w:r>
      <w:r w:rsidRPr="00087A72">
        <w:rPr>
          <w:sz w:val="16"/>
        </w:rPr>
        <w:t xml:space="preserve">. The Taala Hooghan Infoshop in Flagstaff, Arizona, which was central to the anti–SB 1070 organizing, similarly subscribes to an expansive understanding of indigenous politics. Here are the ground rules for this organization: “This community space maintains agreements which are based on respect and mutual aid. They include, but are not limited to, . . . No drugs, alcohol, racism, heteropatriarchy, colonialism, neoliberalism, hierarchy, capitalism, drama.” The Infoshop also attempts to build a politics around decolonization rather than recognition through its critique of the nonprofit industrial complex: “This is not an offi ce. Please refrain from any activities that may be related to or are directly connected to the nonprofi t industry, vertical administration (hierarchy), organizational capacity building (and not community building), foundation brown nosing, free market capitalism, and/or just plain capitalism.”8 Many scholars have spoken out against injustices (including anti-Black racism, homophobia, sexism, and imperialism) committed within Native communities, such as Jennifer Denetdale (2008),9 Waziyatawin (2008),10 and Scott Lyons. Lyons encapsulates this work in Native studies in his call for Native scholars to engage broader leftist struggles: A . . . pressing danger in my view is the use of Native nations and indigenous sovereignty for purposes that can be just as harmful and retrograde as anyone else’s oppression. When gays and lesbians, workers, black people— or anyone—are harmed in the name of travel sovereignty, then discourses other than nationalism are called for in the name of justice. . . . It is always the job of intellectuals to “look also at racism, political and economic oppression, sexism, supremacism, and the needless and wasteful exploitation of land and people,” no matter who perpetuates the injustice. (Lyons 2010, 163; emphasis in original) These projects of decolonization are achieving a mass scale in Latin America. As I have described elsewhere, these projects are based on the concept of taking power by making power. That is, they are trying to build the world we would like to live in now, proliferating these alternative forms of governance, and in doing so, challenging the state and capitalism indirectly. Consequently, they attend to the local needs of communities, while positioning themselves as part of a global struggle for transformation (A. Smith 2005). While further discussion is beyond the constraints of this chapter, </w:t>
      </w:r>
      <w:r w:rsidRPr="00087A72">
        <w:rPr>
          <w:u w:val="single"/>
        </w:rPr>
        <w:t>many intellectual and political projects pursued by nonindigenous peoples are also making these critical links between settler colonialism and white supremacy in the areas of immigration, militarism, environmental racism, queer politics, and gender justice</w:t>
      </w:r>
    </w:p>
    <w:p w:rsidR="00792F86" w:rsidRPr="00087A72" w:rsidRDefault="00792F86" w:rsidP="00496C79">
      <w:pPr>
        <w:pStyle w:val="Heading3"/>
      </w:pPr>
      <w:r w:rsidRPr="00087A72">
        <w:t>Sovereignty Root Cause</w:t>
      </w:r>
    </w:p>
    <w:p w:rsidR="00792F86" w:rsidRPr="00087A72" w:rsidRDefault="00792F86" w:rsidP="00792F86">
      <w:pPr>
        <w:pStyle w:val="Heading4"/>
      </w:pPr>
      <w:r w:rsidRPr="00087A72">
        <w:t>Sovereignty overdetermines violence against the native</w:t>
      </w:r>
    </w:p>
    <w:p w:rsidR="00792F86" w:rsidRPr="00087A72" w:rsidRDefault="00792F86" w:rsidP="00792F86">
      <w:r w:rsidRPr="00087A72">
        <w:rPr>
          <w:rStyle w:val="Style13ptBold"/>
          <w:szCs w:val="26"/>
        </w:rPr>
        <w:t>Morgensen 11</w:t>
      </w:r>
      <w:r w:rsidRPr="00087A72">
        <w:t xml:space="preserve"> (Scott Lauria, Assistant professor of gender studies at;s University in Kingston, Ontario and coeditor of Queer Indigenous Studies: Critical Interventions in Theory, Politics, and Literature, “The Biopolitics of Settler Colonialism: Right Here, Right Now,” Settler Colonial Studies, Issue Number, No. 1)//vikas</w:t>
      </w:r>
    </w:p>
    <w:p w:rsidR="00792F86" w:rsidRPr="00087A72" w:rsidRDefault="00792F86" w:rsidP="00792F86">
      <w:pPr>
        <w:rPr>
          <w:sz w:val="12"/>
        </w:rPr>
      </w:pPr>
      <w:r w:rsidRPr="00087A72">
        <w:rPr>
          <w:sz w:val="12"/>
        </w:rPr>
        <w:t xml:space="preserve">The colonial power of Western law can be traced distinctly by explaining its formation by the intimacies of settler societies – notably, Indigenous replacement via containment, erasure and amalgamation – that perpetually trouble differentiations of settler nations from what they attempt to replace. ‘Settler’ literally signifies the displacement of Indigenous peoples. Yet a host of scholarship in Native studies explains that settler subjects normatively recall and perform indigeneity as a history they at once incorporate and transcend, inhabit and defer.22 Settlers thus are inexplicable apart from their relationality to Indigenous peoples, as well as to forms of indigeneity of their own imagining that undergird settler subjectivity. All this structures how European settlers ever come to represent the West. To the extent that they do, their relationality to indigeneity through settlement also constitutes the West, even if this quality remains naturalised. To date, critics who adapt Agamben to explain colonial biopower have tended to associate the state of exception with the ejection of racialised primitivity from the West. Thus, a most recurrent definition of the exception in such work is the externalisation of racialised and colonised statuses from the body of Europe, whiteness, or their national or global appearance as Western law. Centreing settler colonialism troubles such accounts. If critics ever feel assured that the colonial exception functions through externalisation, this may be an assumption that attends on theory having already normed ‘colonialism’ so as to elide settler colonialism and its ongoing naturalisation. European settler societies enact Western law – indeed, in ways often validated as exemplary of that law – by occupying and incorporating Indigenous peoples within white settler nations. The indigenisation of white settlers and settler nations thus shifts our reading of their capacity to represent the West. Rather than presuming that the West is defined by enforcing boundaries to preserve purity, we must consider that the state of exception arises in settler societies as a function of settlers’ inherent interdependence with indigeneity. Accounts of the intimate relationality of Indigenous peoples and settlers in settler societies are enhanced by theorising biopower. I highlight a quality in Agamben’s account of homo sacer in Roman law that, I argue, illuminates how Indigenous peoples and settlers have negotiated their conjuncture by plying ties of kinship and its elimination. Agamben cites a story of patriarchal consanguinity as a governmental origin of the state of exception. In Roman law, </w:t>
      </w:r>
      <w:r w:rsidRPr="00087A72">
        <w:rPr>
          <w:b/>
          <w:u w:val="single"/>
        </w:rPr>
        <w:t>the potential extension of bare life to any male citizen appears to have derived from a prior correlation of sovereignty to the rule of the patriarch. According to Agamben</w:t>
      </w:r>
      <w:r w:rsidRPr="00087A72">
        <w:rPr>
          <w:sz w:val="12"/>
        </w:rPr>
        <w:t xml:space="preserve">, the </w:t>
      </w:r>
      <w:r w:rsidRPr="00087A72">
        <w:rPr>
          <w:b/>
          <w:u w:val="single"/>
        </w:rPr>
        <w:t>death of homo sacer</w:t>
      </w:r>
      <w:r w:rsidRPr="00087A72">
        <w:rPr>
          <w:sz w:val="12"/>
        </w:rPr>
        <w:t xml:space="preserve"> – </w:t>
      </w:r>
      <w:r w:rsidRPr="00087A72">
        <w:rPr>
          <w:b/>
          <w:u w:val="single"/>
        </w:rPr>
        <w:t>not murdered, but negated</w:t>
      </w:r>
      <w:r w:rsidRPr="00087A72">
        <w:rPr>
          <w:sz w:val="12"/>
        </w:rPr>
        <w:t xml:space="preserve">; ‘necisque’ as opposed to ‘vitae’ – </w:t>
      </w:r>
      <w:r w:rsidRPr="00087A72">
        <w:rPr>
          <w:b/>
          <w:u w:val="single"/>
        </w:rPr>
        <w:t>appears in Roman law through the image of the son who</w:t>
      </w:r>
      <w:r w:rsidRPr="00087A72">
        <w:rPr>
          <w:sz w:val="12"/>
        </w:rPr>
        <w:t xml:space="preserve">, defying the father’s rule, </w:t>
      </w:r>
      <w:r w:rsidRPr="00087A72">
        <w:rPr>
          <w:b/>
          <w:u w:val="single"/>
        </w:rPr>
        <w:t>becomes life that must be abandoned, to death.</w:t>
      </w:r>
      <w:r w:rsidRPr="00087A72">
        <w:rPr>
          <w:sz w:val="12"/>
        </w:rPr>
        <w:t xml:space="preserve">23 Here, </w:t>
      </w:r>
      <w:r w:rsidRPr="00087A72">
        <w:rPr>
          <w:rStyle w:val="Emphasis"/>
        </w:rPr>
        <w:t>the patriarch embodies a sovereign power that may be enacted at any time he deems necessary</w:t>
      </w:r>
      <w:r w:rsidRPr="00087A72">
        <w:rPr>
          <w:sz w:val="12"/>
        </w:rPr>
        <w:t xml:space="preserve">, and one </w:t>
      </w:r>
      <w:r w:rsidRPr="00087A72">
        <w:rPr>
          <w:b/>
          <w:u w:val="single"/>
        </w:rPr>
        <w:t xml:space="preserve">that </w:t>
      </w:r>
      <w:r w:rsidRPr="00087A72">
        <w:rPr>
          <w:rStyle w:val="Emphasis"/>
        </w:rPr>
        <w:t>exists beyond the power of the law of citizens to abrogate</w:t>
      </w:r>
      <w:r w:rsidRPr="00087A72">
        <w:rPr>
          <w:sz w:val="12"/>
        </w:rPr>
        <w:t xml:space="preserve">. Agamben suggests that the extension into law of a paternal power to put the defiant son to death binds a society of law to a thesis of patriarchal consanguinity. 24 Following this model, Roman law distinguished the citizens it protected from those it evicted along their degree of respect for or flouting of filial duty to paternal authority. Here, the state of exception potentially accrues to all citizens to the extent that any might forfeit consanguinal protection by a paternal state. I am intrigued by the travels of this formulation of the state of exception at the inception of Western law. In light of Agamben’s account, even if the terms of subjection to Western law shift across places or times, they do so in relation to a law that first posits subjects as a consanguinal People before any are excised. What happens to this quality under European settler colonialism, once Western law endeavours to be established intimately with Indigenous peoples? A question first arises of whether Western law recognises Indigenous people as human. But if it were to do so, it would confront the degree to which Indigenous people become recognisable within the People of the settler nation, which in turn would condition their particular exposure to the state of exception. The settler colonisation of Indigenous Americans demonstrates that questioning their degree of humanity and their genealogical relationship to European patriarchal authority defined their subjection to Western law and its exception. Dale Turner examines these questions by reference to the Valladolid debate of 1550-51, in which Bartolomé de las Casas and Juan Gines de Sepulveda deliberated the deadly treatment of Indigenous Americans under Spanish rule by considering the theological and legal significance of their humanity.25 The Valladolid debate was contextualised by a Papal bull of 1537 having already decreed an end to formal enslavement of Indigenous Americans by deeming them unequivocally human and capable of salvation. Las Casas argued that Papal recognition of Indigenous peoples’ humanity meant that they should be brought to Christian belief and law without force or coercion. In contrast, Sepulveda argued that even if recognizably human, Indigenous peoples remained in Aristotelian terms ‘barbarians’ who were naturally inclined to enslavement, and furthermore that the Spanish remained bound to punish them for crimes against God’s law. Sepulveda thus portrayed Indigenous people as human only to the extent that their abjection followed having defied divine authority, which demanded their treatment as bare life subject to genocide. </w:t>
      </w:r>
      <w:r w:rsidRPr="00087A72">
        <w:rPr>
          <w:b/>
          <w:u w:val="single"/>
        </w:rPr>
        <w:t>Las Casas</w:t>
      </w:r>
      <w:r w:rsidRPr="00087A72">
        <w:rPr>
          <w:sz w:val="12"/>
        </w:rPr>
        <w:t xml:space="preserve">, by contrast, sought to protect Indigenous people as subjects acceptable to God’s law, but only to the extent that they </w:t>
      </w:r>
      <w:r w:rsidRPr="00087A72">
        <w:rPr>
          <w:b/>
          <w:u w:val="single"/>
        </w:rPr>
        <w:t>conformed to the Church and sovereign as paternal educators</w:t>
      </w:r>
      <w:r w:rsidRPr="00087A72">
        <w:rPr>
          <w:sz w:val="12"/>
        </w:rPr>
        <w:t xml:space="preserve">, </w:t>
      </w:r>
      <w:r w:rsidRPr="00087A72">
        <w:rPr>
          <w:b/>
          <w:u w:val="single"/>
        </w:rPr>
        <w:t>whom they must not resist lest in violating the terms of their protection they be returned to the ever-present possibility of death.</w:t>
      </w:r>
      <w:r w:rsidRPr="00087A72">
        <w:rPr>
          <w:sz w:val="12"/>
        </w:rPr>
        <w:t xml:space="preserve"> Interestingly, the position Sepulveda defended played out in Spanish and Portuguese colonies precisely not through modes of separation but of amalgamation. The classification of Indigenous peoples as barbarians facilitated the forced intermarriage and rape of Indigenous women by European men, whose children incompletely inherited a patriarchal lineage even as their suspect primitivity located them proximate to the state of exception.26 In turn, despite the semblance that Las Casas sought to protect Indigenous people from violence, his position justified subjecting Indigenous and growing mestizo constituencies to a racialised colonial economy, wherein promises of salvation and civilisation framed people of Indigenous heritage as children whose potentially wayward inclinations still placed them near the state of exception. While specific to the early Latin American settler colonies, these contrastive positions recur across white settler societies that attempt to eliminate Indigenous nations by amalgamating Indigenous people as potentially protected children whose racialisation leaves their consanguinity open to excision. </w:t>
      </w:r>
      <w:r w:rsidRPr="00087A72">
        <w:rPr>
          <w:rStyle w:val="Emphasis"/>
        </w:rPr>
        <w:t xml:space="preserve">Adjudicating life for Indigenous people defines settler law’s extension of elimination into governmental procedures of ‘recognition’ </w:t>
      </w:r>
      <w:r w:rsidRPr="00087A72">
        <w:rPr>
          <w:sz w:val="12"/>
        </w:rPr>
        <w:t xml:space="preserve">– even, </w:t>
      </w:r>
      <w:r w:rsidRPr="00087A72">
        <w:rPr>
          <w:rStyle w:val="Emphasis"/>
        </w:rPr>
        <w:t>of</w:t>
      </w:r>
      <w:r w:rsidRPr="00087A72">
        <w:rPr>
          <w:sz w:val="12"/>
        </w:rPr>
        <w:t xml:space="preserve"> ‘nationality’ or </w:t>
      </w:r>
      <w:r w:rsidRPr="00087A72">
        <w:rPr>
          <w:rStyle w:val="Emphasis"/>
        </w:rPr>
        <w:t>‘sovereignty’</w:t>
      </w:r>
      <w:r w:rsidRPr="00087A72">
        <w:rPr>
          <w:sz w:val="12"/>
        </w:rPr>
        <w:t xml:space="preserve">. For instance, the Dominion of Canada established its relationship to Indigenous peoples under law in the 1876 Indian Act, which in ever-revised form still structures Canada today. The Act pursued elimination through the settler colonial governmentality of ‘identity regulation’, to use Bonita Lawrence’s term.27 While this procedure may appear to preserve life, in its definition of over six hundred ‘First Nations’ whose members received ‘Indian status’ by state decree, the Act also separated myriad communities of common nationality, radically reduced land bases (if any remained), and enabled the state to determine the fact or erasure of their existence. Duncan Campbell Scott, deputy director of the Department of Indian Affairs, argued in 1920 that his effort to place Indigenous people in a ‘state of tutelage’ sought its own end, in a time when ‘there is not a single Indian in Canada that has not been absorbed into the body politic, and there is no Indian question’. 28 The settler colonial governmentality that here wrests identity from Indigenous peoples also imposed a patriarchal authority within the law to assimilate them into the settler nation. Aboriginal women activists in Canada exposed this by challenging the Indian Act’s restriction of status inheritance to patrilines. Women who inherited status from their fathers found that it was rescinded for them and their children if they married a person without status. This broadly-applied rule first facilitated marriages of white men with Indigenous women, which absorbed their children through the patriline into the settler nation and its citizenship. Aboriginal women activists specifically targeted the Act’s contradictory enabling of Indigenous men with status to confer it to non-Indigenous spouses and their children. Keeping in mind that status and band structure were defined by the Act, we see here that empowering Indigenous patrilineality replicated patriarchal consanguinity as law for settler and Indigenous nations, while departures from paternal law remained cause for eviction. As Aboriginal women’s movement activists argued, evicting Indigenous women harmed them while simultaneously reinforcing the colonial authority that Indigenous men gained from the settler state. While after long protest the passage of Canadian Bill C-31 reinstated status for recent generations of Indigenous women, Lawrence argues that the Act already had achieved ‘statistical genocide’: with over 25,000 women between 1876 and 1985 having had status rescinded, estimates range that from one to two million descendants of these women are incapable of asserting legally-recognised Indigenous identity in Canada, and remain removed from relationship with or even awareness of their peoples or lands. Yet alongside this elimination, a governmental effect also arises here, as constituencies that remain Indigenous-identified are narrowly delimited by the patriarchal authority of the state, which by continuing to assimilate indigeneity sustains a practice that, as Scott stated, linked recognition to its erasure. </w:t>
      </w:r>
      <w:r w:rsidRPr="00087A72">
        <w:rPr>
          <w:b/>
          <w:u w:val="single"/>
        </w:rPr>
        <w:t>Indigenous theorists</w:t>
      </w:r>
      <w:r w:rsidRPr="00087A72">
        <w:rPr>
          <w:sz w:val="12"/>
        </w:rPr>
        <w:t xml:space="preserve"> in Canada </w:t>
      </w:r>
      <w:r w:rsidRPr="00087A72">
        <w:rPr>
          <w:b/>
          <w:u w:val="single"/>
        </w:rPr>
        <w:t>argue that the subjection of bands to definition by the sovereign power of the settler state characterises the</w:t>
      </w:r>
      <w:r w:rsidRPr="00087A72">
        <w:rPr>
          <w:sz w:val="12"/>
        </w:rPr>
        <w:t xml:space="preserve"> entire </w:t>
      </w:r>
      <w:r w:rsidRPr="00087A72">
        <w:rPr>
          <w:b/>
          <w:u w:val="single"/>
        </w:rPr>
        <w:t>project of ‘recognition’.</w:t>
      </w:r>
      <w:r w:rsidRPr="00087A72">
        <w:rPr>
          <w:sz w:val="12"/>
        </w:rPr>
        <w:t xml:space="preserve"> Taiaiake </w:t>
      </w:r>
      <w:r w:rsidRPr="00087A72">
        <w:rPr>
          <w:b/>
          <w:u w:val="single"/>
        </w:rPr>
        <w:t>Alfred targets ‘sovereignty’ itself as a logic that presumes and produces apparatuses of colonial rule while precluding distinctive modes of Indigenous governance. So long as Indigenous politics is constrained</w:t>
      </w:r>
      <w:r w:rsidRPr="00087A72">
        <w:rPr>
          <w:sz w:val="12"/>
        </w:rPr>
        <w:t xml:space="preserve"> in this way, he argues, ‘</w:t>
      </w:r>
      <w:r w:rsidRPr="00087A72">
        <w:rPr>
          <w:rStyle w:val="Emphasis"/>
        </w:rPr>
        <w:t>the state has nothing to fear from Native leaders</w:t>
      </w:r>
      <w:r w:rsidRPr="00087A72">
        <w:rPr>
          <w:sz w:val="12"/>
        </w:rPr>
        <w:t xml:space="preserve">, for even if they succeed in achieving the goal of selfgovernment, the basic power structure remains intact’. 29 Addressing a moment in Canadian politics described for Australia by Elizabeth Povinelli as ‘liberal settler multiculturalism’, Glen Coulthard specifies that the ‘politics of recognition’ precisely sustains ‘the colonial relationship between Indigenous peoples and the Canadian state’. 30 ‘Recognition’ reproduces within land claims, capital disbursements, and political authority ‘the very configurations of colonial power that Indigenous people’s demands for recognition have historically sought to transcend’. Citing Frantz Fanon, Coulthard insists that the reproduction of a colonial structure of dominance like Canada’s rests on its ability to entice Indigenous peoples to come to identify, either implicitly or explicitly, with the profoundly asymmetrical and non-reciprocal forms of recognition either imposed on or granted to them by the colonial-state and society. 31 Alfred and Coulthard compellingly argue for the renewal of modes of Indigenous governance that redefine collectivity in excess of settler colonial governmentality. I wish to emphasise in their accounts their specification of Indigenous nations through ‘recognition’ in a childlike subjection to the authority of the state. For Indigenous peoples in settler societies – notably, those who resist elimination by asserting national difference and distinctive modes of governance – the threat of the exception is ever-present. Coulthard and Alfred highlight the bind Indigenous people face if seeking </w:t>
      </w:r>
      <w:r w:rsidRPr="00087A72">
        <w:rPr>
          <w:b/>
          <w:u w:val="single"/>
        </w:rPr>
        <w:t>state recognition of their survival elicits the power of settler sovereignty to eliminate Indigenous difference as a threat by granting, rescinding and managing ‘recognition’</w:t>
      </w:r>
      <w:r w:rsidRPr="00087A72">
        <w:rPr>
          <w:sz w:val="12"/>
        </w:rPr>
        <w:t xml:space="preserve">. Amalgamation as a tool of elimination echoes back to Valladolid as a theme of the settler colonisation of Indigenous peoples. Yet following Agamben, entering into a recognisable status under the law also opens to elimination and replacement by settler rule. I cited a thesis of consanguinity in Agamben’s account of Roman law not merely, or even literally to invoke mestizaje/metissage as a phenomenon of settler societies or of the place of Indigenous peoples or their descendants within them. Nor do I suggest that indigenising white settler nations eclipses their concurrent definition by hypodescent, which in opposing whiteness to blackness attempts to erase the sexual violence of slavery and deny consanguinity across the colour line, all of which – as Gilroy and Sylvia Wynter argue – contributes to making the African diaspora definitive of Western modernity.32 By citing Wolfe, I indicated that the settler colonisation of Indigenous Americans, the transatlantic slave trade, and all colonised indentured labour invoke a global history of colonial modernity in which Indigenous and African diasporic peoples appear relationally. My argument has been that when slavery and its legacies exclude blackness from whiteness, this also intersects a prior and simultaneous indigenising of settler whiteness. We saw glimmers of these positionings in a relational contrast in the Valladolid debate. Without conflating either claim across distinct contexts, Sepulveda’s position appears to echo when Fanon, Mbembe or theorists of colonial biopolitics link the state of exception to subjects who exist not just beyond the law but beyond humanity, within what Mbembe calls ‘animal life’. 33 Such a reading appears to explain the irremediability of blackness in Western modernity and settler nations. It also appears in postcolonial critiques that presume that this mode of racialisation defines the colonial exception. My argument is that such readings are conditional on another that they occlude, and that in turn is conditioned by them. In the sixteenth centuries, as colonisation took shape in the settler societies of the Americas, a relational position purposefully formed. Countering the overtly genocidal violence of Sepulveda’s contravention of Indigenous humanity, Las Casas argued, for his time, a more compassionate, inclusive, and – I will return to this – liberal mode of settler colonial governance. Las Casas affirmed Indigenous humanity under God’s universal law and the necessity of its defence within a settler society. Yet his claim functioned precisely as a logic of elimination, in that recognising people of Indigenous heritage as subject racialised populations barred them from any difference that could trouble settler rule. As the incompletely consanguine children of Western law, they remained ever on the verge of eviction from it if they troubled the terms of their protection: amalgamation. Their proximity to exception arose under settler rule precisely by considering the degree to which Indigenous peoples may be included in the body of the West and its law. Far from being arbitrary, this concern was requisite to a settler society defining its relation to racialised differences on the lands it remade. A capacity in Western law to simultaneously incorporate and eliminate, recognise and except racialised and primitive difference was learned in settler projects of Indigenous elimination that established Western law on lands beyond ‘the West’. To the extent that they succeeded, settler colonialism made Western law spatially nonspecific and demonstrably universal, long prior to late modern mechanisms of global governance, and as their genealogical condition. Today, the ongoing naturalisation of settler colonialism positions settler states as exemplary of liberal governance universalised within and as Western law. A noted example transpired at the 2009 G20 Summit, when Prime Minister Stephen Harper found it useful to portray a gentle face for Canadian leadership by pointedly asserting that Canada ‘has no history of colonialism’. 34 The significance of his comment was its clarity – notable for a leader quite familiar with critiques of Canada bearing a colonial relationship to Indigenous peoples. Harper obliquely invoked here the baggage of states such as the United Kingdom, France and Japan that negotiate tense relations with former conquests when governing global economics. On a global stage, Harper’s Canada separates from colonial legacies in Africa and Asia to assert a moral neutrality that is conveniently consistent with the universality of international law. The confidence in Harper’s statement would be implausible if his audiences – broader than we may care to think – truly believed that Canada practices colonisation. From theses of terra nullius, to justifications that ‘guns, germs, and steel’ made Indigenous replacement inevitable, to a sense that settler states ‘decolonised’ after rule devolved to white citizens: settlers readily present as other than colonists.35 Yet while Harper might believe that as a Canadian he inherits something other than conquest, I suggest that his exoneration hinges less on such belief, and more on a general appearance that ‘Canada’ exemplifies the universalisation of liberal modernity on the global stage. Interestingly, Harper’s statement appeared barely a year after his government responded to years of Indigenous activism by issuing a state apology for the Residential School system. As a primary agent in the genocidal histories Lawrence recounts, Residential Schools forcibly relocated Indigenous children to sites where they were killed by disease or neglect, or survived to be assimilated into settler society via enforced separation from and erasure of familial and community ties. As an educative mode of disciplinary power, Residential Schools situated internees and all Indigenous peoples as children: wards of a state whose paternalism appears not only in past abuse but in the present apology, which suggests that the state will better manage the Indigenous people over whom it retains a power to protect or destroy. The apology’s consistency with Harper’s disavowal of colonial history naturalises settler colonialism both ‘at home’ and ‘abroad’. We see here that the ongoing coloniality of settler states conditions their practice of liberal governance as not only Western, or even originally Western, but as universal through its instantiation by settler colonialism. I have argued that settler law presents an apotheosis of Western law by utilising its consanguinal logic to amalgamate and eliminate Indigenous peoples and thereby enable settler states to performatively universalise the West. To the extent that they succeed, then global governance precisely continues, naturalises, and globalises settler colonialism in and as our ‘colonial present’. 36 The Western law universalised by settler states formed precisely by incorporating and excising Indigenous peoples as potentially yet incompletely consanguine with the social body. If settler law as Western law is projected as liberal governance, it follows a principle that it may arrive and settle anywhere, as itself. Such </w:t>
      </w:r>
      <w:r w:rsidRPr="00087A72">
        <w:rPr>
          <w:rStyle w:val="Emphasis"/>
        </w:rPr>
        <w:t>law</w:t>
      </w:r>
      <w:r w:rsidRPr="00087A72">
        <w:rPr>
          <w:sz w:val="12"/>
        </w:rPr>
        <w:t xml:space="preserve"> then </w:t>
      </w:r>
      <w:r w:rsidRPr="00087A72">
        <w:rPr>
          <w:rStyle w:val="Emphasis"/>
        </w:rPr>
        <w:t>encompasses the provisional humanity of all whom it occupies as racialised and primitive children, whose capacity for defiance</w:t>
      </w:r>
      <w:r w:rsidRPr="00087A72">
        <w:rPr>
          <w:sz w:val="12"/>
        </w:rPr>
        <w:t xml:space="preserve"> nevertheless </w:t>
      </w:r>
      <w:r w:rsidRPr="00087A72">
        <w:rPr>
          <w:rStyle w:val="Emphasis"/>
        </w:rPr>
        <w:t>invests the West with a paternal authority to act as caretaker or killer of ‘kin’ under its care.</w:t>
      </w:r>
      <w:r w:rsidRPr="00087A72">
        <w:rPr>
          <w:sz w:val="12"/>
        </w:rPr>
        <w:t xml:space="preserve"> My argument modifies our interest to read Afghanistan or Iraq as sites of settler colonialism, once the United States gathers its allies for occupation. Settler colonialism occurs at these sites not, or not only because the U.S. or other states occupy Afghani and Iraqi peoples. It occurs more importantly because occupation performatively universalises Western governance through the nominal inclusion of Afghanis and Iraqis within its body of law, only to face elimination of their racialised primitivity: if not by being summarily placed ‘outside’ the law, then by being educated and contained through amalgamation as a potentially ever-endangering difference. Western law attains universality by containing and eliminating differences in the functional extension of settler colonialism as liberal governmentality. Yet even as the West and its governance are liberated from attachment to place, their globalisation naturalises ongoing settler colonisation of Indigenous peoples in settler states. Indeed, </w:t>
      </w:r>
      <w:r w:rsidRPr="00087A72">
        <w:rPr>
          <w:b/>
          <w:u w:val="single"/>
        </w:rPr>
        <w:t xml:space="preserve">by permanently remaining in a state of exception to settler law as Western law, </w:t>
      </w:r>
      <w:r w:rsidRPr="00087A72">
        <w:rPr>
          <w:rStyle w:val="Emphasis"/>
        </w:rPr>
        <w:t>Indigenous peoples model</w:t>
      </w:r>
      <w:r w:rsidRPr="00087A72">
        <w:rPr>
          <w:b/>
          <w:u w:val="single"/>
        </w:rPr>
        <w:t xml:space="preserve"> this </w:t>
      </w:r>
      <w:r w:rsidRPr="00087A72">
        <w:rPr>
          <w:rStyle w:val="Emphasis"/>
        </w:rPr>
        <w:t>status for all others who come under Western law’s global reach</w:t>
      </w:r>
      <w:r w:rsidRPr="00087A72">
        <w:rPr>
          <w:sz w:val="12"/>
        </w:rPr>
        <w:t xml:space="preserve">. The </w:t>
      </w:r>
      <w:r w:rsidRPr="00087A72">
        <w:rPr>
          <w:b/>
          <w:u w:val="single"/>
        </w:rPr>
        <w:t>settler colonial elimination of Indigenous peoples requires them to have existed and to tenuously exist in settler societies</w:t>
      </w:r>
      <w:r w:rsidRPr="00087A72">
        <w:rPr>
          <w:sz w:val="12"/>
        </w:rPr>
        <w:t>, for only their perpetual replacement demonstrates settlers’ achievement of Western law where it would not otherwise exist.</w:t>
      </w:r>
    </w:p>
    <w:p w:rsidR="009F0BAC" w:rsidRPr="00087A72" w:rsidRDefault="009F0BAC" w:rsidP="00496C79">
      <w:pPr>
        <w:pStyle w:val="Heading3"/>
      </w:pPr>
      <w:r w:rsidRPr="00087A72">
        <w:t>State Root Cause</w:t>
      </w:r>
    </w:p>
    <w:p w:rsidR="009F0BAC" w:rsidRPr="00087A72" w:rsidRDefault="009F0BAC" w:rsidP="009F0BAC">
      <w:pPr>
        <w:pStyle w:val="Heading4"/>
      </w:pPr>
      <w:r w:rsidRPr="00087A72">
        <w:t>The struggle for recognition by Indigenous activists, leaders, and organizations has become a central catalyst in the international indigenous rights movement and within the legal and political framework of the state.</w:t>
      </w:r>
    </w:p>
    <w:p w:rsidR="009F0BAC" w:rsidRPr="00087A72" w:rsidRDefault="009F0BAC" w:rsidP="009F0BAC">
      <w:r w:rsidRPr="00087A72">
        <w:rPr>
          <w:rStyle w:val="Style13ptBold"/>
        </w:rPr>
        <w:t>Coulthard 14</w:t>
      </w:r>
      <w:r w:rsidRPr="00087A72">
        <w:t xml:space="preserve"> (Glen, associate professor in First Nations and Indigenous Studies and in the Department of Political Science “Red Skin, White Masks: Rejecting the Colonial Politics of Recognition” University of Minnesota Press pp. 1-3)</w:t>
      </w:r>
    </w:p>
    <w:p w:rsidR="009F0BAC" w:rsidRPr="00087A72" w:rsidRDefault="009F0BAC" w:rsidP="009F0BAC">
      <w:pPr>
        <w:rPr>
          <w:sz w:val="10"/>
        </w:rPr>
      </w:pPr>
      <w:r w:rsidRPr="00087A72">
        <w:rPr>
          <w:sz w:val="10"/>
        </w:rPr>
        <w:t xml:space="preserve">Over the last forty years, the self-determination efforts and objectives of Indigenous peoples in Canada have increasingly been cast in the language of “recognition.”1 Consider, for example, the formative declaration issued by my people in 1975: We the Dene of the NWT [Northwest Territories] insist on the right to be regarded by ourselves and the world as a nation. Our struggle is for the recognition of the Dene Nation by the Government and people of Canada and the peoples and governments of the world. . . . And while there are realities we are forced to submit to, such as the existence of a country called Canada, we insist on the right to self-determination and the recognition of the Dene Nation.2 Now fast-forward to the 2005 policy position on self-determination issued by Canada’s largest Aboriginal organization, the Assembly of First Nations (AFN). According to the AFN, “a consensus has emerged . . . around a vision of the relationship between First Nations and Canada which would lead to strengthening recognition and implementation of First Nations’ governments.”3 This “vision,” the AFN goes on to explain, draws on the core principles out- lined in the 1996 Report of the Royal Commission on Aboriginal Peoples (RCAP): that is, recognition of the nation-to-nation relationship between First Nations and the Crown; recognition of the equal right of First Nations to self- determination; recognition of the Crown’s fiduciary obligation to protect Aboriginal treaty rights; recognition of First Nations’ inherent right to self- government; and recognition of the right of First Nations to economically benefit from the use and development of their lands and resources.4 Since 2005 the AFN has consistently reasserted and affirmed these guiding principles at its Annual General Assemblies and in the numerous resolutions that these gatherings have produced. These demands have not been easy to ignore. </w:t>
      </w:r>
      <w:r w:rsidRPr="00087A72">
        <w:rPr>
          <w:rStyle w:val="Emphasis"/>
        </w:rPr>
        <w:t>Because of the persistence and dedication of countless Indigenous activists, leaders, communities, and organizations, we have witnessed within the scope of four decades the emergence of an unprecedented degree of recognition for Aboriginal “cultural” rights within the legal and political framework of the</w:t>
      </w:r>
      <w:r w:rsidRPr="00087A72">
        <w:rPr>
          <w:rStyle w:val="StyleUnderline"/>
        </w:rPr>
        <w:t xml:space="preserve"> </w:t>
      </w:r>
      <w:r w:rsidRPr="00087A72">
        <w:rPr>
          <w:sz w:val="10"/>
        </w:rPr>
        <w:t>Canadian</w:t>
      </w:r>
      <w:r w:rsidRPr="00087A72">
        <w:rPr>
          <w:rStyle w:val="StyleUnderline"/>
        </w:rPr>
        <w:t xml:space="preserve"> </w:t>
      </w:r>
      <w:r w:rsidRPr="00087A72">
        <w:rPr>
          <w:rStyle w:val="Emphasis"/>
        </w:rPr>
        <w:t>state.</w:t>
      </w:r>
      <w:r w:rsidRPr="00087A72">
        <w:rPr>
          <w:rStyle w:val="StyleUnderline"/>
        </w:rPr>
        <w:t xml:space="preserve">5 Most significant on this front was </w:t>
      </w:r>
      <w:r w:rsidRPr="00087A72">
        <w:rPr>
          <w:sz w:val="10"/>
        </w:rPr>
        <w:t>Canada’s eventual</w:t>
      </w:r>
      <w:r w:rsidRPr="00087A72">
        <w:rPr>
          <w:rStyle w:val="StyleUnderline"/>
        </w:rPr>
        <w:t xml:space="preserve"> “recognition” of “existing aboriginal and treaty rights” under section 35(1) of the Constitution Act of 1982. This constitutional breakthrough provided the catalyst that led to the federal government’s eventual recognition, in 1995, of an “inherent right to self-government,”6 as well as the groundswell of post-1982 court challenges that have sought to both clarify and widen the scope of what constitutes a constitutionally recognized Aboriginal right to begin with.</w:t>
      </w:r>
      <w:r w:rsidRPr="00087A72">
        <w:rPr>
          <w:sz w:val="10"/>
        </w:rPr>
        <w:t xml:space="preserve"> When considered from the vantage point of these important developments, it would certainly appear that “recog- nition” has emerged as the dominant expression of self-determination within the Aboriginal rights movement in Canada. </w:t>
      </w:r>
      <w:r w:rsidRPr="00087A72">
        <w:rPr>
          <w:rStyle w:val="StyleUnderline"/>
        </w:rPr>
        <w:t>The struggle for recognition has become a central catalyst in the international Indigenous rights movement as well. As the works of Will Kymlicka, Sheryl Lightfoot, Ronald Neizen, and others have noted, the last three decades have witnessed the emergence of recognition-based approaches to Indigenous self-determination in the field of Indigenous–state relations in Asia, northern Europe, throughout the Americas, and across the South Pacific (including Australia, New Zealand, and the Pacific Islands).</w:t>
      </w:r>
      <w:r w:rsidRPr="00087A72">
        <w:rPr>
          <w:sz w:val="10"/>
        </w:rPr>
        <w:t>7 Although varying in institutional scope and scale</w:t>
      </w:r>
      <w:r w:rsidRPr="00087A72">
        <w:rPr>
          <w:rStyle w:val="StyleUnderline"/>
        </w:rPr>
        <w:t>, all of these geopolitical regions have seen the establishment of Indigenous rights regimes that claim to recognize and accommodate the political autonomy, land rights, and cultural distinctiveness of Indigenous nations within the settler states that now encase them.</w:t>
      </w:r>
      <w:r w:rsidRPr="00087A72">
        <w:rPr>
          <w:sz w:val="10"/>
        </w:rPr>
        <w:t xml:space="preserve"> Although my primary empirical focus in Red Skin, White Masks is Canada, I suspect that readers will find many of my conclusions applicable to settler-colonial experiences elsewhere. On a more discursive plane, </w:t>
      </w:r>
      <w:r w:rsidRPr="00087A72">
        <w:rPr>
          <w:rStyle w:val="StyleUnderline"/>
        </w:rPr>
        <w:t>the increase in recognition demands made by Indigenous and other marginalized minorities over the last forty years has also prompted a flurry of intellectual activity that has sought to unpack the complex ethical, political, and legal questions that these types of claims raise.</w:t>
      </w:r>
      <w:r w:rsidRPr="00087A72">
        <w:rPr>
          <w:sz w:val="10"/>
        </w:rPr>
        <w:t xml:space="preserve"> To date, much of this literature has tended to focus on a perceived relation- ship between the affirmative recognition and institutional accommodation of societal cultural differences on the one hand, and the freedom and autonomy of marginalized individuals and groups living in ethnically diverse states on the other. In Canada</w:t>
      </w:r>
      <w:r w:rsidRPr="00087A72">
        <w:rPr>
          <w:rStyle w:val="StyleUnderline"/>
        </w:rPr>
        <w:t xml:space="preserve"> it has been argued that </w:t>
      </w:r>
      <w:r w:rsidRPr="00087A72">
        <w:rPr>
          <w:rStyle w:val="Emphasis"/>
        </w:rPr>
        <w:t>this synthesis of theory and practice has forced the state to dramatically reconceptualize the tenets of its relationship with Indigenous peoples</w:t>
      </w:r>
      <w:r w:rsidRPr="00087A72">
        <w:rPr>
          <w:rStyle w:val="StyleUnderline"/>
        </w:rPr>
        <w:t>; whereas before 1969 federal Indian pol- icy was unapologetically assimilationist, now it is couched in the vernacular of “mutual recognition.”</w:t>
      </w:r>
      <w:r w:rsidRPr="00087A72">
        <w:rPr>
          <w:sz w:val="10"/>
        </w:rPr>
        <w:t xml:space="preserve">8 </w:t>
      </w:r>
    </w:p>
    <w:p w:rsidR="009F0BAC" w:rsidRPr="00087A72" w:rsidRDefault="009F0BAC" w:rsidP="009F0BAC">
      <w:pPr>
        <w:pStyle w:val="Heading4"/>
      </w:pPr>
      <w:r w:rsidRPr="00087A72">
        <w:t xml:space="preserve">The colonial structures has undergone a profound shift in the wake of indigenous resistance. The expression of Indigenous nationalism that emerged has forced the colonial power to deconstruct itself from a structure that was reinforced by policies explicitly oriented around the genocidal exclusion/assimilation to one that is now forced to engage in discourses and institutional practices that emphasize indigenous recognition. </w:t>
      </w:r>
    </w:p>
    <w:p w:rsidR="009F0BAC" w:rsidRPr="00087A72" w:rsidRDefault="009F0BAC" w:rsidP="009F0BAC">
      <w:r w:rsidRPr="00087A72">
        <w:rPr>
          <w:rStyle w:val="Style13ptBold"/>
        </w:rPr>
        <w:t>Coulthard 14</w:t>
      </w:r>
      <w:r w:rsidRPr="00087A72">
        <w:t xml:space="preserve"> (Glen, associate professor in First Nations and Indigenous Studies and in the Department of Political Science “Red Skin, White Masks: Rejecting the Colonial Politics of Recognition” University of Minnesota Press pp. 3-6)</w:t>
      </w:r>
    </w:p>
    <w:p w:rsidR="009F0BAC" w:rsidRPr="00087A72" w:rsidRDefault="009F0BAC" w:rsidP="009F0BAC">
      <w:pPr>
        <w:rPr>
          <w:b/>
          <w:iCs/>
          <w:u w:val="single"/>
        </w:rPr>
      </w:pPr>
      <w:r w:rsidRPr="00087A72">
        <w:rPr>
          <w:sz w:val="12"/>
        </w:rPr>
        <w:t xml:space="preserve">To demonstrate the above claim, Red Skin, White Masks will theoretically and empirically map the contours of what I consider to be a decisive shift in the modus operandi of colonial power following the hegemonization of the recognition paradigm </w:t>
      </w:r>
      <w:r w:rsidRPr="00087A72">
        <w:rPr>
          <w:rStyle w:val="StyleUnderline"/>
        </w:rPr>
        <w:t xml:space="preserve">following the release of the federal government’s infamous Statement of the Government of Canada on Indian Policy—also known as the “White Paper”—in 1969.10 </w:t>
      </w:r>
      <w:r w:rsidRPr="00087A72">
        <w:rPr>
          <w:sz w:val="12"/>
        </w:rPr>
        <w:t>In the two centuries leading to this his- toric policy proposal—</w:t>
      </w:r>
      <w:r w:rsidRPr="00087A72">
        <w:rPr>
          <w:rStyle w:val="StyleUnderline"/>
        </w:rPr>
        <w:t>which called for the blanket assimilation of the status Indian population by unilaterally removing all institutionally enshrined aspects of legal and political differentiation that distinguish First Nations from non- Native Canadians under the Indian Act</w:t>
      </w:r>
      <w:r w:rsidRPr="00087A72">
        <w:rPr>
          <w:sz w:val="12"/>
        </w:rPr>
        <w:t xml:space="preserve">—the reproduction of the colonial relationship between Indigenous peoples and what would eventually become Canada depended heavily on the deployment of state power geared around genocidal practices of forced exclusion and assimilation.11 Any cursory exami- nation into the character of colonial Indian policy during this period will attest to this fact. For example, </w:t>
      </w:r>
      <w:r w:rsidRPr="00087A72">
        <w:rPr>
          <w:rStyle w:val="StyleUnderline"/>
        </w:rPr>
        <w:t>this era witnessed Canada’s repeated attempts to overtly uproot and destroy the vitality and autonomy of Indigenous modes of life through institutions such as residential schools;12 through the imposition of settler-state policies aimed at explicitly undercutting Indigenous political economies and relations to and with land;13 through the violent dispossession of First Nation women’s rights to land and community membership under sexist provisions of the Indian Act;14 through the theft of Aboriginal children via racist child welfare policies;15 and through the near wholesale disposses- sion of Indigenous peoples’ territories and modes of traditional governance in exchange for delegated administrative powers to be exercised over relatively minuscule reserve lands.</w:t>
      </w:r>
      <w:r w:rsidRPr="00087A72">
        <w:rPr>
          <w:sz w:val="12"/>
        </w:rPr>
        <w:t xml:space="preserve"> All of these policies sought to marginalize Indigenous people and communities with the ultimate goal being our elimination, if not physically, then as cultural, political, and legal peoples distinguishable from the rest of Canadian society.16 These initiatives reflect the more or less un- concealed, unilateral, and coercive nature of colonial rule during most of the nineteenth and twentieth centuries. Although Indigenous people and communities have always found ways to individually and collectively resist these oppressive policies and practices, it was not until the tumultuous political climate of </w:t>
      </w:r>
      <w:r w:rsidRPr="00087A72">
        <w:rPr>
          <w:rStyle w:val="StyleUnderline"/>
        </w:rPr>
        <w:t>Red Power activism in the 1960s and 70s that policies geared toward the recognition and so-called “reconciliation” of Native land and political grievances with state sovereignty began to appear.</w:t>
      </w:r>
      <w:r w:rsidRPr="00087A72">
        <w:rPr>
          <w:sz w:val="12"/>
        </w:rPr>
        <w:t xml:space="preserve"> </w:t>
      </w:r>
      <w:r w:rsidRPr="00087A72">
        <w:rPr>
          <w:rStyle w:val="StyleUnderline"/>
        </w:rPr>
        <w:t>Three watershed events are generally recognized as shaping this era of Native activism in Canada. The first was the materialization of widespread First Nation opposition to the previously mentioned 1969 White Paper. Instead of serving as a bridge to passive assimilation, the White Paper inaugurated an unprecedented degree of pan-Indian assertiveness and political mobilization. The National Indian Brotherhood (now the Assembly of First Nations) issued the following response to the federal government’s pro- posed initiative: “We view this as a policy designed to divest us of our aboriginal . . . rights. If we accept this policy, and in the process lose our rights and our lands, we become willing partners in cultural genocide. This we cannot do.”17 Although designed as a once-and-for-all solution to Canada’s so-called “Indian Problem,” the White Paper instead became a central catalyst around which the contemporary Indigenous self-determination movement coalesced, “launching it into a determined [defense] of a unique cultural heritage and identity.”18 The sheer magnitude of First Nations’ resistance to the White Paper proposal forced the federal government to formally shelve the document on March 17, 1971.19 The second watershed event occurred following the partial recognition of Aboriginal “title” in the Supreme Court of Canada’s 1973 Calder decision.20 This landmark case, which involved a claim launched by Nisga’a hereditary chief Frank Calder to the un-extinguished territories of his nation in north- western British Columbia, overturned a seventy-five-year precedent first established in St Catherine’s Milling and Lumber Company v. The Queen (1888), which stated that Aboriginal land rights existed only insofar and to the extent that the state recognized them as such.</w:t>
      </w:r>
      <w:r w:rsidRPr="00087A72">
        <w:rPr>
          <w:sz w:val="12"/>
        </w:rPr>
        <w:t xml:space="preserve">21 Although technically a defeat for the Nisga’a, the six justices that rendered substantive decisions in Calder all agreed that, prior to contact, the Nisga’a indeed held the land rights they claimed in court.22 The question then quickly shifted to whether these rights were suf- ficiently extinguished through colonial legislation. In the end, three justices ruled that the Aboriginal rights in question had not been extinguished, three ruled that they had, and one justice ruled against the Nisga’a based on a tech- nical question regarding whether this type of action could be levelled against the province without legislation permitting it, which he ruled could not.23 </w:t>
      </w:r>
      <w:r w:rsidRPr="00087A72">
        <w:rPr>
          <w:rStyle w:val="StyleUnderline"/>
        </w:rPr>
        <w:t>Thus, even though the Nisga’a technically lost their case in a 4–3 decision, the Supreme Court’s ruling in Calder left enough uncertainty around the question of existing Aboriginal rights that it prompted a shift in the federal government’s policy vis-à-vis Native land interests. The result was the federal government’s 1973 Statement on Claims of Indian and Inuit People: A Federal Native Claims Policy, which effectively reversed fifty-two years (since the 1921 signing of Treaty 11 in the Northwest Territories with the Sahtu Dene) of state refusal to recognize Indigenous claims to land where the question of existing title remained open.</w:t>
      </w:r>
      <w:r w:rsidRPr="00087A72">
        <w:rPr>
          <w:sz w:val="12"/>
        </w:rPr>
        <w:t xml:space="preserve">24 </w:t>
      </w:r>
      <w:r w:rsidRPr="00087A72">
        <w:rPr>
          <w:rStyle w:val="StyleUnderline"/>
        </w:rPr>
        <w:t>The third event (or rather cluster of events) emerged following the turbulent decade of energy politics that followed the oil crisis of the early 1970s, which subsequently fueled an aggressive push by state and industry to develop what it saw as the largely untapped resource potential (natural gas, minerals, and oil) of northern Canada.</w:t>
      </w:r>
      <w:r w:rsidRPr="00087A72">
        <w:rPr>
          <w:sz w:val="12"/>
        </w:rPr>
        <w:t xml:space="preserve">25 The federal government’s holding of 45 per- cent equity in Panartic Oils led Indian Affairs minister Jean Chrétien to state that “it is very seldom in public life that a minister of a government presides over that kind of profit.”26 The proposed increase in northern development was envisioned despite concerns raised by the Métis, Dene, and Inuit of the Northwest Territories regarding Canada’s proposal to sanction the development of a huge natural gas pipeline to be carved across the heartland of our traditional territories, as well as the resistance mounted by the Cree of north- ern Quebec against a similarly massive hydroelectric project proposed for their homeland in the James Bay region.27 </w:t>
      </w:r>
      <w:r w:rsidRPr="00087A72">
        <w:rPr>
          <w:rStyle w:val="Emphasis"/>
        </w:rPr>
        <w:t xml:space="preserve">The effectiveness of our subsequent political struggles, which gained unprecedented media coverage across the country, once again raised the issue of unresolved Native rights and title issues to the fore of Canadian public consciousness. </w:t>
      </w:r>
    </w:p>
    <w:p w:rsidR="00496C79" w:rsidRPr="00087A72" w:rsidRDefault="00496C79" w:rsidP="00496C79">
      <w:pPr>
        <w:pStyle w:val="Heading3"/>
      </w:pPr>
      <w:r w:rsidRPr="00087A72">
        <w:t>Borders Are the Root Cause</w:t>
      </w:r>
    </w:p>
    <w:p w:rsidR="00496C79" w:rsidRPr="00087A72" w:rsidRDefault="00496C79" w:rsidP="00496C79">
      <w:pPr>
        <w:pStyle w:val="Heading4"/>
      </w:pPr>
      <w:r w:rsidRPr="00087A72">
        <w:t xml:space="preserve">The border is foundational to Whiteness and settler colonial processes, categorizing racialized bodies from the inclusion/exclusion dichotomy. </w:t>
      </w:r>
    </w:p>
    <w:p w:rsidR="00496C79" w:rsidRPr="00087A72" w:rsidRDefault="00496C79" w:rsidP="00496C79">
      <w:r w:rsidRPr="00087A72">
        <w:rPr>
          <w:b/>
          <w:bCs/>
        </w:rPr>
        <w:t xml:space="preserve">Upadhyay 16 </w:t>
      </w:r>
      <w:r w:rsidRPr="00087A72">
        <w:t>(Nishant, Assistant Professor in Women's and Gender Studies at University of Massachusetts Dartmouth, Ph.D. in Graduate Program in Social and Political Thought at York University, South Asian</w:t>
      </w:r>
      <w:r w:rsidRPr="00087A72">
        <w:rPr>
          <w:i/>
        </w:rPr>
        <w:t xml:space="preserve"> “We’ll Sail Like Columbus”: Race, Indigeneity, Settler Colonialism, and the Making of South Asian Diasporas in Canada.</w:t>
      </w:r>
      <w:r w:rsidRPr="00087A72">
        <w:t xml:space="preserve"> Pg.84-90) OD</w:t>
      </w:r>
    </w:p>
    <w:p w:rsidR="00496C79" w:rsidRPr="000314EC" w:rsidRDefault="00496C79" w:rsidP="00496C79">
      <w:pPr>
        <w:rPr>
          <w:sz w:val="12"/>
        </w:rPr>
      </w:pPr>
      <w:r w:rsidRPr="00087A72">
        <w:rPr>
          <w:u w:val="single"/>
        </w:rPr>
        <w:t xml:space="preserve">Colonial logics have produced racial and gendered bodies as well as arbitrary physical borders. </w:t>
      </w:r>
      <w:r w:rsidRPr="00087A72">
        <w:rPr>
          <w:b/>
          <w:iCs/>
          <w:u w:val="single"/>
        </w:rPr>
        <w:t>For white settler states, these arbitrary borders have been the central feature of maintaining their settler-sovereignty on colonized lands and categorizing racialized bodies within varying hierarchies of citizenship</w:t>
      </w:r>
      <w:r w:rsidRPr="00087A72">
        <w:rPr>
          <w:sz w:val="12"/>
        </w:rPr>
        <w:t>.24 Along with processes of settler colonialism, anti-Black racism, and Islamophobia</w:t>
      </w:r>
      <w:r w:rsidRPr="00087A72">
        <w:rPr>
          <w:u w:val="single"/>
        </w:rPr>
        <w:t>, cartographies of exclusionary/inclusionary borders have been fundamental in settler-state formations</w:t>
      </w:r>
      <w:r w:rsidRPr="00087A72">
        <w:rPr>
          <w:sz w:val="12"/>
        </w:rPr>
        <w:t xml:space="preserve">. On the one hand, the settler states have created arbitrary borders to regulate indigeneity and separate Indigenous communities on the basis of these borders. </w:t>
      </w:r>
      <w:r w:rsidRPr="00087A72">
        <w:rPr>
          <w:u w:val="single"/>
        </w:rPr>
        <w:t>Jodi Byrd notes the inherent relations between settler state’s border-making and settler colonialism</w:t>
      </w:r>
      <w:r w:rsidRPr="00087A72">
        <w:rPr>
          <w:b/>
          <w:iCs/>
          <w:u w:val="single"/>
        </w:rPr>
        <w:t>: “The processes through which the borders of the US become ineluctable or natural is the same process through which American Indians becomes invisibilized and minoritorized</w:t>
      </w:r>
      <w:r w:rsidRPr="00087A72">
        <w:rPr>
          <w:sz w:val="12"/>
        </w:rPr>
        <w:t xml:space="preserve"> 24 On border and boundaries as racial and colonial mechanisms, see: Altamirano-Jiménez, “The Colonization and Decolonization”; Anzaldua; Bannerji, Thinking Through; Dhamoon, Identity/Difference; Espiritu; Hogue; Lawrence, “Gender, Race and the Regulation”; N. Sharma, “On Being Not Canadian”; A. Simpson; and Walia, Undoing Border Imperialism. 85 within the United States” (“‘Been to the Nation’” 45). </w:t>
      </w:r>
      <w:r w:rsidRPr="00087A72">
        <w:rPr>
          <w:u w:val="single"/>
        </w:rPr>
        <w:t xml:space="preserve">For instance, the borders between Canada and the U.S were central to regulating Indigenous borders and separating categories of Métis and Indians. </w:t>
      </w:r>
      <w:r w:rsidRPr="00087A72">
        <w:rPr>
          <w:sz w:val="12"/>
        </w:rPr>
        <w:t xml:space="preserve">Michel Hogue elaborates: In western North American, nation-making hinged on subverting the sovereignty of Indigenous people and inquired reworking the social relationships that sustained earlier communities and replacing them with new sociolegal boundaries. (5) </w:t>
      </w:r>
      <w:r w:rsidRPr="00087A72">
        <w:rPr>
          <w:b/>
          <w:iCs/>
          <w:u w:val="single"/>
        </w:rPr>
        <w:t xml:space="preserve">Border and boundary-making has been foundational to white settler colonial processes. On the other hand, these borders regulate racialized bodies’ inclusion into the settler states and construct varying arbitrary categories such as those of the “skilled migrant,” “legal immigrant,” “refugee,” “asylum seeker,” “temporary worker,” “permanent resident,” and “illegal migrant.” </w:t>
      </w:r>
      <w:r w:rsidRPr="00087A72">
        <w:rPr>
          <w:sz w:val="12"/>
        </w:rPr>
        <w:t xml:space="preserve">These settler states are inherently illegal on colonized Indigenous lands and continue to exclude Indigenous peoples, Blacks, Muslims, and other racialized peoples from the violent processes of bordermaking. In this section, </w:t>
      </w:r>
      <w:r w:rsidRPr="00087A72">
        <w:rPr>
          <w:b/>
          <w:iCs/>
          <w:u w:val="single"/>
        </w:rPr>
        <w:t>I explore the labelling of desirable and undesirable bodies and construction of borders to include some bodies and exclude others.</w:t>
      </w:r>
      <w:r w:rsidRPr="00087A72">
        <w:rPr>
          <w:sz w:val="12"/>
        </w:rPr>
        <w:t xml:space="preserve"> Along with processes of settler colonialism, anti-Black racism, and Islamophobia, border-making remains one of the prime logics of white supremacy and colonialism. Border-making processes are central to the maintenance of white settler states. Harsha </w:t>
      </w:r>
      <w:r w:rsidRPr="00087A72">
        <w:rPr>
          <w:u w:val="single"/>
        </w:rPr>
        <w:t>Walia calls processes of border-making “border imperialism</w:t>
      </w:r>
      <w:r w:rsidRPr="00087A72">
        <w:rPr>
          <w:sz w:val="12"/>
        </w:rPr>
        <w:t xml:space="preserve">.” She writes: </w:t>
      </w:r>
      <w:r w:rsidRPr="00087A72">
        <w:rPr>
          <w:u w:val="single"/>
        </w:rPr>
        <w:t>The racist, classist, heteropatriarchal, and ableist construction of the legal/desirable migrant justifies the criminalization of the illegal/undesirable migrant, which then emboldens the conditions for capital to further exploit the labor of migrants.</w:t>
      </w:r>
      <w:r w:rsidRPr="00087A72">
        <w:rPr>
          <w:sz w:val="12"/>
        </w:rPr>
        <w:t xml:space="preserve"> Migrants’ precarious legal status and precarious stratification in the labor force are further inscribed by racializing discourses that cast migrants of color as eternal outsiders: in the nation state but not of the nation-state. Coming full circle, border imperialism illuminates how colonial anxieties about </w:t>
      </w:r>
      <w:r w:rsidRPr="00087A72">
        <w:rPr>
          <w:b/>
          <w:iCs/>
          <w:u w:val="single"/>
        </w:rPr>
        <w:t>identity and inclusion within Western borders are linked to the racist justifications for imperialist mission</w:t>
      </w:r>
      <w:r w:rsidRPr="00087A72">
        <w:rPr>
          <w:sz w:val="12"/>
        </w:rPr>
        <w:t xml:space="preserve"> beyond Western borders that generate cycles of mass displacement. (Undoing Border Imperialism 6, emphasis in original) 86 Walia demonstrates how the processes of racialized migration are produced and maintained through the structural violences of colonialism, imperialism, and capitalism. She expounds how these processes are embedded in technologies of heteropatriarchy, ableism, and state-defined notions of criminality. She highlights that </w:t>
      </w:r>
      <w:r w:rsidRPr="00087A72">
        <w:rPr>
          <w:u w:val="single"/>
        </w:rPr>
        <w:t>the processes of mass displacements in the global South, and criminalization and labour exploitation of racialized peoples in the global north, are inextricably linked to capitalism and empire.</w:t>
      </w:r>
      <w:r w:rsidRPr="00087A72">
        <w:rPr>
          <w:sz w:val="12"/>
        </w:rPr>
        <w:t xml:space="preserve"> The processes that facilitate displacement include: legacies of colonialism, poverty and impoverishment, wars and mass destruction, neoliberal exploits and climate change—all at the hands of western powers. Moreover, they are all bound together in white settler states due to past and ongoing processes of dispossession and displacement of Indigenous peoples. This is illustrated through the examples discussed in the introduction of the Komagata Maru and Tamil refugees. Yên Lê Espiritu in her work on Vietnamese refugees in the U.S. offers another instance of these pernicious continuities. By bringing together histories of U.S. imperialism, war, and genocide in the Asia-Pacific region and the U.S., Espiritu connects Vietnamese displacement to that of Filipinos, Chamorros, and Indigenous peoples, “making intelligible the military colonialisms that engulf these spaces” along with the pervasive construction of discourses of “refugee crises” and “rescue-and-liberation” (47-48</w:t>
      </w:r>
      <w:r w:rsidRPr="00087A72">
        <w:rPr>
          <w:b/>
          <w:iCs/>
          <w:u w:val="single"/>
        </w:rPr>
        <w:t xml:space="preserve">). Further, the borders also limit Indigenous peoples’ movement through them, as Indigenous communities along the borders claim sovereignty on both sides of the border </w:t>
      </w:r>
      <w:r w:rsidRPr="00087A72">
        <w:rPr>
          <w:sz w:val="12"/>
        </w:rPr>
        <w:t xml:space="preserve">(Altamirano-Jiménez; Hogue; A. Simpson). Settler state borders affect the movement of all Indigenous peoples in the Americas. Moreover, the settler state uses the technologies of regulation deployed against Indigenous peoples on racialized peoples. In a similar manner, Mona Oikawa argues that the racial violence waged against Japanese Canadians during the internment is connected to and dependent upon the violences to which Indigenous peoples have been 87 subjected through processes of colonization (“Connecting the Internment”). Manu Vimalassery demonstrates the continuities between American “War on Terror” and Indigenous dispossession (“Antecedents of Imperial Incarceration”). In his theorization of connections between the U.S. prison in Guantánamo to incarcerate “terrorists” and the prison in Florida in the nineteenth century to imprison Indigenous peoples, Vimalassery notes that “There is a connection to draw out here, with the indigenous sovereign subject as the limits of U.S. imperialism, of settler colonialism as a process of incarceration overlaying indigenous sovereign space” (351-52). </w:t>
      </w:r>
      <w:r w:rsidRPr="00087A72">
        <w:rPr>
          <w:u w:val="single"/>
        </w:rPr>
        <w:t>Thus, contemporary regulation of racialized bodies is an extension of settler states’ continued occupation of Indigenous lands.</w:t>
      </w:r>
      <w:r w:rsidRPr="00087A72">
        <w:rPr>
          <w:sz w:val="12"/>
        </w:rPr>
        <w:t xml:space="preserve"> Walia identifies four overlapping and interlocking principles of border imperialism: mass displacement and border securitization; criminalization of those deemed “illegal” migrants; racialized hierarchies of citizenship; and exploitation of migrant labor (5). The first foundational principle, Walia argues, is </w:t>
      </w:r>
      <w:r w:rsidRPr="00087A72">
        <w:rPr>
          <w:b/>
          <w:iCs/>
          <w:u w:val="single"/>
        </w:rPr>
        <w:t>the simultaneous process of displacement due to capitalist and colonial exploitation and the “fortification of borders</w:t>
      </w:r>
      <w:r w:rsidRPr="00087A72">
        <w:rPr>
          <w:sz w:val="12"/>
        </w:rPr>
        <w:t xml:space="preserve">” (41). Both processes are generated and enforced by states of the global north. Connected to the first, the second principle criminalizes and prohibits migration, and constructs categories of “illegal” and “alien” (53). “Legal,” “model” and “desirable” migrants co-exist within the same structures where “illegal,” “criminal,” and “unwanted” migrants are excluded. </w:t>
      </w:r>
      <w:r w:rsidRPr="00087A72">
        <w:rPr>
          <w:u w:val="single"/>
        </w:rPr>
        <w:t>Legality is constructed in relation to illegality, often through arbitrary yet violent mechanisms.</w:t>
      </w:r>
      <w:r w:rsidRPr="00087A72">
        <w:rPr>
          <w:sz w:val="12"/>
        </w:rPr>
        <w:t xml:space="preserve"> Those who are deemed </w:t>
      </w:r>
      <w:r w:rsidRPr="00087A72">
        <w:rPr>
          <w:u w:val="single"/>
        </w:rPr>
        <w:t>“undesirable” are criminalized, detained, incarcerated, and deported</w:t>
      </w:r>
      <w:r w:rsidRPr="00087A72">
        <w:rPr>
          <w:sz w:val="12"/>
        </w:rPr>
        <w:t xml:space="preserve">. Nandita Sharma calls these categories ideological as both “legal” Canadians and “illegal” migrants “work within the same labour market and live within the same society” (“On Being Not Canadian” 62). Similarly, Himani Bannerji shows how these </w:t>
      </w:r>
      <w:r w:rsidRPr="00087A72">
        <w:rPr>
          <w:u w:val="single"/>
        </w:rPr>
        <w:t>88 labels conceal the violences of capitalism and colonialism that constitute these categories as well as subsequent inclusions/exclusions</w:t>
      </w:r>
      <w:r w:rsidRPr="00087A72">
        <w:rPr>
          <w:sz w:val="12"/>
        </w:rPr>
        <w:t xml:space="preserve"> (Thinking Through). The third principle Walia highlights are the racialized hierarchies of migrant and national identity (61). Racialized hierarchies, like Islamophobia and anti-Black racism as discussed above regulate and inform the institutions of citizenship and belonging. In constructing and regulating “criminality,” Rita K. Dhamoon argues </w:t>
      </w:r>
      <w:r w:rsidRPr="00087A72">
        <w:rPr>
          <w:u w:val="single"/>
        </w:rPr>
        <w:t xml:space="preserve">that the settler state maintains racial exclusion and Indigenous repression, and “re-entrenches norms of whiteness, nation building, and citizenship through the law” </w:t>
      </w:r>
      <w:r w:rsidRPr="00087A72">
        <w:rPr>
          <w:sz w:val="12"/>
        </w:rPr>
        <w:t xml:space="preserve">(Identity/Difference Politics 68). The fourth principle, is </w:t>
      </w:r>
      <w:r w:rsidRPr="00087A72">
        <w:rPr>
          <w:u w:val="single"/>
        </w:rPr>
        <w:t>state controlled and structured processes of exploitation of labours of the migrants</w:t>
      </w:r>
      <w:r w:rsidRPr="00087A72">
        <w:rPr>
          <w:sz w:val="12"/>
        </w:rPr>
        <w:t xml:space="preserve"> (67). Processes of capitalist accumulation and neoliberalization lie at the heart of these exploitations</w:t>
      </w:r>
      <w:r w:rsidRPr="00087A72">
        <w:rPr>
          <w:u w:val="single"/>
        </w:rPr>
        <w:t>. Border imperialism, thus, keeps the workforce “commodified and exploitable, flexible and expendable”</w:t>
      </w:r>
      <w:r w:rsidRPr="00087A72">
        <w:rPr>
          <w:sz w:val="12"/>
        </w:rPr>
        <w:t xml:space="preserve"> (71). </w:t>
      </w:r>
      <w:r w:rsidRPr="00087A72">
        <w:rPr>
          <w:b/>
          <w:iCs/>
          <w:u w:val="single"/>
        </w:rPr>
        <w:t xml:space="preserve">Settler states rely on these mechanisms of border imperialism to maintain their whiteness </w:t>
      </w:r>
      <w:r w:rsidRPr="00087A72">
        <w:rPr>
          <w:sz w:val="12"/>
        </w:rPr>
        <w:t xml:space="preserve">and use varying gradations of racialized labour to continue the colonization of Indigenous nations and lands. Canada, like other settler and imperial states, maintains border imperialist practices and structures. Since the inception of the Canadian settler state, the state has deployed many tactics to keep “undesirable”—often racialized peoples—away from the shore of its illegal borders. From settler practices like expropriating Indigenous lands, creating reserves, and regulating Indigenous identities, to anti-Black practices like </w:t>
      </w:r>
      <w:r w:rsidRPr="00087A72">
        <w:rPr>
          <w:u w:val="single"/>
        </w:rPr>
        <w:t xml:space="preserve">the histories and legacies of enslavement, </w:t>
      </w:r>
      <w:r w:rsidRPr="00087A72">
        <w:rPr>
          <w:sz w:val="12"/>
        </w:rPr>
        <w:t xml:space="preserve">and de-facto prohibition of Black and African immigration; to anti-Asian exclusions like </w:t>
      </w:r>
      <w:r w:rsidRPr="00087A72">
        <w:rPr>
          <w:u w:val="single"/>
        </w:rPr>
        <w:t>the Chinese Head Tax, the Continuous Journey Act</w:t>
      </w:r>
      <w:r w:rsidRPr="00087A72">
        <w:rPr>
          <w:sz w:val="12"/>
        </w:rPr>
        <w:t xml:space="preserve">, the expulsion of the Komagata Maru, and </w:t>
      </w:r>
      <w:r w:rsidRPr="00087A72">
        <w:rPr>
          <w:u w:val="single"/>
        </w:rPr>
        <w:t>internment of the Japanese</w:t>
      </w:r>
      <w:r w:rsidRPr="00087A72">
        <w:rPr>
          <w:sz w:val="12"/>
        </w:rPr>
        <w:t xml:space="preserve">, to the ongoing racial exclusion of migrants; Canada, historically and contemporarily, continues to reproduce the nation-state through normative whiteness and 89 Europeanness, often through violent exclusion of racialized peoples. Contemporary immigration programs like </w:t>
      </w:r>
      <w:r w:rsidRPr="00087A72">
        <w:rPr>
          <w:u w:val="single"/>
        </w:rPr>
        <w:t>the Live-in Caregiver, Temporary Foreign Workers, and Seasonal Agricultural Workers programs are all mechanisms to keep citizenship racially exclusive, yet ensure a steady supply of inexpensive racialized labour.</w:t>
      </w:r>
      <w:r w:rsidRPr="00087A72">
        <w:rPr>
          <w:sz w:val="12"/>
        </w:rPr>
        <w:t xml:space="preserve"> In addition, Canada is complicit in large-scale mass displacements from the global South. For instance, more than 75 per cent of the world’s mining companies are headquartered in Canada, and all these companies, across Latin America, Asia and Africa are implicated in gross human rights violations (“MiningWatch Canada”). Canada’s participation in imperial wars, like its deployment in Afghanistan, Libya, Iraq, and Syria, has also rendered many people displaced and dispossessed. Similarly, Canada’s international involvement through NAFTA, G-10, G-20, NATO, and the U.N. has been complicit in global displacements. Canada has actively maintained imperialist borders and practices within and outside of Canada. The recent report, “Never Home: Legislating Discrimination in Canadian Immigration,” by the Vancouver based </w:t>
      </w:r>
      <w:r w:rsidRPr="00087A72">
        <w:rPr>
          <w:b/>
          <w:iCs/>
          <w:u w:val="single"/>
        </w:rPr>
        <w:t xml:space="preserve">migrant justice group No One Is Illegal </w:t>
      </w:r>
      <w:r w:rsidRPr="00087A72">
        <w:rPr>
          <w:sz w:val="12"/>
        </w:rPr>
        <w:t xml:space="preserve">Vancouver Unceded Coast Salish Territories </w:t>
      </w:r>
      <w:r w:rsidRPr="00087A72">
        <w:rPr>
          <w:b/>
          <w:iCs/>
          <w:u w:val="single"/>
        </w:rPr>
        <w:t xml:space="preserve">highlights many of these keys aspects of </w:t>
      </w:r>
      <w:r w:rsidRPr="00087A72">
        <w:rPr>
          <w:sz w:val="12"/>
        </w:rPr>
        <w:t xml:space="preserve">Canadian </w:t>
      </w:r>
      <w:r w:rsidRPr="00087A72">
        <w:rPr>
          <w:b/>
          <w:iCs/>
          <w:u w:val="single"/>
        </w:rPr>
        <w:t>border imperialism.</w:t>
      </w:r>
      <w:r w:rsidRPr="00087A72">
        <w:rPr>
          <w:sz w:val="12"/>
        </w:rPr>
        <w:t xml:space="preserve"> The report finds: Citizenship is becoming harder to get and easier to lose. </w:t>
      </w:r>
      <w:r w:rsidRPr="00087A72">
        <w:rPr>
          <w:u w:val="single"/>
        </w:rPr>
        <w:t>Permanent residency</w:t>
      </w:r>
      <w:r w:rsidRPr="00087A72">
        <w:rPr>
          <w:sz w:val="12"/>
        </w:rPr>
        <w:t xml:space="preserve"> for refugees, skilled workers and family members </w:t>
      </w:r>
      <w:r w:rsidRPr="00087A72">
        <w:rPr>
          <w:u w:val="single"/>
        </w:rPr>
        <w:t>is restricted, but the migrant worker program is exploding</w:t>
      </w:r>
      <w:r w:rsidRPr="00087A72">
        <w:rPr>
          <w:sz w:val="12"/>
        </w:rPr>
        <w:t>. Enforcement, in the form of detentions, deportations and secret trials, is also on the rise. Pervasive sentiments such as “bogus refugees”, “terrorists”, and “foreigners stealing jobs” have justified the increasing exclusion and marginalization of migrants. If migrants are allowed in, it is with temporary, conditional or precarious status. (“Never Home”) The report provides several instances of Canada’s exclusionary regime.25 Drawing from the report, I provide below some of the more drastic and draconian aspects of Canada’s border 25 It must be noted that the report focuses on immigration changes under the Conservative Party’s Stephen Harper regime (2006-2015). It is yet to be seen what changes may come under Liberal Party’s Trudeau regime. 90 imperialism. Not only did the percentage of immigrants who became Canadian citizens drop drastically (from 70 per cent to 26 per cent between the years 2000-2008), Canada also took more temporary migrants than permanent migrants. As the requirements for becoming a permanent citizen (including skilled worker class, family-class migrants and refugees) became more restrictive, the state created more avenues to exploit precarious migrant workers. Moreover, it became much harder for migrants under temporary permits to gain permanent residency. Canadian media frequently labeled refugees as “bogus,” “queue jumpers,” “terrorists” and “human smugglers” which resulted in a 30 per cent decrease in the number of accepted refugees. At the same time, Canada detained over 87,000 migrants and deported about 117,000 migrants. Furthermore, refugees, permanent residents and undocumented migrants faced surveillance, security certificates and secret trials,26 incarceration, and deportation under the pretext of a threat to security, particularly targeting Black peoples and Muslims in Canada.</w:t>
      </w:r>
      <w:r w:rsidRPr="000314EC">
        <w:rPr>
          <w:sz w:val="12"/>
        </w:rPr>
        <w:t xml:space="preserve"> </w:t>
      </w:r>
    </w:p>
    <w:p w:rsidR="00496C79" w:rsidRPr="000314EC" w:rsidRDefault="00496C79" w:rsidP="00496C79"/>
    <w:sectPr w:rsidR="00496C79" w:rsidRPr="000314EC">
      <w:headerReference w:type="even" r:id="rId36"/>
      <w:head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D237E" w:rsidRDefault="009D237E" w:rsidP="002E63E3">
      <w:pPr>
        <w:spacing w:after="0" w:line="240" w:lineRule="auto"/>
      </w:pPr>
      <w:r>
        <w:separator/>
      </w:r>
    </w:p>
  </w:endnote>
  <w:endnote w:type="continuationSeparator" w:id="0">
    <w:p w:rsidR="009D237E" w:rsidRDefault="009D237E" w:rsidP="002E6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Playfair Display">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 w:name="MinionPro-It">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D237E" w:rsidRDefault="009D237E" w:rsidP="002E63E3">
      <w:pPr>
        <w:spacing w:after="0" w:line="240" w:lineRule="auto"/>
      </w:pPr>
      <w:r>
        <w:separator/>
      </w:r>
    </w:p>
  </w:footnote>
  <w:footnote w:type="continuationSeparator" w:id="0">
    <w:p w:rsidR="009D237E" w:rsidRDefault="009D237E" w:rsidP="002E63E3">
      <w:pPr>
        <w:spacing w:after="0" w:line="240" w:lineRule="auto"/>
      </w:pPr>
      <w:r>
        <w:continuationSeparator/>
      </w:r>
    </w:p>
  </w:footnote>
  <w:footnote w:id="1">
    <w:p w:rsidR="00457D4E" w:rsidRDefault="00457D4E" w:rsidP="00D66B35">
      <w:pPr>
        <w:pStyle w:val="footnotedescription"/>
        <w:ind w:right="48"/>
      </w:pPr>
      <w:r>
        <w:rPr>
          <w:rStyle w:val="footnotemark"/>
        </w:rPr>
        <w:footnoteRef/>
      </w:r>
      <w:r>
        <w:t xml:space="preserve"> Byrd (2011) argues that it is important to use a term that differentiates white settlers from those forced through the violence of colonialism to migrate to the Americas.  She notes, “Of particular concern is how to theorize the degrees to which indigenous peoples, settlers, and arrivants – a term I borrow from African Caribbean poet Kamau Brathwaite to signify those people forced into the Americas through the violence of European and Anglo-American colonialism and imperialism around the globe – have functioned within and have resisted the historical project of the colonization of the “New World” (p.xix).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7D4E" w:rsidRDefault="00457D4E">
    <w:pPr>
      <w:pStyle w:val="BodyText"/>
      <w:spacing w:line="14" w:lineRule="auto"/>
    </w:pPr>
    <w:r>
      <w:rPr>
        <w:noProof/>
      </w:rPr>
      <mc:AlternateContent>
        <mc:Choice Requires="wps">
          <w:drawing>
            <wp:anchor distT="4294967295" distB="4294967295" distL="114300" distR="114300" simplePos="0" relativeHeight="251677696" behindDoc="1" locked="0" layoutInCell="1" allowOverlap="1">
              <wp:simplePos x="0" y="0"/>
              <wp:positionH relativeFrom="page">
                <wp:posOffset>647700</wp:posOffset>
              </wp:positionH>
              <wp:positionV relativeFrom="page">
                <wp:posOffset>577849</wp:posOffset>
              </wp:positionV>
              <wp:extent cx="4284345" cy="0"/>
              <wp:effectExtent l="0" t="0" r="0" b="0"/>
              <wp:wrapNone/>
              <wp:docPr id="56" name="Straight Connector 56"/>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4284345" cy="0"/>
                      </a:xfrm>
                      <a:prstGeom prst="line">
                        <a:avLst/>
                      </a:prstGeom>
                      <a:noFill/>
                      <a:ln w="1224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C42059" id="Straight Connector 56" o:spid="_x0000_s1026" style="position:absolute;z-index:-25163878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1pt,45.5pt" to="388.3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" strokeweight=".34mm">
              <v:path arrowok="f"/>
              <o:lock v:ext="edit" aspectratio="t" verticies="t"/>
              <w10:wrap anchorx="page" anchory="page"/>
            </v:line>
          </w:pict>
        </mc:Fallback>
      </mc:AlternateContent>
    </w:r>
    <w:r>
      <w:rPr>
        <w:noProof/>
      </w:rPr>
      <mc:AlternateContent>
        <mc:Choice Requires="wps">
          <w:drawing>
            <wp:anchor distT="0" distB="0" distL="114300" distR="114300" simplePos="0" relativeHeight="251678720" behindDoc="1" locked="0" layoutInCell="1" allowOverlap="1">
              <wp:simplePos x="0" y="0"/>
              <wp:positionH relativeFrom="page">
                <wp:posOffset>622300</wp:posOffset>
              </wp:positionH>
              <wp:positionV relativeFrom="page">
                <wp:posOffset>412750</wp:posOffset>
              </wp:positionV>
              <wp:extent cx="203200" cy="127000"/>
              <wp:effectExtent l="0" t="0" r="6350" b="6350"/>
              <wp:wrapNone/>
              <wp:docPr id="55" name="Text Box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20320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57D4E" w:rsidRDefault="00457D4E">
                          <w:pPr>
                            <w:spacing w:line="179" w:lineRule="exact"/>
                            <w:ind w:left="20"/>
                            <w:rPr>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5" o:spid="_x0000_s1026" type="#_x0000_t202" style="position:absolute;margin-left:49pt;margin-top:32.5pt;width:16pt;height:10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" filled="f" stroked="f">
              <o:lock v:ext="edit" aspectratio="t" verticies="t" text="t" shapetype="t"/>
              <v:textbox inset="0,0,0,0">
                <w:txbxContent>
                  <w:p w:rsidR="00457D4E" w:rsidRDefault="00457D4E">
                    <w:pPr>
                      <w:spacing w:line="179" w:lineRule="exact"/>
                      <w:ind w:left="20"/>
                      <w:rPr>
                        <w:sz w:val="16"/>
                      </w:rPr>
                    </w:pPr>
                  </w:p>
                </w:txbxContent>
              </v:textbox>
              <w10:wrap anchorx="page" anchory="page"/>
            </v:shape>
          </w:pict>
        </mc:Fallback>
      </mc:AlternateContent>
    </w:r>
    <w:r>
      <w:rPr>
        <w:noProof/>
      </w:rPr>
      <mc:AlternateContent>
        <mc:Choice Requires="wps">
          <w:drawing>
            <wp:anchor distT="0" distB="0" distL="114300" distR="114300" simplePos="0" relativeHeight="251679744" behindDoc="1" locked="0" layoutInCell="1" allowOverlap="1">
              <wp:simplePos x="0" y="0"/>
              <wp:positionH relativeFrom="page">
                <wp:posOffset>4358005</wp:posOffset>
              </wp:positionH>
              <wp:positionV relativeFrom="page">
                <wp:posOffset>408305</wp:posOffset>
              </wp:positionV>
              <wp:extent cx="587375" cy="131445"/>
              <wp:effectExtent l="0" t="0" r="3175" b="1905"/>
              <wp:wrapNone/>
              <wp:docPr id="54" name="Text Box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58737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57D4E" w:rsidRDefault="00457D4E">
                          <w:pPr>
                            <w:spacing w:line="179" w:lineRule="exact"/>
                            <w:ind w:left="20"/>
                            <w:rPr>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4" o:spid="_x0000_s1027" type="#_x0000_t202" style="position:absolute;margin-left:343.15pt;margin-top:32.15pt;width:46.25pt;height:10.3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" filled="f" stroked="f">
              <o:lock v:ext="edit" aspectratio="t" verticies="t" text="t" shapetype="t"/>
              <v:textbox inset="0,0,0,0">
                <w:txbxContent>
                  <w:p w:rsidR="00457D4E" w:rsidRDefault="00457D4E">
                    <w:pPr>
                      <w:spacing w:line="179" w:lineRule="exact"/>
                      <w:ind w:left="20"/>
                      <w:rPr>
                        <w:sz w:val="16"/>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7D4E" w:rsidRDefault="00457D4E">
    <w:pPr>
      <w:pStyle w:val="BodyText"/>
      <w:spacing w:line="14" w:lineRule="auto"/>
    </w:pPr>
    <w:r>
      <w:rPr>
        <w:noProof/>
      </w:rPr>
      <mc:AlternateContent>
        <mc:Choice Requires="wps">
          <w:drawing>
            <wp:anchor distT="0" distB="0" distL="114300" distR="114300" simplePos="0" relativeHeight="251676672" behindDoc="1" locked="0" layoutInCell="1" allowOverlap="1">
              <wp:simplePos x="0" y="0"/>
              <wp:positionH relativeFrom="page">
                <wp:posOffset>4755515</wp:posOffset>
              </wp:positionH>
              <wp:positionV relativeFrom="page">
                <wp:posOffset>412750</wp:posOffset>
              </wp:positionV>
              <wp:extent cx="203200" cy="127000"/>
              <wp:effectExtent l="0" t="0" r="6350" b="6350"/>
              <wp:wrapNone/>
              <wp:docPr id="2"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20320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57D4E" w:rsidRDefault="00457D4E">
                          <w:pPr>
                            <w:spacing w:line="180" w:lineRule="exact"/>
                            <w:ind w:left="20"/>
                            <w:rPr>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8" type="#_x0000_t202" style="position:absolute;margin-left:374.45pt;margin-top:32.5pt;width:16pt;height:10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" filled="f" stroked="f">
              <o:lock v:ext="edit" aspectratio="t" verticies="t" text="t" shapetype="t"/>
              <v:textbox inset="0,0,0,0">
                <w:txbxContent>
                  <w:p w:rsidR="00457D4E" w:rsidRDefault="00457D4E">
                    <w:pPr>
                      <w:spacing w:line="180" w:lineRule="exact"/>
                      <w:ind w:left="20"/>
                      <w:rPr>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A9B5E4B"/>
    <w:multiLevelType w:val="hybridMultilevel"/>
    <w:tmpl w:val="8C72555C"/>
    <w:lvl w:ilvl="0" w:tplc="7DF49B18">
      <w:start w:val="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hideSpellingError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D005A2"/>
    <w:rsid w:val="00002D73"/>
    <w:rsid w:val="00010928"/>
    <w:rsid w:val="000139A3"/>
    <w:rsid w:val="000273B7"/>
    <w:rsid w:val="00030ACD"/>
    <w:rsid w:val="000314EC"/>
    <w:rsid w:val="00032E5A"/>
    <w:rsid w:val="00035D36"/>
    <w:rsid w:val="0004585D"/>
    <w:rsid w:val="000534D3"/>
    <w:rsid w:val="00087A72"/>
    <w:rsid w:val="00091D3F"/>
    <w:rsid w:val="000D6F2C"/>
    <w:rsid w:val="00100833"/>
    <w:rsid w:val="00104529"/>
    <w:rsid w:val="00105942"/>
    <w:rsid w:val="00107396"/>
    <w:rsid w:val="00107B5E"/>
    <w:rsid w:val="00126C2B"/>
    <w:rsid w:val="00141B3E"/>
    <w:rsid w:val="00144A4C"/>
    <w:rsid w:val="00176AB0"/>
    <w:rsid w:val="00177B7D"/>
    <w:rsid w:val="0018322D"/>
    <w:rsid w:val="001A3503"/>
    <w:rsid w:val="001B5776"/>
    <w:rsid w:val="001E527A"/>
    <w:rsid w:val="001F78CE"/>
    <w:rsid w:val="0021729E"/>
    <w:rsid w:val="0022388F"/>
    <w:rsid w:val="00251FC7"/>
    <w:rsid w:val="00254E93"/>
    <w:rsid w:val="002777A6"/>
    <w:rsid w:val="002855A7"/>
    <w:rsid w:val="002B146A"/>
    <w:rsid w:val="002B5E17"/>
    <w:rsid w:val="002D715A"/>
    <w:rsid w:val="002E63E3"/>
    <w:rsid w:val="00315690"/>
    <w:rsid w:val="00316B75"/>
    <w:rsid w:val="00325646"/>
    <w:rsid w:val="003373E6"/>
    <w:rsid w:val="003460F2"/>
    <w:rsid w:val="0038158C"/>
    <w:rsid w:val="003902BA"/>
    <w:rsid w:val="003969A5"/>
    <w:rsid w:val="003A09E2"/>
    <w:rsid w:val="00407037"/>
    <w:rsid w:val="00414088"/>
    <w:rsid w:val="00450204"/>
    <w:rsid w:val="00452265"/>
    <w:rsid w:val="00457D4E"/>
    <w:rsid w:val="004605D6"/>
    <w:rsid w:val="00461185"/>
    <w:rsid w:val="00496C79"/>
    <w:rsid w:val="004C60E8"/>
    <w:rsid w:val="004E3579"/>
    <w:rsid w:val="004E728B"/>
    <w:rsid w:val="004F39E0"/>
    <w:rsid w:val="00514D76"/>
    <w:rsid w:val="00537BD5"/>
    <w:rsid w:val="00540BEA"/>
    <w:rsid w:val="005562CD"/>
    <w:rsid w:val="0057268A"/>
    <w:rsid w:val="005D0E5A"/>
    <w:rsid w:val="005D2912"/>
    <w:rsid w:val="006065BD"/>
    <w:rsid w:val="00645FA9"/>
    <w:rsid w:val="00647866"/>
    <w:rsid w:val="00651F58"/>
    <w:rsid w:val="00665003"/>
    <w:rsid w:val="006931C7"/>
    <w:rsid w:val="006A2AD0"/>
    <w:rsid w:val="006B227D"/>
    <w:rsid w:val="006C2375"/>
    <w:rsid w:val="006D3B3B"/>
    <w:rsid w:val="006D4ECC"/>
    <w:rsid w:val="00722258"/>
    <w:rsid w:val="007243E5"/>
    <w:rsid w:val="007454A9"/>
    <w:rsid w:val="00766EA0"/>
    <w:rsid w:val="00787327"/>
    <w:rsid w:val="00792F86"/>
    <w:rsid w:val="00796FF0"/>
    <w:rsid w:val="007A2226"/>
    <w:rsid w:val="007B37E7"/>
    <w:rsid w:val="007F2DDD"/>
    <w:rsid w:val="007F5B66"/>
    <w:rsid w:val="00823A1C"/>
    <w:rsid w:val="00845B9D"/>
    <w:rsid w:val="00860984"/>
    <w:rsid w:val="00895BED"/>
    <w:rsid w:val="008A3560"/>
    <w:rsid w:val="008A4551"/>
    <w:rsid w:val="008B3ECB"/>
    <w:rsid w:val="008B4E85"/>
    <w:rsid w:val="008C1B2E"/>
    <w:rsid w:val="0091627E"/>
    <w:rsid w:val="00934B8A"/>
    <w:rsid w:val="009556BB"/>
    <w:rsid w:val="0097032B"/>
    <w:rsid w:val="009A7C8F"/>
    <w:rsid w:val="009B57E5"/>
    <w:rsid w:val="009D237E"/>
    <w:rsid w:val="009D2EAD"/>
    <w:rsid w:val="009D54B2"/>
    <w:rsid w:val="009E1922"/>
    <w:rsid w:val="009F0BAC"/>
    <w:rsid w:val="009F7ED2"/>
    <w:rsid w:val="00A074E1"/>
    <w:rsid w:val="00A23BBC"/>
    <w:rsid w:val="00A7654C"/>
    <w:rsid w:val="00A93661"/>
    <w:rsid w:val="00A95652"/>
    <w:rsid w:val="00AA04AC"/>
    <w:rsid w:val="00AC0AB8"/>
    <w:rsid w:val="00B27DC9"/>
    <w:rsid w:val="00B33C6D"/>
    <w:rsid w:val="00B41FC9"/>
    <w:rsid w:val="00B4508F"/>
    <w:rsid w:val="00B55AD5"/>
    <w:rsid w:val="00B8057C"/>
    <w:rsid w:val="00B94963"/>
    <w:rsid w:val="00BD6238"/>
    <w:rsid w:val="00BF1592"/>
    <w:rsid w:val="00BF593B"/>
    <w:rsid w:val="00BF6777"/>
    <w:rsid w:val="00BF773A"/>
    <w:rsid w:val="00BF7E81"/>
    <w:rsid w:val="00C13773"/>
    <w:rsid w:val="00C17CC8"/>
    <w:rsid w:val="00C72150"/>
    <w:rsid w:val="00C83417"/>
    <w:rsid w:val="00C9604F"/>
    <w:rsid w:val="00CA19AA"/>
    <w:rsid w:val="00CC5298"/>
    <w:rsid w:val="00CD736E"/>
    <w:rsid w:val="00CD798D"/>
    <w:rsid w:val="00CD7A9B"/>
    <w:rsid w:val="00CE161E"/>
    <w:rsid w:val="00CF59A8"/>
    <w:rsid w:val="00D005A2"/>
    <w:rsid w:val="00D325A9"/>
    <w:rsid w:val="00D36A8A"/>
    <w:rsid w:val="00D61409"/>
    <w:rsid w:val="00D624D8"/>
    <w:rsid w:val="00D6691E"/>
    <w:rsid w:val="00D66B35"/>
    <w:rsid w:val="00D71170"/>
    <w:rsid w:val="00DA1C92"/>
    <w:rsid w:val="00DA25D4"/>
    <w:rsid w:val="00DA6538"/>
    <w:rsid w:val="00DC6FD7"/>
    <w:rsid w:val="00DF7EC2"/>
    <w:rsid w:val="00E06E0C"/>
    <w:rsid w:val="00E15E75"/>
    <w:rsid w:val="00E42CFE"/>
    <w:rsid w:val="00E5262C"/>
    <w:rsid w:val="00E60068"/>
    <w:rsid w:val="00E63FC5"/>
    <w:rsid w:val="00E711F2"/>
    <w:rsid w:val="00E82B76"/>
    <w:rsid w:val="00E867B6"/>
    <w:rsid w:val="00EC4346"/>
    <w:rsid w:val="00EC7DC4"/>
    <w:rsid w:val="00ED0FAD"/>
    <w:rsid w:val="00ED30CF"/>
    <w:rsid w:val="00F00D9D"/>
    <w:rsid w:val="00F15BBE"/>
    <w:rsid w:val="00F176EF"/>
    <w:rsid w:val="00F45E10"/>
    <w:rsid w:val="00F54897"/>
    <w:rsid w:val="00F6364A"/>
    <w:rsid w:val="00F9113A"/>
    <w:rsid w:val="00FA1026"/>
    <w:rsid w:val="00FB18E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C2DC7C"/>
  <w15:chartTrackingRefBased/>
  <w15:docId w15:val="{3ED8B889-5F90-466C-970F-DEAAF9BB9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2D715A"/>
    <w:rPr>
      <w:rFonts w:ascii="Georgia" w:hAnsi="Georgia"/>
    </w:rPr>
  </w:style>
  <w:style w:type="paragraph" w:styleId="Heading1">
    <w:name w:val="heading 1"/>
    <w:aliases w:val="Pocket"/>
    <w:basedOn w:val="Normal"/>
    <w:next w:val="Normal"/>
    <w:link w:val="Heading1Char"/>
    <w:qFormat/>
    <w:rsid w:val="002D71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D71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D71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unhideWhenUsed/>
    <w:qFormat/>
    <w:rsid w:val="002D715A"/>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2D71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715A"/>
  </w:style>
  <w:style w:type="character" w:customStyle="1" w:styleId="Heading1Char">
    <w:name w:val="Heading 1 Char"/>
    <w:aliases w:val="Pocket Char"/>
    <w:basedOn w:val="DefaultParagraphFont"/>
    <w:link w:val="Heading1"/>
    <w:rsid w:val="002D715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D715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2D715A"/>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2D715A"/>
    <w:rPr>
      <w:rFonts w:ascii="Georgia" w:eastAsiaTheme="majorEastAsia" w:hAnsi="Georgia" w:cstheme="majorBidi"/>
      <w:b/>
      <w:iCs/>
      <w:sz w:val="24"/>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7"/>
    <w:qFormat/>
    <w:rsid w:val="002D715A"/>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D715A"/>
    <w:rPr>
      <w:b/>
      <w:bCs/>
      <w:sz w:val="24"/>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8"/>
    <w:basedOn w:val="DefaultParagraphFont"/>
    <w:uiPriority w:val="6"/>
    <w:qFormat/>
    <w:rsid w:val="002D715A"/>
    <w:rPr>
      <w:b w:val="0"/>
      <w:sz w:val="22"/>
      <w:u w:val="single"/>
    </w:rPr>
  </w:style>
  <w:style w:type="character" w:styleId="Hyperlink">
    <w:name w:val="Hyperlink"/>
    <w:aliases w:val="heading 1 (block title),Card Text,Important,Read,Internet Link,Analytic Text,Internet link,Char Char1,Heading 1 Char2,F2 - Heading 1 Char1,AHeading 1 Char1,Brief - Heading 1 Char1,Block Name Char1,Block Header Char1,ALEX Char1,Block Char1"/>
    <w:basedOn w:val="DefaultParagraphFont"/>
    <w:uiPriority w:val="99"/>
    <w:unhideWhenUsed/>
    <w:rsid w:val="002D715A"/>
    <w:rPr>
      <w:color w:val="auto"/>
      <w:u w:val="none"/>
    </w:rPr>
  </w:style>
  <w:style w:type="character" w:styleId="FollowedHyperlink">
    <w:name w:val="FollowedHyperlink"/>
    <w:basedOn w:val="DefaultParagraphFont"/>
    <w:uiPriority w:val="99"/>
    <w:semiHidden/>
    <w:unhideWhenUsed/>
    <w:rsid w:val="002D715A"/>
    <w:rPr>
      <w:color w:val="auto"/>
      <w:u w:val="none"/>
    </w:rPr>
  </w:style>
  <w:style w:type="character" w:styleId="UnresolvedMention">
    <w:name w:val="Unresolved Mention"/>
    <w:basedOn w:val="DefaultParagraphFont"/>
    <w:uiPriority w:val="99"/>
    <w:semiHidden/>
    <w:unhideWhenUsed/>
    <w:rsid w:val="00E06E0C"/>
    <w:rPr>
      <w:color w:val="808080"/>
      <w:shd w:val="clear" w:color="auto" w:fill="E6E6E6"/>
    </w:rPr>
  </w:style>
  <w:style w:type="paragraph" w:customStyle="1" w:styleId="textbold">
    <w:name w:val="text bold"/>
    <w:basedOn w:val="Normal"/>
    <w:link w:val="Emphasis"/>
    <w:uiPriority w:val="7"/>
    <w:qFormat/>
    <w:rsid w:val="00BF6777"/>
    <w:pPr>
      <w:ind w:left="720"/>
      <w:jc w:val="both"/>
    </w:pPr>
    <w:rPr>
      <w:b/>
      <w:iCs/>
      <w:sz w:val="24"/>
      <w:u w:val="single"/>
    </w:rPr>
  </w:style>
  <w:style w:type="character" w:customStyle="1" w:styleId="nlmstring-name">
    <w:name w:val="nlm_string-name"/>
    <w:basedOn w:val="DefaultParagraphFont"/>
    <w:rsid w:val="002E63E3"/>
  </w:style>
  <w:style w:type="paragraph" w:customStyle="1" w:styleId="footnotedescription">
    <w:name w:val="footnote description"/>
    <w:next w:val="Normal"/>
    <w:link w:val="footnotedescriptionChar"/>
    <w:hidden/>
    <w:rsid w:val="002E63E3"/>
    <w:pPr>
      <w:spacing w:after="0" w:line="248" w:lineRule="auto"/>
      <w:ind w:right="47"/>
      <w:jc w:val="both"/>
    </w:pPr>
    <w:rPr>
      <w:rFonts w:ascii="Times New Roman" w:eastAsia="Times New Roman" w:hAnsi="Times New Roman" w:cs="Times New Roman"/>
      <w:color w:val="000000"/>
      <w:sz w:val="18"/>
    </w:rPr>
  </w:style>
  <w:style w:type="character" w:customStyle="1" w:styleId="footnotedescriptionChar">
    <w:name w:val="footnote description Char"/>
    <w:link w:val="footnotedescription"/>
    <w:rsid w:val="002E63E3"/>
    <w:rPr>
      <w:rFonts w:ascii="Times New Roman" w:eastAsia="Times New Roman" w:hAnsi="Times New Roman" w:cs="Times New Roman"/>
      <w:color w:val="000000"/>
      <w:sz w:val="18"/>
    </w:rPr>
  </w:style>
  <w:style w:type="character" w:customStyle="1" w:styleId="footnotemark">
    <w:name w:val="footnote mark"/>
    <w:hidden/>
    <w:rsid w:val="002E63E3"/>
    <w:rPr>
      <w:rFonts w:ascii="Times New Roman" w:eastAsia="Times New Roman" w:hAnsi="Times New Roman" w:cs="Times New Roman"/>
      <w:color w:val="000000"/>
      <w:sz w:val="18"/>
      <w:vertAlign w:val="superscript"/>
    </w:rPr>
  </w:style>
  <w:style w:type="character" w:customStyle="1" w:styleId="s1">
    <w:name w:val="s1"/>
    <w:basedOn w:val="DefaultParagraphFont"/>
    <w:rsid w:val="00514D76"/>
    <w:rPr>
      <w:rFonts w:ascii="Times" w:hAnsi="Times" w:hint="default"/>
      <w:sz w:val="11"/>
      <w:szCs w:val="11"/>
    </w:rPr>
  </w:style>
  <w:style w:type="paragraph" w:customStyle="1" w:styleId="p1">
    <w:name w:val="p1"/>
    <w:basedOn w:val="Normal"/>
    <w:rsid w:val="00514D76"/>
    <w:pPr>
      <w:spacing w:after="0" w:line="240" w:lineRule="auto"/>
    </w:pPr>
    <w:rPr>
      <w:rFonts w:ascii="Times" w:hAnsi="Times" w:cs="Times New Roman"/>
      <w:sz w:val="16"/>
      <w:szCs w:val="16"/>
    </w:rPr>
  </w:style>
  <w:style w:type="paragraph" w:styleId="BodyText">
    <w:name w:val="Body Text"/>
    <w:basedOn w:val="Normal"/>
    <w:link w:val="BodyTextChar"/>
    <w:uiPriority w:val="1"/>
    <w:qFormat/>
    <w:rsid w:val="00934B8A"/>
    <w:rPr>
      <w:sz w:val="20"/>
      <w:szCs w:val="20"/>
    </w:rPr>
  </w:style>
  <w:style w:type="character" w:customStyle="1" w:styleId="BodyTextChar">
    <w:name w:val="Body Text Char"/>
    <w:basedOn w:val="DefaultParagraphFont"/>
    <w:link w:val="BodyText"/>
    <w:uiPriority w:val="1"/>
    <w:rsid w:val="00934B8A"/>
    <w:rPr>
      <w:rFonts w:ascii="Georgia" w:hAnsi="Georgia"/>
      <w:sz w:val="20"/>
      <w:szCs w:val="20"/>
    </w:rPr>
  </w:style>
  <w:style w:type="character" w:customStyle="1" w:styleId="biotwocolumninfoaward">
    <w:name w:val="biotwocolumn__info__award"/>
    <w:basedOn w:val="DefaultParagraphFont"/>
    <w:rsid w:val="00934B8A"/>
  </w:style>
  <w:style w:type="paragraph" w:styleId="Footer">
    <w:name w:val="footer"/>
    <w:basedOn w:val="Normal"/>
    <w:link w:val="FooterChar"/>
    <w:uiPriority w:val="99"/>
    <w:unhideWhenUsed/>
    <w:rsid w:val="00141B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B3E"/>
    <w:rPr>
      <w:rFonts w:ascii="Georgia" w:hAnsi="Georgia"/>
    </w:rPr>
  </w:style>
  <w:style w:type="paragraph" w:styleId="Header">
    <w:name w:val="header"/>
    <w:basedOn w:val="Normal"/>
    <w:link w:val="HeaderChar"/>
    <w:uiPriority w:val="99"/>
    <w:unhideWhenUsed/>
    <w:rsid w:val="00141B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B3E"/>
    <w:rPr>
      <w:rFonts w:ascii="Georgia" w:hAnsi="Georgia"/>
    </w:rPr>
  </w:style>
  <w:style w:type="paragraph" w:styleId="DocumentMap">
    <w:name w:val="Document Map"/>
    <w:basedOn w:val="Normal"/>
    <w:link w:val="DocumentMapChar"/>
    <w:uiPriority w:val="99"/>
    <w:semiHidden/>
    <w:unhideWhenUsed/>
    <w:rsid w:val="000314EC"/>
    <w:rPr>
      <w:rFonts w:ascii="Lucida Grande" w:hAnsi="Lucida Grande" w:cs="Lucida Grande"/>
    </w:rPr>
  </w:style>
  <w:style w:type="character" w:customStyle="1" w:styleId="DocumentMapChar">
    <w:name w:val="Document Map Char"/>
    <w:basedOn w:val="DefaultParagraphFont"/>
    <w:link w:val="DocumentMap"/>
    <w:uiPriority w:val="99"/>
    <w:semiHidden/>
    <w:rsid w:val="000314EC"/>
    <w:rPr>
      <w:rFonts w:ascii="Lucida Grande" w:hAnsi="Lucida Grande" w:cs="Lucida Grande"/>
    </w:rPr>
  </w:style>
  <w:style w:type="paragraph" w:customStyle="1" w:styleId="p2">
    <w:name w:val="p2"/>
    <w:basedOn w:val="Normal"/>
    <w:rsid w:val="000314EC"/>
    <w:rPr>
      <w:rFonts w:ascii="Courier" w:hAnsi="Courier"/>
      <w:sz w:val="9"/>
      <w:szCs w:val="9"/>
    </w:rPr>
  </w:style>
  <w:style w:type="paragraph" w:customStyle="1" w:styleId="p3">
    <w:name w:val="p3"/>
    <w:basedOn w:val="Normal"/>
    <w:rsid w:val="000314EC"/>
    <w:rPr>
      <w:rFonts w:ascii="Helvetica" w:hAnsi="Helvetica"/>
      <w:sz w:val="14"/>
      <w:szCs w:val="14"/>
    </w:rPr>
  </w:style>
  <w:style w:type="character" w:customStyle="1" w:styleId="s2">
    <w:name w:val="s2"/>
    <w:basedOn w:val="DefaultParagraphFont"/>
    <w:rsid w:val="000314EC"/>
    <w:rPr>
      <w:rFonts w:ascii="Times" w:hAnsi="Times" w:hint="default"/>
      <w:sz w:val="20"/>
      <w:szCs w:val="20"/>
    </w:rPr>
  </w:style>
  <w:style w:type="paragraph" w:customStyle="1" w:styleId="p4">
    <w:name w:val="p4"/>
    <w:basedOn w:val="Normal"/>
    <w:rsid w:val="000314EC"/>
    <w:rPr>
      <w:rFonts w:ascii="Helvetica" w:hAnsi="Helvetica"/>
      <w:sz w:val="14"/>
      <w:szCs w:val="14"/>
    </w:rPr>
  </w:style>
  <w:style w:type="character" w:customStyle="1" w:styleId="s3">
    <w:name w:val="s3"/>
    <w:basedOn w:val="DefaultParagraphFont"/>
    <w:rsid w:val="000314EC"/>
    <w:rPr>
      <w:rFonts w:ascii="Times" w:hAnsi="Times" w:hint="default"/>
      <w:sz w:val="20"/>
      <w:szCs w:val="20"/>
    </w:rPr>
  </w:style>
  <w:style w:type="character" w:customStyle="1" w:styleId="apple-converted-space">
    <w:name w:val="apple-converted-space"/>
    <w:basedOn w:val="DefaultParagraphFont"/>
    <w:rsid w:val="000314EC"/>
  </w:style>
  <w:style w:type="character" w:styleId="Strong">
    <w:name w:val="Strong"/>
    <w:basedOn w:val="DefaultParagraphFont"/>
    <w:uiPriority w:val="22"/>
    <w:qFormat/>
    <w:rsid w:val="000314EC"/>
    <w:rPr>
      <w:b/>
      <w:bCs/>
    </w:rPr>
  </w:style>
  <w:style w:type="character" w:customStyle="1" w:styleId="Author-Date">
    <w:name w:val="Author-Date"/>
    <w:qFormat/>
    <w:rsid w:val="00032E5A"/>
    <w:rPr>
      <w:rFonts w:ascii="Arial" w:hAnsi="Arial"/>
      <w:b/>
      <w:sz w:val="24"/>
    </w:rPr>
  </w:style>
  <w:style w:type="paragraph" w:customStyle="1" w:styleId="Emphasis1">
    <w:name w:val="Emphasis1"/>
    <w:basedOn w:val="Normal"/>
    <w:autoRedefine/>
    <w:uiPriority w:val="7"/>
    <w:qFormat/>
    <w:rsid w:val="00032E5A"/>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b/>
      <w:iCs/>
      <w:sz w:val="24"/>
      <w:szCs w:val="24"/>
      <w:u w:val="single"/>
    </w:rPr>
  </w:style>
  <w:style w:type="paragraph" w:styleId="ListParagraph">
    <w:name w:val="List Paragraph"/>
    <w:basedOn w:val="Normal"/>
    <w:uiPriority w:val="34"/>
    <w:qFormat/>
    <w:rsid w:val="009B57E5"/>
    <w:pPr>
      <w:spacing w:after="0" w:line="240" w:lineRule="auto"/>
      <w:ind w:left="720"/>
      <w:contextualSpacing/>
    </w:pPr>
    <w:rPr>
      <w:rFonts w:asciiTheme="minorHAnsi" w:hAnsiTheme="minorHAnsi"/>
      <w:sz w:val="24"/>
      <w:szCs w:val="24"/>
    </w:rPr>
  </w:style>
  <w:style w:type="paragraph" w:styleId="NormalWeb">
    <w:name w:val="Normal (Web)"/>
    <w:basedOn w:val="Normal"/>
    <w:uiPriority w:val="99"/>
    <w:semiHidden/>
    <w:unhideWhenUsed/>
    <w:rsid w:val="009B57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
    <w:name w:val="card"/>
    <w:aliases w:val="Medium Grid 21"/>
    <w:basedOn w:val="Normal"/>
    <w:next w:val="Normal"/>
    <w:uiPriority w:val="6"/>
    <w:qFormat/>
    <w:rsid w:val="00EC4346"/>
    <w:pPr>
      <w:ind w:left="288" w:right="288"/>
    </w:pPr>
    <w:rPr>
      <w:rFonts w:asciiTheme="minorHAnsi" w:hAnsiTheme="minorHAnsi"/>
      <w:u w:val="single"/>
    </w:rPr>
  </w:style>
  <w:style w:type="paragraph" w:customStyle="1" w:styleId="CiteSpacing">
    <w:name w:val="Cite Spacing"/>
    <w:basedOn w:val="Normal"/>
    <w:uiPriority w:val="4"/>
    <w:qFormat/>
    <w:rsid w:val="00EC4346"/>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ukeupress.edu/Red-White-and-Black/" TargetMode="External"/><Relationship Id="rId13" Type="http://schemas.openxmlformats.org/officeDocument/2006/relationships/hyperlink" Target="https://muse.jhu.edu/journal/67" TargetMode="External"/><Relationship Id="rId18" Type="http://schemas.openxmlformats.org/officeDocument/2006/relationships/hyperlink" Target="http://doi.org/10.1353/cch.2016.0013" TargetMode="External"/><Relationship Id="rId26" Type="http://schemas.openxmlformats.org/officeDocument/2006/relationships/hyperlink" Target="http://www.law.harvard.edu/unger/english/docs/pragmatism.doc"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en.wikipedia.org/wiki/Confederaci%C3%B3n_Campesina_del_Per%C3%BA" TargetMode="External"/><Relationship Id="rId34" Type="http://schemas.openxmlformats.org/officeDocument/2006/relationships/hyperlink" Target="https://www.tandfonline.com/author/Bell%2C+Avril" TargetMode="External"/><Relationship Id="rId7" Type="http://schemas.openxmlformats.org/officeDocument/2006/relationships/endnotes" Target="endnotes.xml"/><Relationship Id="rId12" Type="http://schemas.openxmlformats.org/officeDocument/2006/relationships/hyperlink" Target="https://hellogiggles.com/beauty/jessica-williams-white-beauty-standards/" TargetMode="External"/><Relationship Id="rId17" Type="http://schemas.openxmlformats.org/officeDocument/2006/relationships/hyperlink" Target="http://doi.org/10.1353/cch.2016.0013" TargetMode="External"/><Relationship Id="rId25" Type="http://schemas.openxmlformats.org/officeDocument/2006/relationships/hyperlink" Target="http://www.counsellingeastlondon.org/wp-content/uploads/2012/07/Life-Death-in-Freud-Heidegger-Havi-Carel.pdf" TargetMode="External"/><Relationship Id="rId33" Type="http://schemas.openxmlformats.org/officeDocument/2006/relationships/hyperlink" Target="https://www.tandfonline.com/author/Bell%2C+Avri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researchgate.net/institution/University_of_California_Riverside/department/Department_of_Ethnic_Studies" TargetMode="External"/><Relationship Id="rId20" Type="http://schemas.openxmlformats.org/officeDocument/2006/relationships/hyperlink" Target="http://www.ratemyprofessors.com/campusRatings.jsp?sid=4019" TargetMode="External"/><Relationship Id="rId29" Type="http://schemas.openxmlformats.org/officeDocument/2006/relationships/hyperlink" Target="http://www.feralfeminisms.com/wp-content/uploads/2015/12/ff_issue4.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ice.com/en_us/article/kwzjvz/dear-white-people-please-stop-pretending-reverse-racism-is-real" TargetMode="External"/><Relationship Id="rId24" Type="http://schemas.openxmlformats.org/officeDocument/2006/relationships/hyperlink" Target="http://prismmagazine.ca/2017/12/04/everything-is-something-else-in-conversation-with-billy-ray-belcourt/" TargetMode="External"/><Relationship Id="rId32" Type="http://schemas.openxmlformats.org/officeDocument/2006/relationships/hyperlink" Target="https://www.researchgate.net/institution/University_of_California_Riverside/department/Department_of_Ethnic_Studies" TargetMode="External"/><Relationship Id="rId37"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researchgate.net/institution/University_of_California_Riverside" TargetMode="External"/><Relationship Id="rId23" Type="http://schemas.openxmlformats.org/officeDocument/2006/relationships/image" Target="media/image1.png"/><Relationship Id="rId28" Type="http://schemas.openxmlformats.org/officeDocument/2006/relationships/hyperlink" Target="http://eprints.kingston.ac.uk/32233/1/Choat-S-3223-AAM.pdf" TargetMode="External"/><Relationship Id="rId36" Type="http://schemas.openxmlformats.org/officeDocument/2006/relationships/header" Target="header1.xml"/><Relationship Id="rId10" Type="http://schemas.openxmlformats.org/officeDocument/2006/relationships/hyperlink" Target="https://www.elitedaily.com/life/racism-prejudice-understanding/1363914" TargetMode="External"/><Relationship Id="rId19" Type="http://schemas.openxmlformats.org/officeDocument/2006/relationships/hyperlink" Target="https://thenewinquiry.com/white-magic/" TargetMode="External"/><Relationship Id="rId31" Type="http://schemas.openxmlformats.org/officeDocument/2006/relationships/hyperlink" Target="https://www.researchgate.net/institution/University_of_California_Riverside" TargetMode="External"/><Relationship Id="rId4" Type="http://schemas.openxmlformats.org/officeDocument/2006/relationships/settings" Target="settings.xml"/><Relationship Id="rId9" Type="http://schemas.openxmlformats.org/officeDocument/2006/relationships/hyperlink" Target="http://www.npr.org/2017/10/24/559604836/majority-of-white-americans-think-theyre-discriminated-against" TargetMode="External"/><Relationship Id="rId14" Type="http://schemas.openxmlformats.org/officeDocument/2006/relationships/hyperlink" Target="https://muse.jhu.edu/journal/67" TargetMode="External"/><Relationship Id="rId22" Type="http://schemas.openxmlformats.org/officeDocument/2006/relationships/hyperlink" Target="https://en.wikipedia.org/wiki/Fourth_International" TargetMode="External"/><Relationship Id="rId27" Type="http://schemas.openxmlformats.org/officeDocument/2006/relationships/hyperlink" Target="http://www.jadaliyya.com/pages/index/24603/settler-colonialism_a-useful-category-of-historica" TargetMode="External"/><Relationship Id="rId30" Type="http://schemas.openxmlformats.org/officeDocument/2006/relationships/hyperlink" Target="http://artseverywhere.ca/2016/03/23/1218/" TargetMode="External"/><Relationship Id="rId35" Type="http://schemas.openxmlformats.org/officeDocument/2006/relationships/hyperlink" Target="https://poetry.arizona.edu/blog/interview-gloria-anzald%C3%Ba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8B20E-A26D-481D-A12B-289E90AC1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866</TotalTime>
  <Pages>1</Pages>
  <Words>493317</Words>
  <Characters>2811910</Characters>
  <Application>Microsoft Office Word</Application>
  <DocSecurity>0</DocSecurity>
  <Lines>23432</Lines>
  <Paragraphs>6597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dc:creator>
  <cp:keywords>5.1.1</cp:keywords>
  <dc:description/>
  <cp:lastModifiedBy>Nico</cp:lastModifiedBy>
  <cp:revision>3</cp:revision>
  <dcterms:created xsi:type="dcterms:W3CDTF">2018-07-09T03:33:00Z</dcterms:created>
  <dcterms:modified xsi:type="dcterms:W3CDTF">2018-07-09T17:58:00Z</dcterms:modified>
</cp:coreProperties>
</file>