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5652" w:rsidRDefault="004F2F1E" w:rsidP="00DA371E">
      <w:pPr>
        <w:pStyle w:val="Heading1"/>
      </w:pPr>
      <w:r>
        <w:t>Topicality</w:t>
      </w:r>
      <w:r w:rsidR="00B175E1">
        <w:t xml:space="preserve"> – MGCDI 2018</w:t>
      </w:r>
    </w:p>
    <w:p w:rsidR="00DA371E" w:rsidRDefault="00DA371E" w:rsidP="00DA371E"/>
    <w:p w:rsidR="00DA371E" w:rsidRDefault="007734E5" w:rsidP="00DA371E">
      <w:pPr>
        <w:pStyle w:val="Heading2"/>
      </w:pPr>
      <w:r>
        <w:lastRenderedPageBreak/>
        <w:t>Asylum AFF</w:t>
      </w:r>
      <w:r w:rsidR="001D34E8">
        <w:t xml:space="preserve"> – “</w:t>
      </w:r>
      <w:r>
        <w:t>Legal Immigration</w:t>
      </w:r>
      <w:r w:rsidR="001D34E8">
        <w:t>”</w:t>
      </w:r>
    </w:p>
    <w:p w:rsidR="009B7F67" w:rsidRPr="00EB7CCE" w:rsidRDefault="009B7F67" w:rsidP="009B7F67">
      <w:pPr>
        <w:pStyle w:val="Heading3"/>
      </w:pPr>
      <w:r w:rsidRPr="00EB7CCE">
        <w:lastRenderedPageBreak/>
        <w:t xml:space="preserve">1NC – </w:t>
      </w:r>
      <w:r>
        <w:t>“</w:t>
      </w:r>
      <w:r w:rsidRPr="00EB7CCE">
        <w:t>Asylum Not Legal Immigration</w:t>
      </w:r>
      <w:r>
        <w:t>”</w:t>
      </w:r>
    </w:p>
    <w:p w:rsidR="009B7F67" w:rsidRPr="00A9633A" w:rsidRDefault="009B7F67" w:rsidP="009B7F67">
      <w:pPr>
        <w:pStyle w:val="Heading4"/>
      </w:pPr>
      <w:r>
        <w:t xml:space="preserve">A) </w:t>
      </w:r>
      <w:r w:rsidRPr="00EB7CCE">
        <w:rPr>
          <w:u w:val="single"/>
        </w:rPr>
        <w:t>Interpretation</w:t>
      </w:r>
      <w:r>
        <w:t xml:space="preserve"> – Restrictions on legal immigration mean the AFF has to remove a rule governing </w:t>
      </w:r>
      <w:r w:rsidRPr="00F165F4">
        <w:t>legal admission</w:t>
      </w:r>
      <w:r>
        <w:t xml:space="preserve"> under </w:t>
      </w:r>
      <w:r w:rsidR="00F165F4">
        <w:t>family and work visa categories. This</w:t>
      </w:r>
      <w:r>
        <w:t xml:space="preserve"> excludes rules </w:t>
      </w:r>
      <w:r w:rsidR="001A1864">
        <w:t>which govern</w:t>
      </w:r>
      <w:r>
        <w:t xml:space="preserve"> humanitarian entry</w:t>
      </w:r>
      <w:r w:rsidR="00F165F4">
        <w:t>.</w:t>
      </w:r>
    </w:p>
    <w:p w:rsidR="009B7F67" w:rsidRDefault="009B7F67" w:rsidP="009B7F67">
      <w:r>
        <w:rPr>
          <w:b/>
        </w:rPr>
        <w:t xml:space="preserve">Passel and Fix, 94 </w:t>
      </w:r>
      <w:r>
        <w:t xml:space="preserve">- Jeffrey S. Passel is Director, Program for Research for Immigration Policy, The Urban Institute, Washington, D.C.; Michael Fix is Director, Immigrant Policy Program, The Urban Institute, Washington, D.C (“U. S. Immigration in a Global Context: Past, Present, and Future” GLOBAL LEGAL STUDIES JOURNAL 2:5, </w:t>
      </w:r>
      <w:hyperlink r:id="rId6" w:history="1">
        <w:r w:rsidRPr="00C24A9A">
          <w:rPr>
            <w:rStyle w:val="Hyperlink"/>
          </w:rPr>
          <w:t>https://www.repository.law.indiana.edu/cgi/viewcontent.cgi?article=1024&amp;context=ijgls</w:t>
        </w:r>
      </w:hyperlink>
    </w:p>
    <w:p w:rsidR="009B7F67" w:rsidRPr="00A6122C" w:rsidRDefault="009B7F67" w:rsidP="009B7F67"/>
    <w:p w:rsidR="009B7F67" w:rsidRPr="00A31403" w:rsidRDefault="009B7F67" w:rsidP="009B7F67">
      <w:pPr>
        <w:rPr>
          <w:sz w:val="14"/>
        </w:rPr>
      </w:pPr>
      <w:r w:rsidRPr="009907F4">
        <w:rPr>
          <w:rStyle w:val="TitleChar"/>
        </w:rPr>
        <w:t>The structure and goals of U.S. immigration policy are frequently misunderstood</w:t>
      </w:r>
      <w:r w:rsidRPr="00A31403">
        <w:rPr>
          <w:sz w:val="14"/>
        </w:rPr>
        <w:t xml:space="preserve"> in contemporary debates. U.S. </w:t>
      </w:r>
      <w:r w:rsidRPr="00A6122C">
        <w:rPr>
          <w:rStyle w:val="TitleChar"/>
        </w:rPr>
        <w:t xml:space="preserve">immigration policy needs to be viewed </w:t>
      </w:r>
      <w:r w:rsidRPr="00A31403">
        <w:rPr>
          <w:sz w:val="14"/>
        </w:rPr>
        <w:t xml:space="preserve">not as one, but </w:t>
      </w:r>
      <w:r w:rsidRPr="00A6122C">
        <w:rPr>
          <w:rStyle w:val="TitleChar"/>
        </w:rPr>
        <w:t xml:space="preserve">as three </w:t>
      </w:r>
      <w:r w:rsidRPr="00A6122C">
        <w:rPr>
          <w:rStyle w:val="Emphasis"/>
        </w:rPr>
        <w:t>fundamentally different</w:t>
      </w:r>
      <w:r w:rsidRPr="00A6122C">
        <w:rPr>
          <w:rStyle w:val="TitleChar"/>
        </w:rPr>
        <w:t xml:space="preserve"> sets of rules</w:t>
      </w:r>
      <w:r w:rsidRPr="00A31403">
        <w:rPr>
          <w:sz w:val="14"/>
        </w:rPr>
        <w:t xml:space="preserve">. </w:t>
      </w:r>
      <w:r w:rsidRPr="00A6122C">
        <w:rPr>
          <w:rStyle w:val="TitleChar"/>
        </w:rPr>
        <w:t>There are those that govern legal immigration</w:t>
      </w:r>
      <w:r w:rsidRPr="00A31403">
        <w:rPr>
          <w:sz w:val="14"/>
        </w:rPr>
        <w:t xml:space="preserve"> (</w:t>
      </w:r>
      <w:r w:rsidRPr="00A6122C">
        <w:rPr>
          <w:rStyle w:val="TitleChar"/>
        </w:rPr>
        <w:t>i.e</w:t>
      </w:r>
      <w:r w:rsidRPr="00A31403">
        <w:rPr>
          <w:sz w:val="14"/>
        </w:rPr>
        <w:t xml:space="preserve">., mainly sponsored </w:t>
      </w:r>
      <w:r w:rsidRPr="00A6122C">
        <w:rPr>
          <w:rStyle w:val="TitleChar"/>
        </w:rPr>
        <w:t xml:space="preserve">admission for family and work); those that govern humanitarian admissions (refugees and </w:t>
      </w:r>
      <w:proofErr w:type="spellStart"/>
      <w:r w:rsidRPr="00A6122C">
        <w:rPr>
          <w:rStyle w:val="TitleChar"/>
        </w:rPr>
        <w:t>asylees</w:t>
      </w:r>
      <w:proofErr w:type="spellEnd"/>
      <w:r w:rsidRPr="00A6122C">
        <w:rPr>
          <w:rStyle w:val="TitleChar"/>
        </w:rPr>
        <w:t>); and those that govern illegal entry</w:t>
      </w:r>
      <w:r w:rsidRPr="00A31403">
        <w:rPr>
          <w:sz w:val="14"/>
        </w:rPr>
        <w:t xml:space="preserve">. </w:t>
      </w:r>
      <w:r w:rsidRPr="00A6122C">
        <w:rPr>
          <w:rStyle w:val="TitleChar"/>
        </w:rPr>
        <w:t>The distinction is important</w:t>
      </w:r>
      <w:r w:rsidRPr="00A31403">
        <w:rPr>
          <w:sz w:val="14"/>
        </w:rPr>
        <w:t xml:space="preserve"> for several reasons. </w:t>
      </w:r>
      <w:r w:rsidRPr="00A6122C">
        <w:rPr>
          <w:rStyle w:val="Emphasis"/>
        </w:rPr>
        <w:t>Each set of rules is governed by different legislation, involves different networks of bureaucracies, is guided by different goals</w:t>
      </w:r>
      <w:r w:rsidRPr="00A31403">
        <w:rPr>
          <w:sz w:val="14"/>
        </w:rPr>
        <w:t>, and results in immigrants with largely different characteristics.</w:t>
      </w:r>
      <w:r w:rsidR="00A31403" w:rsidRPr="00A31403">
        <w:rPr>
          <w:sz w:val="14"/>
        </w:rPr>
        <w:t xml:space="preserve"> </w:t>
      </w:r>
      <w:r w:rsidRPr="00A31403">
        <w:rPr>
          <w:sz w:val="14"/>
        </w:rPr>
        <w:t xml:space="preserve">Attention focused on the failure to control undocumented immigration has led journalists, the public, and many politicians to conclude that U.S. immigration policy, as a whole, has failed. Our research and that of others (some of which is presented below) indicate that this is not the case. However, as a result of the focus on undocumented immigration, </w:t>
      </w:r>
      <w:r w:rsidRPr="009907F4">
        <w:rPr>
          <w:rStyle w:val="TitleChar"/>
        </w:rPr>
        <w:t>the "bright line" between legal and illegal policy has been blurred and the legitimacy of legal and humanitarian admissions has been eroded.</w:t>
      </w:r>
      <w:r w:rsidR="00A31403" w:rsidRPr="00A31403">
        <w:rPr>
          <w:sz w:val="14"/>
        </w:rPr>
        <w:t xml:space="preserve"> </w:t>
      </w:r>
      <w:r w:rsidRPr="00A31403">
        <w:rPr>
          <w:sz w:val="14"/>
        </w:rPr>
        <w:t>Another result of failure to recognize these distinctions is the common misunderstanding that U.S. immigration policy is driven almost entirely by economic goals. In fact, legal immigration policy serves many goals. The economic ones can sometimes be contradictory-increasing U.S. competitiveness abroad may conflict with raising the standard of living and protecting U.S. jobs. Immigration policy is also intended to serve the important social goal of unifying families (principally of U.S. citizens) and the cultural goals of promoting diversity in the U.S. population and immigrant stream. Refugee policy is intended to serve the moral goal of promoting human rights. Most current assessments of U.S. immigration policy do not acknowledge the power and value of these non-economic goals.</w:t>
      </w:r>
      <w:r w:rsidR="00A31403" w:rsidRPr="00A31403">
        <w:rPr>
          <w:sz w:val="14"/>
        </w:rPr>
        <w:t xml:space="preserve"> </w:t>
      </w:r>
      <w:r w:rsidRPr="00A31403">
        <w:rPr>
          <w:sz w:val="14"/>
        </w:rPr>
        <w:t xml:space="preserve">Finally, </w:t>
      </w:r>
      <w:r w:rsidRPr="00677E32">
        <w:rPr>
          <w:rStyle w:val="TitleChar"/>
        </w:rPr>
        <w:t xml:space="preserve">the number, characteristics, and patterns of adaptation of immigrants entering </w:t>
      </w:r>
      <w:r w:rsidRPr="00A31403">
        <w:rPr>
          <w:sz w:val="14"/>
        </w:rPr>
        <w:t xml:space="preserve">the United States </w:t>
      </w:r>
      <w:r w:rsidRPr="00677E32">
        <w:rPr>
          <w:rStyle w:val="TitleChar"/>
        </w:rPr>
        <w:t>as refugees, as legal immigrants, and as illegal immigrants differ in important ways</w:t>
      </w:r>
      <w:r w:rsidRPr="00A31403">
        <w:rPr>
          <w:sz w:val="14"/>
        </w:rPr>
        <w:t xml:space="preserve"> that are often </w:t>
      </w:r>
      <w:r w:rsidRPr="00A9633A">
        <w:rPr>
          <w:rStyle w:val="TitleChar"/>
        </w:rPr>
        <w:t xml:space="preserve">ignored </w:t>
      </w:r>
      <w:r w:rsidRPr="009907F4">
        <w:rPr>
          <w:rStyle w:val="TitleChar"/>
        </w:rPr>
        <w:t>in research and policy debates</w:t>
      </w:r>
      <w:r w:rsidRPr="00A31403">
        <w:rPr>
          <w:sz w:val="14"/>
        </w:rPr>
        <w:t>.</w:t>
      </w:r>
    </w:p>
    <w:p w:rsidR="009B7F67" w:rsidRDefault="009B7F67" w:rsidP="009B7F67">
      <w:pPr>
        <w:pStyle w:val="Heading4"/>
      </w:pPr>
      <w:r>
        <w:t xml:space="preserve">B. </w:t>
      </w:r>
      <w:r w:rsidRPr="00EB7CCE">
        <w:rPr>
          <w:u w:val="single"/>
        </w:rPr>
        <w:t>Violation</w:t>
      </w:r>
      <w:r>
        <w:t xml:space="preserve"> – The plan mandates a change to the process of humanitarian admissions, not legal immigration </w:t>
      </w:r>
    </w:p>
    <w:p w:rsidR="009B7F67" w:rsidRDefault="009B7F67" w:rsidP="009B7F67"/>
    <w:p w:rsidR="009B7F67" w:rsidRDefault="009B7F67" w:rsidP="009B7F67">
      <w:pPr>
        <w:pStyle w:val="Heading4"/>
      </w:pPr>
      <w:r>
        <w:t xml:space="preserve">C. </w:t>
      </w:r>
      <w:r w:rsidRPr="00EB7CCE">
        <w:rPr>
          <w:u w:val="single"/>
        </w:rPr>
        <w:t>Standards</w:t>
      </w:r>
      <w:r>
        <w:t xml:space="preserve"> – </w:t>
      </w:r>
    </w:p>
    <w:p w:rsidR="009B7F67" w:rsidRDefault="009B7F67" w:rsidP="009B7F67"/>
    <w:p w:rsidR="009B7F67" w:rsidRDefault="009B7F67" w:rsidP="009B7F67">
      <w:pPr>
        <w:pStyle w:val="Heading4"/>
        <w:numPr>
          <w:ilvl w:val="0"/>
          <w:numId w:val="12"/>
        </w:numPr>
      </w:pPr>
      <w:r>
        <w:t xml:space="preserve">Limits – They explode the topic, which is already large in scope, to include at least 2 more </w:t>
      </w:r>
      <w:r w:rsidRPr="00EF0A9D">
        <w:rPr>
          <w:u w:val="single"/>
        </w:rPr>
        <w:t>subsets</w:t>
      </w:r>
      <w:r>
        <w:t xml:space="preserve"> of immigration policy which explodes the negative </w:t>
      </w:r>
      <w:r w:rsidRPr="00EF0A9D">
        <w:rPr>
          <w:u w:val="single"/>
        </w:rPr>
        <w:t>research burden</w:t>
      </w:r>
      <w:r>
        <w:t xml:space="preserve"> and leads to an </w:t>
      </w:r>
      <w:r w:rsidRPr="00EF0A9D">
        <w:rPr>
          <w:u w:val="single"/>
        </w:rPr>
        <w:t>unpredictable</w:t>
      </w:r>
      <w:r>
        <w:t xml:space="preserve"> amount of tiny affirmatives which skirt the </w:t>
      </w:r>
      <w:r w:rsidRPr="00EF0A9D">
        <w:rPr>
          <w:u w:val="single"/>
        </w:rPr>
        <w:t xml:space="preserve">core </w:t>
      </w:r>
      <w:r>
        <w:rPr>
          <w:u w:val="single"/>
        </w:rPr>
        <w:t xml:space="preserve">controversies </w:t>
      </w:r>
      <w:r>
        <w:t>of the resolution.</w:t>
      </w:r>
    </w:p>
    <w:p w:rsidR="009B7F67" w:rsidRPr="00EB7CCE" w:rsidRDefault="009B7F67" w:rsidP="009B7F67"/>
    <w:p w:rsidR="009B7F67" w:rsidRPr="009B7F67" w:rsidRDefault="009B7F67" w:rsidP="009B7F67">
      <w:pPr>
        <w:pStyle w:val="ListParagraph"/>
        <w:numPr>
          <w:ilvl w:val="0"/>
          <w:numId w:val="12"/>
        </w:numPr>
        <w:rPr>
          <w:rFonts w:eastAsiaTheme="majorEastAsia" w:cstheme="majorBidi"/>
          <w:b/>
          <w:iCs/>
          <w:sz w:val="26"/>
        </w:rPr>
      </w:pPr>
      <w:r w:rsidRPr="009B7F67">
        <w:rPr>
          <w:rFonts w:eastAsiaTheme="majorEastAsia" w:cstheme="majorBidi"/>
          <w:b/>
          <w:iCs/>
          <w:sz w:val="26"/>
        </w:rPr>
        <w:t xml:space="preserve">Precision – Prefer our interpretation because it </w:t>
      </w:r>
      <w:r w:rsidR="000036AB">
        <w:rPr>
          <w:rFonts w:eastAsiaTheme="majorEastAsia" w:cstheme="majorBidi"/>
          <w:b/>
          <w:iCs/>
          <w:sz w:val="26"/>
        </w:rPr>
        <w:t xml:space="preserve">is both inclusive and exclusive. It </w:t>
      </w:r>
      <w:r w:rsidRPr="009B7F67">
        <w:rPr>
          <w:rFonts w:eastAsiaTheme="majorEastAsia" w:cstheme="majorBidi"/>
          <w:b/>
          <w:iCs/>
          <w:sz w:val="26"/>
        </w:rPr>
        <w:t>highlights the comparative importance of the distinct governing documents, bodies, and procedures that apply to each distinct set of rules.</w:t>
      </w:r>
    </w:p>
    <w:p w:rsidR="009B7F67" w:rsidRDefault="009B7F67" w:rsidP="009B7F67">
      <w:pPr>
        <w:pStyle w:val="ListParagraph"/>
      </w:pPr>
    </w:p>
    <w:p w:rsidR="009B7F67" w:rsidRPr="00EF0A9D" w:rsidRDefault="009B7F67" w:rsidP="009B7F67">
      <w:pPr>
        <w:pStyle w:val="Heading4"/>
        <w:numPr>
          <w:ilvl w:val="0"/>
          <w:numId w:val="12"/>
        </w:numPr>
      </w:pPr>
      <w:r>
        <w:t xml:space="preserve">Ground – The AFF can shift out of links to core negative strategies like the Wages DA by disavowing and/or conflating the distinctions as it self-serves their interests </w:t>
      </w:r>
    </w:p>
    <w:p w:rsidR="009B7F67" w:rsidRPr="00EB7CCE" w:rsidRDefault="009B7F67" w:rsidP="009B7F67"/>
    <w:p w:rsidR="009B7F67" w:rsidRPr="000D52D9" w:rsidRDefault="009B7F67" w:rsidP="009B7F67">
      <w:pPr>
        <w:pStyle w:val="Heading4"/>
      </w:pPr>
      <w:r>
        <w:t xml:space="preserve">D. </w:t>
      </w:r>
      <w:r w:rsidRPr="009B7F67">
        <w:rPr>
          <w:u w:val="single"/>
        </w:rPr>
        <w:t xml:space="preserve">Voters </w:t>
      </w:r>
      <w:r>
        <w:t xml:space="preserve">– Topicality is an </w:t>
      </w:r>
      <w:proofErr w:type="spellStart"/>
      <w:r>
        <w:t>apriori</w:t>
      </w:r>
      <w:proofErr w:type="spellEnd"/>
      <w:r>
        <w:t xml:space="preserve"> voting issue for fairness and education</w:t>
      </w:r>
    </w:p>
    <w:p w:rsidR="009B7F67" w:rsidRDefault="009B7F67" w:rsidP="009B7F67"/>
    <w:p w:rsidR="009B7F67" w:rsidRDefault="009B7F67" w:rsidP="009B7F67">
      <w:pPr>
        <w:pStyle w:val="Heading3"/>
      </w:pPr>
      <w:r>
        <w:lastRenderedPageBreak/>
        <w:t xml:space="preserve">2NC – </w:t>
      </w:r>
      <w:r w:rsidR="000036AB">
        <w:t xml:space="preserve">Interpretation </w:t>
      </w:r>
    </w:p>
    <w:p w:rsidR="009B7F67" w:rsidRDefault="00A31403" w:rsidP="009B7F67">
      <w:pPr>
        <w:pStyle w:val="Heading4"/>
      </w:pPr>
      <w:r>
        <w:t>The category of “immigrant”</w:t>
      </w:r>
      <w:r w:rsidR="009B7F67">
        <w:t xml:space="preserve"> refer</w:t>
      </w:r>
      <w:r>
        <w:t>s</w:t>
      </w:r>
      <w:r w:rsidR="009B7F67">
        <w:t xml:space="preserve"> to foreign nationals admitted for </w:t>
      </w:r>
      <w:r w:rsidR="00F165F4">
        <w:t>legal permanent residence</w:t>
      </w:r>
      <w:r w:rsidR="009907F4">
        <w:t xml:space="preserve"> – excludes asylum seekers</w:t>
      </w:r>
      <w:r w:rsidR="009B7F67">
        <w:t xml:space="preserve"> </w:t>
      </w:r>
    </w:p>
    <w:p w:rsidR="009B7F67" w:rsidRPr="00F50576" w:rsidRDefault="009B7F67" w:rsidP="009B7F67">
      <w:pPr>
        <w:rPr>
          <w:b/>
        </w:rPr>
      </w:pPr>
      <w:proofErr w:type="spellStart"/>
      <w:r w:rsidRPr="009907F4">
        <w:rPr>
          <w:rStyle w:val="Style13ptBold"/>
        </w:rPr>
        <w:t>Kandel</w:t>
      </w:r>
      <w:proofErr w:type="spellEnd"/>
      <w:r w:rsidRPr="009907F4">
        <w:rPr>
          <w:rStyle w:val="Style13ptBold"/>
        </w:rPr>
        <w:t xml:space="preserve">, </w:t>
      </w:r>
      <w:r w:rsidR="009907F4" w:rsidRPr="009907F4">
        <w:rPr>
          <w:rStyle w:val="Style13ptBold"/>
        </w:rPr>
        <w:t>‘</w:t>
      </w:r>
      <w:r w:rsidRPr="009907F4">
        <w:rPr>
          <w:rStyle w:val="Style13ptBold"/>
        </w:rPr>
        <w:t>17</w:t>
      </w:r>
      <w:r w:rsidRPr="4052D2A1">
        <w:rPr>
          <w:b/>
          <w:bCs/>
        </w:rPr>
        <w:t xml:space="preserve"> – </w:t>
      </w:r>
      <w:r w:rsidR="009907F4" w:rsidRPr="009907F4">
        <w:rPr>
          <w:bCs/>
        </w:rPr>
        <w:t>[</w:t>
      </w:r>
      <w:r>
        <w:t xml:space="preserve">specialist in Immigration Policy at the Congressional Research Service (William, “A Primer on U.S. Immigration Policy” CRS Report for Congress, 11/14, </w:t>
      </w:r>
      <w:hyperlink r:id="rId7">
        <w:r w:rsidRPr="4052D2A1">
          <w:rPr>
            <w:rStyle w:val="Hyperlink"/>
          </w:rPr>
          <w:t>https://fas.org/sgp/crs/homesec/R45020.pdf</w:t>
        </w:r>
      </w:hyperlink>
      <w:r w:rsidR="009907F4">
        <w:rPr>
          <w:rStyle w:val="Hyperlink"/>
        </w:rPr>
        <w:t>]</w:t>
      </w:r>
    </w:p>
    <w:p w:rsidR="009B7F67" w:rsidRDefault="009B7F67" w:rsidP="009B7F67"/>
    <w:p w:rsidR="009B7F67" w:rsidRPr="00A31403" w:rsidRDefault="009B7F67" w:rsidP="009B7F67">
      <w:pPr>
        <w:rPr>
          <w:sz w:val="14"/>
        </w:rPr>
      </w:pPr>
      <w:r w:rsidRPr="00A31403">
        <w:rPr>
          <w:rStyle w:val="TitleChar"/>
        </w:rPr>
        <w:t>U.S. immigration policy is governed</w:t>
      </w:r>
      <w:r w:rsidRPr="00A31403">
        <w:rPr>
          <w:sz w:val="14"/>
        </w:rPr>
        <w:t xml:space="preserve"> largely </w:t>
      </w:r>
      <w:r w:rsidRPr="4052D2A1">
        <w:rPr>
          <w:rStyle w:val="TitleChar"/>
        </w:rPr>
        <w:t>by the Immigration and Nationality Act</w:t>
      </w:r>
      <w:r w:rsidRPr="00A31403">
        <w:rPr>
          <w:sz w:val="14"/>
        </w:rPr>
        <w:t xml:space="preserve"> (</w:t>
      </w:r>
      <w:r w:rsidRPr="009907F4">
        <w:rPr>
          <w:rStyle w:val="Emphasis"/>
        </w:rPr>
        <w:t>INA</w:t>
      </w:r>
      <w:r w:rsidRPr="00A31403">
        <w:rPr>
          <w:sz w:val="14"/>
        </w:rPr>
        <w:t>), which was first codified in 1952 and has been amended significantly several times since.1 Implementation of INA policies is carried out by multiple executive branch agencies. The Department of Homeland Security (DHS) has primary responsibility for immigration functions through several agencies: U.S. Citizenship and Immigration Services (USCIS), Customs and Border Protection (CBP), and Immigration and Customs Enforcement (ICE). The Department of State (DOS) issues visas to foreign nationals overseas, and the Department of Justice (DOJ) operates immigration courts through its Executive Office of Immigration Review (EOIR).</w:t>
      </w:r>
      <w:r w:rsidR="00A31403" w:rsidRPr="00A31403">
        <w:rPr>
          <w:sz w:val="14"/>
        </w:rPr>
        <w:t xml:space="preserve"> </w:t>
      </w:r>
      <w:r w:rsidRPr="00A31403">
        <w:rPr>
          <w:sz w:val="14"/>
        </w:rPr>
        <w:t xml:space="preserve">Foreign-born populations with different legal statuses are referred to throughout this report. The term aliens </w:t>
      </w:r>
      <w:proofErr w:type="gramStart"/>
      <w:r w:rsidRPr="00A31403">
        <w:rPr>
          <w:sz w:val="14"/>
        </w:rPr>
        <w:t>refers</w:t>
      </w:r>
      <w:proofErr w:type="gramEnd"/>
      <w:r w:rsidRPr="00A31403">
        <w:rPr>
          <w:sz w:val="14"/>
        </w:rPr>
        <w:t xml:space="preserve"> to people who are not U.S. citizens, including those legally and not legally present. 2 </w:t>
      </w:r>
      <w:r w:rsidRPr="4052D2A1">
        <w:rPr>
          <w:rStyle w:val="TitleChar"/>
        </w:rPr>
        <w:t>The two basic types of legal aliens are (1) immigrants (</w:t>
      </w:r>
      <w:r w:rsidRPr="00A31403">
        <w:rPr>
          <w:rStyle w:val="Emphasis"/>
        </w:rPr>
        <w:t xml:space="preserve">not including refugees and </w:t>
      </w:r>
      <w:proofErr w:type="spellStart"/>
      <w:r w:rsidRPr="00A31403">
        <w:rPr>
          <w:rStyle w:val="Emphasis"/>
        </w:rPr>
        <w:t>asylees</w:t>
      </w:r>
      <w:proofErr w:type="spellEnd"/>
      <w:r w:rsidRPr="4052D2A1">
        <w:rPr>
          <w:rStyle w:val="TitleChar"/>
        </w:rPr>
        <w:t>) and (2) nonimmigrants</w:t>
      </w:r>
      <w:r w:rsidRPr="00A31403">
        <w:rPr>
          <w:sz w:val="14"/>
        </w:rPr>
        <w:t xml:space="preserve">. </w:t>
      </w:r>
      <w:r w:rsidRPr="00F50576">
        <w:rPr>
          <w:rStyle w:val="TitleChar"/>
          <w:i/>
        </w:rPr>
        <w:t>Immigrants</w:t>
      </w:r>
      <w:r w:rsidRPr="4052D2A1">
        <w:rPr>
          <w:rStyle w:val="TitleChar"/>
        </w:rPr>
        <w:t xml:space="preserve"> refers to foreign nationals lawfully admitted to the United States for permanent residence</w:t>
      </w:r>
      <w:r w:rsidRPr="00A31403">
        <w:rPr>
          <w:sz w:val="14"/>
        </w:rPr>
        <w:t xml:space="preserve">. 3 </w:t>
      </w:r>
      <w:r w:rsidRPr="00F50576">
        <w:rPr>
          <w:rStyle w:val="TitleChar"/>
          <w:i/>
        </w:rPr>
        <w:t>Nonimmigrants</w:t>
      </w:r>
      <w:r w:rsidRPr="4052D2A1">
        <w:rPr>
          <w:rStyle w:val="TitleChar"/>
        </w:rPr>
        <w:t xml:space="preserve"> refers to foreign nationals temporarily and lawfully admitted</w:t>
      </w:r>
      <w:r w:rsidRPr="00A31403">
        <w:rPr>
          <w:sz w:val="14"/>
        </w:rPr>
        <w:t xml:space="preserve"> to the United States for a specific purpose and period of time, including tourists, diplomats, students, temporary workers, and exchange visitors, among others.</w:t>
      </w:r>
      <w:r w:rsidR="00A31403" w:rsidRPr="00A31403">
        <w:rPr>
          <w:sz w:val="14"/>
        </w:rPr>
        <w:t xml:space="preserve"> </w:t>
      </w:r>
      <w:r w:rsidRPr="00A31403">
        <w:rPr>
          <w:i/>
          <w:sz w:val="14"/>
        </w:rPr>
        <w:t>Refugees</w:t>
      </w:r>
      <w:r w:rsidRPr="00A31403">
        <w:rPr>
          <w:sz w:val="14"/>
        </w:rPr>
        <w:t xml:space="preserve"> and </w:t>
      </w:r>
      <w:proofErr w:type="spellStart"/>
      <w:r w:rsidRPr="00A31403">
        <w:rPr>
          <w:i/>
          <w:sz w:val="14"/>
        </w:rPr>
        <w:t>asylees</w:t>
      </w:r>
      <w:proofErr w:type="spellEnd"/>
      <w:r w:rsidRPr="00A31403">
        <w:rPr>
          <w:sz w:val="14"/>
        </w:rPr>
        <w:t xml:space="preserve"> refer to persons fleeing their countries because of persecution, or a </w:t>
      </w:r>
      <w:proofErr w:type="spellStart"/>
      <w:r w:rsidRPr="00A31403">
        <w:rPr>
          <w:sz w:val="14"/>
        </w:rPr>
        <w:t>wellfounded</w:t>
      </w:r>
      <w:proofErr w:type="spellEnd"/>
      <w:r w:rsidRPr="00A31403">
        <w:rPr>
          <w:sz w:val="14"/>
        </w:rPr>
        <w:t xml:space="preserve"> fear of persecution, on account of race, religion, nationality, membership in a particular social group, or political opinion (see “Refugees and </w:t>
      </w:r>
      <w:proofErr w:type="spellStart"/>
      <w:r w:rsidRPr="00A31403">
        <w:rPr>
          <w:sz w:val="14"/>
        </w:rPr>
        <w:t>Asylees</w:t>
      </w:r>
      <w:proofErr w:type="spellEnd"/>
      <w:r w:rsidRPr="00A31403">
        <w:rPr>
          <w:sz w:val="14"/>
        </w:rPr>
        <w:t xml:space="preserve">”). </w:t>
      </w:r>
      <w:r w:rsidRPr="00A31403">
        <w:rPr>
          <w:rStyle w:val="Emphasis"/>
        </w:rPr>
        <w:t xml:space="preserve">Refugees and </w:t>
      </w:r>
      <w:proofErr w:type="spellStart"/>
      <w:r w:rsidRPr="00A31403">
        <w:rPr>
          <w:rStyle w:val="Emphasis"/>
        </w:rPr>
        <w:t>asylees</w:t>
      </w:r>
      <w:proofErr w:type="spellEnd"/>
      <w:r w:rsidRPr="00A31403">
        <w:rPr>
          <w:rStyle w:val="Emphasis"/>
        </w:rPr>
        <w:t xml:space="preserve"> are not classified as immigrants under the INA</w:t>
      </w:r>
      <w:r w:rsidRPr="00A31403">
        <w:rPr>
          <w:sz w:val="14"/>
        </w:rPr>
        <w:t xml:space="preserve">, </w:t>
      </w:r>
      <w:r w:rsidRPr="00F50576">
        <w:rPr>
          <w:rStyle w:val="TitleChar"/>
        </w:rPr>
        <w:t>but once admitted, they may adjust their status to lawful permanent resident</w:t>
      </w:r>
      <w:r w:rsidRPr="00A31403">
        <w:rPr>
          <w:sz w:val="14"/>
        </w:rPr>
        <w:t xml:space="preserve"> (LPR).</w:t>
      </w:r>
      <w:r w:rsidR="00A31403" w:rsidRPr="00A31403">
        <w:rPr>
          <w:sz w:val="14"/>
        </w:rPr>
        <w:t xml:space="preserve"> </w:t>
      </w:r>
      <w:r w:rsidRPr="00A31403">
        <w:rPr>
          <w:i/>
          <w:sz w:val="14"/>
        </w:rPr>
        <w:t>Naturalized citizens</w:t>
      </w:r>
      <w:r w:rsidRPr="00A31403">
        <w:rPr>
          <w:sz w:val="14"/>
        </w:rPr>
        <w:t xml:space="preserve"> refers to LPRs who become U.S. citizens through a process known as naturalization (described below), generally after residing in the United States continuously for at least five years. Noncitizens are persons who have not naturalized and may include immigrants as well as nonimmigrants.</w:t>
      </w:r>
      <w:r w:rsidR="00A31403" w:rsidRPr="00A31403">
        <w:rPr>
          <w:sz w:val="14"/>
        </w:rPr>
        <w:t xml:space="preserve"> </w:t>
      </w:r>
      <w:r w:rsidRPr="00A31403">
        <w:rPr>
          <w:i/>
          <w:sz w:val="14"/>
        </w:rPr>
        <w:t>Unauthorized aliens</w:t>
      </w:r>
      <w:r w:rsidRPr="00A31403">
        <w:rPr>
          <w:sz w:val="14"/>
        </w:rPr>
        <w:t xml:space="preserve"> </w:t>
      </w:r>
      <w:proofErr w:type="gramStart"/>
      <w:r w:rsidRPr="00A31403">
        <w:rPr>
          <w:sz w:val="14"/>
        </w:rPr>
        <w:t>refers</w:t>
      </w:r>
      <w:proofErr w:type="gramEnd"/>
      <w:r w:rsidRPr="00A31403">
        <w:rPr>
          <w:sz w:val="14"/>
        </w:rPr>
        <w:t xml:space="preserve"> to foreign nationals who reside unlawfully in the United States and who either entered the United States illegally (“without inspection”) or entered lawfully and temporarily (“with inspection”) but subsequently violated the terms of their admission, typically by “overstaying” their visa duration. 4</w:t>
      </w:r>
    </w:p>
    <w:p w:rsidR="009B7F67" w:rsidRDefault="009B7F67" w:rsidP="009B7F67"/>
    <w:p w:rsidR="009B7F67" w:rsidRPr="00EB7CCE" w:rsidRDefault="009B7F67" w:rsidP="009B7F67"/>
    <w:p w:rsidR="000036AB" w:rsidRDefault="000036AB" w:rsidP="006525B0">
      <w:pPr>
        <w:pStyle w:val="Heading3"/>
      </w:pPr>
      <w:bookmarkStart w:id="0" w:name="_GoBack"/>
      <w:bookmarkEnd w:id="0"/>
      <w:r>
        <w:lastRenderedPageBreak/>
        <w:t xml:space="preserve">2AC – Counter </w:t>
      </w:r>
      <w:proofErr w:type="spellStart"/>
      <w:r w:rsidR="006525B0">
        <w:t>Interp</w:t>
      </w:r>
      <w:proofErr w:type="spellEnd"/>
    </w:p>
    <w:p w:rsidR="000036AB" w:rsidRDefault="000036AB" w:rsidP="000036AB"/>
    <w:p w:rsidR="006525B0" w:rsidRDefault="006525B0" w:rsidP="006525B0">
      <w:pPr>
        <w:pStyle w:val="Heading4"/>
      </w:pPr>
      <w:r>
        <w:t xml:space="preserve">Legal immigration </w:t>
      </w:r>
      <w:r w:rsidR="00A31403">
        <w:t>pertains to the following categories</w:t>
      </w:r>
      <w:r>
        <w:t>: family, employment, refugee, diversity, asylum</w:t>
      </w:r>
    </w:p>
    <w:p w:rsidR="006525B0" w:rsidRPr="007C4AE1" w:rsidRDefault="006525B0" w:rsidP="006525B0">
      <w:proofErr w:type="spellStart"/>
      <w:r w:rsidRPr="006525B0">
        <w:rPr>
          <w:rStyle w:val="Style13ptBold"/>
        </w:rPr>
        <w:t>Felter</w:t>
      </w:r>
      <w:proofErr w:type="spellEnd"/>
      <w:r w:rsidRPr="006525B0">
        <w:rPr>
          <w:rStyle w:val="Style13ptBold"/>
        </w:rPr>
        <w:t xml:space="preserve"> ’18</w:t>
      </w:r>
      <w:r>
        <w:t xml:space="preserve"> [Claire </w:t>
      </w:r>
      <w:proofErr w:type="spellStart"/>
      <w:r>
        <w:t>Felter</w:t>
      </w:r>
      <w:proofErr w:type="spellEnd"/>
      <w:r>
        <w:t xml:space="preserve"> and Danielle Renwick, 3/13/18, “The U.S. Immigration Debate,” Council on Foreign Relations, https://www.cfr.org/backgrounder/us-immigration-debate-0]</w:t>
      </w:r>
    </w:p>
    <w:p w:rsidR="006525B0" w:rsidRPr="009907F4" w:rsidRDefault="006525B0" w:rsidP="006525B0">
      <w:pPr>
        <w:rPr>
          <w:sz w:val="14"/>
        </w:rPr>
      </w:pPr>
      <w:r w:rsidRPr="007C4AE1">
        <w:rPr>
          <w:rStyle w:val="Emphasis"/>
        </w:rPr>
        <w:t>Legal immigration</w:t>
      </w:r>
      <w:r w:rsidRPr="009907F4">
        <w:rPr>
          <w:sz w:val="14"/>
        </w:rPr>
        <w:t xml:space="preserve">. </w:t>
      </w:r>
      <w:r w:rsidRPr="007C4AE1">
        <w:rPr>
          <w:rStyle w:val="TitleChar"/>
        </w:rPr>
        <w:t>The</w:t>
      </w:r>
      <w:r w:rsidRPr="009907F4">
        <w:rPr>
          <w:sz w:val="14"/>
        </w:rPr>
        <w:t xml:space="preserve"> </w:t>
      </w:r>
      <w:r w:rsidRPr="007C4AE1">
        <w:rPr>
          <w:rStyle w:val="Emphasis"/>
        </w:rPr>
        <w:t>U</w:t>
      </w:r>
      <w:r w:rsidRPr="009907F4">
        <w:rPr>
          <w:sz w:val="14"/>
        </w:rPr>
        <w:t xml:space="preserve">nited </w:t>
      </w:r>
      <w:r w:rsidRPr="007C4AE1">
        <w:rPr>
          <w:rStyle w:val="Emphasis"/>
        </w:rPr>
        <w:t>S</w:t>
      </w:r>
      <w:r w:rsidRPr="009907F4">
        <w:rPr>
          <w:sz w:val="14"/>
        </w:rPr>
        <w:t xml:space="preserve">tates </w:t>
      </w:r>
      <w:r w:rsidRPr="007C4AE1">
        <w:rPr>
          <w:rStyle w:val="TitleChar"/>
        </w:rPr>
        <w:t>granted nearly 1.2 million individuals</w:t>
      </w:r>
      <w:r w:rsidRPr="009907F4">
        <w:rPr>
          <w:sz w:val="14"/>
        </w:rPr>
        <w:t xml:space="preserve"> [PDF] </w:t>
      </w:r>
      <w:r w:rsidRPr="007C4AE1">
        <w:rPr>
          <w:rStyle w:val="TitleChar"/>
        </w:rPr>
        <w:t>legal permanent residency in 2016, more than two-thirds of whom were admitted based on family reunification</w:t>
      </w:r>
      <w:r w:rsidRPr="009907F4">
        <w:rPr>
          <w:sz w:val="14"/>
        </w:rPr>
        <w:t xml:space="preserve">. </w:t>
      </w:r>
      <w:r w:rsidRPr="007C4AE1">
        <w:rPr>
          <w:rStyle w:val="TitleChar"/>
        </w:rPr>
        <w:t xml:space="preserve">Other categories included: </w:t>
      </w:r>
      <w:r w:rsidRPr="007C4AE1">
        <w:rPr>
          <w:rStyle w:val="Emphasis"/>
        </w:rPr>
        <w:t>employment-</w:t>
      </w:r>
      <w:r w:rsidRPr="009907F4">
        <w:rPr>
          <w:sz w:val="14"/>
        </w:rPr>
        <w:t xml:space="preserve">based preferences (12 percent), </w:t>
      </w:r>
      <w:r w:rsidRPr="007C4AE1">
        <w:rPr>
          <w:rStyle w:val="Emphasis"/>
        </w:rPr>
        <w:t xml:space="preserve">refugees </w:t>
      </w:r>
      <w:r w:rsidRPr="009907F4">
        <w:rPr>
          <w:sz w:val="14"/>
        </w:rPr>
        <w:t xml:space="preserve">(10 percent), </w:t>
      </w:r>
      <w:r w:rsidRPr="007C4AE1">
        <w:rPr>
          <w:rStyle w:val="Emphasis"/>
        </w:rPr>
        <w:t>diversity</w:t>
      </w:r>
      <w:r w:rsidRPr="009907F4">
        <w:rPr>
          <w:sz w:val="14"/>
        </w:rPr>
        <w:t xml:space="preserve"> (4 percent), and </w:t>
      </w:r>
      <w:proofErr w:type="spellStart"/>
      <w:r w:rsidRPr="007C4AE1">
        <w:rPr>
          <w:rStyle w:val="Emphasis"/>
        </w:rPr>
        <w:t>asylees</w:t>
      </w:r>
      <w:proofErr w:type="spellEnd"/>
      <w:r w:rsidRPr="009907F4">
        <w:rPr>
          <w:sz w:val="14"/>
        </w:rPr>
        <w:t xml:space="preserve"> (3 percent). In late 2017 there were more than four million applicants on the State Department’s waiting list for immigrant visas [PDF].</w:t>
      </w:r>
    </w:p>
    <w:p w:rsidR="006525B0" w:rsidRPr="006525B0" w:rsidRDefault="006525B0" w:rsidP="006525B0"/>
    <w:p w:rsidR="000036AB" w:rsidRPr="00B314A5" w:rsidRDefault="00A31403" w:rsidP="000036AB">
      <w:pPr>
        <w:pStyle w:val="Heading4"/>
      </w:pPr>
      <w:r>
        <w:t>Asylum status is included in legal immigration</w:t>
      </w:r>
    </w:p>
    <w:p w:rsidR="000036AB" w:rsidRPr="00CC4CF3" w:rsidRDefault="000036AB" w:rsidP="000036AB">
      <w:r w:rsidRPr="000447D9">
        <w:rPr>
          <w:rStyle w:val="Style13ptBold"/>
        </w:rPr>
        <w:t xml:space="preserve">Federal Code </w:t>
      </w:r>
      <w:r w:rsidR="006525B0">
        <w:rPr>
          <w:rStyle w:val="Style13ptBold"/>
        </w:rPr>
        <w:t>‘</w:t>
      </w:r>
      <w:r w:rsidRPr="000447D9">
        <w:rPr>
          <w:rStyle w:val="Style13ptBold"/>
        </w:rPr>
        <w:t>17</w:t>
      </w:r>
      <w:r w:rsidR="009907F4">
        <w:t xml:space="preserve"> [</w:t>
      </w:r>
      <w:r w:rsidRPr="000447D9">
        <w:rPr>
          <w:i/>
        </w:rPr>
        <w:t>Code of Federal Regulations: 1985-1999</w:t>
      </w:r>
      <w:r>
        <w:t xml:space="preserve">, </w:t>
      </w:r>
      <w:hyperlink r:id="rId8" w:anchor="v=onepage&amp;q=%22the%20term%20legal%20immigration%22&amp;f=false" w:history="1">
        <w:r w:rsidRPr="009C1AB5">
          <w:rPr>
            <w:rStyle w:val="Hyperlink"/>
          </w:rPr>
          <w:t>https://books.google.com/books?id=YQMWlyvoJhIC&amp;pg=PA225&amp;lpg=PA225&amp;dq=%22the+term+legal+immigration%22&amp;source=bl&amp;ots=enndBaRt8x&amp;sig=4N2vLnx_U-QNiC4CMUS2asQYpnA&amp;hl=en&amp;sa=X&amp;ved=0ahUKEwjvu47gjvzaAhXidd8KHRZgDmQQ6AEIMjAC#v=onepage&amp;q=%22the%20term%20legal%20immigration%22&amp;f=false</w:t>
        </w:r>
      </w:hyperlink>
      <w:r>
        <w:t xml:space="preserve"> , </w:t>
      </w:r>
      <w:proofErr w:type="spellStart"/>
      <w:r>
        <w:t>Pg</w:t>
      </w:r>
      <w:proofErr w:type="spellEnd"/>
      <w:r>
        <w:t xml:space="preserve"> 225-6</w:t>
      </w:r>
      <w:r w:rsidR="009907F4">
        <w:t xml:space="preserve"> , Digitized Jan 31, 2017]</w:t>
      </w:r>
    </w:p>
    <w:p w:rsidR="000036AB" w:rsidRPr="00A31403" w:rsidRDefault="000036AB" w:rsidP="000036AB">
      <w:r>
        <w:t>(</w:t>
      </w:r>
      <w:r w:rsidRPr="00A31403">
        <w:t xml:space="preserve">11) Any alien admitted as a visitor under the visa waiver provisions </w:t>
      </w:r>
      <w:proofErr w:type="gramStart"/>
      <w:r w:rsidRPr="00A31403">
        <w:t>Of</w:t>
      </w:r>
      <w:proofErr w:type="gramEnd"/>
      <w:r w:rsidRPr="00A31403">
        <w:t xml:space="preserve"> 5 212.1(e) Of this chapter. </w:t>
      </w:r>
    </w:p>
    <w:p w:rsidR="000036AB" w:rsidRPr="00A31403" w:rsidRDefault="000036AB" w:rsidP="000036AB">
      <w:pPr>
        <w:rPr>
          <w:rStyle w:val="TitleChar"/>
        </w:rPr>
      </w:pPr>
      <w:r w:rsidRPr="00A31403">
        <w:t>(c) Definitions</w:t>
      </w:r>
      <w:proofErr w:type="gramStart"/>
      <w:r w:rsidRPr="00A31403">
        <w:t>—(</w:t>
      </w:r>
      <w:proofErr w:type="gramEnd"/>
      <w:r w:rsidRPr="00A31403">
        <w:t xml:space="preserve">1) Legal Immigration Status. For purposes </w:t>
      </w:r>
      <w:proofErr w:type="gramStart"/>
      <w:r w:rsidRPr="00A31403">
        <w:t>Of</w:t>
      </w:r>
      <w:proofErr w:type="gramEnd"/>
      <w:r w:rsidRPr="00A31403">
        <w:t xml:space="preserve"> section Of the Act, </w:t>
      </w:r>
      <w:r w:rsidRPr="00A31403">
        <w:rPr>
          <w:rStyle w:val="TitleChar"/>
        </w:rPr>
        <w:t xml:space="preserve">the term "legal immigration status" is limited to individuals who are: </w:t>
      </w:r>
    </w:p>
    <w:p w:rsidR="000036AB" w:rsidRPr="00A31403" w:rsidRDefault="000036AB" w:rsidP="000036AB">
      <w:pPr>
        <w:rPr>
          <w:rStyle w:val="TitleChar"/>
        </w:rPr>
      </w:pPr>
      <w:r w:rsidRPr="00A31403">
        <w:rPr>
          <w:rStyle w:val="TitleChar"/>
        </w:rPr>
        <w:t>(</w:t>
      </w:r>
      <w:proofErr w:type="spellStart"/>
      <w:r w:rsidRPr="00A31403">
        <w:rPr>
          <w:rStyle w:val="TitleChar"/>
        </w:rPr>
        <w:t>i</w:t>
      </w:r>
      <w:proofErr w:type="spellEnd"/>
      <w:r w:rsidRPr="00A31403">
        <w:rPr>
          <w:rStyle w:val="TitleChar"/>
        </w:rPr>
        <w:t xml:space="preserve">) In lawful permanent resident status; </w:t>
      </w:r>
    </w:p>
    <w:p w:rsidR="000036AB" w:rsidRPr="00A31403" w:rsidRDefault="000036AB" w:rsidP="000036AB">
      <w:r w:rsidRPr="00A31403">
        <w:t xml:space="preserve">(ii) </w:t>
      </w:r>
      <w:r w:rsidRPr="00A31403">
        <w:rPr>
          <w:rStyle w:val="TitleChar"/>
        </w:rPr>
        <w:t>Admitted in nonimmigrant status</w:t>
      </w:r>
      <w:r w:rsidRPr="00A31403">
        <w:t xml:space="preserve"> as defined in section 101(a</w:t>
      </w:r>
      <w:proofErr w:type="gramStart"/>
      <w:r w:rsidRPr="00A31403">
        <w:t>)(</w:t>
      </w:r>
      <w:proofErr w:type="gramEnd"/>
      <w:r w:rsidRPr="00A31403">
        <w:t xml:space="preserve">15) of the Act, or whose nonimmigrant status has been extended in accordance with part 214 of this chapter; </w:t>
      </w:r>
    </w:p>
    <w:p w:rsidR="000036AB" w:rsidRPr="00A31403" w:rsidRDefault="000036AB" w:rsidP="000036AB">
      <w:r w:rsidRPr="00A31403">
        <w:t xml:space="preserve">(iii) </w:t>
      </w:r>
      <w:r w:rsidRPr="00F165F4">
        <w:rPr>
          <w:rStyle w:val="StyleUnderline"/>
        </w:rPr>
        <w:t>In refugee status</w:t>
      </w:r>
      <w:r w:rsidRPr="00A31403">
        <w:t xml:space="preserve"> under section 207 Of the Act, such status not having been revoked; </w:t>
      </w:r>
    </w:p>
    <w:p w:rsidR="000036AB" w:rsidRPr="00A31403" w:rsidRDefault="000036AB" w:rsidP="000036AB">
      <w:r w:rsidRPr="00A31403">
        <w:t xml:space="preserve">(iv) </w:t>
      </w:r>
      <w:r w:rsidRPr="00F165F4">
        <w:rPr>
          <w:rStyle w:val="Emphasis"/>
        </w:rPr>
        <w:t xml:space="preserve">In </w:t>
      </w:r>
      <w:proofErr w:type="spellStart"/>
      <w:r w:rsidRPr="00F165F4">
        <w:rPr>
          <w:rStyle w:val="Emphasis"/>
        </w:rPr>
        <w:t>asylee</w:t>
      </w:r>
      <w:proofErr w:type="spellEnd"/>
      <w:r w:rsidRPr="00F165F4">
        <w:rPr>
          <w:rStyle w:val="Emphasis"/>
        </w:rPr>
        <w:t xml:space="preserve"> status</w:t>
      </w:r>
      <w:r w:rsidRPr="00A31403">
        <w:t xml:space="preserve"> </w:t>
      </w:r>
      <w:r w:rsidRPr="00F165F4">
        <w:rPr>
          <w:rStyle w:val="StyleUnderline"/>
        </w:rPr>
        <w:t>under section 208 of the Act</w:t>
      </w:r>
      <w:r w:rsidRPr="00A31403">
        <w:t xml:space="preserve">, such status not having been revoked; or </w:t>
      </w:r>
    </w:p>
    <w:p w:rsidR="000036AB" w:rsidRDefault="000036AB" w:rsidP="000036AB">
      <w:pPr>
        <w:rPr>
          <w:rStyle w:val="TitleChar"/>
        </w:rPr>
      </w:pPr>
      <w:r w:rsidRPr="00A31403">
        <w:t xml:space="preserve">(v) </w:t>
      </w:r>
      <w:r w:rsidRPr="00A31403">
        <w:rPr>
          <w:rStyle w:val="TitleChar"/>
        </w:rPr>
        <w:t>In parole status which has not expired.</w:t>
      </w:r>
    </w:p>
    <w:p w:rsidR="000036AB" w:rsidRPr="00943F0D" w:rsidRDefault="000036AB" w:rsidP="000036AB"/>
    <w:p w:rsidR="000036AB" w:rsidRPr="00DA371E" w:rsidRDefault="007734E5" w:rsidP="001D34E8">
      <w:pPr>
        <w:pStyle w:val="Heading2"/>
      </w:pPr>
      <w:r>
        <w:lastRenderedPageBreak/>
        <w:t>Asylum AFF</w:t>
      </w:r>
      <w:r w:rsidR="001D34E8">
        <w:t xml:space="preserve"> – “</w:t>
      </w:r>
      <w:r>
        <w:t>Reduce Restrictions</w:t>
      </w:r>
      <w:r w:rsidR="001D34E8">
        <w:t>”</w:t>
      </w:r>
    </w:p>
    <w:p w:rsidR="00DA371E" w:rsidRDefault="00DA371E" w:rsidP="00DA371E">
      <w:pPr>
        <w:pStyle w:val="Heading3"/>
      </w:pPr>
      <w:r>
        <w:lastRenderedPageBreak/>
        <w:t>1NC – “</w:t>
      </w:r>
      <w:r w:rsidR="001D34E8">
        <w:t>Courts Can’t</w:t>
      </w:r>
      <w:r>
        <w:t xml:space="preserve"> </w:t>
      </w:r>
      <w:r w:rsidR="001D34E8">
        <w:t>Reduce R</w:t>
      </w:r>
      <w:r>
        <w:t>estrict</w:t>
      </w:r>
      <w:r w:rsidR="001D34E8">
        <w:t>ions</w:t>
      </w:r>
      <w:r>
        <w:t>”</w:t>
      </w:r>
    </w:p>
    <w:p w:rsidR="00DA371E" w:rsidRDefault="00DA371E" w:rsidP="00DA371E"/>
    <w:p w:rsidR="00DA371E" w:rsidRPr="00DA371E" w:rsidRDefault="00DA371E" w:rsidP="00DA371E">
      <w:pPr>
        <w:pStyle w:val="Heading4"/>
      </w:pPr>
      <w:r w:rsidRPr="00DA371E">
        <w:t xml:space="preserve">A. </w:t>
      </w:r>
      <w:r w:rsidRPr="008C46D1">
        <w:rPr>
          <w:u w:val="single"/>
        </w:rPr>
        <w:t>Interpretation</w:t>
      </w:r>
      <w:r w:rsidRPr="00DA371E">
        <w:t xml:space="preserve"> – reducing restrictions requires the AFF to diminish the number of statues. Restrictions are not removed until</w:t>
      </w:r>
      <w:r w:rsidR="00943F0D">
        <w:t xml:space="preserve"> legislation is repealed</w:t>
      </w:r>
      <w:r w:rsidRPr="00DA371E">
        <w:t>.</w:t>
      </w:r>
    </w:p>
    <w:p w:rsidR="00DA371E" w:rsidRDefault="00DA371E" w:rsidP="00DA371E">
      <w:pPr>
        <w:rPr>
          <w:rFonts w:cs="Arial"/>
        </w:rPr>
      </w:pPr>
    </w:p>
    <w:p w:rsidR="00DA371E" w:rsidRPr="00D62CA6" w:rsidRDefault="00DA371E" w:rsidP="00DA371E">
      <w:pPr>
        <w:pStyle w:val="Heading4"/>
      </w:pPr>
      <w:r w:rsidRPr="00D62CA6">
        <w:t>Reduce means to “diminish in number.”</w:t>
      </w:r>
    </w:p>
    <w:p w:rsidR="00DA371E" w:rsidRPr="00943F0D" w:rsidRDefault="00DA371E" w:rsidP="00DA371E">
      <w:pPr>
        <w:rPr>
          <w:b/>
          <w:bCs/>
          <w:sz w:val="26"/>
        </w:rPr>
      </w:pPr>
      <w:r w:rsidRPr="00D62CA6">
        <w:rPr>
          <w:rStyle w:val="Style13ptBold"/>
        </w:rPr>
        <w:t>Merriam Webster Dictionary, 2012</w:t>
      </w:r>
    </w:p>
    <w:p w:rsidR="00DA371E" w:rsidRDefault="00DA371E" w:rsidP="00DA371E">
      <w:pPr>
        <w:rPr>
          <w:rStyle w:val="TitleChar"/>
        </w:rPr>
      </w:pPr>
      <w:r w:rsidRPr="004156A4">
        <w:rPr>
          <w:rStyle w:val="TitleChar"/>
        </w:rPr>
        <w:t xml:space="preserve">To </w:t>
      </w:r>
      <w:r w:rsidRPr="004156A4">
        <w:rPr>
          <w:rStyle w:val="Emphasis"/>
        </w:rPr>
        <w:t xml:space="preserve">diminish </w:t>
      </w:r>
      <w:r w:rsidRPr="004156A4">
        <w:rPr>
          <w:rStyle w:val="TitleChar"/>
        </w:rPr>
        <w:t xml:space="preserve">in size, amount, extent, or </w:t>
      </w:r>
      <w:r w:rsidRPr="004156A4">
        <w:rPr>
          <w:rStyle w:val="Emphasis"/>
        </w:rPr>
        <w:t>number</w:t>
      </w:r>
      <w:r w:rsidRPr="004156A4">
        <w:rPr>
          <w:rStyle w:val="TitleChar"/>
        </w:rPr>
        <w:t xml:space="preserve"> &lt;reduce taxes&gt; &lt;reduce the likelihood of war&gt;</w:t>
      </w:r>
    </w:p>
    <w:p w:rsidR="00943F0D" w:rsidRPr="00D62CA6" w:rsidRDefault="00943F0D" w:rsidP="00DA371E">
      <w:pPr>
        <w:rPr>
          <w:rStyle w:val="TitleChar"/>
        </w:rPr>
      </w:pPr>
    </w:p>
    <w:p w:rsidR="00DA371E" w:rsidRPr="00D62CA6" w:rsidRDefault="00DA371E" w:rsidP="00DA371E">
      <w:pPr>
        <w:pStyle w:val="Heading4"/>
      </w:pPr>
      <w:r w:rsidRPr="00D62CA6">
        <w:t>“Restriction” is a limitation by statute or regulation.</w:t>
      </w:r>
    </w:p>
    <w:p w:rsidR="00DA371E" w:rsidRDefault="00DA371E" w:rsidP="00DA371E">
      <w:r>
        <w:rPr>
          <w:rStyle w:val="Style13ptBold"/>
        </w:rPr>
        <w:t>Free Dictionary ‘</w:t>
      </w:r>
      <w:r w:rsidRPr="00D62CA6">
        <w:rPr>
          <w:rStyle w:val="Style13ptBold"/>
        </w:rPr>
        <w:t>5</w:t>
      </w:r>
      <w:r w:rsidRPr="00D62CA6">
        <w:t xml:space="preserve"> ("restriction," http://legal-dictionary.thefreedictionary.com/restriction</w:t>
      </w:r>
    </w:p>
    <w:p w:rsidR="00DA371E" w:rsidRPr="004156A4" w:rsidRDefault="00DA371E" w:rsidP="00DA371E">
      <w:r w:rsidRPr="00D62CA6">
        <w:rPr>
          <w:rStyle w:val="TitleChar"/>
        </w:rPr>
        <w:t xml:space="preserve">restriction n. </w:t>
      </w:r>
      <w:r w:rsidRPr="004156A4">
        <w:rPr>
          <w:rStyle w:val="TitleChar"/>
        </w:rPr>
        <w:t>any limitation on activity, by statute, regulation or contract provision</w:t>
      </w:r>
      <w:r w:rsidRPr="00D62CA6">
        <w:rPr>
          <w:rStyle w:val="TitleChar"/>
        </w:rPr>
        <w:t xml:space="preserve">. In multi-unit real estate developments, condominium and cooperative housing projects, managed by homeowners' associations or similar organizations are usually required by state law to impose restrictions on use. </w:t>
      </w:r>
      <w:r w:rsidRPr="004156A4">
        <w:t>Thus, the restrictions are part of the "covenants, conditions and restrictions," intended to enhance the use of common facilities and property, recorded and incorporated into the title of each owner.</w:t>
      </w:r>
    </w:p>
    <w:p w:rsidR="00DA371E" w:rsidRPr="00536CE0" w:rsidRDefault="00DA371E" w:rsidP="00DA371E">
      <w:pPr>
        <w:rPr>
          <w:rFonts w:cs="Arial"/>
        </w:rPr>
      </w:pPr>
    </w:p>
    <w:p w:rsidR="000036AB" w:rsidRDefault="00DA371E" w:rsidP="00DA371E">
      <w:pPr>
        <w:pStyle w:val="Heading4"/>
        <w:rPr>
          <w:rFonts w:cs="Arial"/>
        </w:rPr>
      </w:pPr>
      <w:r w:rsidRPr="00536CE0">
        <w:rPr>
          <w:rFonts w:cs="Arial"/>
        </w:rPr>
        <w:t xml:space="preserve">B. </w:t>
      </w:r>
      <w:r w:rsidRPr="008C46D1">
        <w:rPr>
          <w:rFonts w:cs="Arial"/>
          <w:u w:val="single"/>
        </w:rPr>
        <w:t>Violation</w:t>
      </w:r>
      <w:r w:rsidRPr="00536CE0">
        <w:rPr>
          <w:rFonts w:cs="Arial"/>
        </w:rPr>
        <w:t xml:space="preserve"> – </w:t>
      </w:r>
      <w:r w:rsidR="000036AB">
        <w:t xml:space="preserve">The AFF does not reduce restrictions – instead, it </w:t>
      </w:r>
      <w:r w:rsidR="000036AB">
        <w:rPr>
          <w:u w:val="single"/>
        </w:rPr>
        <w:t>clarifies</w:t>
      </w:r>
      <w:r w:rsidR="000036AB">
        <w:t xml:space="preserve"> acceptable </w:t>
      </w:r>
      <w:r w:rsidR="000036AB">
        <w:rPr>
          <w:i/>
        </w:rPr>
        <w:t>conditions</w:t>
      </w:r>
      <w:r w:rsidR="000036AB">
        <w:t xml:space="preserve"> under which legal immigration can occur</w:t>
      </w:r>
      <w:r w:rsidR="000036AB" w:rsidRPr="00536CE0">
        <w:rPr>
          <w:rFonts w:cs="Arial"/>
        </w:rPr>
        <w:t xml:space="preserve"> </w:t>
      </w:r>
    </w:p>
    <w:p w:rsidR="00DA371E" w:rsidRPr="00536CE0" w:rsidRDefault="000036AB" w:rsidP="00DA371E">
      <w:pPr>
        <w:pStyle w:val="Heading4"/>
        <w:rPr>
          <w:rFonts w:cs="Arial"/>
        </w:rPr>
      </w:pPr>
      <w:r>
        <w:rPr>
          <w:rFonts w:cs="Arial"/>
        </w:rPr>
        <w:t>C</w:t>
      </w:r>
      <w:r w:rsidR="00DA371E" w:rsidRPr="00536CE0">
        <w:rPr>
          <w:rFonts w:cs="Arial"/>
        </w:rPr>
        <w:t>ourt ru</w:t>
      </w:r>
      <w:r w:rsidR="00DA371E">
        <w:rPr>
          <w:rFonts w:cs="Arial"/>
        </w:rPr>
        <w:t>lings can’t reduce restrictions</w:t>
      </w:r>
      <w:r w:rsidR="00DA371E" w:rsidRPr="00536CE0">
        <w:rPr>
          <w:rFonts w:cs="Arial"/>
        </w:rPr>
        <w:t xml:space="preserve"> – they only ma</w:t>
      </w:r>
      <w:r w:rsidR="00943F0D">
        <w:rPr>
          <w:rFonts w:cs="Arial"/>
        </w:rPr>
        <w:t>ke it judicially unenforceable. C</w:t>
      </w:r>
      <w:r w:rsidR="00DA371E" w:rsidRPr="00536CE0">
        <w:rPr>
          <w:rFonts w:cs="Arial"/>
        </w:rPr>
        <w:t>onsensus of court rulings prove an irrefutable legal distinction.</w:t>
      </w:r>
    </w:p>
    <w:p w:rsidR="00DA371E" w:rsidRPr="00D36CDF" w:rsidRDefault="00DA371E" w:rsidP="00D36CDF">
      <w:proofErr w:type="spellStart"/>
      <w:r w:rsidRPr="00D36CDF">
        <w:rPr>
          <w:rStyle w:val="Style13ptBold"/>
        </w:rPr>
        <w:t>Treanor</w:t>
      </w:r>
      <w:proofErr w:type="spellEnd"/>
      <w:r w:rsidRPr="00D36CDF">
        <w:rPr>
          <w:rStyle w:val="Style13ptBold"/>
        </w:rPr>
        <w:t xml:space="preserve"> and Sperling, </w:t>
      </w:r>
      <w:r w:rsidR="00D36CDF" w:rsidRPr="00D36CDF">
        <w:rPr>
          <w:rStyle w:val="Style13ptBold"/>
        </w:rPr>
        <w:t>‘</w:t>
      </w:r>
      <w:r w:rsidRPr="00D36CDF">
        <w:rPr>
          <w:rStyle w:val="Style13ptBold"/>
        </w:rPr>
        <w:t>93</w:t>
      </w:r>
      <w:r w:rsidRPr="00D36CDF">
        <w:t xml:space="preserve"> (William Michael, Associate Professor of Law @ Fordham University, and Gene B., Deputy Assistant to the President for Economic Policy, December, Prospective Overruling and the Revival of "unconstitutional" Statutes, 93 Colum. L. Rev. 1902, Columbia Law Review)</w:t>
      </w:r>
    </w:p>
    <w:p w:rsidR="00DA371E" w:rsidRPr="00536CE0" w:rsidRDefault="00DA371E" w:rsidP="00DA371E">
      <w:pPr>
        <w:rPr>
          <w:rFonts w:cs="Arial"/>
        </w:rPr>
      </w:pPr>
    </w:p>
    <w:p w:rsidR="00DA371E" w:rsidRPr="009907F4" w:rsidRDefault="00DA371E" w:rsidP="009907F4">
      <w:pPr>
        <w:pStyle w:val="evidencetext"/>
        <w:ind w:left="0"/>
        <w:rPr>
          <w:rStyle w:val="TitleChar"/>
          <w:rFonts w:asciiTheme="minorHAnsi" w:hAnsiTheme="minorHAnsi"/>
          <w:szCs w:val="22"/>
        </w:rPr>
      </w:pPr>
      <w:r w:rsidRPr="009907F4">
        <w:rPr>
          <w:rStyle w:val="TitleChar"/>
          <w:rFonts w:asciiTheme="minorHAnsi" w:hAnsiTheme="minorHAnsi"/>
          <w:szCs w:val="22"/>
        </w:rPr>
        <w:t>Unlike the Supreme Court, several state courts have explicitly addressed the revival issue. The relevant state court cases have concerned the specific issue of whether a statute that has been held unconstitutional is revived when the invalidating decision is overturned. 42 With one exception, they have concluded that such statutes are immediately enforceable</w:t>
      </w:r>
      <w:r w:rsidRPr="009907F4">
        <w:rPr>
          <w:rFonts w:asciiTheme="minorHAnsi" w:hAnsiTheme="minorHAnsi" w:cs="Arial"/>
          <w:sz w:val="14"/>
          <w:szCs w:val="22"/>
        </w:rPr>
        <w:t xml:space="preserve">. The most noted instance in which the revival issue was resolved by a court involved the District of Columbia minimum wage statute pronounced unconstitutional in Adkins. After the Court reversed Adkins in West Coast Hotel, President Roosevelt asked Attorney General </w:t>
      </w:r>
      <w:proofErr w:type="gramStart"/>
      <w:r w:rsidRPr="009907F4">
        <w:rPr>
          <w:rFonts w:asciiTheme="minorHAnsi" w:hAnsiTheme="minorHAnsi" w:cs="Arial"/>
          <w:sz w:val="14"/>
          <w:szCs w:val="22"/>
        </w:rPr>
        <w:t>Homer  [</w:t>
      </w:r>
      <w:proofErr w:type="gramEnd"/>
      <w:r w:rsidRPr="009907F4">
        <w:rPr>
          <w:rFonts w:asciiTheme="minorHAnsi" w:hAnsiTheme="minorHAnsi" w:cs="Arial"/>
          <w:sz w:val="14"/>
          <w:szCs w:val="22"/>
        </w:rPr>
        <w:t xml:space="preserve">*1913]  Cummings for an opinion on the status of the District of Columbia's statute. The Attorney General responded, </w:t>
      </w:r>
      <w:proofErr w:type="gramStart"/>
      <w:r w:rsidRPr="009907F4">
        <w:rPr>
          <w:rStyle w:val="TitleChar"/>
          <w:rFonts w:asciiTheme="minorHAnsi" w:hAnsiTheme="minorHAnsi"/>
          <w:szCs w:val="22"/>
        </w:rPr>
        <w:t>The</w:t>
      </w:r>
      <w:proofErr w:type="gramEnd"/>
      <w:r w:rsidRPr="009907F4">
        <w:rPr>
          <w:rStyle w:val="TitleChar"/>
          <w:rFonts w:asciiTheme="minorHAnsi" w:hAnsiTheme="minorHAnsi"/>
          <w:szCs w:val="22"/>
        </w:rPr>
        <w:t xml:space="preserve"> decisions are practically in accord in holding that the courts have no power to repeal or abolish a statute, and that notwithstanding a decision holding it unconstitutional a statute continues to remain on the statute books</w:t>
      </w:r>
      <w:r w:rsidRPr="009907F4">
        <w:rPr>
          <w:rFonts w:asciiTheme="minorHAnsi" w:hAnsiTheme="minorHAnsi" w:cs="Arial"/>
          <w:sz w:val="14"/>
          <w:szCs w:val="22"/>
        </w:rPr>
        <w:t xml:space="preserve">; and that if a statute be declared unconstitutional and the decision so declaring it be subsequently overruled the statute will then be held valid from the date it became effective. 43 Enforcement of the statute followed without congressional action. 44 When this enforcement was challenged, the Municipal Court of Appeals for the District of Columbia in </w:t>
      </w:r>
      <w:proofErr w:type="spellStart"/>
      <w:r w:rsidRPr="009907F4">
        <w:rPr>
          <w:rFonts w:asciiTheme="minorHAnsi" w:hAnsiTheme="minorHAnsi" w:cs="Arial"/>
          <w:sz w:val="14"/>
          <w:szCs w:val="22"/>
        </w:rPr>
        <w:t>Jawish</w:t>
      </w:r>
      <w:proofErr w:type="spellEnd"/>
      <w:r w:rsidRPr="009907F4">
        <w:rPr>
          <w:rFonts w:asciiTheme="minorHAnsi" w:hAnsiTheme="minorHAnsi" w:cs="Arial"/>
          <w:sz w:val="14"/>
          <w:szCs w:val="22"/>
        </w:rPr>
        <w:t xml:space="preserve"> v. </w:t>
      </w:r>
      <w:proofErr w:type="spellStart"/>
      <w:r w:rsidRPr="009907F4">
        <w:rPr>
          <w:rFonts w:asciiTheme="minorHAnsi" w:hAnsiTheme="minorHAnsi" w:cs="Arial"/>
          <w:sz w:val="14"/>
          <w:szCs w:val="22"/>
        </w:rPr>
        <w:t>Morlet</w:t>
      </w:r>
      <w:proofErr w:type="spellEnd"/>
      <w:r w:rsidRPr="009907F4">
        <w:rPr>
          <w:rFonts w:asciiTheme="minorHAnsi" w:hAnsiTheme="minorHAnsi" w:cs="Arial"/>
          <w:sz w:val="14"/>
          <w:szCs w:val="22"/>
        </w:rPr>
        <w:t xml:space="preserve"> 45 held that the decision in West Coast Hotel had had the effect of making the statute enforceable. The court observed that previous opinions addressing the revival issue proceed on the principle that </w:t>
      </w:r>
      <w:r w:rsidRPr="009907F4">
        <w:rPr>
          <w:rStyle w:val="TitleChar"/>
          <w:rFonts w:asciiTheme="minorHAnsi" w:hAnsiTheme="minorHAnsi"/>
          <w:szCs w:val="22"/>
        </w:rPr>
        <w:t xml:space="preserve">a statute declared unconstitutional is void in the sense that it is inoperative or unenforceable, but not void in the sense that it is </w:t>
      </w:r>
      <w:r w:rsidRPr="009907F4">
        <w:rPr>
          <w:rStyle w:val="TitleChar"/>
          <w:rFonts w:asciiTheme="minorHAnsi" w:hAnsiTheme="minorHAnsi"/>
          <w:szCs w:val="22"/>
        </w:rPr>
        <w:lastRenderedPageBreak/>
        <w:t>repealed or abolished; that so long as the decision stands the statute is dormant but not dead; and that if the decision is reversed the statute is valid from its first effective date. 46 The court declared this precedent sound</w:t>
      </w:r>
      <w:r w:rsidRPr="009907F4">
        <w:rPr>
          <w:rFonts w:asciiTheme="minorHAnsi" w:hAnsiTheme="minorHAnsi" w:cs="Arial"/>
          <w:sz w:val="14"/>
          <w:szCs w:val="22"/>
        </w:rPr>
        <w:t xml:space="preserve"> since the cases were "in accord with the principle "that a decision of a court of appellate jurisdiction overruling a former decision is retrospective in its operation, and the effect is not that the former decision is bad law but that it never was the law.' " 47 Adkins was thus, and had always been, a nullity. The court acknowledged that, after Adkins, it had been thought that the District of Columbia's minimum wage statute was unconstitutional. As the court put it, " "Just about everybody was fooled.' " 48 Nonetheless, the court's view was that since the minimum wage law had always been valid, although for a period judicially unenforceable, there was no need to reenact it. 49 </w:t>
      </w:r>
      <w:r w:rsidRPr="009907F4">
        <w:rPr>
          <w:rStyle w:val="TitleChar"/>
          <w:rFonts w:asciiTheme="minorHAnsi" w:hAnsiTheme="minorHAnsi"/>
          <w:szCs w:val="22"/>
        </w:rPr>
        <w:t>Almost all other courts that have addressed the issue of whether a statute that has been found unconstitutional can be revived have reached the same result</w:t>
      </w:r>
      <w:r w:rsidRPr="009907F4">
        <w:rPr>
          <w:rFonts w:asciiTheme="minorHAnsi" w:hAnsiTheme="minorHAnsi" w:cs="Arial"/>
          <w:sz w:val="14"/>
          <w:szCs w:val="22"/>
        </w:rPr>
        <w:t xml:space="preserve"> as the </w:t>
      </w:r>
      <w:proofErr w:type="spellStart"/>
      <w:r w:rsidRPr="009907F4">
        <w:rPr>
          <w:rFonts w:asciiTheme="minorHAnsi" w:hAnsiTheme="minorHAnsi" w:cs="Arial"/>
          <w:sz w:val="14"/>
          <w:szCs w:val="22"/>
        </w:rPr>
        <w:t>Jawish</w:t>
      </w:r>
      <w:proofErr w:type="spellEnd"/>
      <w:r w:rsidRPr="009907F4">
        <w:rPr>
          <w:rFonts w:asciiTheme="minorHAnsi" w:hAnsiTheme="minorHAnsi" w:cs="Arial"/>
          <w:sz w:val="14"/>
          <w:szCs w:val="22"/>
        </w:rPr>
        <w:t xml:space="preserve"> court, using a similar </w:t>
      </w:r>
      <w:proofErr w:type="gramStart"/>
      <w:r w:rsidRPr="009907F4">
        <w:rPr>
          <w:rFonts w:asciiTheme="minorHAnsi" w:hAnsiTheme="minorHAnsi" w:cs="Arial"/>
          <w:sz w:val="14"/>
          <w:szCs w:val="22"/>
        </w:rPr>
        <w:t>formalistic  [</w:t>
      </w:r>
      <w:proofErr w:type="gramEnd"/>
      <w:r w:rsidRPr="009907F4">
        <w:rPr>
          <w:rFonts w:asciiTheme="minorHAnsi" w:hAnsiTheme="minorHAnsi" w:cs="Arial"/>
          <w:sz w:val="14"/>
          <w:szCs w:val="22"/>
        </w:rPr>
        <w:t xml:space="preserve">*1914]  analysis. 50 </w:t>
      </w:r>
      <w:r w:rsidRPr="009907F4">
        <w:rPr>
          <w:rStyle w:val="TitleChar"/>
          <w:rFonts w:asciiTheme="minorHAnsi" w:hAnsiTheme="minorHAnsi"/>
          <w:szCs w:val="22"/>
        </w:rPr>
        <w:t xml:space="preserve">The sole decision in which a court adopted the </w:t>
      </w:r>
      <w:proofErr w:type="spellStart"/>
      <w:r w:rsidRPr="009907F4">
        <w:rPr>
          <w:rStyle w:val="TitleChar"/>
          <w:rFonts w:asciiTheme="minorHAnsi" w:hAnsiTheme="minorHAnsi"/>
          <w:szCs w:val="22"/>
        </w:rPr>
        <w:t>nonrevival</w:t>
      </w:r>
      <w:proofErr w:type="spellEnd"/>
      <w:r w:rsidRPr="009907F4">
        <w:rPr>
          <w:rStyle w:val="TitleChar"/>
          <w:rFonts w:asciiTheme="minorHAnsi" w:hAnsiTheme="minorHAnsi"/>
          <w:szCs w:val="22"/>
        </w:rPr>
        <w:t xml:space="preserve"> position is Jefferson v. Jefferson, 51 a poorly reasoned decision</w:t>
      </w:r>
      <w:r w:rsidRPr="009907F4">
        <w:rPr>
          <w:rFonts w:asciiTheme="minorHAnsi" w:hAnsiTheme="minorHAnsi" w:cs="Arial"/>
          <w:sz w:val="14"/>
          <w:szCs w:val="22"/>
        </w:rPr>
        <w:t xml:space="preserve"> of the Louisiana Supreme Court. The plaintiff in Jefferson sought child support and maintenance from her husband. She prevailed at the trial level; he filed his notice of appeal one day after the end of the filing period established by the Louisiana Uniform Rules of the Court of Appeals. The Court of Appeals rejected his appeal as untimely, even though the Louisiana Supreme Court had previously found that the applicable section of the Uniform Rules violated the state constitution. One of Ms. Jefferson's arguments before the state Supreme Court was that that court's previous ruling had been erroneous and that the rules should therefore be revived. In rejecting this claim and in finding for the husband, the Court stated: Since we have declared the uniform court rule partially unconstitutional, it appears to be somewhat dubious that we have the right to reconsider this ruling in the instant case as counsel for the respondent judges urges us to do. For a rule of court, like a statute, has the force and effect of law and, when a law is stricken as void, it no longer has existence as law; the law cannot be resurrected thereafter by a judicial decree changing the final judgment of unconstitutionality to constitutionality as this would constitute a reenactment of the law by the Court - an assumption of legislative power not delegated to it by the Constitution. </w:t>
      </w:r>
      <w:proofErr w:type="gramStart"/>
      <w:r w:rsidRPr="009907F4">
        <w:rPr>
          <w:rFonts w:asciiTheme="minorHAnsi" w:hAnsiTheme="minorHAnsi" w:cs="Arial"/>
          <w:sz w:val="14"/>
          <w:szCs w:val="22"/>
        </w:rPr>
        <w:t>5  The</w:t>
      </w:r>
      <w:proofErr w:type="gramEnd"/>
      <w:r w:rsidRPr="009907F4">
        <w:rPr>
          <w:rFonts w:asciiTheme="minorHAnsi" w:hAnsiTheme="minorHAnsi" w:cs="Arial"/>
          <w:sz w:val="14"/>
          <w:szCs w:val="22"/>
        </w:rPr>
        <w:t xml:space="preserve"> Louisiana Court thus took a mechanical approach to the revival question. According to its rationale, when a statute is found unconstitutional, it is judicially determined never to have existed. Revival therefore entails judicial legislation and thereby violates constitutionally mandated separation of powers: because the initial legislative </w:t>
      </w:r>
      <w:proofErr w:type="gramStart"/>
      <w:r w:rsidRPr="009907F4">
        <w:rPr>
          <w:rFonts w:asciiTheme="minorHAnsi" w:hAnsiTheme="minorHAnsi" w:cs="Arial"/>
          <w:sz w:val="14"/>
          <w:szCs w:val="22"/>
        </w:rPr>
        <w:t>passage  [</w:t>
      </w:r>
      <w:proofErr w:type="gramEnd"/>
      <w:r w:rsidRPr="009907F4">
        <w:rPr>
          <w:rFonts w:asciiTheme="minorHAnsi" w:hAnsiTheme="minorHAnsi" w:cs="Arial"/>
          <w:sz w:val="14"/>
          <w:szCs w:val="22"/>
        </w:rPr>
        <w:t xml:space="preserve">*1915]  of the bill has no legitimacy, the bill's force is considered to be purely a creature of judicial decision-making. Jefferson has little analytic appeal. Its view of the separation of powers doctrine is too simplistic. Contrary to the Jefferson rationale, a "revived" law is not the pure product of judicial decision-making. It is, instead, a law that once gained the support of a legislature and that has never been legislatively repealed. Its legitimacy rests on its initial legislative authorization. Moreover, </w:t>
      </w:r>
      <w:r w:rsidRPr="009907F4">
        <w:rPr>
          <w:rStyle w:val="TitleChar"/>
          <w:rFonts w:asciiTheme="minorHAnsi" w:hAnsiTheme="minorHAnsi"/>
          <w:szCs w:val="22"/>
        </w:rPr>
        <w:t>the view that a statute that has been found unconstitutional should be treated as if it never existed may have had some support in the early case law, but it has been clearly rejected by the Supreme Court</w:t>
      </w:r>
      <w:r w:rsidRPr="009907F4">
        <w:rPr>
          <w:rFonts w:asciiTheme="minorHAnsi" w:hAnsiTheme="minorHAnsi" w:cs="Arial"/>
          <w:sz w:val="14"/>
          <w:szCs w:val="22"/>
        </w:rPr>
        <w:t xml:space="preserve">. Instead of treating all statutes that it has found unconstitutional as if they had never existed, the Court has recognized a range of circumstances in which people who rely on an overturned decision are protected. Indeed, as will be developed, the doctrine of prospective overruling evolved to shield from harm those who relied on subsequently overruled judicial decisions. 53 In short, </w:t>
      </w:r>
      <w:r w:rsidRPr="009907F4">
        <w:rPr>
          <w:rStyle w:val="TitleChar"/>
          <w:rFonts w:asciiTheme="minorHAnsi" w:hAnsiTheme="minorHAnsi"/>
          <w:szCs w:val="22"/>
        </w:rPr>
        <w:t xml:space="preserve">the one case in which there was a holding that a statute did not revive does not offer a convincing rationale for </w:t>
      </w:r>
      <w:proofErr w:type="spellStart"/>
      <w:r w:rsidRPr="009907F4">
        <w:rPr>
          <w:rStyle w:val="TitleChar"/>
          <w:rFonts w:asciiTheme="minorHAnsi" w:hAnsiTheme="minorHAnsi"/>
          <w:szCs w:val="22"/>
        </w:rPr>
        <w:t>nonrevival</w:t>
      </w:r>
      <w:proofErr w:type="spellEnd"/>
      <w:r w:rsidRPr="009907F4">
        <w:rPr>
          <w:rStyle w:val="TitleChar"/>
          <w:rFonts w:asciiTheme="minorHAnsi" w:hAnsiTheme="minorHAnsi"/>
          <w:szCs w:val="22"/>
        </w:rPr>
        <w:t>.</w:t>
      </w:r>
    </w:p>
    <w:p w:rsidR="00DA371E" w:rsidRPr="00536CE0" w:rsidRDefault="00DA371E" w:rsidP="00DA371E"/>
    <w:p w:rsidR="00DA371E" w:rsidRPr="00536CE0" w:rsidRDefault="00DA371E" w:rsidP="00DA371E">
      <w:pPr>
        <w:pStyle w:val="Heading4"/>
        <w:rPr>
          <w:rFonts w:cs="Arial"/>
        </w:rPr>
      </w:pPr>
      <w:r w:rsidRPr="00536CE0">
        <w:rPr>
          <w:rFonts w:cs="Arial"/>
        </w:rPr>
        <w:t xml:space="preserve">C. </w:t>
      </w:r>
      <w:r w:rsidR="000D52D9" w:rsidRPr="008C46D1">
        <w:rPr>
          <w:rFonts w:cs="Arial"/>
          <w:u w:val="single"/>
        </w:rPr>
        <w:t>Standards</w:t>
      </w:r>
      <w:r w:rsidRPr="00536CE0">
        <w:rPr>
          <w:rFonts w:cs="Arial"/>
        </w:rPr>
        <w:t xml:space="preserve"> – </w:t>
      </w:r>
    </w:p>
    <w:p w:rsidR="00DA371E" w:rsidRPr="00536CE0" w:rsidRDefault="00DA371E" w:rsidP="00DA371E">
      <w:pPr>
        <w:rPr>
          <w:rFonts w:cs="Arial"/>
        </w:rPr>
      </w:pPr>
    </w:p>
    <w:p w:rsidR="00DA371E" w:rsidRPr="00536CE0" w:rsidRDefault="00DA371E" w:rsidP="008C46D1">
      <w:pPr>
        <w:pStyle w:val="Heading4"/>
        <w:numPr>
          <w:ilvl w:val="0"/>
          <w:numId w:val="17"/>
        </w:numPr>
        <w:rPr>
          <w:rFonts w:cs="Arial"/>
        </w:rPr>
      </w:pPr>
      <w:r w:rsidRPr="00536CE0">
        <w:rPr>
          <w:rFonts w:cs="Arial"/>
        </w:rPr>
        <w:t xml:space="preserve"> Limits – allowing the aff to tinker with restrictions creates an unpredictable floodgate of tiny </w:t>
      </w:r>
      <w:proofErr w:type="spellStart"/>
      <w:r w:rsidRPr="00536CE0">
        <w:rPr>
          <w:rFonts w:cs="Arial"/>
        </w:rPr>
        <w:t>affs</w:t>
      </w:r>
      <w:proofErr w:type="spellEnd"/>
      <w:r w:rsidRPr="00536CE0">
        <w:rPr>
          <w:rFonts w:cs="Arial"/>
        </w:rPr>
        <w:t xml:space="preserve"> that don’t completely remove the actual laws from the books – explodes research burden.</w:t>
      </w:r>
    </w:p>
    <w:p w:rsidR="00DA371E" w:rsidRPr="00536CE0" w:rsidRDefault="00DA371E" w:rsidP="00DA371E">
      <w:pPr>
        <w:rPr>
          <w:rFonts w:cs="Arial"/>
        </w:rPr>
      </w:pPr>
    </w:p>
    <w:p w:rsidR="00DA371E" w:rsidRPr="00536CE0" w:rsidRDefault="00DA371E" w:rsidP="008C46D1">
      <w:pPr>
        <w:pStyle w:val="Heading4"/>
        <w:numPr>
          <w:ilvl w:val="0"/>
          <w:numId w:val="17"/>
        </w:numPr>
        <w:rPr>
          <w:rFonts w:cs="Arial"/>
        </w:rPr>
      </w:pPr>
      <w:r w:rsidRPr="00536CE0">
        <w:rPr>
          <w:rFonts w:cs="Arial"/>
        </w:rPr>
        <w:t xml:space="preserve"> Precision – courts do not have the power to remove laws – that’s </w:t>
      </w:r>
      <w:proofErr w:type="spellStart"/>
      <w:r w:rsidRPr="00536CE0">
        <w:rPr>
          <w:rFonts w:cs="Arial"/>
        </w:rPr>
        <w:t>Treanor</w:t>
      </w:r>
      <w:proofErr w:type="spellEnd"/>
      <w:r w:rsidRPr="00536CE0">
        <w:rPr>
          <w:rFonts w:cs="Arial"/>
        </w:rPr>
        <w:t xml:space="preserve"> and Sperling. Prefer this distinction because it directs our research.</w:t>
      </w:r>
    </w:p>
    <w:p w:rsidR="00DA371E" w:rsidRPr="00536CE0" w:rsidRDefault="00DA371E" w:rsidP="00DA371E">
      <w:pPr>
        <w:rPr>
          <w:rFonts w:cs="Arial"/>
        </w:rPr>
      </w:pPr>
    </w:p>
    <w:p w:rsidR="00DA371E" w:rsidRDefault="00DA371E" w:rsidP="008C46D1">
      <w:pPr>
        <w:pStyle w:val="Heading4"/>
        <w:numPr>
          <w:ilvl w:val="0"/>
          <w:numId w:val="17"/>
        </w:numPr>
        <w:rPr>
          <w:rFonts w:cs="Arial"/>
        </w:rPr>
      </w:pPr>
      <w:r w:rsidRPr="00536CE0">
        <w:rPr>
          <w:rFonts w:cs="Arial"/>
        </w:rPr>
        <w:t xml:space="preserve"> Ground – allowing tinkering crushes core negative ground </w:t>
      </w:r>
      <w:r>
        <w:rPr>
          <w:rFonts w:cs="Arial"/>
        </w:rPr>
        <w:t xml:space="preserve">by de-magnifying the links to </w:t>
      </w:r>
      <w:r w:rsidRPr="00536CE0">
        <w:rPr>
          <w:rFonts w:cs="Arial"/>
        </w:rPr>
        <w:t xml:space="preserve">politics, </w:t>
      </w:r>
      <w:r>
        <w:rPr>
          <w:rFonts w:cs="Arial"/>
        </w:rPr>
        <w:t>wages</w:t>
      </w:r>
      <w:r w:rsidRPr="00536CE0">
        <w:rPr>
          <w:rFonts w:cs="Arial"/>
        </w:rPr>
        <w:t xml:space="preserve">, and </w:t>
      </w:r>
      <w:r>
        <w:rPr>
          <w:rFonts w:cs="Arial"/>
        </w:rPr>
        <w:t>trade-off</w:t>
      </w:r>
      <w:r w:rsidRPr="00536CE0">
        <w:rPr>
          <w:rFonts w:cs="Arial"/>
        </w:rPr>
        <w:t xml:space="preserve"> </w:t>
      </w:r>
      <w:proofErr w:type="spellStart"/>
      <w:r w:rsidRPr="00536CE0">
        <w:rPr>
          <w:rFonts w:cs="Arial"/>
        </w:rPr>
        <w:t>disads</w:t>
      </w:r>
      <w:proofErr w:type="spellEnd"/>
    </w:p>
    <w:p w:rsidR="003A1BEF" w:rsidRPr="003A1BEF" w:rsidRDefault="003A1BEF" w:rsidP="003A1BEF"/>
    <w:p w:rsidR="003A1BEF" w:rsidRDefault="003A1BEF" w:rsidP="008C46D1">
      <w:pPr>
        <w:pStyle w:val="Heading4"/>
        <w:numPr>
          <w:ilvl w:val="0"/>
          <w:numId w:val="17"/>
        </w:numPr>
      </w:pPr>
      <w:r>
        <w:lastRenderedPageBreak/>
        <w:t>At best, the AFF is effects topical --- Court rulings do not reduce limitations by themselves. They rely on other actors such as Congress or Executive agencies to choose to enforce the Court decision. Effectually topical AFFs are an independent voter --- they explode limits and destroy ground through unpredictable, constantly shifting causal chains.</w:t>
      </w:r>
    </w:p>
    <w:p w:rsidR="000D52D9" w:rsidRDefault="000D52D9" w:rsidP="000D52D9"/>
    <w:p w:rsidR="000D52D9" w:rsidRPr="000D52D9" w:rsidRDefault="000D52D9" w:rsidP="000D52D9">
      <w:pPr>
        <w:pStyle w:val="Heading4"/>
      </w:pPr>
      <w:r>
        <w:t xml:space="preserve">D. </w:t>
      </w:r>
      <w:r w:rsidRPr="009B7F67">
        <w:rPr>
          <w:u w:val="single"/>
        </w:rPr>
        <w:t xml:space="preserve">Voters </w:t>
      </w:r>
      <w:r>
        <w:t xml:space="preserve">– Topicality is an </w:t>
      </w:r>
      <w:proofErr w:type="spellStart"/>
      <w:r>
        <w:t>apriori</w:t>
      </w:r>
      <w:proofErr w:type="spellEnd"/>
      <w:r>
        <w:t xml:space="preserve"> voting issue for fairness and education</w:t>
      </w:r>
    </w:p>
    <w:p w:rsidR="00943F0D" w:rsidRDefault="00943F0D" w:rsidP="00F4312D"/>
    <w:p w:rsidR="00EB7CCE" w:rsidRDefault="000036AB" w:rsidP="000036AB">
      <w:pPr>
        <w:pStyle w:val="Heading3"/>
      </w:pPr>
      <w:r>
        <w:lastRenderedPageBreak/>
        <w:t>2NC – Violation</w:t>
      </w:r>
    </w:p>
    <w:p w:rsidR="009907F4" w:rsidRPr="009C1F13" w:rsidRDefault="009907F4" w:rsidP="009907F4">
      <w:pPr>
        <w:pStyle w:val="Heading4"/>
      </w:pPr>
      <w:r>
        <w:t xml:space="preserve">Legal immigration means entry authorized by statutes </w:t>
      </w:r>
    </w:p>
    <w:p w:rsidR="009907F4" w:rsidRDefault="009907F4" w:rsidP="009907F4">
      <w:r>
        <w:rPr>
          <w:rStyle w:val="Style13ptBold"/>
        </w:rPr>
        <w:t>Ramirez 83</w:t>
      </w:r>
      <w:r>
        <w:t xml:space="preserve"> (Jesus, JD @ University of Texas, "The Simpson-</w:t>
      </w:r>
      <w:proofErr w:type="spellStart"/>
      <w:r>
        <w:t>Mazolli</w:t>
      </w:r>
      <w:proofErr w:type="spellEnd"/>
      <w:r>
        <w:t xml:space="preserve"> Bill: Altering the Policy of Neglect of Undocumented Immigration from South of the Border," Texas International Law Journal, http://webcache.googleusercontent.com/search?q=cache:FjfWxu42hBQJ:www.firsttexaspublishers.com/texaspublishing/publications.html+&amp;cd=10&amp;hl=en&amp;ct=clnk&amp;gl=us)</w:t>
      </w:r>
    </w:p>
    <w:p w:rsidR="009907F4" w:rsidRDefault="009907F4" w:rsidP="009907F4">
      <w:pPr>
        <w:rPr>
          <w:sz w:val="16"/>
        </w:rPr>
      </w:pPr>
      <w:r w:rsidRPr="00A45397">
        <w:rPr>
          <w:sz w:val="16"/>
        </w:rPr>
        <w:t>14. "</w:t>
      </w:r>
      <w:r w:rsidRPr="00A45397">
        <w:rPr>
          <w:rStyle w:val="TitleChar"/>
        </w:rPr>
        <w:t xml:space="preserve">Legal immigration" refers to entry pursuant to an immigration visa that is </w:t>
      </w:r>
      <w:r w:rsidRPr="00A45397">
        <w:rPr>
          <w:rStyle w:val="Emphasis"/>
        </w:rPr>
        <w:t>authorized by immigration statutes</w:t>
      </w:r>
      <w:r w:rsidRPr="00A45397">
        <w:rPr>
          <w:sz w:val="16"/>
        </w:rPr>
        <w:t xml:space="preserve"> and regulation. See generally I.N.A. of 1952, 8 U.S.C. §1181(1976 &amp; Supp. V 1981); 8 C.F.R. §211.1-212.9 (1982); 8 U.S.C. §§1421-1435, 1444-1449 (1976 &amp; </w:t>
      </w:r>
      <w:proofErr w:type="spellStart"/>
      <w:r w:rsidRPr="00A45397">
        <w:rPr>
          <w:sz w:val="16"/>
        </w:rPr>
        <w:t>Supp.V</w:t>
      </w:r>
      <w:proofErr w:type="spellEnd"/>
      <w:r w:rsidRPr="00A45397">
        <w:rPr>
          <w:sz w:val="16"/>
        </w:rPr>
        <w:t xml:space="preserve"> 1981); 8 C.F.R. §§334.1-342.9 (1982).</w:t>
      </w:r>
    </w:p>
    <w:p w:rsidR="009907F4" w:rsidRPr="005D7D8A" w:rsidRDefault="009907F4" w:rsidP="009907F4">
      <w:pPr>
        <w:rPr>
          <w:sz w:val="16"/>
        </w:rPr>
      </w:pPr>
    </w:p>
    <w:p w:rsidR="000036AB" w:rsidRDefault="000036AB" w:rsidP="000036AB">
      <w:pPr>
        <w:pStyle w:val="Heading4"/>
      </w:pPr>
      <w:r>
        <w:t>Despite the 1AC tags, Sessions</w:t>
      </w:r>
      <w:r w:rsidR="001D34E8">
        <w:t xml:space="preserve"> actions</w:t>
      </w:r>
      <w:r>
        <w:t xml:space="preserve"> did not</w:t>
      </w:r>
      <w:r w:rsidR="001D34E8">
        <w:t xml:space="preserve"> actually</w:t>
      </w:r>
      <w:r>
        <w:t xml:space="preserve"> </w:t>
      </w:r>
      <w:r w:rsidR="009907F4">
        <w:t>rescind</w:t>
      </w:r>
      <w:r>
        <w:t xml:space="preserve"> any existing statute regarding qualification for asylum</w:t>
      </w:r>
      <w:r w:rsidR="009907F4">
        <w:t>, and neither does the plan</w:t>
      </w:r>
      <w:r>
        <w:t xml:space="preserve">. Rather, he clarified his stance on the ambiguous and contradictory interpretations over </w:t>
      </w:r>
      <w:r>
        <w:rPr>
          <w:i/>
        </w:rPr>
        <w:t xml:space="preserve">potential qualifying factors </w:t>
      </w:r>
      <w:r>
        <w:t>for asylum seekers</w:t>
      </w:r>
      <w:r>
        <w:rPr>
          <w:i/>
        </w:rPr>
        <w:t>.</w:t>
      </w:r>
      <w:r>
        <w:t xml:space="preserve"> Private criminal activity is not a unified, legislatively codified element of harm which can be invoked as a requirement for particular social group asylum seekers. This proves our violation – the Courts cannot reduce restrictions so the AFF</w:t>
      </w:r>
      <w:r w:rsidR="008211AC">
        <w:t>’s legal immigration policy</w:t>
      </w:r>
      <w:r>
        <w:t xml:space="preserve"> must be</w:t>
      </w:r>
      <w:r w:rsidR="008211AC">
        <w:t xml:space="preserve"> enacted through</w:t>
      </w:r>
      <w:r>
        <w:t xml:space="preserve"> legislation.</w:t>
      </w:r>
    </w:p>
    <w:p w:rsidR="004B27F8" w:rsidRDefault="004B27F8" w:rsidP="004B27F8">
      <w:r w:rsidRPr="00A62F57">
        <w:rPr>
          <w:rStyle w:val="Style13ptBold"/>
        </w:rPr>
        <w:t>Silva ’18</w:t>
      </w:r>
      <w:r>
        <w:t xml:space="preserve"> [Daniella Silva, 6/12/18, “Critics denounce Sessions' move to restrict asylum for domestic and gang violence victims,” NBC News, https://www.nbcnews.com/news/us-news/critics-denounce-sessions-move-restrict-asylum-domestic-gang-violence-victims-n882411]</w:t>
      </w:r>
    </w:p>
    <w:p w:rsidR="004B27F8" w:rsidRDefault="004B27F8" w:rsidP="004B27F8">
      <w:pPr>
        <w:rPr>
          <w:sz w:val="12"/>
        </w:rPr>
      </w:pPr>
      <w:r w:rsidRPr="00A62F57">
        <w:rPr>
          <w:rStyle w:val="TitleChar"/>
        </w:rPr>
        <w:t>Under U.S. and international law</w:t>
      </w:r>
      <w:r w:rsidRPr="00A62F57">
        <w:rPr>
          <w:sz w:val="12"/>
        </w:rPr>
        <w:t xml:space="preserve">, </w:t>
      </w:r>
      <w:r w:rsidRPr="00A62F57">
        <w:rPr>
          <w:rStyle w:val="TitleChar"/>
        </w:rPr>
        <w:t>a person may seek asylum based on persecution</w:t>
      </w:r>
      <w:r w:rsidRPr="00A62F57">
        <w:rPr>
          <w:sz w:val="12"/>
        </w:rPr>
        <w:t xml:space="preserve"> or a well-founded fear of future persecution because of race, religion, nationality, political opinion </w:t>
      </w:r>
      <w:r w:rsidRPr="00A62F57">
        <w:rPr>
          <w:rStyle w:val="TitleChar"/>
        </w:rPr>
        <w:t xml:space="preserve">or membership in a </w:t>
      </w:r>
      <w:r w:rsidRPr="00A62F57">
        <w:rPr>
          <w:rStyle w:val="Emphasis"/>
        </w:rPr>
        <w:t>particular social group.</w:t>
      </w:r>
      <w:r w:rsidRPr="00A62F57">
        <w:rPr>
          <w:sz w:val="12"/>
        </w:rPr>
        <w:t xml:space="preserve"> While </w:t>
      </w:r>
      <w:r w:rsidRPr="00A62F57">
        <w:rPr>
          <w:rStyle w:val="TitleChar"/>
        </w:rPr>
        <w:t>asylum outcomes can vary widely based on the judges deciding the cases</w:t>
      </w:r>
      <w:r w:rsidRPr="00A62F57">
        <w:rPr>
          <w:sz w:val="12"/>
        </w:rPr>
        <w:t xml:space="preserve">, </w:t>
      </w:r>
      <w:r w:rsidRPr="00A62F57">
        <w:rPr>
          <w:rStyle w:val="TitleChar"/>
        </w:rPr>
        <w:t>domestic violence victims have</w:t>
      </w:r>
      <w:r w:rsidRPr="00A62F57">
        <w:rPr>
          <w:sz w:val="12"/>
        </w:rPr>
        <w:t xml:space="preserve"> recently </w:t>
      </w:r>
      <w:r w:rsidRPr="00A62F57">
        <w:rPr>
          <w:rStyle w:val="Emphasis"/>
        </w:rPr>
        <w:t>sometimes</w:t>
      </w:r>
      <w:r w:rsidRPr="00A62F57">
        <w:rPr>
          <w:sz w:val="12"/>
        </w:rPr>
        <w:t xml:space="preserve"> </w:t>
      </w:r>
      <w:r w:rsidRPr="00A62F57">
        <w:rPr>
          <w:rStyle w:val="TitleChar"/>
        </w:rPr>
        <w:t>been considered a "social group"</w:t>
      </w:r>
      <w:r w:rsidRPr="00A62F57">
        <w:rPr>
          <w:sz w:val="12"/>
        </w:rPr>
        <w:t xml:space="preserve"> that qualifies for asylum. In 2014, an immigration court recognized "married women in Guatemala who are unable to leave their relationship" as such a social group, a ruling that Sessions has now overturned. Sessions said in his ruling that the criteria for asylum had been widened too far and should not include victims of “private violence.” </w:t>
      </w:r>
      <w:r w:rsidRPr="00A62F57">
        <w:rPr>
          <w:rStyle w:val="TitleChar"/>
        </w:rPr>
        <w:t xml:space="preserve">“The </w:t>
      </w:r>
      <w:r w:rsidRPr="00A62F57">
        <w:rPr>
          <w:rStyle w:val="Emphasis"/>
        </w:rPr>
        <w:t>asylum statute</w:t>
      </w:r>
      <w:r w:rsidRPr="00A62F57">
        <w:rPr>
          <w:rStyle w:val="TitleChar"/>
        </w:rPr>
        <w:t xml:space="preserve"> does not provide redress for all misfortune," Sessions wrote</w:t>
      </w:r>
      <w:r w:rsidRPr="00A62F57">
        <w:rPr>
          <w:sz w:val="12"/>
        </w:rPr>
        <w:t xml:space="preserve"> in the decision. "The mere fact that a country may have problems effectively policing certain crimes — such as domestic violence or gang violence — or that certain populations are more likely to be victims of crime cannot itself establish an asylum claim." Unlike the 2014 Guatemala domestic violence case, </w:t>
      </w:r>
      <w:r w:rsidRPr="00A62F57">
        <w:rPr>
          <w:rStyle w:val="Emphasis"/>
        </w:rPr>
        <w:t>there was never a single precedent-setting case that allowed for asylum claims based on gang violence</w:t>
      </w:r>
      <w:r w:rsidRPr="00A62F57">
        <w:rPr>
          <w:sz w:val="12"/>
        </w:rPr>
        <w:t xml:space="preserve">. </w:t>
      </w:r>
      <w:r w:rsidRPr="000036AB">
        <w:rPr>
          <w:rStyle w:val="Emphasis"/>
        </w:rPr>
        <w:t>Rather</w:t>
      </w:r>
      <w:r w:rsidRPr="000036AB">
        <w:rPr>
          <w:rStyle w:val="TitleChar"/>
        </w:rPr>
        <w:t>, there were a collection of cases in which people claiming asylum faced multiple threats, including gang violence, and won the ability to stay in the</w:t>
      </w:r>
      <w:r w:rsidRPr="00A62F57">
        <w:rPr>
          <w:sz w:val="12"/>
        </w:rPr>
        <w:t xml:space="preserve"> U.S., said Michael Kagan, a professor and director of the immigration clinic at University of Nevada, Las Vegas’ law school.</w:t>
      </w:r>
    </w:p>
    <w:p w:rsidR="000036AB" w:rsidRDefault="000036AB" w:rsidP="000036AB"/>
    <w:p w:rsidR="000036AB" w:rsidRDefault="00CF652D" w:rsidP="000036AB">
      <w:pPr>
        <w:pStyle w:val="Heading4"/>
      </w:pPr>
      <w:r>
        <w:t xml:space="preserve">Additionally, </w:t>
      </w:r>
      <w:r w:rsidR="001D34E8">
        <w:t>Supreme</w:t>
      </w:r>
      <w:r w:rsidR="000036AB">
        <w:t xml:space="preserve"> Court</w:t>
      </w:r>
      <w:r w:rsidR="001D34E8">
        <w:t xml:space="preserve"> tinkering or re-clarification</w:t>
      </w:r>
      <w:r w:rsidR="000036AB">
        <w:t xml:space="preserve"> does not </w:t>
      </w:r>
      <w:r w:rsidR="001D34E8">
        <w:t>make or reverse a law</w:t>
      </w:r>
      <w:r w:rsidR="000036AB">
        <w:t xml:space="preserve">. If there’s no statute for the court to rule on, </w:t>
      </w:r>
      <w:r>
        <w:t>the AFF has</w:t>
      </w:r>
      <w:r w:rsidR="000036AB">
        <w:t xml:space="preserve"> not reduced a restriction.</w:t>
      </w:r>
    </w:p>
    <w:p w:rsidR="000036AB" w:rsidRPr="004F60CA" w:rsidRDefault="000036AB" w:rsidP="000036AB">
      <w:r w:rsidRPr="004F60CA">
        <w:rPr>
          <w:rStyle w:val="Style13ptBold"/>
        </w:rPr>
        <w:t>U.S. CIS ‘00</w:t>
      </w:r>
      <w:r>
        <w:t>[Federal Register Publications (CIS, ICE, CBP) \ Federal Register Publications (Legacy INS) - 2000 \ FEDERAL REGISTER PROPOSED REGULATIONS - 2000 \ Asylum and Withholding Definitions [65 FR 76588] [FR 67-00] \ Membership in a Particular Social Group, https://www.uscis.gov/ilink/docView/FR/HTML/FR/0-0-0-1/0-0-0-62325/0-0-0-64099/0-0-0-64242/0-0-0-64298.html]</w:t>
      </w:r>
    </w:p>
    <w:p w:rsidR="000036AB" w:rsidRDefault="000036AB" w:rsidP="000036AB"/>
    <w:p w:rsidR="000036AB" w:rsidRDefault="000036AB" w:rsidP="000036AB">
      <w:pPr>
        <w:rPr>
          <w:rStyle w:val="Emphasis"/>
        </w:rPr>
      </w:pPr>
      <w:r w:rsidRPr="004F60CA">
        <w:rPr>
          <w:rStyle w:val="TitleChar"/>
        </w:rPr>
        <w:t>The requirement</w:t>
      </w:r>
      <w:r w:rsidRPr="004F60CA">
        <w:rPr>
          <w:sz w:val="12"/>
        </w:rPr>
        <w:t xml:space="preserve"> in § 208.15(C)(1) </w:t>
      </w:r>
      <w:r w:rsidRPr="004F60CA">
        <w:rPr>
          <w:rStyle w:val="TitleChar"/>
        </w:rPr>
        <w:t xml:space="preserve">that the </w:t>
      </w:r>
      <w:r w:rsidRPr="004F60CA">
        <w:rPr>
          <w:rStyle w:val="Emphasis"/>
        </w:rPr>
        <w:t>persecution exist independently of the harm</w:t>
      </w:r>
      <w:r w:rsidRPr="004F60CA">
        <w:rPr>
          <w:rStyle w:val="TitleChar"/>
        </w:rPr>
        <w:t xml:space="preserve"> is equally applicable to claims of </w:t>
      </w:r>
      <w:r w:rsidRPr="004F60CA">
        <w:rPr>
          <w:rStyle w:val="Emphasis"/>
        </w:rPr>
        <w:t>membership in a particular social group</w:t>
      </w:r>
      <w:r w:rsidRPr="004F60CA">
        <w:rPr>
          <w:sz w:val="12"/>
        </w:rPr>
        <w:t xml:space="preserve"> based on past experience. At least in theory, a shared past experience that defines a social group could be harm suffered by the applicant and other group members in the past. In such a claim however, </w:t>
      </w:r>
      <w:r w:rsidRPr="004F60CA">
        <w:rPr>
          <w:rStyle w:val="TitleChar"/>
        </w:rPr>
        <w:t>the past harm that defines the social group</w:t>
      </w:r>
      <w:r w:rsidRPr="004F60CA">
        <w:rPr>
          <w:sz w:val="12"/>
        </w:rPr>
        <w:t xml:space="preserve"> </w:t>
      </w:r>
      <w:r w:rsidRPr="004F60CA">
        <w:rPr>
          <w:rStyle w:val="Emphasis"/>
        </w:rPr>
        <w:t>cannot be the same harm that the applicant claims as persecution</w:t>
      </w:r>
      <w:r w:rsidRPr="004F60CA">
        <w:rPr>
          <w:sz w:val="12"/>
        </w:rPr>
        <w:t xml:space="preserve">. Rather, </w:t>
      </w:r>
      <w:r w:rsidRPr="004F60CA">
        <w:rPr>
          <w:rStyle w:val="TitleChar"/>
        </w:rPr>
        <w:t>in order for persecution to be “on account of” membership in such a group, the past experience must exist independently of the persecution</w:t>
      </w:r>
      <w:r w:rsidRPr="004F60CA">
        <w:rPr>
          <w:sz w:val="12"/>
        </w:rPr>
        <w:t xml:space="preserve">. In fact, the past experience must be the reason the persecutor inflicted or is inclined to inflict the persecution on the applicant. Finally, </w:t>
      </w:r>
      <w:r w:rsidRPr="004F60CA">
        <w:rPr>
          <w:rStyle w:val="TitleChar"/>
        </w:rPr>
        <w:t>the proposed language</w:t>
      </w:r>
      <w:r w:rsidRPr="004F60CA">
        <w:rPr>
          <w:sz w:val="12"/>
        </w:rPr>
        <w:t xml:space="preserve"> in § 208.15(C)(3) </w:t>
      </w:r>
      <w:r w:rsidRPr="004F60CA">
        <w:rPr>
          <w:rStyle w:val="TitleChar"/>
        </w:rPr>
        <w:t>provides a non-exclusive list of additional factors that may be considered</w:t>
      </w:r>
      <w:r w:rsidRPr="004F60CA">
        <w:rPr>
          <w:sz w:val="12"/>
        </w:rPr>
        <w:t xml:space="preserve"> in determining whether a particular social group exists. These factors are drawn from existing administrative and judicial precedent on the meaning of the “particular social group” ground. </w:t>
      </w:r>
      <w:r w:rsidRPr="004F60CA">
        <w:rPr>
          <w:rStyle w:val="TitleChar"/>
        </w:rPr>
        <w:t xml:space="preserve">These precedents have been subject to conflicting interpretations, however, and this provision resolves those ambiguities by providing that, while these factors may be </w:t>
      </w:r>
      <w:r>
        <w:rPr>
          <w:rStyle w:val="TitleChar"/>
        </w:rPr>
        <w:t xml:space="preserve">relevant in some cases, </w:t>
      </w:r>
      <w:r w:rsidRPr="004F60CA">
        <w:rPr>
          <w:rStyle w:val="Emphasis"/>
        </w:rPr>
        <w:t>they are not requirements for the existence of a particular social group.</w:t>
      </w:r>
      <w:r>
        <w:rPr>
          <w:rStyle w:val="TitleChar"/>
        </w:rPr>
        <w:t xml:space="preserve"> </w:t>
      </w:r>
      <w:r w:rsidRPr="004F60CA">
        <w:rPr>
          <w:sz w:val="12"/>
        </w:rPr>
        <w:t xml:space="preserve">The first three factors in this section are drawn from the Ninth Circuit’s decision in Sanchez-Trujillo v. </w:t>
      </w:r>
      <w:proofErr w:type="gramStart"/>
      <w:r w:rsidRPr="004F60CA">
        <w:rPr>
          <w:sz w:val="12"/>
        </w:rPr>
        <w:t>INS ,</w:t>
      </w:r>
      <w:proofErr w:type="gramEnd"/>
      <w:r w:rsidRPr="004F60CA">
        <w:rPr>
          <w:sz w:val="12"/>
        </w:rPr>
        <w:t xml:space="preserve"> 801 F.2d 1571 (9th Cir. 1986). In that case, the Ninth Circuit stated that “the phrase `particular social group’ implies a collection of people closely affiliated with each other, who are actuated by some common impulse or interest,” </w:t>
      </w:r>
      <w:proofErr w:type="gramStart"/>
      <w:r w:rsidRPr="004F60CA">
        <w:rPr>
          <w:sz w:val="12"/>
        </w:rPr>
        <w:t>id .</w:t>
      </w:r>
      <w:proofErr w:type="gramEnd"/>
      <w:r w:rsidRPr="004F60CA">
        <w:rPr>
          <w:sz w:val="12"/>
        </w:rPr>
        <w:t xml:space="preserve"> at 1576, and that “[o]f central concern is the existence of a voluntary associational relationship among the purported members,” </w:t>
      </w:r>
      <w:proofErr w:type="gramStart"/>
      <w:r w:rsidRPr="004F60CA">
        <w:rPr>
          <w:sz w:val="12"/>
        </w:rPr>
        <w:t>id .</w:t>
      </w:r>
      <w:proofErr w:type="gramEnd"/>
      <w:r w:rsidRPr="004F60CA">
        <w:rPr>
          <w:sz w:val="12"/>
        </w:rPr>
        <w:t xml:space="preserve"> These factors have often been interpreted as prerequisites for the existence of a particular social group in the Ninth Circuit. The Ninth Circuit clarified the significance of these factors in the recent case of Hernandez-</w:t>
      </w:r>
      <w:proofErr w:type="spellStart"/>
      <w:r w:rsidRPr="004F60CA">
        <w:rPr>
          <w:sz w:val="12"/>
        </w:rPr>
        <w:t>Montiel</w:t>
      </w:r>
      <w:proofErr w:type="spellEnd"/>
      <w:r w:rsidRPr="004F60CA">
        <w:rPr>
          <w:sz w:val="12"/>
        </w:rPr>
        <w:t xml:space="preserve"> v. </w:t>
      </w:r>
      <w:proofErr w:type="gramStart"/>
      <w:r w:rsidRPr="004F60CA">
        <w:rPr>
          <w:sz w:val="12"/>
        </w:rPr>
        <w:t>INS ,</w:t>
      </w:r>
      <w:proofErr w:type="gramEnd"/>
      <w:r w:rsidRPr="004F60CA">
        <w:rPr>
          <w:sz w:val="12"/>
        </w:rPr>
        <w:t xml:space="preserve"> 225 F.3d 1084 (9th Cir. 2000). The court held that its decision in Sanchez-Trujillo should be interpreted as consistent with the Board’s decision in Matter of Acosta and that the voluntary associational test is an alternative basis for establishing membership in a particular social group. See 225 F.3d at 1093 n.6. Other circuits have not applied this factor, and, instead have simply relied on the Board’s determination that the group must share a “common, immutable” characteristic. </w:t>
      </w:r>
      <w:proofErr w:type="gramStart"/>
      <w:r w:rsidRPr="004F60CA">
        <w:rPr>
          <w:sz w:val="12"/>
        </w:rPr>
        <w:t>See ,</w:t>
      </w:r>
      <w:proofErr w:type="gramEnd"/>
      <w:r w:rsidRPr="004F60CA">
        <w:rPr>
          <w:sz w:val="12"/>
        </w:rPr>
        <w:t xml:space="preserve"> e.g., </w:t>
      </w:r>
      <w:proofErr w:type="spellStart"/>
      <w:r w:rsidRPr="004F60CA">
        <w:rPr>
          <w:sz w:val="12"/>
        </w:rPr>
        <w:t>Fatin</w:t>
      </w:r>
      <w:proofErr w:type="spellEnd"/>
      <w:r w:rsidRPr="004F60CA">
        <w:rPr>
          <w:sz w:val="12"/>
        </w:rPr>
        <w:t xml:space="preserve"> v. INS , 12 F.3d 1233, 1239 (3d Cir. 1993) (quoting Matter of Acosta , 19 I. &amp; N. Dec. at 233). In cases arising outside the Ninth Circuit, the Board has decided that a particular social group may exist without reference to these factors. </w:t>
      </w:r>
      <w:proofErr w:type="gramStart"/>
      <w:r w:rsidRPr="004F60CA">
        <w:rPr>
          <w:sz w:val="12"/>
        </w:rPr>
        <w:t>See ,</w:t>
      </w:r>
      <w:proofErr w:type="gramEnd"/>
      <w:r w:rsidRPr="004F60CA">
        <w:rPr>
          <w:sz w:val="12"/>
        </w:rPr>
        <w:t xml:space="preserve"> e.g., Matter of </w:t>
      </w:r>
      <w:proofErr w:type="spellStart"/>
      <w:r w:rsidRPr="004F60CA">
        <w:rPr>
          <w:sz w:val="12"/>
        </w:rPr>
        <w:t>Toboso</w:t>
      </w:r>
      <w:proofErr w:type="spellEnd"/>
      <w:r w:rsidRPr="004F60CA">
        <w:rPr>
          <w:sz w:val="12"/>
        </w:rPr>
        <w:t xml:space="preserve">-Alfonso , 20 I. &amp; N. Dec. 819, 820-21 (BIA 1990) (Cuban homosexuals are a particular social group); Matter of </w:t>
      </w:r>
      <w:proofErr w:type="spellStart"/>
      <w:r w:rsidRPr="004F60CA">
        <w:rPr>
          <w:sz w:val="12"/>
        </w:rPr>
        <w:t>Kasinga</w:t>
      </w:r>
      <w:proofErr w:type="spellEnd"/>
      <w:r w:rsidRPr="004F60CA">
        <w:rPr>
          <w:sz w:val="12"/>
        </w:rPr>
        <w:t xml:space="preserve"> , 21 I. &amp; N. Dec. at 365 (young women who belong to a specific Togolese tribe and who oppose FGM are a particular social group). To ensure uniform and fair administrative adjudications of particular social group asylum claims, this rule clarifies that the Department views the Sanchez-Trujillo factors as considerations that may be relevant in some cases, but not as requirements for a particular social group. Similarly, </w:t>
      </w:r>
      <w:r w:rsidRPr="004F60CA">
        <w:rPr>
          <w:rStyle w:val="TitleChar"/>
        </w:rPr>
        <w:t xml:space="preserve">the next three factors in this proposed section are drawn from the Board’s decision in In re </w:t>
      </w:r>
      <w:r w:rsidRPr="004B27F8">
        <w:rPr>
          <w:rStyle w:val="Emphasis"/>
        </w:rPr>
        <w:t>R-A</w:t>
      </w:r>
      <w:proofErr w:type="gramStart"/>
      <w:r w:rsidRPr="004F60CA">
        <w:rPr>
          <w:rStyle w:val="TitleChar"/>
        </w:rPr>
        <w:t>-</w:t>
      </w:r>
      <w:r w:rsidRPr="004F60CA">
        <w:rPr>
          <w:sz w:val="12"/>
        </w:rPr>
        <w:t xml:space="preserve"> .</w:t>
      </w:r>
      <w:proofErr w:type="gramEnd"/>
      <w:r w:rsidRPr="004F60CA">
        <w:rPr>
          <w:sz w:val="12"/>
        </w:rPr>
        <w:t xml:space="preserve"> In that case, </w:t>
      </w:r>
      <w:r w:rsidRPr="004F60CA">
        <w:rPr>
          <w:rStyle w:val="TitleChar"/>
        </w:rPr>
        <w:t xml:space="preserve">the Board found it highly significant for “particular social group” analysis that the applicant had not shown that the group she asserted “is a group that is recognized and understood to be a societal faction, or is otherwise a recognized segment of the population, within Guatemala,” or that “the victims of spouse abuse view themselves as members of this group.” </w:t>
      </w:r>
      <w:proofErr w:type="gramStart"/>
      <w:r w:rsidRPr="004F60CA">
        <w:rPr>
          <w:sz w:val="12"/>
        </w:rPr>
        <w:t>Id .</w:t>
      </w:r>
      <w:proofErr w:type="gramEnd"/>
      <w:r w:rsidRPr="004F60CA">
        <w:rPr>
          <w:sz w:val="12"/>
        </w:rPr>
        <w:t xml:space="preserve"> at 15. The Board also focused on whether “it is more likely that distinctions will be drawn within the society between those who share and those who do not share the characteristic” at issue. </w:t>
      </w:r>
      <w:proofErr w:type="gramStart"/>
      <w:r w:rsidRPr="004F60CA">
        <w:rPr>
          <w:sz w:val="12"/>
        </w:rPr>
        <w:t>Id .</w:t>
      </w:r>
      <w:proofErr w:type="gramEnd"/>
      <w:r w:rsidRPr="004F60CA">
        <w:rPr>
          <w:sz w:val="12"/>
        </w:rPr>
        <w:t xml:space="preserve"> at 16. This, of course, could be an important inquiry in asylum and withholding cases. </w:t>
      </w:r>
      <w:r w:rsidRPr="004F60CA">
        <w:rPr>
          <w:rStyle w:val="Emphasis"/>
        </w:rPr>
        <w:t>The Board did not characterize these elements as requirements,</w:t>
      </w:r>
      <w:r w:rsidRPr="004F60CA">
        <w:rPr>
          <w:sz w:val="12"/>
        </w:rPr>
        <w:t xml:space="preserve"> however. </w:t>
      </w:r>
      <w:r w:rsidRPr="004F60CA">
        <w:rPr>
          <w:rStyle w:val="TitleChar"/>
        </w:rPr>
        <w:t xml:space="preserve">This rule incorporates them as factors, but confirms that they are considerations, which, while they may be relevant in some cases, </w:t>
      </w:r>
      <w:r w:rsidRPr="004F60CA">
        <w:rPr>
          <w:rStyle w:val="Emphasis"/>
        </w:rPr>
        <w:t xml:space="preserve">are not determinative of the question of whether a particular social group exists. </w:t>
      </w:r>
    </w:p>
    <w:p w:rsidR="00D36CDF" w:rsidRDefault="00D36CDF" w:rsidP="00D36CDF">
      <w:pPr>
        <w:pStyle w:val="Heading3"/>
      </w:pPr>
      <w:r>
        <w:lastRenderedPageBreak/>
        <w:t>2NC – A2 “We Meet”</w:t>
      </w:r>
    </w:p>
    <w:p w:rsidR="00A62F57" w:rsidRPr="00A62F57" w:rsidRDefault="00D36CDF" w:rsidP="00A62F57">
      <w:pPr>
        <w:pStyle w:val="Heading4"/>
      </w:pPr>
      <w:r>
        <w:t>Court’s cannot void statute</w:t>
      </w:r>
      <w:r w:rsidR="005D7D8A">
        <w:t>s a</w:t>
      </w:r>
      <w:r w:rsidR="00A62F57" w:rsidRPr="00A62F57">
        <w:t xml:space="preserve">nd, </w:t>
      </w:r>
      <w:r w:rsidR="004F60CA">
        <w:t>even if they</w:t>
      </w:r>
      <w:r w:rsidR="005D7D8A">
        <w:t xml:space="preserve"> perceptually</w:t>
      </w:r>
      <w:r w:rsidR="004F60CA">
        <w:t xml:space="preserve"> could, </w:t>
      </w:r>
      <w:r w:rsidR="00A62F57" w:rsidRPr="00A62F57">
        <w:t>lower courts won’t enforce --- ambiguity.</w:t>
      </w:r>
    </w:p>
    <w:p w:rsidR="00A62F57" w:rsidRPr="009907F4" w:rsidRDefault="00A62F57" w:rsidP="00A62F57">
      <w:r w:rsidRPr="00A62F57">
        <w:rPr>
          <w:rStyle w:val="Style13ptBold"/>
        </w:rPr>
        <w:t>Baum ‘4</w:t>
      </w:r>
      <w:r>
        <w:t xml:space="preserve"> [</w:t>
      </w:r>
      <w:r w:rsidRPr="00A62F57">
        <w:t>Baum, political science professor @ OSU, 2004 p. 2 (Lawrence, The Supreme Court)</w:t>
      </w:r>
      <w:r>
        <w:t>]</w:t>
      </w:r>
    </w:p>
    <w:p w:rsidR="00A62F57" w:rsidRPr="009907F4" w:rsidRDefault="00A62F57" w:rsidP="009907F4">
      <w:r w:rsidRPr="009907F4">
        <w:t xml:space="preserve">Communication. </w:t>
      </w:r>
      <w:r w:rsidRPr="009907F4">
        <w:rPr>
          <w:rStyle w:val="TitleChar"/>
        </w:rPr>
        <w:t xml:space="preserve">Judges and administrators can carry out Supreme </w:t>
      </w:r>
      <w:proofErr w:type="spellStart"/>
      <w:r w:rsidRPr="009907F4">
        <w:rPr>
          <w:rStyle w:val="TitleChar"/>
        </w:rPr>
        <w:t>Courrt</w:t>
      </w:r>
      <w:proofErr w:type="spellEnd"/>
      <w:r w:rsidRPr="009907F4">
        <w:rPr>
          <w:rStyle w:val="TitleChar"/>
        </w:rPr>
        <w:t xml:space="preserve"> decisions well only if they know what the Court wants them to do. The communication process begins with the Court’s opinions. Ideally, an opinion would state the Court’s legal rules with sufficient precision and specificity that an official who reads the opinion would know how to apply those rules to any other case or situation. Frequently, however, opinions fall far short of that ideal: there is </w:t>
      </w:r>
      <w:r w:rsidRPr="009907F4">
        <w:rPr>
          <w:rStyle w:val="Emphasis"/>
        </w:rPr>
        <w:t>considerable ambiguity</w:t>
      </w:r>
      <w:r w:rsidRPr="009907F4">
        <w:rPr>
          <w:rStyle w:val="TitleChar"/>
        </w:rPr>
        <w:t xml:space="preserve"> in the Court’s messages.</w:t>
      </w:r>
      <w:r w:rsidRPr="009907F4">
        <w:t xml:space="preserve"> </w:t>
      </w:r>
    </w:p>
    <w:p w:rsidR="00A62F57" w:rsidRDefault="00A62F57" w:rsidP="00D36CDF"/>
    <w:p w:rsidR="00A62F57" w:rsidRDefault="00A62F57" w:rsidP="00A62F57">
      <w:pPr>
        <w:pStyle w:val="Heading4"/>
      </w:pPr>
      <w:r>
        <w:t>This ambiguity is uniquely likely in the specific context of establishing particular social group status for asylum-seekers</w:t>
      </w:r>
    </w:p>
    <w:p w:rsidR="00474E32" w:rsidRDefault="00474E32" w:rsidP="00474E32">
      <w:r w:rsidRPr="00474E32">
        <w:rPr>
          <w:rStyle w:val="Style13ptBold"/>
        </w:rPr>
        <w:t>NIJC ’16</w:t>
      </w:r>
      <w:r>
        <w:t xml:space="preserve"> [1/2/16, “Particular Social Group Practice Advisory: Applying for Asylum After Matter of M-E-V-G- and Matter of W-G-R,” National Immigrant Justice Center, Heartland Alliance, https://www.immigrantjustice.org/sites/default/files/PSG%2520Practice%2520Advisory%2520and%2520Appendices-Final-1.22.16.pdf] </w:t>
      </w:r>
    </w:p>
    <w:p w:rsidR="00474E32" w:rsidRDefault="00474E32" w:rsidP="00474E32">
      <w:pPr>
        <w:rPr>
          <w:rStyle w:val="Emphasis"/>
        </w:rPr>
      </w:pPr>
      <w:r w:rsidRPr="00474E32">
        <w:rPr>
          <w:sz w:val="14"/>
        </w:rPr>
        <w:t xml:space="preserve">III. </w:t>
      </w:r>
      <w:r w:rsidRPr="000D52D9">
        <w:rPr>
          <w:rStyle w:val="Emphasis"/>
        </w:rPr>
        <w:t>The Reaction of the Federal Courts</w:t>
      </w:r>
      <w:r w:rsidRPr="00474E32">
        <w:rPr>
          <w:sz w:val="14"/>
        </w:rPr>
        <w:t xml:space="preserve"> </w:t>
      </w:r>
      <w:proofErr w:type="gramStart"/>
      <w:r w:rsidRPr="00474E32">
        <w:rPr>
          <w:sz w:val="14"/>
        </w:rPr>
        <w:t>As</w:t>
      </w:r>
      <w:proofErr w:type="gramEnd"/>
      <w:r w:rsidRPr="00474E32">
        <w:rPr>
          <w:sz w:val="14"/>
        </w:rPr>
        <w:t xml:space="preserve"> asylum cases involving PSG claims and the BIA’s new social visibility and particularity requirements soon began to make their way to the U.S. Courts of Appeals, </w:t>
      </w:r>
      <w:r w:rsidRPr="00474E32">
        <w:rPr>
          <w:rStyle w:val="TitleChar"/>
        </w:rPr>
        <w:t>some courts deferred</w:t>
      </w:r>
      <w:r>
        <w:rPr>
          <w:rStyle w:val="TitleChar"/>
        </w:rPr>
        <w:t xml:space="preserve"> </w:t>
      </w:r>
      <w:r w:rsidRPr="00474E32">
        <w:rPr>
          <w:rStyle w:val="TitleChar"/>
        </w:rPr>
        <w:t>to the BIA’s addition of the two new PSG requirements under Chevron</w:t>
      </w:r>
      <w:r w:rsidRPr="00474E32">
        <w:rPr>
          <w:sz w:val="14"/>
        </w:rPr>
        <w:t xml:space="preserve">, U.S.A., Inc. v. Natural Res. Def. Council, Inc., 467 U.S. 837, 843 (1984). However, </w:t>
      </w:r>
      <w:r w:rsidRPr="00474E32">
        <w:rPr>
          <w:rStyle w:val="TitleChar"/>
        </w:rPr>
        <w:t>others courts struck down the</w:t>
      </w:r>
      <w:r>
        <w:rPr>
          <w:rStyle w:val="TitleChar"/>
        </w:rPr>
        <w:t xml:space="preserve"> </w:t>
      </w:r>
      <w:r w:rsidRPr="00474E32">
        <w:rPr>
          <w:rStyle w:val="TitleChar"/>
        </w:rPr>
        <w:t>requirements and refused to find that they merited Chevron deference</w:t>
      </w:r>
      <w:r w:rsidRPr="00474E32">
        <w:rPr>
          <w:sz w:val="14"/>
        </w:rPr>
        <w:t xml:space="preserve">.2 </w:t>
      </w:r>
      <w:r w:rsidRPr="00474E32">
        <w:rPr>
          <w:rStyle w:val="Emphasis"/>
        </w:rPr>
        <w:t>Seventh Circuit</w:t>
      </w:r>
      <w:r>
        <w:rPr>
          <w:rStyle w:val="Emphasis"/>
        </w:rPr>
        <w:t xml:space="preserve"> </w:t>
      </w:r>
      <w:r w:rsidRPr="00474E32">
        <w:rPr>
          <w:rStyle w:val="TitleChar"/>
        </w:rPr>
        <w:t>The first court to strike down parts of the BIA’s new PSG test was the Seventh Circuit</w:t>
      </w:r>
      <w:r w:rsidRPr="00474E32">
        <w:rPr>
          <w:sz w:val="14"/>
        </w:rPr>
        <w:t xml:space="preserve"> in </w:t>
      </w:r>
      <w:proofErr w:type="spellStart"/>
      <w:r w:rsidRPr="00474E32">
        <w:rPr>
          <w:sz w:val="14"/>
        </w:rPr>
        <w:t>Gatimi</w:t>
      </w:r>
      <w:proofErr w:type="spellEnd"/>
      <w:r w:rsidRPr="00474E32">
        <w:rPr>
          <w:sz w:val="14"/>
        </w:rPr>
        <w:t xml:space="preserve">, 578 F.3d at 616. In </w:t>
      </w:r>
      <w:proofErr w:type="spellStart"/>
      <w:r w:rsidRPr="00474E32">
        <w:rPr>
          <w:sz w:val="14"/>
        </w:rPr>
        <w:t>Gatimi</w:t>
      </w:r>
      <w:proofErr w:type="spellEnd"/>
      <w:r w:rsidRPr="00474E32">
        <w:rPr>
          <w:sz w:val="14"/>
        </w:rPr>
        <w:t xml:space="preserve">, the Court found that the social visibility requirement “makes no sense” and that the BIA has never attempted “to explain the reasoning behind the criterion of social visibility.” </w:t>
      </w:r>
      <w:r w:rsidRPr="00474E32">
        <w:rPr>
          <w:rStyle w:val="TitleChar"/>
        </w:rPr>
        <w:t>Because the BIA had been inconsistent in its use and explanation of the social</w:t>
      </w:r>
      <w:r>
        <w:rPr>
          <w:rStyle w:val="TitleChar"/>
        </w:rPr>
        <w:t xml:space="preserve"> </w:t>
      </w:r>
      <w:r w:rsidRPr="00474E32">
        <w:rPr>
          <w:rStyle w:val="TitleChar"/>
        </w:rPr>
        <w:t>visibility criterion, the Seventh Circuit declined to defer to the BIA’s interpretation</w:t>
      </w:r>
      <w:r w:rsidRPr="00474E32">
        <w:rPr>
          <w:sz w:val="14"/>
        </w:rPr>
        <w:t xml:space="preserve"> and rejected social visibility as a requirement for establishing membership in a PSG. </w:t>
      </w:r>
      <w:r w:rsidRPr="00474E32">
        <w:rPr>
          <w:rStyle w:val="TitleChar"/>
        </w:rPr>
        <w:t>Although the Seventh Circuit has not explicitly rejected the particularity requirement, several</w:t>
      </w:r>
      <w:r>
        <w:rPr>
          <w:rStyle w:val="TitleChar"/>
        </w:rPr>
        <w:t xml:space="preserve"> </w:t>
      </w:r>
      <w:r w:rsidRPr="00474E32">
        <w:rPr>
          <w:rStyle w:val="TitleChar"/>
        </w:rPr>
        <w:t>decisions after S-E-G- and E-A-G- directly contradict the BIA’s explanation of particularity</w:t>
      </w:r>
      <w:r w:rsidRPr="00474E32">
        <w:rPr>
          <w:sz w:val="14"/>
        </w:rPr>
        <w:t xml:space="preserve">. In particular, in </w:t>
      </w:r>
      <w:proofErr w:type="spellStart"/>
      <w:r w:rsidRPr="00474E32">
        <w:rPr>
          <w:sz w:val="14"/>
        </w:rPr>
        <w:t>Cece</w:t>
      </w:r>
      <w:proofErr w:type="spellEnd"/>
      <w:r w:rsidRPr="00474E32">
        <w:rPr>
          <w:sz w:val="14"/>
        </w:rPr>
        <w:t xml:space="preserve"> v. Holder, 733 F.3d 662 (7th Cir. 2013), the </w:t>
      </w:r>
      <w:proofErr w:type="spellStart"/>
      <w:r w:rsidRPr="00474E32">
        <w:rPr>
          <w:sz w:val="14"/>
        </w:rPr>
        <w:t>en</w:t>
      </w:r>
      <w:proofErr w:type="spellEnd"/>
      <w:r w:rsidRPr="00474E32">
        <w:rPr>
          <w:sz w:val="14"/>
        </w:rPr>
        <w:t xml:space="preserve"> banc Seventh Circuit explicitly stated that the breadth of a protected ground has never been a per se bar to asylum and that it would be “antithetical to asylum law to deny refuge to a group of persecuted individuals who have valid claims merely because too many have valid claims.”3 </w:t>
      </w:r>
      <w:proofErr w:type="spellStart"/>
      <w:r w:rsidRPr="00474E32">
        <w:rPr>
          <w:sz w:val="14"/>
        </w:rPr>
        <w:t>Cece</w:t>
      </w:r>
      <w:proofErr w:type="spellEnd"/>
      <w:r w:rsidRPr="00474E32">
        <w:rPr>
          <w:sz w:val="14"/>
        </w:rPr>
        <w:t xml:space="preserve">, 733 F.3d at 674-75. Moreover, the </w:t>
      </w:r>
      <w:proofErr w:type="spellStart"/>
      <w:r w:rsidRPr="00474E32">
        <w:rPr>
          <w:sz w:val="14"/>
        </w:rPr>
        <w:t>Cece</w:t>
      </w:r>
      <w:proofErr w:type="spellEnd"/>
      <w:r w:rsidRPr="00474E32">
        <w:rPr>
          <w:sz w:val="14"/>
        </w:rPr>
        <w:t xml:space="preserve"> Court reaffirmed that the Seventh Circuit follows a pure, Acosta-only test for establishing membership in a PSG, in which a group need only be based on an immutable characteristic in order to be a viable social group. See </w:t>
      </w:r>
      <w:proofErr w:type="spellStart"/>
      <w:r w:rsidRPr="00474E32">
        <w:rPr>
          <w:sz w:val="14"/>
        </w:rPr>
        <w:t>Cece</w:t>
      </w:r>
      <w:proofErr w:type="spellEnd"/>
      <w:r w:rsidRPr="00474E32">
        <w:rPr>
          <w:sz w:val="14"/>
        </w:rPr>
        <w:t xml:space="preserve">, 733 F.3d at 669 (“This Circuit has deferred to the Board’s Acosta formulation of social group”), at 672 (explaining that it is not fair to analyze the group “merely based on the language used . . . we must look to see whether the group shares “common characteristics that members of the group either cannot change, or should not be required to change.”). </w:t>
      </w:r>
      <w:r w:rsidRPr="00474E32">
        <w:rPr>
          <w:rStyle w:val="Emphasis"/>
        </w:rPr>
        <w:t>Third Circuit</w:t>
      </w:r>
      <w:r>
        <w:rPr>
          <w:rStyle w:val="Emphasis"/>
        </w:rPr>
        <w:t xml:space="preserve"> </w:t>
      </w:r>
      <w:proofErr w:type="gramStart"/>
      <w:r w:rsidRPr="00474E32">
        <w:rPr>
          <w:sz w:val="14"/>
        </w:rPr>
        <w:t>In</w:t>
      </w:r>
      <w:proofErr w:type="gramEnd"/>
      <w:r w:rsidRPr="00474E32">
        <w:rPr>
          <w:sz w:val="14"/>
        </w:rPr>
        <w:t xml:space="preserve"> 2011, </w:t>
      </w:r>
      <w:r w:rsidRPr="00474E32">
        <w:rPr>
          <w:rStyle w:val="TitleChar"/>
        </w:rPr>
        <w:t>the Third Circuit joined the Seventh in rejecting social visibility and struck down the</w:t>
      </w:r>
      <w:r>
        <w:rPr>
          <w:rStyle w:val="TitleChar"/>
        </w:rPr>
        <w:t xml:space="preserve"> </w:t>
      </w:r>
      <w:r w:rsidRPr="00474E32">
        <w:rPr>
          <w:rStyle w:val="TitleChar"/>
        </w:rPr>
        <w:t>particularity requirement</w:t>
      </w:r>
      <w:r w:rsidRPr="00474E32">
        <w:rPr>
          <w:sz w:val="14"/>
        </w:rPr>
        <w:t xml:space="preserve"> as well. </w:t>
      </w:r>
      <w:proofErr w:type="spellStart"/>
      <w:r w:rsidRPr="00474E32">
        <w:rPr>
          <w:sz w:val="14"/>
        </w:rPr>
        <w:t>Valdiviezo-Galdamez</w:t>
      </w:r>
      <w:proofErr w:type="spellEnd"/>
      <w:r w:rsidRPr="00474E32">
        <w:rPr>
          <w:sz w:val="14"/>
        </w:rPr>
        <w:t xml:space="preserve"> v. Holder, 663 F.3d 582 (3d Cir. 2011). Like the Seventh Circuit, the Third Circuit declined to give Chevron deference to the BIA’s new PSG requirements because they were unreasonable additions to the PSG definition and inconsistent with prior BIA decisions. </w:t>
      </w:r>
      <w:r w:rsidRPr="00474E32">
        <w:rPr>
          <w:rStyle w:val="TitleChar"/>
        </w:rPr>
        <w:t>The Court also noted that it was “hard-pressed to discern</w:t>
      </w:r>
      <w:r>
        <w:rPr>
          <w:rStyle w:val="TitleChar"/>
        </w:rPr>
        <w:t xml:space="preserve"> </w:t>
      </w:r>
      <w:r w:rsidRPr="00474E32">
        <w:rPr>
          <w:rStyle w:val="TitleChar"/>
        </w:rPr>
        <w:t>any difference between the requirement of “particularity”</w:t>
      </w:r>
      <w:r w:rsidRPr="00474E32">
        <w:rPr>
          <w:sz w:val="14"/>
        </w:rPr>
        <w:t xml:space="preserve"> </w:t>
      </w:r>
      <w:r w:rsidRPr="00474E32">
        <w:rPr>
          <w:rStyle w:val="TitleChar"/>
        </w:rPr>
        <w:t>and the discredited requirement of</w:t>
      </w:r>
      <w:r>
        <w:rPr>
          <w:rStyle w:val="TitleChar"/>
        </w:rPr>
        <w:t xml:space="preserve"> </w:t>
      </w:r>
      <w:r w:rsidRPr="00474E32">
        <w:rPr>
          <w:rStyle w:val="TitleChar"/>
        </w:rPr>
        <w:t>“social visibility.”</w:t>
      </w:r>
      <w:r w:rsidRPr="00474E32">
        <w:rPr>
          <w:sz w:val="14"/>
        </w:rPr>
        <w:t xml:space="preserve"> Indeed, </w:t>
      </w:r>
      <w:r w:rsidRPr="00474E32">
        <w:rPr>
          <w:rStyle w:val="TitleChar"/>
        </w:rPr>
        <w:t>they appear to be different articulations of the same concept and the</w:t>
      </w:r>
      <w:r>
        <w:rPr>
          <w:rStyle w:val="TitleChar"/>
        </w:rPr>
        <w:t xml:space="preserve"> </w:t>
      </w:r>
      <w:r w:rsidRPr="00474E32">
        <w:rPr>
          <w:rStyle w:val="TitleChar"/>
        </w:rPr>
        <w:t>government’s attempt to distinguish the two oscillates between confusion and obfuscation,</w:t>
      </w:r>
      <w:r>
        <w:rPr>
          <w:rStyle w:val="TitleChar"/>
        </w:rPr>
        <w:t xml:space="preserve"> </w:t>
      </w:r>
      <w:r w:rsidRPr="00474E32">
        <w:rPr>
          <w:rStyle w:val="TitleChar"/>
        </w:rPr>
        <w:t>while at times both confusing and obfuscating.”</w:t>
      </w:r>
      <w:r w:rsidRPr="00474E32">
        <w:rPr>
          <w:sz w:val="14"/>
        </w:rPr>
        <w:t xml:space="preserve"> </w:t>
      </w:r>
      <w:proofErr w:type="spellStart"/>
      <w:r w:rsidRPr="00474E32">
        <w:rPr>
          <w:sz w:val="14"/>
        </w:rPr>
        <w:t>Valdiviezo-Galdamez</w:t>
      </w:r>
      <w:proofErr w:type="spellEnd"/>
      <w:r w:rsidRPr="00474E32">
        <w:rPr>
          <w:sz w:val="14"/>
        </w:rPr>
        <w:t xml:space="preserve">, 663 F.3d at 608. </w:t>
      </w:r>
      <w:r w:rsidRPr="00474E32">
        <w:rPr>
          <w:rStyle w:val="Emphasis"/>
        </w:rPr>
        <w:t>Ninth Circuit</w:t>
      </w:r>
      <w:r>
        <w:rPr>
          <w:rStyle w:val="Emphasis"/>
        </w:rPr>
        <w:t xml:space="preserve"> </w:t>
      </w:r>
      <w:r w:rsidRPr="00474E32">
        <w:rPr>
          <w:sz w:val="14"/>
        </w:rPr>
        <w:t xml:space="preserve">Unlike the Seventh and Third Circuits, the Ninth Circuit declined to reject social visibility and particularity. Henriquez-Rivas v. Holder, 707 F.3d 1081 (9th Cir. 2013)4. Significantly, however, </w:t>
      </w:r>
      <w:r w:rsidRPr="00474E32">
        <w:rPr>
          <w:rStyle w:val="TitleChar"/>
        </w:rPr>
        <w:t>the Court acknowledged that the BIA and the Ninth Circuit had both conflated the social visibility</w:t>
      </w:r>
      <w:r>
        <w:rPr>
          <w:rStyle w:val="TitleChar"/>
        </w:rPr>
        <w:t xml:space="preserve"> </w:t>
      </w:r>
      <w:r w:rsidRPr="00474E32">
        <w:rPr>
          <w:rStyle w:val="TitleChar"/>
        </w:rPr>
        <w:t>and particularity tests at time</w:t>
      </w:r>
      <w:r w:rsidRPr="00474E32">
        <w:rPr>
          <w:sz w:val="14"/>
        </w:rPr>
        <w:t>s. Id. at 1090-</w:t>
      </w:r>
      <w:r w:rsidRPr="00474E32">
        <w:rPr>
          <w:sz w:val="14"/>
        </w:rPr>
        <w:lastRenderedPageBreak/>
        <w:t xml:space="preserve">91. </w:t>
      </w:r>
      <w:r w:rsidRPr="00474E32">
        <w:rPr>
          <w:rStyle w:val="TitleChar"/>
        </w:rPr>
        <w:t>The Court explicitly clarified that a PSG need</w:t>
      </w:r>
      <w:r>
        <w:rPr>
          <w:rStyle w:val="TitleChar"/>
        </w:rPr>
        <w:t xml:space="preserve"> </w:t>
      </w:r>
      <w:r w:rsidRPr="00474E32">
        <w:rPr>
          <w:rStyle w:val="TitleChar"/>
        </w:rPr>
        <w:t>not be homogenous and overruled its prior precedent</w:t>
      </w:r>
      <w:r w:rsidRPr="00474E32">
        <w:rPr>
          <w:sz w:val="14"/>
        </w:rPr>
        <w:t xml:space="preserve"> decisions that seemed to indicate otherwise. Id. at 1093-94. The Court also noted that although the BIA has not made clear whose perspective is relevant in determining social visibility, it believes the perception of the persecutor may matter the most. Id. at 1089-90. IV. </w:t>
      </w:r>
      <w:r w:rsidRPr="00474E32">
        <w:rPr>
          <w:rStyle w:val="Emphasis"/>
        </w:rPr>
        <w:t>Rolling Back the Courts’ Progress</w:t>
      </w:r>
      <w:r w:rsidRPr="00474E32">
        <w:rPr>
          <w:sz w:val="14"/>
        </w:rPr>
        <w:t>: Matter of M-E-V-G and Matter of W-G-</w:t>
      </w:r>
      <w:proofErr w:type="spellStart"/>
      <w:r w:rsidRPr="00474E32">
        <w:rPr>
          <w:sz w:val="14"/>
        </w:rPr>
        <w:t>RDespite</w:t>
      </w:r>
      <w:proofErr w:type="spellEnd"/>
      <w:r w:rsidRPr="00474E32">
        <w:rPr>
          <w:sz w:val="14"/>
        </w:rPr>
        <w:t xml:space="preserve"> the criticism of the Courts of Appeals, in February 2014, the BIA issued two decisions, Matter of M-E-V-G-, 26 I&amp;N Dec. 227 (BIA 2014)5 and Matter of W-G-R-, 26 I&amp;N Dec. 20 (BIA 2014), which restated and emphasized the BIA’s decision in S-E-G-. In M-E-V-G-, </w:t>
      </w:r>
      <w:r w:rsidRPr="00474E32">
        <w:rPr>
          <w:rStyle w:val="TitleChar"/>
        </w:rPr>
        <w:t>the BIA clarified</w:t>
      </w:r>
      <w:r>
        <w:rPr>
          <w:rStyle w:val="TitleChar"/>
        </w:rPr>
        <w:t xml:space="preserve"> </w:t>
      </w:r>
      <w:r w:rsidRPr="00474E32">
        <w:rPr>
          <w:rStyle w:val="TitleChar"/>
        </w:rPr>
        <w:t xml:space="preserve">that social visibility does not mean literal visibility, </w:t>
      </w:r>
      <w:r w:rsidRPr="00474E32">
        <w:t>but instead refers to whether the PSG is recognized within society as a distinct entity</w:t>
      </w:r>
      <w:r w:rsidRPr="00474E32">
        <w:rPr>
          <w:sz w:val="14"/>
        </w:rPr>
        <w:t xml:space="preserve">. 26 I&amp;N Dec. at 240-41. </w:t>
      </w:r>
      <w:r w:rsidRPr="00474E32">
        <w:rPr>
          <w:rStyle w:val="TitleChar"/>
        </w:rPr>
        <w:t>The BIA therefore</w:t>
      </w:r>
      <w:r>
        <w:rPr>
          <w:rStyle w:val="TitleChar"/>
        </w:rPr>
        <w:t xml:space="preserve"> </w:t>
      </w:r>
      <w:r w:rsidRPr="00474E32">
        <w:rPr>
          <w:rStyle w:val="TitleChar"/>
        </w:rPr>
        <w:t>renamed the requirement “social distinction.” The decisions do not provide any new clarification</w:t>
      </w:r>
      <w:r>
        <w:rPr>
          <w:rStyle w:val="TitleChar"/>
        </w:rPr>
        <w:t xml:space="preserve"> </w:t>
      </w:r>
      <w:r w:rsidRPr="00474E32">
        <w:rPr>
          <w:rStyle w:val="TitleChar"/>
        </w:rPr>
        <w:t>or interpretation of the “particularity” requirement, but include some troubling dicta</w:t>
      </w:r>
      <w:r w:rsidRPr="00474E32">
        <w:rPr>
          <w:sz w:val="14"/>
        </w:rPr>
        <w:t xml:space="preserve">. For example, in W-G-R-, </w:t>
      </w:r>
      <w:r w:rsidRPr="00474E32">
        <w:rPr>
          <w:rStyle w:val="TitleChar"/>
        </w:rPr>
        <w:t>the BIA applied the particularity test to a PSG composed of former gang</w:t>
      </w:r>
      <w:r>
        <w:rPr>
          <w:rStyle w:val="TitleChar"/>
        </w:rPr>
        <w:t xml:space="preserve"> </w:t>
      </w:r>
      <w:r w:rsidRPr="00474E32">
        <w:rPr>
          <w:rStyle w:val="TitleChar"/>
        </w:rPr>
        <w:t>members. The BIA held that such a group failed the “particularity” requirement because “the</w:t>
      </w:r>
      <w:r>
        <w:rPr>
          <w:rStyle w:val="TitleChar"/>
        </w:rPr>
        <w:t xml:space="preserve"> </w:t>
      </w:r>
      <w:r w:rsidRPr="00474E32">
        <w:rPr>
          <w:rStyle w:val="TitleChar"/>
        </w:rPr>
        <w:t>group could include persons of any age, sex, or background,”</w:t>
      </w:r>
      <w:r w:rsidRPr="00474E32">
        <w:rPr>
          <w:sz w:val="14"/>
        </w:rPr>
        <w:t xml:space="preserve"> </w:t>
      </w:r>
      <w:r w:rsidRPr="00474E32">
        <w:rPr>
          <w:rStyle w:val="TitleChar"/>
        </w:rPr>
        <w:t>despite having previously noted</w:t>
      </w:r>
      <w:r w:rsidRPr="00474E32">
        <w:rPr>
          <w:sz w:val="14"/>
        </w:rPr>
        <w:t xml:space="preserve"> in Matter of C-A-, 23 I&amp;N Dec. 951, 956-57 (BIA 2006), </w:t>
      </w:r>
      <w:r w:rsidRPr="00474E32">
        <w:rPr>
          <w:rStyle w:val="TitleChar"/>
        </w:rPr>
        <w:t>that homogeneity was not a requirement</w:t>
      </w:r>
      <w:r>
        <w:rPr>
          <w:rStyle w:val="TitleChar"/>
        </w:rPr>
        <w:t xml:space="preserve"> </w:t>
      </w:r>
      <w:r w:rsidRPr="00474E32">
        <w:rPr>
          <w:rStyle w:val="TitleChar"/>
        </w:rPr>
        <w:t>for PSG membership</w:t>
      </w:r>
      <w:r w:rsidRPr="00474E32">
        <w:rPr>
          <w:sz w:val="14"/>
        </w:rPr>
        <w:t xml:space="preserve">. 26 I&amp;N Dec. at 221.6 According to the BIA, such a group would need to be defined with additional specificity, such as defining the group by “the duration or strength of the members’ active participation in the activity and the </w:t>
      </w:r>
      <w:proofErr w:type="spellStart"/>
      <w:r w:rsidRPr="00474E32">
        <w:rPr>
          <w:sz w:val="14"/>
        </w:rPr>
        <w:t>recency</w:t>
      </w:r>
      <w:proofErr w:type="spellEnd"/>
      <w:r w:rsidRPr="00474E32">
        <w:rPr>
          <w:sz w:val="14"/>
        </w:rPr>
        <w:t xml:space="preserve"> of their active participation.” Id. at 222. </w:t>
      </w:r>
      <w:r w:rsidRPr="00474E32">
        <w:rPr>
          <w:rStyle w:val="TitleChar"/>
        </w:rPr>
        <w:t>The BIA claimed its intention in issuing the two decisions was to “provide guidance to courts and</w:t>
      </w:r>
      <w:r>
        <w:rPr>
          <w:rStyle w:val="TitleChar"/>
        </w:rPr>
        <w:t xml:space="preserve"> </w:t>
      </w:r>
      <w:r w:rsidRPr="00474E32">
        <w:rPr>
          <w:rStyle w:val="TitleChar"/>
        </w:rPr>
        <w:t>those seeking asylum,”</w:t>
      </w:r>
      <w:r w:rsidRPr="00474E32">
        <w:rPr>
          <w:sz w:val="14"/>
        </w:rPr>
        <w:t xml:space="preserve"> M-E-V-G-, 26 I&amp;N Dec. at 234, citing FCC v. Fox Television Stations, Inc., 556 U.S. 502, 515-16 (2009). </w:t>
      </w:r>
      <w:r w:rsidRPr="00474E32">
        <w:rPr>
          <w:rStyle w:val="TitleChar"/>
        </w:rPr>
        <w:t>The decisions, however, suffer from the same errors as S-E-</w:t>
      </w:r>
      <w:proofErr w:type="spellStart"/>
      <w:r w:rsidRPr="00474E32">
        <w:rPr>
          <w:rStyle w:val="TitleChar"/>
        </w:rPr>
        <w:t>Gand</w:t>
      </w:r>
      <w:proofErr w:type="spellEnd"/>
      <w:r>
        <w:rPr>
          <w:rStyle w:val="TitleChar"/>
        </w:rPr>
        <w:t xml:space="preserve"> </w:t>
      </w:r>
      <w:r w:rsidRPr="00474E32">
        <w:rPr>
          <w:rStyle w:val="TitleChar"/>
        </w:rPr>
        <w:t>E-A-G-, and are made worse by the fact that M-E-V-G- and W-G-R- seek to rationalize a legal</w:t>
      </w:r>
      <w:r>
        <w:rPr>
          <w:rStyle w:val="TitleChar"/>
        </w:rPr>
        <w:t xml:space="preserve"> </w:t>
      </w:r>
      <w:r w:rsidRPr="00474E32">
        <w:rPr>
          <w:rStyle w:val="TitleChar"/>
        </w:rPr>
        <w:t>test that is simply irreconcilable with existing domestic and international asylum law</w:t>
      </w:r>
      <w:r w:rsidRPr="00474E32">
        <w:rPr>
          <w:sz w:val="14"/>
        </w:rPr>
        <w:t xml:space="preserve">. </w:t>
      </w:r>
      <w:r w:rsidRPr="00474E32">
        <w:rPr>
          <w:rStyle w:val="Emphasis"/>
        </w:rPr>
        <w:t>These</w:t>
      </w:r>
      <w:r>
        <w:rPr>
          <w:rStyle w:val="Emphasis"/>
        </w:rPr>
        <w:t xml:space="preserve"> </w:t>
      </w:r>
      <w:r w:rsidRPr="00474E32">
        <w:rPr>
          <w:rStyle w:val="Emphasis"/>
        </w:rPr>
        <w:t>errors continued in the BIA’s August 2014 decision, Matter of A-R-C-G</w:t>
      </w:r>
      <w:r w:rsidRPr="00474E32">
        <w:rPr>
          <w:sz w:val="14"/>
        </w:rPr>
        <w:t xml:space="preserve">-, 26 I&amp;N Dec. 388 (BIA 2014), </w:t>
      </w:r>
      <w:r w:rsidRPr="00474E32">
        <w:rPr>
          <w:rStyle w:val="TitleChar"/>
        </w:rPr>
        <w:t>in which it found that the group of “married women in Guatemala who are unable to</w:t>
      </w:r>
      <w:r>
        <w:rPr>
          <w:rStyle w:val="TitleChar"/>
        </w:rPr>
        <w:t xml:space="preserve"> </w:t>
      </w:r>
      <w:r w:rsidRPr="00474E32">
        <w:rPr>
          <w:rStyle w:val="TitleChar"/>
        </w:rPr>
        <w:t>leave their relationship” was socially distinct and sufficiently particular. While this decision</w:t>
      </w:r>
      <w:r>
        <w:rPr>
          <w:rStyle w:val="TitleChar"/>
        </w:rPr>
        <w:t xml:space="preserve"> </w:t>
      </w:r>
      <w:r w:rsidRPr="00474E32">
        <w:rPr>
          <w:rStyle w:val="TitleChar"/>
        </w:rPr>
        <w:t xml:space="preserve">provided much-needed recognition that domestic violence survivors </w:t>
      </w:r>
      <w:r w:rsidRPr="00A10D6F">
        <w:rPr>
          <w:rStyle w:val="Emphasis"/>
        </w:rPr>
        <w:t>can be</w:t>
      </w:r>
      <w:r w:rsidRPr="00474E32">
        <w:rPr>
          <w:rStyle w:val="TitleChar"/>
        </w:rPr>
        <w:t xml:space="preserve"> eligible for asylum,</w:t>
      </w:r>
      <w:r>
        <w:rPr>
          <w:rStyle w:val="TitleChar"/>
        </w:rPr>
        <w:t xml:space="preserve"> </w:t>
      </w:r>
      <w:r w:rsidRPr="00474E32">
        <w:rPr>
          <w:rStyle w:val="TitleChar"/>
        </w:rPr>
        <w:t xml:space="preserve">the BIA’s particular social group analysis </w:t>
      </w:r>
      <w:r w:rsidRPr="00474E32">
        <w:rPr>
          <w:rStyle w:val="Emphasis"/>
        </w:rPr>
        <w:t>remained inconsistent</w:t>
      </w:r>
      <w:r w:rsidRPr="00474E32">
        <w:rPr>
          <w:rStyle w:val="TitleChar"/>
        </w:rPr>
        <w:t xml:space="preserve"> with prior BIA case law and</w:t>
      </w:r>
      <w:r>
        <w:rPr>
          <w:rStyle w:val="TitleChar"/>
        </w:rPr>
        <w:t xml:space="preserve"> </w:t>
      </w:r>
      <w:r w:rsidRPr="00474E32">
        <w:rPr>
          <w:rStyle w:val="Emphasis"/>
        </w:rPr>
        <w:t xml:space="preserve">extremely problematic. </w:t>
      </w:r>
    </w:p>
    <w:p w:rsidR="00A31403" w:rsidRDefault="00A31403" w:rsidP="00A31403">
      <w:pPr>
        <w:pStyle w:val="Heading3"/>
      </w:pPr>
      <w:r w:rsidRPr="00A31403">
        <w:lastRenderedPageBreak/>
        <w:t xml:space="preserve">2AC – Counter </w:t>
      </w:r>
      <w:proofErr w:type="spellStart"/>
      <w:r w:rsidRPr="00A31403">
        <w:t>Interp</w:t>
      </w:r>
      <w:proofErr w:type="spellEnd"/>
    </w:p>
    <w:p w:rsidR="00A31403" w:rsidRPr="007C1B43" w:rsidRDefault="0023219C" w:rsidP="00A31403">
      <w:pPr>
        <w:pStyle w:val="Heading4"/>
      </w:pPr>
      <w:r>
        <w:t xml:space="preserve">A </w:t>
      </w:r>
      <w:r w:rsidR="00A31403" w:rsidRPr="007C1B43">
        <w:t xml:space="preserve">‘Restriction’ is not </w:t>
      </w:r>
      <w:r>
        <w:t>merely a quantitative prohibition</w:t>
      </w:r>
      <w:r w:rsidR="00A31403" w:rsidRPr="007C1B43">
        <w:t xml:space="preserve"> – </w:t>
      </w:r>
      <w:r>
        <w:t>it can contain any guiding constraint that serves the function of a limitation</w:t>
      </w:r>
      <w:r w:rsidR="00A31403" w:rsidRPr="007C1B43">
        <w:t xml:space="preserve"> </w:t>
      </w:r>
    </w:p>
    <w:p w:rsidR="00A31403" w:rsidRDefault="009907F4" w:rsidP="00A31403">
      <w:proofErr w:type="spellStart"/>
      <w:r w:rsidRPr="009907F4">
        <w:rPr>
          <w:rStyle w:val="Style13ptBold"/>
        </w:rPr>
        <w:t>Yanovich</w:t>
      </w:r>
      <w:proofErr w:type="spellEnd"/>
      <w:r w:rsidRPr="009907F4">
        <w:rPr>
          <w:rStyle w:val="Style13ptBold"/>
        </w:rPr>
        <w:t xml:space="preserve"> ’11</w:t>
      </w:r>
      <w:r>
        <w:t xml:space="preserve"> [</w:t>
      </w:r>
      <w:r w:rsidR="00A31403">
        <w:t xml:space="preserve">Alan </w:t>
      </w:r>
      <w:proofErr w:type="spellStart"/>
      <w:r w:rsidR="00A31403" w:rsidRPr="009907F4">
        <w:t>Yanovich</w:t>
      </w:r>
      <w:proofErr w:type="spellEnd"/>
      <w:r w:rsidR="00A31403">
        <w:t xml:space="preserve"> (Counselor at the WTO Appellate Body Secretariat, where he has worked since 2001. He was a legal adviser at the General Secretariat of the Andean Community from 1997 to 2001. Prior to that, he was a Commercial Secretary at the Colombian Government Trade Bureau in Washington, DC. </w:t>
      </w:r>
      <w:proofErr w:type="spellStart"/>
      <w:r w:rsidR="00A31403">
        <w:t>Mr</w:t>
      </w:r>
      <w:proofErr w:type="spellEnd"/>
      <w:r w:rsidR="00A31403">
        <w:t xml:space="preserve"> </w:t>
      </w:r>
      <w:proofErr w:type="spellStart"/>
      <w:r w:rsidR="00A31403">
        <w:t>Yanovich</w:t>
      </w:r>
      <w:proofErr w:type="spellEnd"/>
      <w:r w:rsidR="00A31403">
        <w:t xml:space="preserve"> has a J.D. from Georgetown University) </w:t>
      </w:r>
      <w:r w:rsidR="00A31403" w:rsidRPr="009907F4">
        <w:t>2011</w:t>
      </w:r>
      <w:r w:rsidR="00A31403">
        <w:t xml:space="preserve"> “Regulation of Energy in International Trade Law: </w:t>
      </w:r>
      <w:proofErr w:type="spellStart"/>
      <w:r w:rsidR="00A31403">
        <w:t>Wto</w:t>
      </w:r>
      <w:proofErr w:type="spellEnd"/>
      <w:r w:rsidR="00A31403">
        <w:t xml:space="preserve">, </w:t>
      </w:r>
      <w:proofErr w:type="spellStart"/>
      <w:r w:rsidR="00A31403">
        <w:t>Nafta</w:t>
      </w:r>
      <w:proofErr w:type="spellEnd"/>
      <w:r w:rsidR="00A31403">
        <w:t xml:space="preserve"> and Energy Charter” p. 6</w:t>
      </w:r>
      <w:r>
        <w:t>]</w:t>
      </w:r>
    </w:p>
    <w:p w:rsidR="00A31403" w:rsidRDefault="00A31403" w:rsidP="00A31403"/>
    <w:p w:rsidR="00A31403" w:rsidRDefault="00A31403" w:rsidP="00A31403">
      <w:pPr>
        <w:rPr>
          <w:sz w:val="16"/>
        </w:rPr>
      </w:pPr>
      <w:r w:rsidRPr="009841BB">
        <w:rPr>
          <w:sz w:val="16"/>
        </w:rPr>
        <w:t xml:space="preserve">Article Xl of the GATT 1994 provides that no prohibitions or restrictions, other than duties, taxes or other charges, shall be applied by any WTO Member on the importation of any product or on the exportation or sale for export of any product. Several </w:t>
      </w:r>
      <w:r w:rsidRPr="009841BB">
        <w:rPr>
          <w:rStyle w:val="TitleChar"/>
        </w:rPr>
        <w:t>WTO dispute settlement panels have interpreted the term ‘restriction’ in a broad manner and have emphasized that the obligation in this provision as not limited to absolute prohibitions or numerical quotas: The question of whether [the] measure can appropriately be described as a restriction on importation turns on the issue of whether Article Xl can be considered to cover situations where products are technically allowed into the market without an express formal quantitative restriction, but are only allowed under certain conditions which make the importation more onerous than if he condition had not existed</w:t>
      </w:r>
      <w:r w:rsidRPr="009841BB">
        <w:rPr>
          <w:sz w:val="16"/>
        </w:rPr>
        <w:t xml:space="preserve">, thus generating a disincentive to import. </w:t>
      </w:r>
      <w:r w:rsidRPr="009841BB">
        <w:rPr>
          <w:rStyle w:val="TitleChar"/>
        </w:rPr>
        <w:t xml:space="preserve">On a plain reading, </w:t>
      </w:r>
      <w:proofErr w:type="gramStart"/>
      <w:r w:rsidRPr="009841BB">
        <w:rPr>
          <w:rStyle w:val="TitleChar"/>
        </w:rPr>
        <w:t>It</w:t>
      </w:r>
      <w:proofErr w:type="gramEnd"/>
      <w:r w:rsidRPr="009841BB">
        <w:rPr>
          <w:rStyle w:val="TitleChar"/>
        </w:rPr>
        <w:t xml:space="preserve"> is clear that a restriction’ need not be a blanket prohibition or a precise numerical limit. Indeed, the term restriction’ cannot mean merely ‘prohibitions’ on importation</w:t>
      </w:r>
      <w:r w:rsidRPr="009841BB">
        <w:rPr>
          <w:sz w:val="16"/>
        </w:rPr>
        <w:t xml:space="preserve">. since Article </w:t>
      </w:r>
      <w:proofErr w:type="gramStart"/>
      <w:r w:rsidRPr="009841BB">
        <w:rPr>
          <w:sz w:val="16"/>
        </w:rPr>
        <w:t>XI:I</w:t>
      </w:r>
      <w:proofErr w:type="gramEnd"/>
      <w:r w:rsidRPr="009841BB">
        <w:rPr>
          <w:sz w:val="16"/>
        </w:rPr>
        <w:t xml:space="preserve"> expressly covers both ‘prohibition or restriction’. Furthermore, the Panel considers that </w:t>
      </w:r>
      <w:r w:rsidRPr="009841BB">
        <w:rPr>
          <w:rStyle w:val="TitleChar"/>
        </w:rPr>
        <w:t>the expression ‘limiting condition’</w:t>
      </w:r>
      <w:r w:rsidRPr="009841BB">
        <w:rPr>
          <w:sz w:val="16"/>
        </w:rPr>
        <w:t xml:space="preserve"> </w:t>
      </w:r>
      <w:r w:rsidRPr="009841BB">
        <w:rPr>
          <w:rStyle w:val="TitleChar"/>
        </w:rPr>
        <w:t>used</w:t>
      </w:r>
      <w:r w:rsidRPr="009841BB">
        <w:rPr>
          <w:sz w:val="16"/>
        </w:rPr>
        <w:t xml:space="preserve"> by the India — Quantitative Restrictions panel </w:t>
      </w:r>
      <w:r w:rsidRPr="009841BB">
        <w:rPr>
          <w:rStyle w:val="TitleChar"/>
        </w:rPr>
        <w:t>to define the term ‘restriction’</w:t>
      </w:r>
      <w:r w:rsidRPr="009841BB">
        <w:rPr>
          <w:sz w:val="16"/>
        </w:rPr>
        <w:t xml:space="preserve"> and which this Panel endorses, </w:t>
      </w:r>
      <w:r w:rsidRPr="009841BB">
        <w:rPr>
          <w:rStyle w:val="TitleChar"/>
        </w:rPr>
        <w:t>is helpful in identifying the scope of the notion in the context of the fact before it. That phrase suggests the need to identify not merely a condition placed on importation, but a condition that is limiting</w:t>
      </w:r>
      <w:r w:rsidRPr="009841BB">
        <w:rPr>
          <w:sz w:val="16"/>
        </w:rPr>
        <w:t xml:space="preserve">, i.e. </w:t>
      </w:r>
      <w:r w:rsidRPr="009841BB">
        <w:rPr>
          <w:rStyle w:val="TitleChar"/>
        </w:rPr>
        <w:t>that has a limiting effect</w:t>
      </w:r>
      <w:r w:rsidRPr="009841BB">
        <w:rPr>
          <w:sz w:val="16"/>
        </w:rPr>
        <w:t xml:space="preserve">. In the context of Article Xl. that limiting effect must be on importation itself.21 </w:t>
      </w:r>
    </w:p>
    <w:p w:rsidR="00A31403" w:rsidRDefault="0023219C" w:rsidP="00A31403">
      <w:pPr>
        <w:pStyle w:val="Heading4"/>
      </w:pPr>
      <w:r>
        <w:t>Non-enforcement of a</w:t>
      </w:r>
      <w:r w:rsidR="00A31403">
        <w:t xml:space="preserve"> restriction removes it even if it </w:t>
      </w:r>
      <w:r>
        <w:t>is still technically “on the books”</w:t>
      </w:r>
    </w:p>
    <w:p w:rsidR="00A31403" w:rsidRDefault="00A31403" w:rsidP="00A31403">
      <w:r w:rsidRPr="009907F4">
        <w:rPr>
          <w:rStyle w:val="Style13ptBold"/>
        </w:rPr>
        <w:t xml:space="preserve">Berger </w:t>
      </w:r>
      <w:r w:rsidR="009907F4">
        <w:rPr>
          <w:rStyle w:val="Style13ptBold"/>
        </w:rPr>
        <w:t>‘</w:t>
      </w:r>
      <w:r w:rsidRPr="009907F4">
        <w:rPr>
          <w:rStyle w:val="Style13ptBold"/>
        </w:rPr>
        <w:t>1</w:t>
      </w:r>
      <w:r w:rsidR="009907F4">
        <w:t xml:space="preserve"> [</w:t>
      </w:r>
      <w:r>
        <w:t>Justice for the Supreme Court of Delaware - Opinion, INDUSTRIAL RENTALS, INC., ISAAC BUDOVITCH and FLORENCE BUDOVITCH, Appellants Below, Appellants, v. NEW CASTLE COUNTY BOARD OF ADJUSTMENT and NEW CASTLE COUNTY DEPARTMENT OF LAND USE, Appellees Below, Appellees. No. 233, 2000SUPREME COURT OF DELAWARE776 A.2d 528; 2001 Del. LEXIS 300April 10, 2001, Submitted July 17, 2001, Decided lexis</w:t>
      </w:r>
      <w:r w:rsidR="009907F4">
        <w:t>]</w:t>
      </w:r>
      <w:r>
        <w:t xml:space="preserve"> </w:t>
      </w:r>
    </w:p>
    <w:p w:rsidR="00A31403" w:rsidRDefault="00A31403" w:rsidP="00A31403"/>
    <w:p w:rsidR="00A31403" w:rsidRDefault="00A31403" w:rsidP="00A31403">
      <w:pPr>
        <w:rPr>
          <w:sz w:val="16"/>
        </w:rPr>
      </w:pPr>
      <w:r w:rsidRPr="009907F4">
        <w:rPr>
          <w:sz w:val="16"/>
        </w:rPr>
        <w:t xml:space="preserve">We disagree.  Statutes must be read as a whole and all the words must be given effect. 3 </w:t>
      </w:r>
      <w:r w:rsidRPr="009907F4">
        <w:rPr>
          <w:rStyle w:val="TitleChar"/>
        </w:rPr>
        <w:t>The word "restriction" means "a limitation (esp. in a deed) placed on the use or enjoyment of property</w:t>
      </w:r>
      <w:r w:rsidRPr="009907F4">
        <w:rPr>
          <w:sz w:val="16"/>
        </w:rPr>
        <w:t xml:space="preserve">." 4 </w:t>
      </w:r>
      <w:r w:rsidRPr="009907F4">
        <w:rPr>
          <w:rStyle w:val="TitleChar"/>
        </w:rPr>
        <w:t>If a</w:t>
      </w:r>
      <w:r w:rsidRPr="009907F4">
        <w:rPr>
          <w:sz w:val="16"/>
        </w:rPr>
        <w:t xml:space="preserve"> deed </w:t>
      </w:r>
      <w:r w:rsidRPr="009907F4">
        <w:rPr>
          <w:rStyle w:val="TitleChar"/>
        </w:rPr>
        <w:t>restriction</w:t>
      </w:r>
      <w:r w:rsidRPr="009907F4">
        <w:rPr>
          <w:sz w:val="16"/>
        </w:rPr>
        <w:t xml:space="preserve"> has been satisfied, and </w:t>
      </w:r>
      <w:r w:rsidRPr="009907F4">
        <w:rPr>
          <w:rStyle w:val="TitleChar"/>
        </w:rPr>
        <w:t xml:space="preserve">no longer limits the use or enjoyment of the property, then </w:t>
      </w:r>
      <w:r w:rsidRPr="009907F4">
        <w:rPr>
          <w:rStyle w:val="Emphasis"/>
          <w:rFonts w:eastAsiaTheme="majorEastAsia"/>
        </w:rPr>
        <w:t>it no longer is a deed restriction</w:t>
      </w:r>
      <w:r w:rsidRPr="009907F4">
        <w:rPr>
          <w:sz w:val="16"/>
        </w:rPr>
        <w:t xml:space="preserve"> -- </w:t>
      </w:r>
      <w:r w:rsidRPr="009907F4">
        <w:rPr>
          <w:rStyle w:val="Emphasis"/>
          <w:rFonts w:eastAsiaTheme="majorEastAsia"/>
        </w:rPr>
        <w:t>even though the paper on which it was written remains</w:t>
      </w:r>
      <w:r w:rsidRPr="009907F4">
        <w:rPr>
          <w:sz w:val="16"/>
        </w:rPr>
        <w:t>.  [**6</w:t>
      </w:r>
      <w:proofErr w:type="gramStart"/>
      <w:r w:rsidRPr="009907F4">
        <w:rPr>
          <w:sz w:val="16"/>
        </w:rPr>
        <w:t>]  Thus</w:t>
      </w:r>
      <w:proofErr w:type="gramEnd"/>
      <w:r w:rsidRPr="009907F4">
        <w:rPr>
          <w:sz w:val="16"/>
        </w:rPr>
        <w:t xml:space="preserve">, the phrase "projects containing deed restrictions requiring phasing…," in Section 11.130(A)(7) means presently existing deed restrictions. As of June 1988, the </w:t>
      </w:r>
      <w:proofErr w:type="spellStart"/>
      <w:r w:rsidRPr="009907F4">
        <w:rPr>
          <w:sz w:val="16"/>
        </w:rPr>
        <w:t>Acierno</w:t>
      </w:r>
      <w:proofErr w:type="spellEnd"/>
      <w:r w:rsidRPr="009907F4">
        <w:rPr>
          <w:sz w:val="16"/>
        </w:rPr>
        <w:t>/Marta Declaration contained no remaining deed restrictions requiring phasing to coincide with improvements.</w:t>
      </w:r>
    </w:p>
    <w:p w:rsidR="00A31403" w:rsidRDefault="00A31403" w:rsidP="00A31403"/>
    <w:p w:rsidR="00A31403" w:rsidRDefault="00A31403" w:rsidP="00A31403">
      <w:pPr>
        <w:pStyle w:val="Heading4"/>
      </w:pPr>
      <w:r>
        <w:lastRenderedPageBreak/>
        <w:t>Gutting enforcement</w:t>
      </w:r>
      <w:r w:rsidR="0023219C">
        <w:t xml:space="preserve"> of a restriction</w:t>
      </w:r>
      <w:r>
        <w:t xml:space="preserve"> </w:t>
      </w:r>
      <w:r w:rsidR="0023219C">
        <w:t>equates to</w:t>
      </w:r>
      <w:r>
        <w:t xml:space="preserve"> reducing </w:t>
      </w:r>
      <w:r w:rsidR="0023219C">
        <w:t>it</w:t>
      </w:r>
    </w:p>
    <w:p w:rsidR="00A31403" w:rsidRPr="007B1F8B" w:rsidRDefault="00A31403" w:rsidP="00A31403">
      <w:pPr>
        <w:rPr>
          <w:b/>
        </w:rPr>
      </w:pPr>
      <w:r w:rsidRPr="009907F4">
        <w:rPr>
          <w:rStyle w:val="Style13ptBold"/>
        </w:rPr>
        <w:t xml:space="preserve">Kay </w:t>
      </w:r>
      <w:r w:rsidR="009907F4" w:rsidRPr="009907F4">
        <w:rPr>
          <w:rStyle w:val="Style13ptBold"/>
        </w:rPr>
        <w:t>‘</w:t>
      </w:r>
      <w:r w:rsidRPr="009907F4">
        <w:rPr>
          <w:rStyle w:val="Style13ptBold"/>
        </w:rPr>
        <w:t>89</w:t>
      </w:r>
      <w:r w:rsidR="009907F4">
        <w:rPr>
          <w:b/>
        </w:rPr>
        <w:t xml:space="preserve"> </w:t>
      </w:r>
      <w:r w:rsidR="009907F4">
        <w:t>[</w:t>
      </w:r>
      <w:proofErr w:type="spellStart"/>
      <w:r>
        <w:t>Recueil</w:t>
      </w:r>
      <w:proofErr w:type="spellEnd"/>
      <w:r>
        <w:t xml:space="preserve"> Des </w:t>
      </w:r>
      <w:proofErr w:type="spellStart"/>
      <w:r>
        <w:t>Cours</w:t>
      </w:r>
      <w:proofErr w:type="spellEnd"/>
      <w:r>
        <w:t>, 1989-</w:t>
      </w:r>
      <w:proofErr w:type="gramStart"/>
      <w:r>
        <w:t xml:space="preserve">III </w:t>
      </w:r>
      <w:r w:rsidR="009907F4">
        <w:t>,</w:t>
      </w:r>
      <w:proofErr w:type="gramEnd"/>
      <w:r w:rsidR="009907F4">
        <w:t xml:space="preserve"> </w:t>
      </w:r>
      <w:r>
        <w:t xml:space="preserve">Herma Hill Kay, </w:t>
      </w:r>
      <w:proofErr w:type="spellStart"/>
      <w:r>
        <w:t>Academie</w:t>
      </w:r>
      <w:proofErr w:type="spellEnd"/>
      <w:r>
        <w:t xml:space="preserve"> De Droit International De La </w:t>
      </w:r>
      <w:proofErr w:type="spellStart"/>
      <w:r>
        <w:t>Haye</w:t>
      </w:r>
      <w:proofErr w:type="spellEnd"/>
      <w:r>
        <w:t xml:space="preserve">, </w:t>
      </w:r>
      <w:proofErr w:type="spellStart"/>
      <w:r>
        <w:t>Academie</w:t>
      </w:r>
      <w:proofErr w:type="spellEnd"/>
      <w:r>
        <w:t xml:space="preserve"> de Droit International</w:t>
      </w:r>
      <w:r w:rsidR="009907F4">
        <w:t xml:space="preserve">, </w:t>
      </w:r>
      <w:r>
        <w:t xml:space="preserve">The Academy is an institution for the study &amp; teaching of public &amp; private international law &amp; related subjects. Its purpose is to encourage a thorough &amp; impartial examination of the problems arising from international relations in the field of law. The courses deal with the theoretical &amp; practical aspects of the subject, including legislation &amp; case law. All courses at the Academy are, in principle, published in the language in which they were delivered in the Collected Courses of </w:t>
      </w:r>
      <w:proofErr w:type="gramStart"/>
      <w:r>
        <w:t>the Hague</w:t>
      </w:r>
      <w:proofErr w:type="gramEnd"/>
      <w:r>
        <w:t xml:space="preserve"> Academy of International Law. This volume contains: </w:t>
      </w:r>
      <w:proofErr w:type="spellStart"/>
      <w:r>
        <w:t>Cours</w:t>
      </w:r>
      <w:proofErr w:type="spellEnd"/>
      <w:r>
        <w:t xml:space="preserve"> general de droit international public, par </w:t>
      </w:r>
      <w:proofErr w:type="gramStart"/>
      <w:r>
        <w:t>B.CONFORTI</w:t>
      </w:r>
      <w:proofErr w:type="gramEnd"/>
      <w:r>
        <w:t xml:space="preserve">, </w:t>
      </w:r>
      <w:proofErr w:type="spellStart"/>
      <w:r>
        <w:t>professeur</w:t>
      </w:r>
      <w:proofErr w:type="spellEnd"/>
      <w:r>
        <w:t xml:space="preserve"> a </w:t>
      </w:r>
      <w:proofErr w:type="spellStart"/>
      <w:r>
        <w:t>l'Universite</w:t>
      </w:r>
      <w:proofErr w:type="spellEnd"/>
      <w:r>
        <w:t xml:space="preserve"> de Naples </w:t>
      </w:r>
      <w:proofErr w:type="spellStart"/>
      <w:r>
        <w:t>L'exercice</w:t>
      </w:r>
      <w:proofErr w:type="spellEnd"/>
      <w:r>
        <w:t xml:space="preserve"> des competences </w:t>
      </w:r>
      <w:proofErr w:type="spellStart"/>
      <w:r>
        <w:t>monetaires</w:t>
      </w:r>
      <w:proofErr w:type="spellEnd"/>
      <w:r>
        <w:t xml:space="preserve"> par les </w:t>
      </w:r>
      <w:proofErr w:type="spellStart"/>
      <w:r>
        <w:t>Etats</w:t>
      </w:r>
      <w:proofErr w:type="spellEnd"/>
      <w:r>
        <w:t xml:space="preserve">, par G. BURDEAU, </w:t>
      </w:r>
      <w:proofErr w:type="spellStart"/>
      <w:r>
        <w:t>pro</w:t>
      </w:r>
      <w:r w:rsidR="009907F4">
        <w:t>fesseur</w:t>
      </w:r>
      <w:proofErr w:type="spellEnd"/>
      <w:r w:rsidR="009907F4">
        <w:t xml:space="preserve"> a </w:t>
      </w:r>
      <w:proofErr w:type="spellStart"/>
      <w:r w:rsidR="009907F4">
        <w:t>l'Universite</w:t>
      </w:r>
      <w:proofErr w:type="spellEnd"/>
      <w:r w:rsidR="009907F4">
        <w:t xml:space="preserve"> de Dijon]</w:t>
      </w:r>
    </w:p>
    <w:p w:rsidR="00A31403" w:rsidRDefault="00A31403" w:rsidP="00A31403">
      <w:pPr>
        <w:rPr>
          <w:rStyle w:val="UnderlineBold"/>
          <w:rFonts w:eastAsia="Batang"/>
        </w:rPr>
      </w:pPr>
      <w:r w:rsidRPr="009907F4">
        <w:rPr>
          <w:sz w:val="16"/>
        </w:rPr>
        <w:t xml:space="preserve">Sixth, </w:t>
      </w:r>
      <w:r w:rsidRPr="009907F4">
        <w:rPr>
          <w:rStyle w:val="TitleChar"/>
        </w:rPr>
        <w:t>a restriction may be found in the administrative practice of a member,</w:t>
      </w:r>
      <w:r w:rsidRPr="009907F4">
        <w:rPr>
          <w:sz w:val="16"/>
        </w:rPr>
        <w:t xml:space="preserve"> even in the absence of an express regulation. Conversely, </w:t>
      </w:r>
      <w:r w:rsidRPr="009907F4">
        <w:rPr>
          <w:rStyle w:val="UnderlineBold"/>
          <w:rFonts w:eastAsia="Batang"/>
        </w:rPr>
        <w:t>if it is established that a restrictive regulation is not effectively applied</w:t>
      </w:r>
      <w:r w:rsidRPr="009907F4">
        <w:rPr>
          <w:sz w:val="16"/>
        </w:rPr>
        <w:t xml:space="preserve"> and that the non-application is public knowledge</w:t>
      </w:r>
      <w:r w:rsidRPr="009907F4">
        <w:rPr>
          <w:rStyle w:val="UnderlineBold"/>
          <w:rFonts w:eastAsia="Batang"/>
        </w:rPr>
        <w:t>, there is no restriction.</w:t>
      </w:r>
    </w:p>
    <w:p w:rsidR="008C46D1" w:rsidRDefault="00522DB6" w:rsidP="008C46D1">
      <w:pPr>
        <w:pStyle w:val="Heading2"/>
      </w:pPr>
      <w:r>
        <w:lastRenderedPageBreak/>
        <w:t>H1</w:t>
      </w:r>
      <w:r w:rsidR="008C46D1" w:rsidRPr="008C46D1">
        <w:t xml:space="preserve">B AFF – </w:t>
      </w:r>
      <w:r w:rsidR="00A121DA">
        <w:t>“Legal Immigration Distinct from Non-Immigrant Visas</w:t>
      </w:r>
      <w:r w:rsidR="008C46D1" w:rsidRPr="008C46D1">
        <w:t>”</w:t>
      </w:r>
    </w:p>
    <w:p w:rsidR="008C46D1" w:rsidRDefault="008C46D1" w:rsidP="008C46D1">
      <w:pPr>
        <w:pStyle w:val="Heading3"/>
        <w:rPr>
          <w:rFonts w:asciiTheme="minorHAnsi" w:hAnsiTheme="minorHAnsi"/>
        </w:rPr>
      </w:pPr>
      <w:r>
        <w:lastRenderedPageBreak/>
        <w:t xml:space="preserve">1NC – </w:t>
      </w:r>
      <w:r w:rsidR="00A121DA">
        <w:t>“H1</w:t>
      </w:r>
      <w:r>
        <w:t xml:space="preserve">B’s </w:t>
      </w:r>
      <w:r w:rsidR="00A121DA">
        <w:t>Are Non-Immigrant Visas”</w:t>
      </w:r>
    </w:p>
    <w:p w:rsidR="008C46D1" w:rsidRDefault="008C46D1" w:rsidP="008C46D1">
      <w:pPr>
        <w:pStyle w:val="Heading4"/>
      </w:pPr>
      <w:r>
        <w:t xml:space="preserve">A. </w:t>
      </w:r>
      <w:r w:rsidRPr="008C46D1">
        <w:rPr>
          <w:u w:val="single"/>
        </w:rPr>
        <w:t>Interpretation</w:t>
      </w:r>
      <w:r>
        <w:t xml:space="preserve"> – The AFF must reduce restrictions on legal immigration – which is distinct from non-immigrant status. </w:t>
      </w:r>
    </w:p>
    <w:p w:rsidR="008C46D1" w:rsidRDefault="008C46D1" w:rsidP="008C46D1">
      <w:r>
        <w:rPr>
          <w:rStyle w:val="Style13ptBold"/>
        </w:rPr>
        <w:t>American Immigration Center 2010</w:t>
      </w:r>
      <w:r>
        <w:t xml:space="preserve"> “Differences Between Immigrant Visas and Non-Immigrant </w:t>
      </w:r>
      <w:proofErr w:type="spellStart"/>
      <w:r w:rsidR="00383046">
        <w:t>b</w:t>
      </w:r>
      <w:r>
        <w:t>immigrant</w:t>
      </w:r>
      <w:proofErr w:type="spellEnd"/>
      <w:r>
        <w:t>-visas/</w:t>
      </w:r>
    </w:p>
    <w:p w:rsidR="008C46D1" w:rsidRDefault="008C46D1" w:rsidP="008C46D1">
      <w:pPr>
        <w:rPr>
          <w:sz w:val="16"/>
        </w:rPr>
      </w:pPr>
      <w:r>
        <w:rPr>
          <w:rStyle w:val="StyleUnderline"/>
        </w:rPr>
        <w:t>There are two</w:t>
      </w:r>
      <w:r>
        <w:rPr>
          <w:sz w:val="16"/>
        </w:rPr>
        <w:t xml:space="preserve"> general </w:t>
      </w:r>
      <w:r>
        <w:rPr>
          <w:rStyle w:val="StyleUnderline"/>
        </w:rPr>
        <w:t>types of US visas available</w:t>
      </w:r>
      <w:r>
        <w:rPr>
          <w:sz w:val="16"/>
        </w:rPr>
        <w:t xml:space="preserve"> from US immigration services: </w:t>
      </w:r>
      <w:r>
        <w:rPr>
          <w:rStyle w:val="StyleUnderline"/>
        </w:rPr>
        <w:t>immigrant</w:t>
      </w:r>
      <w:r>
        <w:rPr>
          <w:sz w:val="16"/>
        </w:rPr>
        <w:t xml:space="preserve"> visas </w:t>
      </w:r>
      <w:r>
        <w:rPr>
          <w:rStyle w:val="StyleUnderline"/>
        </w:rPr>
        <w:t>and non-immigrant</w:t>
      </w:r>
      <w:r>
        <w:rPr>
          <w:sz w:val="16"/>
        </w:rPr>
        <w:t xml:space="preserve"> visas. Deciding which visa to choose is an important step, and will largely depend on your reasons for immigrating into the US as well as your intentions for immigration.</w:t>
      </w:r>
    </w:p>
    <w:p w:rsidR="008C46D1" w:rsidRDefault="008C46D1" w:rsidP="008C46D1">
      <w:pPr>
        <w:rPr>
          <w:rStyle w:val="StyleUnderline"/>
        </w:rPr>
      </w:pPr>
      <w:r>
        <w:rPr>
          <w:rStyle w:val="StyleUnderline"/>
        </w:rPr>
        <w:t>Immigrant visas are designed for people who wish to make the US their permanent residence</w:t>
      </w:r>
      <w:r>
        <w:rPr>
          <w:sz w:val="16"/>
        </w:rPr>
        <w:t xml:space="preserve">. If you wish to stay and work in the US or if you are interested in getting your US citizenship, an immigrant visa may be right for you. However, there are a limited number of these visas available. If there is no visa available when you apply, you may be placed on a waiting list until a visa becomes available. </w:t>
      </w:r>
      <w:r>
        <w:rPr>
          <w:rStyle w:val="StyleUnderline"/>
        </w:rPr>
        <w:t>Non-immigrant visas</w:t>
      </w:r>
      <w:r>
        <w:rPr>
          <w:sz w:val="16"/>
        </w:rPr>
        <w:t xml:space="preserve"> are much easier to obtain and usually do not involve waiting lists. However, many of these visas do not allow you to live and work in the US for extended periods of time. Instead, these visas </w:t>
      </w:r>
      <w:r>
        <w:rPr>
          <w:rStyle w:val="StyleUnderline"/>
        </w:rPr>
        <w:t>are designed to allow visitors into the US temporarily for specific purposes.</w:t>
      </w:r>
    </w:p>
    <w:p w:rsidR="008C46D1" w:rsidRDefault="008C46D1" w:rsidP="008C46D1">
      <w:pPr>
        <w:pStyle w:val="Heading4"/>
      </w:pPr>
      <w:r w:rsidRPr="008C46D1">
        <w:t>B.</w:t>
      </w:r>
      <w:r>
        <w:rPr>
          <w:u w:val="single"/>
        </w:rPr>
        <w:t xml:space="preserve"> </w:t>
      </w:r>
      <w:r w:rsidRPr="008C46D1">
        <w:rPr>
          <w:u w:val="single"/>
        </w:rPr>
        <w:t>Violation</w:t>
      </w:r>
      <w:r>
        <w:t xml:space="preserve"> – H1B visas are non-immigrant visas </w:t>
      </w:r>
    </w:p>
    <w:p w:rsidR="008C46D1" w:rsidRDefault="008C46D1" w:rsidP="008C46D1">
      <w:r>
        <w:rPr>
          <w:rStyle w:val="Style13ptBold"/>
        </w:rPr>
        <w:t>Council of Foreign Relations</w:t>
      </w:r>
      <w:r>
        <w:t xml:space="preserve"> last updated </w:t>
      </w:r>
      <w:r>
        <w:rPr>
          <w:rStyle w:val="Style13ptBold"/>
        </w:rPr>
        <w:t>2018</w:t>
      </w:r>
      <w:r>
        <w:t xml:space="preserve"> “The U.S. Immigration Debate” 3/13 https://www.cfr.org/backgrounder/us-immigration-debate-0</w:t>
      </w:r>
    </w:p>
    <w:p w:rsidR="008C46D1" w:rsidRDefault="008C46D1" w:rsidP="008C46D1">
      <w:pPr>
        <w:rPr>
          <w:sz w:val="16"/>
        </w:rPr>
      </w:pPr>
      <w:r>
        <w:rPr>
          <w:rStyle w:val="StyleUnderline"/>
        </w:rPr>
        <w:t>Hundreds of thousands of individuals work legally in the U</w:t>
      </w:r>
      <w:r>
        <w:rPr>
          <w:sz w:val="16"/>
        </w:rPr>
        <w:t xml:space="preserve">nited </w:t>
      </w:r>
      <w:r>
        <w:rPr>
          <w:rStyle w:val="StyleUnderline"/>
        </w:rPr>
        <w:t>S</w:t>
      </w:r>
      <w:r>
        <w:rPr>
          <w:sz w:val="16"/>
        </w:rPr>
        <w:t xml:space="preserve">tates </w:t>
      </w:r>
      <w:r>
        <w:rPr>
          <w:rStyle w:val="StyleUnderline"/>
        </w:rPr>
        <w:t>under</w:t>
      </w:r>
      <w:r>
        <w:rPr>
          <w:sz w:val="16"/>
        </w:rPr>
        <w:t xml:space="preserve"> various types of </w:t>
      </w:r>
      <w:r>
        <w:rPr>
          <w:rStyle w:val="StyleUnderline"/>
        </w:rPr>
        <w:t>nonimmigrant visas.</w:t>
      </w:r>
      <w:r>
        <w:rPr>
          <w:sz w:val="16"/>
        </w:rPr>
        <w:t xml:space="preserve"> In 2017, </w:t>
      </w:r>
      <w:r>
        <w:rPr>
          <w:rStyle w:val="StyleUnderline"/>
        </w:rPr>
        <w:t>the U</w:t>
      </w:r>
      <w:r>
        <w:rPr>
          <w:sz w:val="16"/>
        </w:rPr>
        <w:t xml:space="preserve">nited </w:t>
      </w:r>
      <w:r>
        <w:rPr>
          <w:rStyle w:val="StyleUnderline"/>
        </w:rPr>
        <w:t>S</w:t>
      </w:r>
      <w:r>
        <w:rPr>
          <w:sz w:val="16"/>
        </w:rPr>
        <w:t xml:space="preserve">tates </w:t>
      </w:r>
      <w:r>
        <w:rPr>
          <w:rStyle w:val="StyleUnderline"/>
        </w:rPr>
        <w:t>granted close to 180,000</w:t>
      </w:r>
      <w:r>
        <w:rPr>
          <w:sz w:val="16"/>
        </w:rPr>
        <w:t xml:space="preserve"> visas [PDF] for high-skilled workers, known as </w:t>
      </w:r>
      <w:r>
        <w:rPr>
          <w:rStyle w:val="StyleUnderline"/>
        </w:rPr>
        <w:t>H1B visas, and nearly 250,000 visas for temporary workers in agriculture and other industries.</w:t>
      </w:r>
      <w:r>
        <w:rPr>
          <w:sz w:val="16"/>
        </w:rPr>
        <w:t xml:space="preserve"> H1B visas are capped at 85,000 per year, with exceptions for certain fields.</w:t>
      </w:r>
    </w:p>
    <w:p w:rsidR="008C46D1" w:rsidRDefault="008C46D1" w:rsidP="008C46D1">
      <w:pPr>
        <w:pStyle w:val="Heading4"/>
      </w:pPr>
      <w:r>
        <w:t xml:space="preserve">C. </w:t>
      </w:r>
      <w:r w:rsidRPr="00EB7CCE">
        <w:rPr>
          <w:u w:val="single"/>
        </w:rPr>
        <w:t>Standards</w:t>
      </w:r>
      <w:r>
        <w:t xml:space="preserve"> – </w:t>
      </w:r>
    </w:p>
    <w:p w:rsidR="008C46D1" w:rsidRDefault="008C46D1" w:rsidP="008C46D1"/>
    <w:p w:rsidR="008C46D1" w:rsidRDefault="008C46D1" w:rsidP="008C46D1">
      <w:pPr>
        <w:pStyle w:val="Heading4"/>
        <w:numPr>
          <w:ilvl w:val="0"/>
          <w:numId w:val="18"/>
        </w:numPr>
      </w:pPr>
      <w:r>
        <w:t xml:space="preserve">Limits – </w:t>
      </w:r>
      <w:r w:rsidR="00A121DA">
        <w:t>Large topics structurally disadvantage the negative. Allowing non-immigrant visas at least doubles the size of the resolution and adds a ton of affirmatives that avoid core topic disadvantages by focusing on temporary work status as opposed to legal permanent residency</w:t>
      </w:r>
    </w:p>
    <w:p w:rsidR="008C46D1" w:rsidRDefault="008C46D1" w:rsidP="00A121DA"/>
    <w:p w:rsidR="008C46D1" w:rsidRDefault="008C46D1" w:rsidP="00383046">
      <w:pPr>
        <w:pStyle w:val="Heading4"/>
        <w:numPr>
          <w:ilvl w:val="0"/>
          <w:numId w:val="18"/>
        </w:numPr>
      </w:pPr>
      <w:r>
        <w:t xml:space="preserve">Ground – </w:t>
      </w:r>
      <w:r w:rsidR="00A121DA">
        <w:t xml:space="preserve">AFF’s that reduce restrictions on non-immigrant visas destroys the </w:t>
      </w:r>
      <w:r>
        <w:t xml:space="preserve">links to core </w:t>
      </w:r>
      <w:r w:rsidR="00A121DA">
        <w:t>NEG</w:t>
      </w:r>
      <w:r>
        <w:t xml:space="preserve"> </w:t>
      </w:r>
      <w:r w:rsidR="00A121DA">
        <w:t>DA’s like the Wages DA, and prevents the NEG from accessing competitive PIC ground</w:t>
      </w:r>
    </w:p>
    <w:p w:rsidR="00A121DA" w:rsidRPr="00A121DA" w:rsidRDefault="00A121DA" w:rsidP="00A121DA"/>
    <w:p w:rsidR="008C46D1" w:rsidRDefault="008C46D1" w:rsidP="008C46D1">
      <w:pPr>
        <w:pStyle w:val="Heading4"/>
      </w:pPr>
      <w:r>
        <w:t xml:space="preserve">D. </w:t>
      </w:r>
      <w:r w:rsidRPr="009B7F67">
        <w:rPr>
          <w:u w:val="single"/>
        </w:rPr>
        <w:t xml:space="preserve">Voters </w:t>
      </w:r>
      <w:r>
        <w:t xml:space="preserve">– Topicality is an </w:t>
      </w:r>
      <w:proofErr w:type="spellStart"/>
      <w:r>
        <w:t>apriori</w:t>
      </w:r>
      <w:proofErr w:type="spellEnd"/>
      <w:r>
        <w:t xml:space="preserve"> voting issue for fairness and education</w:t>
      </w:r>
    </w:p>
    <w:p w:rsidR="00A121DA" w:rsidRDefault="00A121DA" w:rsidP="00A121DA">
      <w:pPr>
        <w:pStyle w:val="Heading3"/>
      </w:pPr>
      <w:r>
        <w:lastRenderedPageBreak/>
        <w:t xml:space="preserve">2NC – Interpretation </w:t>
      </w:r>
    </w:p>
    <w:p w:rsidR="00A121DA" w:rsidRDefault="00A121DA" w:rsidP="00A121DA">
      <w:pPr>
        <w:pStyle w:val="Heading4"/>
      </w:pPr>
      <w:r>
        <w:t xml:space="preserve">Legal immigration is full citizenship </w:t>
      </w:r>
    </w:p>
    <w:p w:rsidR="00A121DA" w:rsidRDefault="00A121DA" w:rsidP="00A121DA">
      <w:r w:rsidRPr="00084AEF">
        <w:rPr>
          <w:rStyle w:val="Style13ptBold"/>
        </w:rPr>
        <w:t xml:space="preserve">Mueller </w:t>
      </w:r>
      <w:r>
        <w:rPr>
          <w:rStyle w:val="Style13ptBold"/>
        </w:rPr>
        <w:t>‘</w:t>
      </w:r>
      <w:r w:rsidRPr="00084AEF">
        <w:rPr>
          <w:rStyle w:val="Style13ptBold"/>
        </w:rPr>
        <w:t>15</w:t>
      </w:r>
      <w:r>
        <w:t xml:space="preserve"> [Kristin, leads national communications, creating engagement and excitement around Earth Force, "Do You Identify with the Word ‘Citizen</w:t>
      </w:r>
      <w:proofErr w:type="gramStart"/>
      <w:r>
        <w:t>’?,</w:t>
      </w:r>
      <w:proofErr w:type="gramEnd"/>
      <w:r>
        <w:t>" 11/25, https://earthforce.org/2015/11/do-you-identify-with-the-word-citizen/]</w:t>
      </w:r>
    </w:p>
    <w:p w:rsidR="00A121DA" w:rsidRDefault="00A121DA" w:rsidP="00A121DA">
      <w:pPr>
        <w:rPr>
          <w:sz w:val="16"/>
        </w:rPr>
      </w:pPr>
      <w:r w:rsidRPr="00602C28">
        <w:rPr>
          <w:sz w:val="16"/>
        </w:rPr>
        <w:t xml:space="preserve">This week I was reading over last week’s blog post, Why Does Civic Engagement Matter, and I was stuck by a thought: Do people identify with the word ‘citizen’? </w:t>
      </w:r>
      <w:r w:rsidRPr="00602C28">
        <w:rPr>
          <w:rStyle w:val="StyleUnderline"/>
        </w:rPr>
        <w:t>When I use the word ‘citizen,’ I’m talking about the idea of being a member of and supporting one’s community and country</w:t>
      </w:r>
      <w:r w:rsidRPr="00602C28">
        <w:rPr>
          <w:sz w:val="16"/>
        </w:rPr>
        <w:t xml:space="preserve">. So often I hear someone rattled off a group of adjectives that defines him/her like, ‘I’m a sister, a wife, a daughter, and a friend’ but you rarely </w:t>
      </w:r>
      <w:proofErr w:type="spellStart"/>
      <w:r w:rsidRPr="00602C28">
        <w:rPr>
          <w:sz w:val="16"/>
        </w:rPr>
        <w:t>here</w:t>
      </w:r>
      <w:proofErr w:type="spellEnd"/>
      <w:r w:rsidRPr="00602C28">
        <w:rPr>
          <w:sz w:val="16"/>
        </w:rPr>
        <w:t xml:space="preserve"> someone say, ‘I’m a citizen of Denver.’ Why is that? Do people just not think about it or are fewer people identifying themselves with the word ‘citizen?’ Citizenship has become a slippery slope</w:t>
      </w:r>
      <w:r w:rsidRPr="009C3586">
        <w:t xml:space="preserve">. </w:t>
      </w:r>
      <w:r w:rsidRPr="00602C28">
        <w:rPr>
          <w:rStyle w:val="StyleUnderline"/>
        </w:rPr>
        <w:t>With immigration reform as a main platform</w:t>
      </w:r>
      <w:r w:rsidRPr="00602C28">
        <w:rPr>
          <w:sz w:val="16"/>
        </w:rPr>
        <w:t xml:space="preserve"> of the 2016 Presidential race, </w:t>
      </w:r>
      <w:r w:rsidRPr="00602C28">
        <w:rPr>
          <w:rStyle w:val="Emphasis"/>
        </w:rPr>
        <w:t>many have begun to see citizenship as synonymous with legal immigration status</w:t>
      </w:r>
      <w:r w:rsidRPr="00602C28">
        <w:rPr>
          <w:sz w:val="16"/>
        </w:rPr>
        <w:t xml:space="preserve">. At Earth Force, we believe citizenship is about caring for and being invested in your community. </w:t>
      </w:r>
      <w:r w:rsidRPr="00602C28">
        <w:rPr>
          <w:rStyle w:val="StyleUnderline"/>
        </w:rPr>
        <w:t xml:space="preserve">We feel it’s critical to instill these values and </w:t>
      </w:r>
      <w:r w:rsidRPr="002326E4">
        <w:rPr>
          <w:rStyle w:val="StyleUnderline"/>
        </w:rPr>
        <w:t>ideas in</w:t>
      </w:r>
      <w:r w:rsidRPr="00602C28">
        <w:rPr>
          <w:sz w:val="16"/>
        </w:rPr>
        <w:t xml:space="preserve"> young </w:t>
      </w:r>
      <w:r w:rsidRPr="002326E4">
        <w:rPr>
          <w:rStyle w:val="StyleUnderline"/>
        </w:rPr>
        <w:t>people</w:t>
      </w:r>
      <w:r w:rsidRPr="00602C28">
        <w:rPr>
          <w:sz w:val="16"/>
        </w:rPr>
        <w:t xml:space="preserve"> now, </w:t>
      </w:r>
      <w:r w:rsidRPr="00602C28">
        <w:rPr>
          <w:rStyle w:val="StyleUnderline"/>
        </w:rPr>
        <w:t>so they are more likely to see themselves as a citizen of their community, as well as a citizen of the environment, for a lifetime</w:t>
      </w:r>
      <w:r w:rsidRPr="00602C28">
        <w:rPr>
          <w:sz w:val="16"/>
        </w:rPr>
        <w:t>.</w:t>
      </w:r>
    </w:p>
    <w:p w:rsidR="000F52AF" w:rsidRDefault="000F52AF" w:rsidP="000F52AF">
      <w:pPr>
        <w:pStyle w:val="Heading4"/>
      </w:pPr>
      <w:r>
        <w:t>Immigrant status is for people who live permanently in the US. Nonimm</w:t>
      </w:r>
      <w:r w:rsidR="00E36C78">
        <w:t>igrant is for temporary status.</w:t>
      </w:r>
    </w:p>
    <w:p w:rsidR="000F52AF" w:rsidRDefault="000F52AF" w:rsidP="000F52AF">
      <w:r w:rsidRPr="002A7A54">
        <w:rPr>
          <w:rStyle w:val="Style13ptBold"/>
        </w:rPr>
        <w:t>Berkeley International Office 2018</w:t>
      </w:r>
      <w:r>
        <w:t xml:space="preserve"> “Nonimmigrant vs. Immigrant Status” https://internationaloffice.berkeley.edu/immigration/nonimmigrantvsimmigrant-status</w:t>
      </w:r>
    </w:p>
    <w:p w:rsidR="000F52AF" w:rsidRDefault="000F52AF" w:rsidP="000F52AF">
      <w:r w:rsidRPr="002A7A54">
        <w:rPr>
          <w:rStyle w:val="StyleUnderline"/>
        </w:rPr>
        <w:t>If not a U.S. citizen, every person who enters the U.S. has either an immigrant or nonimmigrant status</w:t>
      </w:r>
      <w:r>
        <w:t xml:space="preserve">. </w:t>
      </w:r>
    </w:p>
    <w:p w:rsidR="000F52AF" w:rsidRPr="002A7A54" w:rsidRDefault="000F52AF" w:rsidP="000F52AF">
      <w:pPr>
        <w:rPr>
          <w:rStyle w:val="StyleUnderline"/>
        </w:rPr>
      </w:pPr>
      <w:r w:rsidRPr="002A7A54">
        <w:rPr>
          <w:rStyle w:val="StyleUnderline"/>
        </w:rPr>
        <w:t>Nonimmigrant status</w:t>
      </w:r>
    </w:p>
    <w:p w:rsidR="000F52AF" w:rsidRPr="002A7A54" w:rsidRDefault="000F52AF" w:rsidP="000F52AF">
      <w:pPr>
        <w:rPr>
          <w:rStyle w:val="StyleUnderline"/>
        </w:rPr>
      </w:pPr>
      <w:r w:rsidRPr="002A7A54">
        <w:rPr>
          <w:sz w:val="16"/>
        </w:rPr>
        <w:t xml:space="preserve">This status </w:t>
      </w:r>
      <w:r w:rsidRPr="002A7A54">
        <w:rPr>
          <w:rStyle w:val="StyleUnderline"/>
        </w:rPr>
        <w:t>is for people who enter the U.S. on a temporary basis</w:t>
      </w:r>
      <w:r w:rsidRPr="002A7A54">
        <w:rPr>
          <w:sz w:val="16"/>
        </w:rPr>
        <w:t xml:space="preserve"> – </w:t>
      </w:r>
      <w:r w:rsidRPr="002A7A54">
        <w:rPr>
          <w:rStyle w:val="StyleUnderline"/>
        </w:rPr>
        <w:t>whether for tourism, business, temporary work, or study.</w:t>
      </w:r>
      <w:r w:rsidRPr="002A7A54">
        <w:rPr>
          <w:sz w:val="16"/>
        </w:rPr>
        <w:t xml:space="preserve"> Once a person has entered the U.S. in nonimmigrant status, they are restricted to the activity or reason for which they were allowed entry. Some people may have more than one visa in their passport, but they can only be admitted into the U.S. in one type of nonimmigrant status at a time.  Most </w:t>
      </w:r>
      <w:r w:rsidRPr="002A7A54">
        <w:rPr>
          <w:rStyle w:val="StyleUnderline"/>
        </w:rPr>
        <w:t>nonimmigrant visas are issued only to applicants who can demonstrate their intentions to return to their home country.</w:t>
      </w:r>
    </w:p>
    <w:p w:rsidR="000F52AF" w:rsidRPr="002A7A54" w:rsidRDefault="000F52AF" w:rsidP="000F52AF">
      <w:pPr>
        <w:rPr>
          <w:sz w:val="16"/>
          <w:szCs w:val="16"/>
        </w:rPr>
      </w:pPr>
      <w:r w:rsidRPr="002A7A54">
        <w:rPr>
          <w:sz w:val="16"/>
          <w:szCs w:val="16"/>
        </w:rPr>
        <w:t>If a visa officer at a U.S. consulate abroad believes that an application for a nonimmigrant visa is only a pretext for an intent to stay permanently once allowed into the U.S., the officer may deny the visa application. The consular officer may conclude that the nonimmigrant does not have the intent to stay temporarily because s/he cannot show significant family or employment related ties to their country of origin.</w:t>
      </w:r>
    </w:p>
    <w:p w:rsidR="000F52AF" w:rsidRPr="002A7A54" w:rsidRDefault="000F52AF" w:rsidP="000F52AF">
      <w:pPr>
        <w:rPr>
          <w:rStyle w:val="StyleUnderline"/>
        </w:rPr>
      </w:pPr>
      <w:r w:rsidRPr="002A7A54">
        <w:rPr>
          <w:rStyle w:val="StyleUnderline"/>
        </w:rPr>
        <w:t>Immigrant Status</w:t>
      </w:r>
    </w:p>
    <w:p w:rsidR="000F52AF" w:rsidRPr="002A7A54" w:rsidRDefault="000F52AF" w:rsidP="000F52AF">
      <w:pPr>
        <w:rPr>
          <w:sz w:val="16"/>
        </w:rPr>
      </w:pPr>
      <w:r w:rsidRPr="002A7A54">
        <w:rPr>
          <w:sz w:val="16"/>
        </w:rPr>
        <w:t xml:space="preserve">This </w:t>
      </w:r>
      <w:r w:rsidRPr="002A7A54">
        <w:rPr>
          <w:rStyle w:val="StyleUnderline"/>
        </w:rPr>
        <w:t>is for people who live permanently in the U</w:t>
      </w:r>
      <w:r w:rsidRPr="002A7A54">
        <w:rPr>
          <w:sz w:val="16"/>
        </w:rPr>
        <w:t xml:space="preserve">nited </w:t>
      </w:r>
      <w:r w:rsidRPr="002A7A54">
        <w:rPr>
          <w:rStyle w:val="StyleUnderline"/>
        </w:rPr>
        <w:t>S</w:t>
      </w:r>
      <w:r w:rsidRPr="002A7A54">
        <w:rPr>
          <w:sz w:val="16"/>
        </w:rPr>
        <w:t xml:space="preserve">tates.  </w:t>
      </w:r>
      <w:r w:rsidRPr="002A7A54">
        <w:rPr>
          <w:rStyle w:val="StyleUnderline"/>
        </w:rPr>
        <w:t>Synonymous terms for immigrant status are: Permanent Resident, immigrant, green card holder, and resident alien.</w:t>
      </w:r>
      <w:r w:rsidRPr="002A7A54">
        <w:rPr>
          <w:sz w:val="16"/>
        </w:rPr>
        <w:t xml:space="preserve"> Gaining immigrant status can be a lengthy and complex process that requires close consultation with an immigration attorney.</w:t>
      </w:r>
    </w:p>
    <w:p w:rsidR="000F52AF" w:rsidRDefault="000F52AF" w:rsidP="00A121DA">
      <w:pPr>
        <w:rPr>
          <w:sz w:val="16"/>
        </w:rPr>
      </w:pPr>
    </w:p>
    <w:p w:rsidR="00A121DA" w:rsidRDefault="00A121DA" w:rsidP="00A121DA">
      <w:pPr>
        <w:pStyle w:val="Heading3"/>
      </w:pPr>
      <w:r>
        <w:lastRenderedPageBreak/>
        <w:t>2NC –</w:t>
      </w:r>
      <w:r w:rsidR="002D3BD3">
        <w:t xml:space="preserve"> Violation</w:t>
      </w:r>
    </w:p>
    <w:p w:rsidR="00A121DA" w:rsidRDefault="00AE74C3" w:rsidP="00A121DA">
      <w:pPr>
        <w:pStyle w:val="Heading4"/>
      </w:pPr>
      <w:r>
        <w:t xml:space="preserve">H1-B visas aren’t key to </w:t>
      </w:r>
      <w:r w:rsidR="00A121DA">
        <w:t>citizenship</w:t>
      </w:r>
    </w:p>
    <w:p w:rsidR="00A121DA" w:rsidRPr="00F76D84" w:rsidRDefault="00A121DA" w:rsidP="00A121DA">
      <w:proofErr w:type="spellStart"/>
      <w:r w:rsidRPr="00BB64A3">
        <w:rPr>
          <w:rStyle w:val="Style13ptBold"/>
        </w:rPr>
        <w:t>Corstange</w:t>
      </w:r>
      <w:proofErr w:type="spellEnd"/>
      <w:r w:rsidRPr="00BB64A3">
        <w:rPr>
          <w:rStyle w:val="Style13ptBold"/>
        </w:rPr>
        <w:t xml:space="preserve"> </w:t>
      </w:r>
      <w:r w:rsidR="00AE74C3">
        <w:rPr>
          <w:rStyle w:val="Style13ptBold"/>
        </w:rPr>
        <w:t>‘</w:t>
      </w:r>
      <w:r w:rsidRPr="00BB64A3">
        <w:rPr>
          <w:rStyle w:val="Style13ptBold"/>
        </w:rPr>
        <w:t>14</w:t>
      </w:r>
      <w:r w:rsidR="00AE74C3">
        <w:t xml:space="preserve"> [</w:t>
      </w:r>
      <w:r w:rsidRPr="00F76D84">
        <w:t xml:space="preserve">Sarah, Immigration Attorney, "How do I get US citizenship with H1B visa? How long does it </w:t>
      </w:r>
      <w:proofErr w:type="gramStart"/>
      <w:r w:rsidRPr="00F76D84">
        <w:t>take?,</w:t>
      </w:r>
      <w:proofErr w:type="gramEnd"/>
      <w:r w:rsidRPr="00F76D84">
        <w:t>" https://www.quora.com/How-do-I-get-US-citizenship-with</w:t>
      </w:r>
      <w:r w:rsidR="00AE74C3">
        <w:t>-H1B-visa-How-long-does-it-take]</w:t>
      </w:r>
    </w:p>
    <w:p w:rsidR="00A121DA" w:rsidRPr="00F76D84" w:rsidRDefault="00A121DA" w:rsidP="00A121DA">
      <w:pPr>
        <w:rPr>
          <w:rStyle w:val="StyleUnderline"/>
        </w:rPr>
      </w:pPr>
      <w:r w:rsidRPr="00F76D84">
        <w:rPr>
          <w:rStyle w:val="StyleUnderline"/>
        </w:rPr>
        <w:t xml:space="preserve">It's a </w:t>
      </w:r>
      <w:r w:rsidRPr="00D7314A">
        <w:rPr>
          <w:rStyle w:val="Emphasis"/>
        </w:rPr>
        <w:t>common misconception</w:t>
      </w:r>
      <w:r w:rsidRPr="00F76D84">
        <w:rPr>
          <w:rStyle w:val="StyleUnderline"/>
        </w:rPr>
        <w:t xml:space="preserve"> that an H1b is a stepping stone to permanent residence or citizenship. </w:t>
      </w:r>
      <w:r w:rsidRPr="00F76D84">
        <w:rPr>
          <w:rStyle w:val="Emphasis"/>
        </w:rPr>
        <w:t>It's not.</w:t>
      </w:r>
      <w:r w:rsidRPr="00F76D84">
        <w:t xml:space="preserve"> </w:t>
      </w:r>
      <w:r w:rsidRPr="00F76D84">
        <w:rPr>
          <w:rStyle w:val="StyleUnderline"/>
        </w:rPr>
        <w:t>The H1b allows you to work in a particular job for a maximum of 6 years, and that's it.</w:t>
      </w:r>
    </w:p>
    <w:p w:rsidR="00AE74C3" w:rsidRDefault="00AE74C3" w:rsidP="00AE74C3">
      <w:pPr>
        <w:pStyle w:val="Heading4"/>
      </w:pPr>
      <w:r>
        <w:t>H1B visas are inherently temporary</w:t>
      </w:r>
    </w:p>
    <w:p w:rsidR="00AE74C3" w:rsidRDefault="00AE74C3" w:rsidP="00AE74C3">
      <w:r w:rsidRPr="00BB64A3">
        <w:rPr>
          <w:rStyle w:val="Style13ptBold"/>
        </w:rPr>
        <w:t xml:space="preserve">Han </w:t>
      </w:r>
      <w:r>
        <w:rPr>
          <w:rStyle w:val="Style13ptBold"/>
        </w:rPr>
        <w:t>‘</w:t>
      </w:r>
      <w:r w:rsidRPr="00BB64A3">
        <w:rPr>
          <w:rStyle w:val="Style13ptBold"/>
        </w:rPr>
        <w:t>15</w:t>
      </w:r>
      <w:r>
        <w:t xml:space="preserve"> [William, Contributor @ </w:t>
      </w:r>
      <w:proofErr w:type="spellStart"/>
      <w:r>
        <w:t>Vox</w:t>
      </w:r>
      <w:proofErr w:type="spellEnd"/>
      <w:r>
        <w:t>, practiced law in New York. His writings have appeared in TIME Magazine and the Straits Times of Singapore, "I spent the last 15 years trying to become an American. I've failed.," 6/23, https://www.vox.com/2015/6/23/8823349/immigration-system-broken]</w:t>
      </w:r>
    </w:p>
    <w:p w:rsidR="00AE74C3" w:rsidRPr="00290D9F" w:rsidRDefault="00AE74C3" w:rsidP="00AE74C3">
      <w:pPr>
        <w:rPr>
          <w:sz w:val="16"/>
        </w:rPr>
      </w:pPr>
      <w:r w:rsidRPr="00290D9F">
        <w:rPr>
          <w:sz w:val="16"/>
        </w:rPr>
        <w:t xml:space="preserve">Additionally, </w:t>
      </w:r>
      <w:r w:rsidRPr="00352924">
        <w:rPr>
          <w:rStyle w:val="StyleUnderline"/>
        </w:rPr>
        <w:t>an H1-B visa</w:t>
      </w:r>
      <w:r w:rsidRPr="00290D9F">
        <w:rPr>
          <w:sz w:val="16"/>
        </w:rPr>
        <w:t xml:space="preserve"> (the most common form of work visa and the only form available to most) </w:t>
      </w:r>
      <w:r w:rsidRPr="00352924">
        <w:rPr>
          <w:rStyle w:val="Emphasis"/>
        </w:rPr>
        <w:t>is only valid for three years and renewable only once</w:t>
      </w:r>
      <w:r w:rsidRPr="00290D9F">
        <w:rPr>
          <w:sz w:val="16"/>
        </w:rPr>
        <w:t>. This means that the skilled legal immigrant must obtain permanent residency or a green card if he or she wishes to stay for more than a few years. Again, an employer can sponsor an employee's green card, but the employer must again bear the costs, which can run to the tens of thousands of dollars, and again the employee cannot offer to pay the cost. Employers are often reluctant to engage in this kind of sponsorship because of the cost and because there is no guarantee that the employee in question would stay at the organization after obtaining the green card, and there is also no guarantee that the employer will even want the employee to stay.</w:t>
      </w:r>
    </w:p>
    <w:p w:rsidR="00A121DA" w:rsidRPr="00A121DA" w:rsidRDefault="00A121DA" w:rsidP="00A121DA"/>
    <w:p w:rsidR="008C46D1" w:rsidRDefault="00A121DA" w:rsidP="00A121DA">
      <w:pPr>
        <w:pStyle w:val="Heading3"/>
      </w:pPr>
      <w:r>
        <w:lastRenderedPageBreak/>
        <w:t xml:space="preserve">2AC – Counter </w:t>
      </w:r>
      <w:proofErr w:type="spellStart"/>
      <w:r>
        <w:t>Interp</w:t>
      </w:r>
      <w:proofErr w:type="spellEnd"/>
    </w:p>
    <w:p w:rsidR="00767D19" w:rsidRPr="00084AEF" w:rsidRDefault="00767D19" w:rsidP="00767D19">
      <w:pPr>
        <w:pStyle w:val="Heading4"/>
      </w:pPr>
      <w:r>
        <w:t xml:space="preserve">Legal immigration means people granted legal permanent residence, </w:t>
      </w:r>
      <w:proofErr w:type="spellStart"/>
      <w:r>
        <w:t>asylee</w:t>
      </w:r>
      <w:proofErr w:type="spellEnd"/>
      <w:r>
        <w:t xml:space="preserve"> status, refugee admissions, or temporary stay</w:t>
      </w:r>
    </w:p>
    <w:p w:rsidR="00767D19" w:rsidRDefault="00767D19" w:rsidP="00767D19">
      <w:r w:rsidRPr="00084AEF">
        <w:rPr>
          <w:rStyle w:val="Style13ptBold"/>
        </w:rPr>
        <w:t xml:space="preserve">Perez 10 </w:t>
      </w:r>
      <w:r>
        <w:t>[Roberto, Program/Event Coordinator for the Center for Multicultural Affairs, "Discrimination of Hispanic’s in America," 6/4, http://robertorequim.blogspot.com/2010/06/discrimination-of-hispanics-in-america.html]</w:t>
      </w:r>
    </w:p>
    <w:p w:rsidR="00767D19" w:rsidRDefault="00767D19" w:rsidP="00767D19">
      <w:pPr>
        <w:rPr>
          <w:sz w:val="16"/>
        </w:rPr>
      </w:pPr>
      <w:r w:rsidRPr="00084AEF">
        <w:rPr>
          <w:sz w:val="16"/>
        </w:rPr>
        <w:t xml:space="preserve">Though some of these individuals may be native born and assimilated into mainstream society there is those individuals new to the American Culture, immigrants. According to the Department of Homeland Security (DHS) there were 12,600,000 legal permanent residents with the leading country of origin being Mexico with 3,390,000 legal residents. </w:t>
      </w:r>
      <w:r w:rsidRPr="0025429E">
        <w:rPr>
          <w:rStyle w:val="StyleUnderline"/>
        </w:rPr>
        <w:t xml:space="preserve">The D.H.S. defines legal immigration as “all people who were </w:t>
      </w:r>
      <w:r w:rsidRPr="00084AEF">
        <w:rPr>
          <w:rStyle w:val="Emphasis"/>
        </w:rPr>
        <w:t xml:space="preserve">granted lawful permanent residence; granted </w:t>
      </w:r>
      <w:proofErr w:type="spellStart"/>
      <w:r w:rsidRPr="00084AEF">
        <w:rPr>
          <w:rStyle w:val="Emphasis"/>
        </w:rPr>
        <w:t>asylee</w:t>
      </w:r>
      <w:proofErr w:type="spellEnd"/>
      <w:r w:rsidRPr="00084AEF">
        <w:rPr>
          <w:rStyle w:val="Emphasis"/>
        </w:rPr>
        <w:t xml:space="preserve"> status; admitted as refuges; or admitted as non-immigrants for a temporary stay</w:t>
      </w:r>
      <w:r w:rsidRPr="0025429E">
        <w:rPr>
          <w:rStyle w:val="StyleUnderline"/>
        </w:rPr>
        <w:t xml:space="preserve"> in the United States”</w:t>
      </w:r>
      <w:r w:rsidRPr="00084AEF">
        <w:rPr>
          <w:sz w:val="16"/>
        </w:rPr>
        <w:t xml:space="preserve"> (DHS Office of Immigration, 2009). Then there are those who enter the US illegally, or as we know them as “illegal’s”. The D.H.S. reported 791,568 apprehensions through the Border Patrol and of those apprehended individuals from Mexico lead the charts (DHS Office of Immigrations Statistics). Today the immigration topic is a large controversial conversation with both its pros and cons that is effecting hundreds if not thousands of individuals, families and companies. Some of the discrimination comes from preconceived notions that illegal’s come from the language gap and put many Hispanic and non-Hispanics alike at a disadvantage when trying to assimilate. In an article in the ‘American Journal of Economics and Sociology’ by </w:t>
      </w:r>
      <w:proofErr w:type="spellStart"/>
      <w:r w:rsidRPr="00084AEF">
        <w:rPr>
          <w:sz w:val="16"/>
        </w:rPr>
        <w:t>Jin</w:t>
      </w:r>
      <w:proofErr w:type="spellEnd"/>
      <w:r w:rsidRPr="00084AEF">
        <w:rPr>
          <w:sz w:val="16"/>
        </w:rPr>
        <w:t xml:space="preserve"> </w:t>
      </w:r>
      <w:proofErr w:type="spellStart"/>
      <w:r w:rsidRPr="00084AEF">
        <w:rPr>
          <w:sz w:val="16"/>
        </w:rPr>
        <w:t>Haum</w:t>
      </w:r>
      <w:proofErr w:type="spellEnd"/>
      <w:r w:rsidRPr="00084AEF">
        <w:rPr>
          <w:sz w:val="16"/>
        </w:rPr>
        <w:t xml:space="preserve"> Park, states that those immigrants whose English speaking skills are not adequate are put at </w:t>
      </w:r>
      <w:proofErr w:type="gramStart"/>
      <w:r w:rsidRPr="00084AEF">
        <w:rPr>
          <w:sz w:val="16"/>
        </w:rPr>
        <w:t>a</w:t>
      </w:r>
      <w:proofErr w:type="gramEnd"/>
      <w:r w:rsidRPr="00084AEF">
        <w:rPr>
          <w:sz w:val="16"/>
        </w:rPr>
        <w:t xml:space="preserve"> earning disadvantage compared to those who know or are fluent in English.</w:t>
      </w:r>
    </w:p>
    <w:p w:rsidR="00767D19" w:rsidRPr="00084AEF" w:rsidRDefault="00767D19" w:rsidP="00767D19">
      <w:pPr>
        <w:pStyle w:val="Heading4"/>
      </w:pPr>
      <w:r>
        <w:t>Legal immigration includes permanent AND temporary admissions</w:t>
      </w:r>
    </w:p>
    <w:p w:rsidR="00767D19" w:rsidRDefault="00767D19" w:rsidP="00767D19">
      <w:proofErr w:type="spellStart"/>
      <w:r w:rsidRPr="00084AEF">
        <w:rPr>
          <w:rStyle w:val="Style13ptBold"/>
        </w:rPr>
        <w:t>Wasem</w:t>
      </w:r>
      <w:proofErr w:type="spellEnd"/>
      <w:r w:rsidRPr="00084AEF">
        <w:rPr>
          <w:rStyle w:val="Style13ptBold"/>
        </w:rPr>
        <w:t xml:space="preserve"> </w:t>
      </w:r>
      <w:r>
        <w:rPr>
          <w:rStyle w:val="Style13ptBold"/>
        </w:rPr>
        <w:t>‘</w:t>
      </w:r>
      <w:r w:rsidRPr="00084AEF">
        <w:rPr>
          <w:rStyle w:val="Style13ptBold"/>
        </w:rPr>
        <w:t>12</w:t>
      </w:r>
      <w:r>
        <w:t xml:space="preserve"> [Ruth Ellen, Specialist in Immigration Policy @ Congressional Research Service, "Overview of Immigration Issues in the 112th Congress," https://fas.org/sgp/crs/homesec/R41704.pdf]</w:t>
      </w:r>
    </w:p>
    <w:p w:rsidR="00767D19" w:rsidRDefault="00767D19" w:rsidP="00767D19">
      <w:pPr>
        <w:rPr>
          <w:sz w:val="16"/>
        </w:rPr>
      </w:pPr>
      <w:r w:rsidRPr="00F9161D">
        <w:rPr>
          <w:rStyle w:val="StyleUnderline"/>
        </w:rPr>
        <w:t xml:space="preserve">The </w:t>
      </w:r>
      <w:r w:rsidRPr="00F9161D">
        <w:rPr>
          <w:rStyle w:val="Emphasis"/>
        </w:rPr>
        <w:t>scope of legal immigration</w:t>
      </w:r>
      <w:r w:rsidRPr="00F9161D">
        <w:rPr>
          <w:rStyle w:val="StyleUnderline"/>
        </w:rPr>
        <w:t xml:space="preserve"> includes permanent admissions (e.g., </w:t>
      </w:r>
      <w:r w:rsidRPr="00767D19">
        <w:rPr>
          <w:rStyle w:val="Emphasis"/>
        </w:rPr>
        <w:t>employment-based,</w:t>
      </w:r>
      <w:r w:rsidRPr="00F9161D">
        <w:rPr>
          <w:rStyle w:val="StyleUnderline"/>
        </w:rPr>
        <w:t xml:space="preserve"> family-based immigrants) and temporary admissions (e.g., guest workers, foreign students</w:t>
      </w:r>
      <w:r w:rsidRPr="003E2B02">
        <w:rPr>
          <w:sz w:val="16"/>
        </w:rPr>
        <w:t>). There are some foreign nationals admitted temporarily in a conditional status who may be on a path to permanent residence. The challenge inherent in reforming the system of legal immigration is balancing the hopes of employers to increase the supply of legally present foreign workers, the longings of families to re-unite and live together, and a widely shared wish among the various stakeholders to improve the policies governing legal immigration into the country.</w:t>
      </w:r>
    </w:p>
    <w:p w:rsidR="000F52AF" w:rsidRDefault="000F52AF" w:rsidP="000F52AF">
      <w:pPr>
        <w:pStyle w:val="Heading4"/>
      </w:pPr>
      <w:r>
        <w:t xml:space="preserve">Legal immigration includes: legal permanent residence, </w:t>
      </w:r>
      <w:proofErr w:type="spellStart"/>
      <w:r>
        <w:t>asylees</w:t>
      </w:r>
      <w:proofErr w:type="spellEnd"/>
      <w:r>
        <w:t xml:space="preserve">, refugees, and temporary visas. </w:t>
      </w:r>
    </w:p>
    <w:p w:rsidR="000F52AF" w:rsidRDefault="000F52AF" w:rsidP="000F52AF">
      <w:r w:rsidRPr="00EB005D">
        <w:rPr>
          <w:rStyle w:val="Style13ptBold"/>
        </w:rPr>
        <w:t>Passel &amp; Cohn 2015</w:t>
      </w:r>
      <w:r>
        <w:t xml:space="preserve"> Jeffrey senior demographer at Pew Research Center &amp; </w:t>
      </w:r>
      <w:proofErr w:type="spellStart"/>
      <w:r>
        <w:t>D’Vera</w:t>
      </w:r>
      <w:proofErr w:type="spellEnd"/>
      <w:r>
        <w:t xml:space="preserve"> senior writer and editor at Pew Research Center “Share of Unauthorized Immigrant Workers in Production, Construction Jobs Falls Since 2007” Pew Research Center http://www.pewhispanic.org/2015/03/26/share-of-unauthorized-immigrant-workers-in-production-construction-jobs-falls-since-2007/</w:t>
      </w:r>
    </w:p>
    <w:p w:rsidR="000F52AF" w:rsidRPr="00EB005D" w:rsidRDefault="000F52AF" w:rsidP="000F52AF">
      <w:pPr>
        <w:rPr>
          <w:sz w:val="16"/>
        </w:rPr>
      </w:pPr>
      <w:r w:rsidRPr="000F52AF">
        <w:rPr>
          <w:rStyle w:val="StyleUnderline"/>
        </w:rPr>
        <w:t>The “legal immigrant” population is defined as people granted legal permanent residence</w:t>
      </w:r>
      <w:r w:rsidRPr="000F52AF">
        <w:rPr>
          <w:sz w:val="16"/>
        </w:rPr>
        <w:t xml:space="preserve">; </w:t>
      </w:r>
      <w:r w:rsidRPr="000F52AF">
        <w:rPr>
          <w:rStyle w:val="StyleUnderline"/>
        </w:rPr>
        <w:t>those granted asylum; people admitted as refugees; and people admitted under a set of specific authorized temporary statuses for longer-term residence and work.</w:t>
      </w:r>
      <w:r w:rsidRPr="000F52AF">
        <w:rPr>
          <w:sz w:val="16"/>
        </w:rPr>
        <w:t xml:space="preserve"> </w:t>
      </w:r>
      <w:r w:rsidRPr="000F52AF">
        <w:rPr>
          <w:rStyle w:val="StyleUnderline"/>
        </w:rPr>
        <w:t>This</w:t>
      </w:r>
      <w:r w:rsidRPr="000F52AF">
        <w:rPr>
          <w:sz w:val="16"/>
        </w:rPr>
        <w:t xml:space="preserve"> group </w:t>
      </w:r>
      <w:r w:rsidRPr="000F52AF">
        <w:rPr>
          <w:rStyle w:val="StyleUnderline"/>
        </w:rPr>
        <w:t>includes</w:t>
      </w:r>
      <w:r w:rsidRPr="000F52AF">
        <w:rPr>
          <w:sz w:val="16"/>
        </w:rPr>
        <w:t xml:space="preserve"> </w:t>
      </w:r>
      <w:r w:rsidRPr="000F52AF">
        <w:rPr>
          <w:rStyle w:val="StyleUnderline"/>
        </w:rPr>
        <w:t>“naturalized citizens,” legal immigrants who have become U.S. citizens through naturalization; “legal permanent resident aliens</w:t>
      </w:r>
      <w:r w:rsidRPr="000F52AF">
        <w:rPr>
          <w:sz w:val="16"/>
        </w:rPr>
        <w:t xml:space="preserve">” who have been granted permission to stay indefinitely in the U.S. as permanent residents, </w:t>
      </w:r>
      <w:proofErr w:type="spellStart"/>
      <w:r w:rsidRPr="000F52AF">
        <w:rPr>
          <w:rStyle w:val="StyleUnderline"/>
        </w:rPr>
        <w:t>asylees</w:t>
      </w:r>
      <w:proofErr w:type="spellEnd"/>
      <w:r w:rsidRPr="000F52AF">
        <w:rPr>
          <w:rStyle w:val="StyleUnderline"/>
        </w:rPr>
        <w:t xml:space="preserve"> or refugees; and “legal temporary migrants”</w:t>
      </w:r>
      <w:r w:rsidRPr="000F52AF">
        <w:rPr>
          <w:sz w:val="16"/>
        </w:rPr>
        <w:t xml:space="preserve"> (including students, diplomats and “high-tech guest workers”) </w:t>
      </w:r>
      <w:r w:rsidRPr="000F52AF">
        <w:rPr>
          <w:rStyle w:val="StyleUnderline"/>
        </w:rPr>
        <w:t>who are allowed to live and, in some cases, work in the U.S. for specific periods of time</w:t>
      </w:r>
      <w:r w:rsidRPr="000F52AF">
        <w:rPr>
          <w:sz w:val="16"/>
        </w:rPr>
        <w:t xml:space="preserve"> (usually longer than one year).</w:t>
      </w:r>
    </w:p>
    <w:p w:rsidR="000F52AF" w:rsidRPr="003E2B02" w:rsidRDefault="000F52AF" w:rsidP="00767D19">
      <w:pPr>
        <w:rPr>
          <w:sz w:val="16"/>
        </w:rPr>
      </w:pPr>
    </w:p>
    <w:p w:rsidR="00A121DA" w:rsidRPr="00A121DA" w:rsidRDefault="00A121DA" w:rsidP="00A121DA"/>
    <w:p w:rsidR="008211AC" w:rsidRDefault="007734E5" w:rsidP="008977BB">
      <w:pPr>
        <w:pStyle w:val="Heading1"/>
      </w:pPr>
      <w:r>
        <w:lastRenderedPageBreak/>
        <w:t>Extra Definitions</w:t>
      </w:r>
    </w:p>
    <w:p w:rsidR="00CF652D" w:rsidRDefault="00CF652D" w:rsidP="00CF652D">
      <w:pPr>
        <w:pStyle w:val="Heading2"/>
      </w:pPr>
      <w:r>
        <w:lastRenderedPageBreak/>
        <w:t>Substantially</w:t>
      </w:r>
    </w:p>
    <w:p w:rsidR="00CF652D" w:rsidRPr="003B1118" w:rsidRDefault="00CF652D" w:rsidP="00CF652D">
      <w:pPr>
        <w:pStyle w:val="Heading4"/>
      </w:pPr>
      <w:r>
        <w:t>Substantially means across the board</w:t>
      </w:r>
      <w:r w:rsidR="00E65891">
        <w:t xml:space="preserve"> – can’t be limited to</w:t>
      </w:r>
      <w:r w:rsidR="003668B8">
        <w:t xml:space="preserve"> just</w:t>
      </w:r>
      <w:r w:rsidR="00E65891">
        <w:t xml:space="preserve"> one subset</w:t>
      </w:r>
    </w:p>
    <w:p w:rsidR="00CF652D" w:rsidRDefault="00CF652D" w:rsidP="00CF652D">
      <w:r>
        <w:rPr>
          <w:rStyle w:val="Style13ptBold"/>
        </w:rPr>
        <w:t>Ander</w:t>
      </w:r>
      <w:r w:rsidRPr="00FB794C">
        <w:rPr>
          <w:rStyle w:val="Style13ptBold"/>
        </w:rPr>
        <w:t xml:space="preserve">son et al </w:t>
      </w:r>
      <w:r w:rsidR="00E65891">
        <w:rPr>
          <w:rStyle w:val="Style13ptBold"/>
        </w:rPr>
        <w:t>‘</w:t>
      </w:r>
      <w:proofErr w:type="gramStart"/>
      <w:r w:rsidRPr="00FB794C">
        <w:rPr>
          <w:rStyle w:val="Style13ptBold"/>
        </w:rPr>
        <w:t>5</w:t>
      </w:r>
      <w:r>
        <w:t xml:space="preserve">  </w:t>
      </w:r>
      <w:r w:rsidR="00E65891">
        <w:t>[</w:t>
      </w:r>
      <w:proofErr w:type="gramEnd"/>
      <w:r w:rsidRPr="003B1118">
        <w:t>Brian Anderson, Becky Collins, Bar</w:t>
      </w:r>
      <w:r>
        <w:t xml:space="preserve">bara Van </w:t>
      </w:r>
      <w:proofErr w:type="spellStart"/>
      <w:r>
        <w:t>Haren</w:t>
      </w:r>
      <w:proofErr w:type="spellEnd"/>
      <w:r>
        <w:t xml:space="preserve"> &amp; Nissan Bar-Lev, </w:t>
      </w:r>
      <w:r w:rsidRPr="006B72A8">
        <w:rPr>
          <w:i/>
          <w:iCs/>
        </w:rPr>
        <w:t>Wisconsin Council of Administrators of Special Services</w:t>
      </w:r>
      <w:r w:rsidRPr="006B72A8">
        <w:t xml:space="preserve"> (</w:t>
      </w:r>
      <w:r w:rsidRPr="006B72A8">
        <w:rPr>
          <w:i/>
          <w:iCs/>
        </w:rPr>
        <w:t>WCASS</w:t>
      </w:r>
      <w:r w:rsidRPr="006B72A8">
        <w:t>)</w:t>
      </w:r>
      <w:r>
        <w:t xml:space="preserve">  Committee Members.   2005   WCASS Research / Special Projects   Committee* Report on:  A Conceptual Framework for Developing a 504 School District Policy   </w:t>
      </w:r>
      <w:r w:rsidRPr="00FB794C">
        <w:t>http://www.specialed.us/issues-504policy/504.htm#committee</w:t>
      </w:r>
      <w:r w:rsidR="00E65891">
        <w:t>]</w:t>
      </w:r>
    </w:p>
    <w:p w:rsidR="00CF652D" w:rsidRPr="00612C7F" w:rsidRDefault="00CF652D" w:rsidP="00CF652D">
      <w:pPr>
        <w:pStyle w:val="CardIndented"/>
        <w:ind w:left="0"/>
        <w:rPr>
          <w:sz w:val="16"/>
        </w:rPr>
      </w:pPr>
      <w:r w:rsidRPr="00E65891">
        <w:rPr>
          <w:sz w:val="16"/>
        </w:rPr>
        <w:t xml:space="preserve">The issue “Does it </w:t>
      </w:r>
      <w:r w:rsidRPr="00E65891">
        <w:rPr>
          <w:rStyle w:val="TitleChar"/>
        </w:rPr>
        <w:t>substantially</w:t>
      </w:r>
      <w:r w:rsidRPr="00E65891">
        <w:rPr>
          <w:sz w:val="16"/>
        </w:rPr>
        <w:t xml:space="preserve"> limit the major life activity?” </w:t>
      </w:r>
      <w:r w:rsidRPr="00E65891">
        <w:rPr>
          <w:rStyle w:val="TitleChar"/>
        </w:rPr>
        <w:t>was clarified by the US Supreme Court decision</w:t>
      </w:r>
      <w:r w:rsidRPr="00E65891">
        <w:rPr>
          <w:sz w:val="16"/>
        </w:rPr>
        <w:t xml:space="preserve"> on January 8th, </w:t>
      </w:r>
      <w:proofErr w:type="gramStart"/>
      <w:r w:rsidRPr="00E65891">
        <w:rPr>
          <w:sz w:val="16"/>
        </w:rPr>
        <w:t>2002 ,</w:t>
      </w:r>
      <w:proofErr w:type="gramEnd"/>
      <w:r w:rsidRPr="00E65891">
        <w:rPr>
          <w:sz w:val="16"/>
        </w:rPr>
        <w:t xml:space="preserve"> “</w:t>
      </w:r>
      <w:r w:rsidRPr="00E65891">
        <w:rPr>
          <w:rStyle w:val="TitleChar"/>
        </w:rPr>
        <w:t>Toyota v. Williams</w:t>
      </w:r>
      <w:r w:rsidRPr="00E65891">
        <w:rPr>
          <w:sz w:val="16"/>
        </w:rPr>
        <w:t xml:space="preserve">”. In this labor related case, </w:t>
      </w:r>
      <w:r w:rsidRPr="00E65891">
        <w:rPr>
          <w:rStyle w:val="TitleChar"/>
        </w:rPr>
        <w:t xml:space="preserve">the </w:t>
      </w:r>
      <w:r w:rsidRPr="00E65891">
        <w:rPr>
          <w:sz w:val="16"/>
        </w:rPr>
        <w:t xml:space="preserve">Supreme </w:t>
      </w:r>
      <w:r w:rsidRPr="00E65891">
        <w:rPr>
          <w:rStyle w:val="TitleChar"/>
        </w:rPr>
        <w:t>Court noted that to meet the “substantially limit” definition, the disability</w:t>
      </w:r>
      <w:r w:rsidRPr="00E65891">
        <w:rPr>
          <w:sz w:val="16"/>
        </w:rPr>
        <w:t xml:space="preserve"> </w:t>
      </w:r>
      <w:r w:rsidRPr="00E65891">
        <w:rPr>
          <w:rStyle w:val="TitleChar"/>
        </w:rPr>
        <w:t xml:space="preserve">must occur </w:t>
      </w:r>
      <w:r w:rsidRPr="00E65891">
        <w:rPr>
          <w:rStyle w:val="Emphasis"/>
        </w:rPr>
        <w:t>across the board</w:t>
      </w:r>
      <w:r w:rsidRPr="00E65891">
        <w:rPr>
          <w:rStyle w:val="TitleChar"/>
        </w:rPr>
        <w:t xml:space="preserve"> in multiple environments, not only in one environment or one setting.</w:t>
      </w:r>
      <w:r w:rsidRPr="00E65891">
        <w:rPr>
          <w:sz w:val="16"/>
        </w:rPr>
        <w:t xml:space="preserve"> The implications for school related 504 eligibility decisions are clear: The disability in question must be manifested in all facets of the student’s life, not only in school.</w:t>
      </w:r>
    </w:p>
    <w:p w:rsidR="00CF652D" w:rsidRPr="002C3077" w:rsidRDefault="00CF652D" w:rsidP="00CF652D">
      <w:pPr>
        <w:keepNext/>
        <w:keepLines/>
        <w:spacing w:before="40" w:after="0"/>
        <w:outlineLvl w:val="3"/>
        <w:rPr>
          <w:rFonts w:eastAsiaTheme="majorEastAsia" w:cstheme="majorBidi"/>
          <w:b/>
          <w:iCs/>
          <w:sz w:val="26"/>
        </w:rPr>
      </w:pPr>
      <w:r w:rsidRPr="002C3077">
        <w:rPr>
          <w:rFonts w:eastAsiaTheme="majorEastAsia" w:cstheme="majorBidi"/>
          <w:b/>
          <w:iCs/>
          <w:sz w:val="26"/>
        </w:rPr>
        <w:t xml:space="preserve">Substantial means “of considerable amount” --- </w:t>
      </w:r>
      <w:r w:rsidR="00E65891">
        <w:rPr>
          <w:rFonts w:eastAsiaTheme="majorEastAsia" w:cstheme="majorBidi"/>
          <w:b/>
          <w:iCs/>
          <w:sz w:val="26"/>
        </w:rPr>
        <w:t>it cannot be precisely quantified</w:t>
      </w:r>
    </w:p>
    <w:p w:rsidR="00CF652D" w:rsidRPr="002C3077" w:rsidRDefault="00CF652D" w:rsidP="00CF652D">
      <w:r w:rsidRPr="002C3077">
        <w:rPr>
          <w:b/>
          <w:bCs/>
          <w:sz w:val="26"/>
        </w:rPr>
        <w:t xml:space="preserve">Prost </w:t>
      </w:r>
      <w:r w:rsidR="00E65891">
        <w:rPr>
          <w:b/>
          <w:bCs/>
          <w:sz w:val="26"/>
        </w:rPr>
        <w:t>‘</w:t>
      </w:r>
      <w:r w:rsidRPr="002C3077">
        <w:rPr>
          <w:b/>
          <w:bCs/>
          <w:sz w:val="26"/>
        </w:rPr>
        <w:t>4</w:t>
      </w:r>
      <w:r w:rsidR="00E65891">
        <w:t xml:space="preserve"> [</w:t>
      </w:r>
      <w:r w:rsidRPr="002C3077">
        <w:t xml:space="preserve">Judge – United States Court of Appeals for the Federal Circuit, “Committee </w:t>
      </w:r>
      <w:proofErr w:type="gramStart"/>
      <w:r w:rsidRPr="002C3077">
        <w:t>For</w:t>
      </w:r>
      <w:proofErr w:type="gramEnd"/>
      <w:r w:rsidRPr="002C3077">
        <w:t xml:space="preserve"> Fairly Traded Venezuelan Cement v. United States”, 6-18, http://www.ll.georgetown.edu/federal/judicial/fed/o</w:t>
      </w:r>
      <w:r w:rsidR="00E65891">
        <w:t>pinions/04opinions/04-1016.html]</w:t>
      </w:r>
    </w:p>
    <w:p w:rsidR="00CF652D" w:rsidRPr="002C3077" w:rsidRDefault="00CF652D" w:rsidP="00CF652D">
      <w:pPr>
        <w:rPr>
          <w:sz w:val="16"/>
        </w:rPr>
      </w:pPr>
      <w:r w:rsidRPr="00E65891">
        <w:rPr>
          <w:sz w:val="16"/>
        </w:rPr>
        <w:t>The URAA and the SAA neither amend nor refine the language of § 1677(4)(C).  In fact, they merely suggest, without disqualifying other alternatives, a “clearly higher/substantial proportion” approach.  Indeed, the SAA specifically mentions that no “precise mathematical formula” or “‘benchmark’ proportion” is to be used for a dumping concentration analysis.  SAA at 860 (citations omitted); see also Venez. Cement, 279 F. Supp. 2d at 1329-30.  Furthermore, as the Court of International Trade noted, the SAA emphasizes that the Commission retains the discretion to determine concentration of imports on a “case-by-case basis.”  SAA at 860.  Finally, the definition of the word “substantial” undercuts the CFTVC’s argument</w:t>
      </w:r>
      <w:r w:rsidRPr="00E65891">
        <w:rPr>
          <w:rFonts w:eastAsia="SimSun"/>
          <w:sz w:val="20"/>
          <w:szCs w:val="24"/>
          <w:u w:val="single"/>
          <w:lang w:eastAsia="zh-CN"/>
        </w:rPr>
        <w:t xml:space="preserve">.  </w:t>
      </w:r>
      <w:r w:rsidRPr="00E65891">
        <w:rPr>
          <w:u w:val="single"/>
        </w:rPr>
        <w:t>The word “substantial” generally means “considerable in amount, value or worth</w:t>
      </w:r>
      <w:r w:rsidRPr="00E65891">
        <w:rPr>
          <w:sz w:val="16"/>
        </w:rPr>
        <w:t xml:space="preserve">.”  Webster’s Third New International Dictionary 2280 (1993).  </w:t>
      </w:r>
      <w:r w:rsidRPr="00E65891">
        <w:rPr>
          <w:u w:val="single"/>
        </w:rPr>
        <w:t>It does not imply a specific number or cut-off.  What may be substantial in one situation may not be in another situation.</w:t>
      </w:r>
      <w:r w:rsidRPr="00E65891">
        <w:rPr>
          <w:sz w:val="16"/>
        </w:rPr>
        <w:t>  The very breadth of the term “substantial” undercuts the CFTVC’s argument that Congress spoke clearly in establishing a standard for the Commission’s regional antidumping and countervailing duty analyses.  It therefore supports the conclusion that the Commission is owed deference in its interpretation of “substantial proportion.”  The Commission clearly embarked on its analysis having been given considerable leeway to interpret a particularly broad term.</w:t>
      </w:r>
    </w:p>
    <w:p w:rsidR="00CF652D" w:rsidRPr="00CF652D" w:rsidRDefault="00CF652D" w:rsidP="00CF652D"/>
    <w:p w:rsidR="00CF652D" w:rsidRDefault="00CF652D" w:rsidP="00CF652D">
      <w:pPr>
        <w:pStyle w:val="Heading2"/>
      </w:pPr>
      <w:r>
        <w:lastRenderedPageBreak/>
        <w:t>Reduce</w:t>
      </w:r>
    </w:p>
    <w:p w:rsidR="00CF652D" w:rsidRDefault="00CF652D" w:rsidP="00CF652D">
      <w:pPr>
        <w:pStyle w:val="Heading4"/>
      </w:pPr>
      <w:r>
        <w:t>Reduce cannot mean increase</w:t>
      </w:r>
    </w:p>
    <w:p w:rsidR="00CF652D" w:rsidRDefault="00CF652D" w:rsidP="00CF652D">
      <w:r w:rsidRPr="00134397">
        <w:rPr>
          <w:rStyle w:val="Style13ptBold"/>
        </w:rPr>
        <w:t>US Federal Court of Appeals 1999</w:t>
      </w:r>
      <w:r>
        <w:t xml:space="preserve"> “CUNA MUTUAL LIFE INSURANCE COMPANY, Plaintiff-Appellant, v. UNITED STATES, Defendant-Appellee,” Lexis</w:t>
      </w:r>
    </w:p>
    <w:p w:rsidR="00CF652D" w:rsidRDefault="00CF652D" w:rsidP="00CF652D"/>
    <w:p w:rsidR="00CF652D" w:rsidRDefault="00CF652D" w:rsidP="00CF652D">
      <w:pPr>
        <w:rPr>
          <w:rStyle w:val="TitleChar"/>
        </w:rPr>
      </w:pPr>
      <w:r w:rsidRPr="0014301B">
        <w:rPr>
          <w:sz w:val="16"/>
        </w:rPr>
        <w:t xml:space="preserve">"The amount determined" under § 809, by which the policyholder dividend deduction is to be "reduced," is the "excess" specified in § 809(c)(1). Like the word "excess," </w:t>
      </w:r>
      <w:r w:rsidRPr="00A13513">
        <w:rPr>
          <w:rStyle w:val="TitleChar"/>
        </w:rPr>
        <w:t>the word "reduced" is a common, unambiguous, non-technical term that is given its ordinary meaning.</w:t>
      </w:r>
      <w:r w:rsidRPr="0014301B">
        <w:rPr>
          <w:sz w:val="16"/>
        </w:rPr>
        <w:t xml:space="preserve"> See San Joaquin Fruit &amp; Inv. Co., 297 U.S. at 499. </w:t>
      </w:r>
      <w:r w:rsidRPr="00A13513">
        <w:rPr>
          <w:rStyle w:val="TitleChar"/>
        </w:rPr>
        <w:t>"Reduce" means "to diminish in size, amount, extent, or number</w:t>
      </w:r>
      <w:r w:rsidRPr="0014301B">
        <w:rPr>
          <w:sz w:val="16"/>
        </w:rPr>
        <w:t xml:space="preserve">." Webster's Third International Dictionary 1905. Under CUNA's interpretation of "excess" in § 809(c), however, the result of the "amount determination" under § 809 would be not to reduce the policyholder dividends deduction, but to increase it. This would directly contradict the explicit instruction in § 808(c)(2) that the deduction "be reduced." </w:t>
      </w:r>
      <w:r w:rsidRPr="00A13513">
        <w:rPr>
          <w:rStyle w:val="TitleChar"/>
        </w:rPr>
        <w:t>The word "reduce" cannot be interpreted</w:t>
      </w:r>
      <w:r w:rsidRPr="0014301B">
        <w:rPr>
          <w:sz w:val="16"/>
        </w:rPr>
        <w:t xml:space="preserve">, as CUNA would treat it, </w:t>
      </w:r>
      <w:r w:rsidRPr="00A13513">
        <w:rPr>
          <w:rStyle w:val="TitleChar"/>
        </w:rPr>
        <w:t xml:space="preserve">to mean "increase." </w:t>
      </w:r>
    </w:p>
    <w:p w:rsidR="00CF652D" w:rsidRPr="007C1B43" w:rsidRDefault="00CF652D" w:rsidP="00CF652D">
      <w:pPr>
        <w:pStyle w:val="Heading4"/>
      </w:pPr>
      <w:r>
        <w:t>Reduce is distinct from eliminate</w:t>
      </w:r>
    </w:p>
    <w:p w:rsidR="00CF652D" w:rsidRDefault="00CF652D" w:rsidP="00CF652D">
      <w:pPr>
        <w:rPr>
          <w:sz w:val="16"/>
        </w:rPr>
      </w:pPr>
      <w:r w:rsidRPr="005D15AB">
        <w:rPr>
          <w:rStyle w:val="Style13ptBold"/>
        </w:rPr>
        <w:t>Words and Phrases, 2002</w:t>
      </w:r>
      <w:r w:rsidRPr="00274338">
        <w:rPr>
          <w:sz w:val="16"/>
        </w:rPr>
        <w:t xml:space="preserve"> (Volume 36B, p. 80)</w:t>
      </w:r>
    </w:p>
    <w:p w:rsidR="00CF652D" w:rsidRPr="00274338" w:rsidRDefault="00CF652D" w:rsidP="00CF652D">
      <w:pPr>
        <w:rPr>
          <w:sz w:val="16"/>
        </w:rPr>
      </w:pPr>
    </w:p>
    <w:p w:rsidR="00CF652D" w:rsidRPr="00274338" w:rsidRDefault="00CF652D" w:rsidP="00CF652D">
      <w:pPr>
        <w:rPr>
          <w:sz w:val="16"/>
        </w:rPr>
      </w:pPr>
      <w:r w:rsidRPr="00893581">
        <w:rPr>
          <w:rStyle w:val="TitleChar"/>
        </w:rPr>
        <w:t>The word "reduce</w:t>
      </w:r>
      <w:r w:rsidRPr="00274338">
        <w:rPr>
          <w:sz w:val="16"/>
        </w:rPr>
        <w:t xml:space="preserve">," in its ordinary signification, </w:t>
      </w:r>
      <w:r w:rsidRPr="00893581">
        <w:rPr>
          <w:rStyle w:val="TitleChar"/>
        </w:rPr>
        <w:t>does not mean to cancel, destroy, or bring to naught, but to diminish, lower, or bring to an inferior state</w:t>
      </w:r>
      <w:r w:rsidRPr="00274338">
        <w:rPr>
          <w:sz w:val="16"/>
        </w:rPr>
        <w:t xml:space="preserve">. Green v. </w:t>
      </w:r>
      <w:proofErr w:type="spellStart"/>
      <w:r w:rsidRPr="00274338">
        <w:rPr>
          <w:sz w:val="16"/>
        </w:rPr>
        <w:t>Sklar</w:t>
      </w:r>
      <w:proofErr w:type="spellEnd"/>
      <w:r w:rsidRPr="00274338">
        <w:rPr>
          <w:sz w:val="16"/>
        </w:rPr>
        <w:t>, 74 N. E. 595, 596, 188 Mass. 363.</w:t>
      </w:r>
    </w:p>
    <w:p w:rsidR="00CF652D" w:rsidRPr="00CF652D" w:rsidRDefault="00CF652D" w:rsidP="00CF652D"/>
    <w:p w:rsidR="00CF652D" w:rsidRDefault="00CF652D" w:rsidP="00CF652D">
      <w:pPr>
        <w:pStyle w:val="Heading2"/>
      </w:pPr>
      <w:r>
        <w:lastRenderedPageBreak/>
        <w:t>Restrictions</w:t>
      </w:r>
    </w:p>
    <w:p w:rsidR="00011A8E" w:rsidRPr="00CD23BE" w:rsidRDefault="00011A8E" w:rsidP="00011A8E">
      <w:pPr>
        <w:pStyle w:val="Heading4"/>
      </w:pPr>
      <w:r w:rsidRPr="00CD23BE">
        <w:t xml:space="preserve">Restrictions are </w:t>
      </w:r>
      <w:r w:rsidRPr="00CD23BE">
        <w:rPr>
          <w:u w:val="single"/>
        </w:rPr>
        <w:t>prohibitions</w:t>
      </w:r>
      <w:r w:rsidRPr="00CD23BE">
        <w:t xml:space="preserve"> on action --- </w:t>
      </w:r>
      <w:r>
        <w:t>these are distinct from guiding, regulating or “supervisory” actions</w:t>
      </w:r>
      <w:r w:rsidRPr="00CD23BE">
        <w:t xml:space="preserve"> </w:t>
      </w:r>
    </w:p>
    <w:p w:rsidR="00011A8E" w:rsidRDefault="00011A8E" w:rsidP="00011A8E">
      <w:r w:rsidRPr="00CD23BE">
        <w:t>Jean</w:t>
      </w:r>
      <w:r w:rsidRPr="00CD23BE">
        <w:rPr>
          <w:rStyle w:val="Style13ptBold"/>
        </w:rPr>
        <w:t xml:space="preserve"> </w:t>
      </w:r>
      <w:proofErr w:type="spellStart"/>
      <w:r w:rsidRPr="00CD23BE">
        <w:rPr>
          <w:rStyle w:val="Style13ptBold"/>
        </w:rPr>
        <w:t>Schiedler</w:t>
      </w:r>
      <w:proofErr w:type="spellEnd"/>
      <w:r w:rsidRPr="00CD23BE">
        <w:rPr>
          <w:rStyle w:val="Style13ptBold"/>
        </w:rPr>
        <w:t>-Brown 12</w:t>
      </w:r>
      <w:r w:rsidRPr="00CD23BE">
        <w:t>,</w:t>
      </w:r>
      <w:r w:rsidRPr="00CD23BE">
        <w:rPr>
          <w:rStyle w:val="Style13ptBold"/>
        </w:rPr>
        <w:t xml:space="preserve"> </w:t>
      </w:r>
      <w:r w:rsidRPr="00CD23BE">
        <w:t xml:space="preserve">Attorney, Jean </w:t>
      </w:r>
      <w:proofErr w:type="spellStart"/>
      <w:r w:rsidRPr="00CD23BE">
        <w:t>Schiedler</w:t>
      </w:r>
      <w:proofErr w:type="spellEnd"/>
      <w:r w:rsidRPr="00CD23BE">
        <w:t xml:space="preserve">-Brown &amp; Associates, Appellant Brief of Randall </w:t>
      </w:r>
      <w:proofErr w:type="spellStart"/>
      <w:r w:rsidRPr="00CD23BE">
        <w:t>Kinchloe</w:t>
      </w:r>
      <w:proofErr w:type="spellEnd"/>
      <w:r w:rsidRPr="00CD23BE">
        <w:t xml:space="preserve"> v. States </w:t>
      </w:r>
      <w:proofErr w:type="spellStart"/>
      <w:r w:rsidRPr="00CD23BE">
        <w:t>Dept</w:t>
      </w:r>
      <w:proofErr w:type="spellEnd"/>
      <w:r w:rsidRPr="00CD23BE">
        <w:t xml:space="preserve"> of Health, Washington,  The Court of Appeals of the State of Washington, Division 1, </w:t>
      </w:r>
      <w:hyperlink r:id="rId9" w:history="1">
        <w:r w:rsidRPr="00D33A3A">
          <w:rPr>
            <w:rStyle w:val="Hyperlink"/>
          </w:rPr>
          <w:t>http://www.courts.wa.gov/content/Briefs/A01/686429%20Appellant%20Randall%20Kincheloe%27s.pdf</w:t>
        </w:r>
      </w:hyperlink>
    </w:p>
    <w:p w:rsidR="00011A8E" w:rsidRPr="00CD23BE" w:rsidRDefault="00011A8E" w:rsidP="00011A8E"/>
    <w:p w:rsidR="00011A8E" w:rsidRPr="00011A8E" w:rsidRDefault="00011A8E" w:rsidP="00011A8E">
      <w:pPr>
        <w:rPr>
          <w:sz w:val="12"/>
        </w:rPr>
      </w:pPr>
      <w:r w:rsidRPr="00011A8E">
        <w:rPr>
          <w:sz w:val="12"/>
        </w:rPr>
        <w:t xml:space="preserve">3. </w:t>
      </w:r>
      <w:r w:rsidRPr="00011A8E">
        <w:rPr>
          <w:rStyle w:val="TitleChar"/>
        </w:rPr>
        <w:t>The ordinary definition of</w:t>
      </w:r>
      <w:r w:rsidRPr="00011A8E">
        <w:rPr>
          <w:sz w:val="12"/>
        </w:rPr>
        <w:t xml:space="preserve"> the term "</w:t>
      </w:r>
      <w:r w:rsidRPr="00011A8E">
        <w:rPr>
          <w:rStyle w:val="TitleChar"/>
        </w:rPr>
        <w:t>restrictions</w:t>
      </w:r>
      <w:r w:rsidRPr="00011A8E">
        <w:rPr>
          <w:sz w:val="12"/>
        </w:rPr>
        <w:t xml:space="preserve">" also </w:t>
      </w:r>
      <w:r w:rsidRPr="00011A8E">
        <w:rPr>
          <w:rStyle w:val="TitleChar"/>
        </w:rPr>
        <w:t>does not include</w:t>
      </w:r>
      <w:r w:rsidRPr="00011A8E">
        <w:rPr>
          <w:sz w:val="12"/>
        </w:rPr>
        <w:t xml:space="preserve"> the </w:t>
      </w:r>
      <w:r w:rsidRPr="00011A8E">
        <w:rPr>
          <w:rStyle w:val="Emphasis"/>
        </w:rPr>
        <w:t>reporting and monitoring or supervising</w:t>
      </w:r>
      <w:r w:rsidRPr="00011A8E">
        <w:rPr>
          <w:sz w:val="12"/>
        </w:rPr>
        <w:t xml:space="preserve"> terms and </w:t>
      </w:r>
      <w:r w:rsidRPr="00011A8E">
        <w:rPr>
          <w:rStyle w:val="Emphasis"/>
        </w:rPr>
        <w:t>conditions</w:t>
      </w:r>
      <w:r w:rsidRPr="00011A8E">
        <w:rPr>
          <w:sz w:val="12"/>
        </w:rPr>
        <w:t xml:space="preserve"> that are included in the 2001 Stipulation. </w:t>
      </w:r>
      <w:r w:rsidRPr="00011A8E">
        <w:rPr>
          <w:rStyle w:val="TitleChar"/>
        </w:rPr>
        <w:t>Black's Law</w:t>
      </w:r>
      <w:r w:rsidRPr="00011A8E">
        <w:rPr>
          <w:sz w:val="12"/>
        </w:rPr>
        <w:t xml:space="preserve"> Dictionary, 'fifth </w:t>
      </w:r>
      <w:proofErr w:type="gramStart"/>
      <w:r w:rsidRPr="00011A8E">
        <w:rPr>
          <w:sz w:val="12"/>
        </w:rPr>
        <w:t>edition,(</w:t>
      </w:r>
      <w:proofErr w:type="gramEnd"/>
      <w:r w:rsidRPr="00011A8E">
        <w:rPr>
          <w:sz w:val="12"/>
        </w:rPr>
        <w:t xml:space="preserve">1979) </w:t>
      </w:r>
      <w:r w:rsidRPr="00011A8E">
        <w:rPr>
          <w:rStyle w:val="TitleChar"/>
        </w:rPr>
        <w:t>defines "restriction" as</w:t>
      </w:r>
      <w:r w:rsidRPr="00011A8E">
        <w:rPr>
          <w:sz w:val="12"/>
        </w:rPr>
        <w:t xml:space="preserve">; </w:t>
      </w:r>
      <w:r w:rsidRPr="00011A8E">
        <w:rPr>
          <w:rStyle w:val="TitleChar"/>
        </w:rPr>
        <w:t>A limitation</w:t>
      </w:r>
      <w:r w:rsidRPr="00011A8E">
        <w:rPr>
          <w:sz w:val="12"/>
        </w:rPr>
        <w:t xml:space="preserve"> often </w:t>
      </w:r>
      <w:r w:rsidRPr="00011A8E">
        <w:rPr>
          <w:rStyle w:val="TitleChar"/>
        </w:rPr>
        <w:t>imposed</w:t>
      </w:r>
      <w:r w:rsidRPr="00011A8E">
        <w:rPr>
          <w:sz w:val="12"/>
        </w:rPr>
        <w:t xml:space="preserve"> in a deed or lease respecting the use to which the property may be put. The term "restrict' is also cross referenced with the term "restrain." Restrain is defined as; To limit, confine, abridge, narrow down, restrict, obstruct, impede, hinder, stay, destroy. </w:t>
      </w:r>
      <w:r w:rsidRPr="00011A8E">
        <w:rPr>
          <w:rStyle w:val="Emphasis"/>
        </w:rPr>
        <w:t>To prohibit from action</w:t>
      </w:r>
      <w:r w:rsidRPr="00011A8E">
        <w:rPr>
          <w:sz w:val="12"/>
        </w:rPr>
        <w:t xml:space="preserve">; to put compulsion on; to restrict; to hold or press back. To keep in check; to hold back from acting, proceeding, or advancing, either by physical or moral force, or by interposing obstacle, to repress or suppress, to curb. </w:t>
      </w:r>
      <w:r w:rsidRPr="00011A8E">
        <w:rPr>
          <w:rStyle w:val="TitleChar"/>
        </w:rPr>
        <w:t>In contrast</w:t>
      </w:r>
      <w:r w:rsidRPr="00011A8E">
        <w:rPr>
          <w:sz w:val="12"/>
        </w:rPr>
        <w:t>, the terms "</w:t>
      </w:r>
      <w:r w:rsidRPr="00011A8E">
        <w:rPr>
          <w:rStyle w:val="TitleChar"/>
        </w:rPr>
        <w:t>supervise" and "supervisor" are</w:t>
      </w:r>
      <w:r w:rsidRPr="00011A8E">
        <w:rPr>
          <w:sz w:val="12"/>
        </w:rPr>
        <w:t xml:space="preserve"> defined as; </w:t>
      </w:r>
      <w:r w:rsidRPr="00011A8E">
        <w:rPr>
          <w:rStyle w:val="TitleChar"/>
        </w:rPr>
        <w:t>To have</w:t>
      </w:r>
      <w:r w:rsidRPr="00011A8E">
        <w:rPr>
          <w:sz w:val="12"/>
        </w:rPr>
        <w:t xml:space="preserve"> general </w:t>
      </w:r>
      <w:r w:rsidRPr="00011A8E">
        <w:rPr>
          <w:rStyle w:val="TitleChar"/>
        </w:rPr>
        <w:t>oversight</w:t>
      </w:r>
      <w:r w:rsidRPr="00011A8E">
        <w:rPr>
          <w:sz w:val="12"/>
        </w:rPr>
        <w:t xml:space="preserve"> over, to superintend </w:t>
      </w:r>
      <w:r w:rsidRPr="00011A8E">
        <w:rPr>
          <w:rStyle w:val="TitleChar"/>
        </w:rPr>
        <w:t>or</w:t>
      </w:r>
      <w:r w:rsidRPr="00011A8E">
        <w:rPr>
          <w:sz w:val="12"/>
        </w:rPr>
        <w:t xml:space="preserve"> to </w:t>
      </w:r>
      <w:r w:rsidRPr="00011A8E">
        <w:rPr>
          <w:rStyle w:val="TitleChar"/>
        </w:rPr>
        <w:t>inspect</w:t>
      </w:r>
      <w:r w:rsidRPr="00011A8E">
        <w:rPr>
          <w:sz w:val="12"/>
        </w:rPr>
        <w:t xml:space="preserve">. See Supervisor. A surveyor or overseer. . . In a broad sense, one having authority over others, to superintend and direct. The term "supervisor" means an individual having authority, in the interest of the employer, to hire, transfer, suspend, layoff, recall, promote, discharge, assign, reward, or discipline other employees, or responsibility to direct them, or to adjust their grievances, or effectively to recommend such action, if in connection with the foregoing the exercise of such authority is not of a merely routine or clerical nature, but required the use of independent judgment. Comparing the above definitions, it is clear that </w:t>
      </w:r>
      <w:r w:rsidRPr="00011A8E">
        <w:rPr>
          <w:rStyle w:val="TitleChar"/>
        </w:rPr>
        <w:t>the</w:t>
      </w:r>
      <w:r w:rsidRPr="00011A8E">
        <w:rPr>
          <w:sz w:val="12"/>
        </w:rPr>
        <w:t xml:space="preserve"> </w:t>
      </w:r>
      <w:r w:rsidRPr="00011A8E">
        <w:rPr>
          <w:rStyle w:val="Emphasis"/>
        </w:rPr>
        <w:t>definition of "restriction" is very different from the definition of "supervision</w:t>
      </w:r>
      <w:r w:rsidRPr="00011A8E">
        <w:rPr>
          <w:sz w:val="12"/>
        </w:rPr>
        <w:t xml:space="preserve">"-very few of the same words are used to explain or define the different terms. In his 2001 stipulation, Mr. </w:t>
      </w:r>
      <w:proofErr w:type="spellStart"/>
      <w:r w:rsidRPr="00011A8E">
        <w:rPr>
          <w:rStyle w:val="TitleChar"/>
        </w:rPr>
        <w:t>Kincheloe</w:t>
      </w:r>
      <w:proofErr w:type="spellEnd"/>
      <w:r w:rsidRPr="00011A8E">
        <w:rPr>
          <w:sz w:val="12"/>
        </w:rPr>
        <w:t xml:space="preserve"> essentially </w:t>
      </w:r>
      <w:r w:rsidRPr="00011A8E">
        <w:rPr>
          <w:rStyle w:val="TitleChar"/>
        </w:rPr>
        <w:t xml:space="preserve">agreed to some </w:t>
      </w:r>
      <w:r w:rsidRPr="00011A8E">
        <w:rPr>
          <w:rStyle w:val="Emphasis"/>
        </w:rPr>
        <w:t>supervision conditions</w:t>
      </w:r>
      <w:r w:rsidRPr="00011A8E">
        <w:rPr>
          <w:sz w:val="12"/>
        </w:rPr>
        <w:t xml:space="preserve">, </w:t>
      </w:r>
      <w:r w:rsidRPr="00011A8E">
        <w:rPr>
          <w:rStyle w:val="Emphasis"/>
        </w:rPr>
        <w:t>but</w:t>
      </w:r>
      <w:r w:rsidRPr="00011A8E">
        <w:rPr>
          <w:sz w:val="12"/>
        </w:rPr>
        <w:t xml:space="preserve"> he </w:t>
      </w:r>
      <w:r w:rsidRPr="00011A8E">
        <w:rPr>
          <w:rStyle w:val="Emphasis"/>
        </w:rPr>
        <w:t>did not agree to restrict his license</w:t>
      </w:r>
      <w:r w:rsidRPr="00011A8E">
        <w:rPr>
          <w:sz w:val="12"/>
        </w:rPr>
        <w:t>.</w:t>
      </w:r>
    </w:p>
    <w:p w:rsidR="00011A8E" w:rsidRPr="00197995" w:rsidRDefault="00011A8E" w:rsidP="00011A8E">
      <w:pPr>
        <w:pStyle w:val="Heading4"/>
      </w:pPr>
      <w:r>
        <w:t xml:space="preserve">A restriction </w:t>
      </w:r>
      <w:r w:rsidR="003668B8">
        <w:t xml:space="preserve">dictates </w:t>
      </w:r>
      <w:r>
        <w:t xml:space="preserve">whether </w:t>
      </w:r>
      <w:r w:rsidR="003668B8">
        <w:t xml:space="preserve">or not </w:t>
      </w:r>
      <w:r>
        <w:t>you may take an action; a regulation is the method for managing</w:t>
      </w:r>
      <w:r w:rsidR="003668B8">
        <w:t xml:space="preserve"> the unfolding of</w:t>
      </w:r>
      <w:r>
        <w:t xml:space="preserve"> that action.  Only rules that prevent entry altogether are restrictions – conditions under which entry </w:t>
      </w:r>
      <w:r w:rsidR="003668B8">
        <w:t>may occur</w:t>
      </w:r>
      <w:r>
        <w:t xml:space="preserve"> are distinct</w:t>
      </w:r>
    </w:p>
    <w:p w:rsidR="00011A8E" w:rsidRPr="00CD23BE" w:rsidRDefault="00011A8E" w:rsidP="00011A8E">
      <w:proofErr w:type="spellStart"/>
      <w:r w:rsidRPr="00011A8E">
        <w:rPr>
          <w:rStyle w:val="Style13ptBold"/>
        </w:rPr>
        <w:t>Shackleford</w:t>
      </w:r>
      <w:proofErr w:type="spellEnd"/>
      <w:r w:rsidRPr="00011A8E">
        <w:rPr>
          <w:rStyle w:val="Style13ptBold"/>
        </w:rPr>
        <w:t xml:space="preserve"> 1917</w:t>
      </w:r>
      <w:r>
        <w:t xml:space="preserve"> [</w:t>
      </w:r>
      <w:r w:rsidRPr="00CD23BE">
        <w:t>Florida SC Justice Opinion in ATLANTIC COAST LINE RAILROAD COMPANY, A CORPORATION, et al., Plaintiff in Error, v. THE STATE OF FLORIDA, Defendant in Error</w:t>
      </w:r>
      <w:proofErr w:type="gramStart"/>
      <w:r w:rsidRPr="00CD23BE">
        <w:t>~[</w:t>
      </w:r>
      <w:proofErr w:type="gramEnd"/>
      <w:r w:rsidRPr="00CD23BE">
        <w:t xml:space="preserve">NO DOCKET NUMBER~]SUPREME COURT OF FLORIDA73 Fla. 609; 74 So. 595; 1917 Fla. LEXIS 487March 12, 1917; Petition for </w:t>
      </w:r>
      <w:r>
        <w:t>Rehearing Denied March 17, 1917]</w:t>
      </w:r>
    </w:p>
    <w:p w:rsidR="00011A8E" w:rsidRPr="00011A8E" w:rsidRDefault="00011A8E" w:rsidP="00011A8E">
      <w:pPr>
        <w:rPr>
          <w:sz w:val="12"/>
        </w:rPr>
      </w:pPr>
      <w:r w:rsidRPr="00011A8E">
        <w:rPr>
          <w:sz w:val="12"/>
        </w:rPr>
        <w:t>There would seem to be no occasion to discuss whether or not the Railroad Commissioners had the power and authority to make the order, requiring the three specified railroads running into the City of Tampa to erect a union passenger station in such city, which is set out in the declaration in the instant case and which we have copied above.  [***29</w:t>
      </w:r>
      <w:proofErr w:type="gramStart"/>
      <w:r w:rsidRPr="00011A8E">
        <w:rPr>
          <w:sz w:val="12"/>
        </w:rPr>
        <w:t>]  It</w:t>
      </w:r>
      <w:proofErr w:type="gramEnd"/>
      <w:r w:rsidRPr="00011A8E">
        <w:rPr>
          <w:sz w:val="12"/>
        </w:rPr>
        <w:t xml:space="preserve"> is sufficient to say that under the reasoning and the authorities cited in State v. Atlantic Coast Line R. Co., 67 Fla. 441, 458, 63 South. Rep. 729, 65 South. Rep. 654, and State v. Jacksonville </w:t>
      </w:r>
      <w:proofErr w:type="gramStart"/>
      <w:r w:rsidRPr="00011A8E">
        <w:rPr>
          <w:sz w:val="12"/>
        </w:rPr>
        <w:t>Terminal  [</w:t>
      </w:r>
      <w:proofErr w:type="gramEnd"/>
      <w:r w:rsidRPr="00011A8E">
        <w:rPr>
          <w:sz w:val="12"/>
        </w:rPr>
        <w:t xml:space="preserve">*631]  Co., supra, it would seem that HN14the Commissioners had power and authority. </w:t>
      </w:r>
      <w:r w:rsidRPr="00011A8E">
        <w:rPr>
          <w:bCs/>
          <w:u w:val="single"/>
        </w:rPr>
        <w:t>The point which we are required to determine is whether or not the Commissioners were given the authority to impose the fine or penalty upon the three railroads for the recovery of which this action is brought.</w:t>
      </w:r>
      <w:r w:rsidRPr="00011A8E">
        <w:rPr>
          <w:sz w:val="12"/>
        </w:rPr>
        <w:t xml:space="preserve"> In order to decide this </w:t>
      </w:r>
      <w:proofErr w:type="gramStart"/>
      <w:r w:rsidRPr="00011A8E">
        <w:rPr>
          <w:sz w:val="12"/>
        </w:rPr>
        <w:t>question</w:t>
      </w:r>
      <w:proofErr w:type="gramEnd"/>
      <w:r w:rsidRPr="00011A8E">
        <w:rPr>
          <w:sz w:val="12"/>
        </w:rPr>
        <w:t xml:space="preserve"> we must examine Section 2908 of the General Statutes of 1906, which we have copied above, in the light of the authorities which we have cited and from some of which we have quoted. It will be observed that the declaration alleges that the penalty imposed upon the three railroads was for the violation of what is designated as "Order No. 282," which is set out and which required such railroads to erect and complete a union depot at Tampa within a certain specified time. If the Commissioners had the authority to make such order, it necessarily follows that they could enforce a compliance with the same by appropriate proceedings in the courts, but [***30</w:t>
      </w:r>
      <w:proofErr w:type="gramStart"/>
      <w:r w:rsidRPr="00011A8E">
        <w:rPr>
          <w:sz w:val="12"/>
        </w:rPr>
        <w:t>]  it</w:t>
      </w:r>
      <w:proofErr w:type="gramEnd"/>
      <w:r w:rsidRPr="00011A8E">
        <w:rPr>
          <w:sz w:val="12"/>
        </w:rPr>
        <w:t xml:space="preserve"> does not necessarily follow that they had the power and authority to penalize the roads for a failure to comply therewith. That is a different matter. HN15Section 2908 of the General Statutes of 1906, which originally formed Section 12 of Chapter 4700 of the Laws of Florida, (Acts of 1899, p. 86), expressly authorizes the imposition of a penalty by the Commissioners upon "any railroad, railroad company or other common carrier doing business in this State," for "a violation or disregard of any rate, schedule, rule or regulation, provided or prescribed by said commission," or for failure "to make any report required to be made under the provisions of this Chapter," or for the violation of "any provision of this Chapter." </w:t>
      </w:r>
      <w:r w:rsidRPr="00011A8E">
        <w:rPr>
          <w:bCs/>
          <w:u w:val="single"/>
        </w:rPr>
        <w:t>It will be observed that the word "Order" is not mentioned in such section</w:t>
      </w:r>
      <w:r w:rsidRPr="00011A8E">
        <w:rPr>
          <w:sz w:val="12"/>
        </w:rPr>
        <w:t>. Are the other words used therein sufficiently comprehensive to embrace an order made by the Commissioners, such as the one now under consideration?  [*632</w:t>
      </w:r>
      <w:proofErr w:type="gramStart"/>
      <w:r w:rsidRPr="00011A8E">
        <w:rPr>
          <w:sz w:val="12"/>
        </w:rPr>
        <w:t xml:space="preserve">]  </w:t>
      </w:r>
      <w:r w:rsidRPr="00011A8E">
        <w:rPr>
          <w:bCs/>
          <w:u w:val="single"/>
        </w:rPr>
        <w:t>It</w:t>
      </w:r>
      <w:proofErr w:type="gramEnd"/>
      <w:r w:rsidRPr="00011A8E">
        <w:rPr>
          <w:bCs/>
          <w:u w:val="single"/>
        </w:rPr>
        <w:t xml:space="preserve"> could not successfully be contended, nor is such contention attempted, that this order is covered by or embraced within the words "rate," "schedule" or "any report,' therefore we may dismiss these terms from our consideration and</w:t>
      </w:r>
      <w:r w:rsidRPr="00011A8E">
        <w:rPr>
          <w:sz w:val="12"/>
        </w:rPr>
        <w:t xml:space="preserve"> [***31]  </w:t>
      </w:r>
      <w:r w:rsidRPr="00011A8E">
        <w:rPr>
          <w:bCs/>
          <w:u w:val="single"/>
        </w:rPr>
        <w:t>direct our attention to the words "rule or regulation.</w:t>
      </w:r>
      <w:r w:rsidRPr="00011A8E">
        <w:rPr>
          <w:sz w:val="12"/>
        </w:rPr>
        <w:t xml:space="preserve">" As is frankly stated in the brief filed by the defendant in error: "It is admitted that an order for the erection of a depot is not a 'rate' or 'schedule' and if it is not a 'rule' or 'regulation' then there is no power in the Commissioners to enforce it by the imposition of a penalty." </w:t>
      </w:r>
      <w:r w:rsidRPr="00011A8E">
        <w:rPr>
          <w:bCs/>
          <w:u w:val="single"/>
        </w:rPr>
        <w:t xml:space="preserve">It is </w:t>
      </w:r>
      <w:r w:rsidRPr="00011A8E">
        <w:rPr>
          <w:bCs/>
          <w:u w:val="single"/>
        </w:rPr>
        <w:lastRenderedPageBreak/>
        <w:t>earnestly insisted that the words "rule or regulation" are sufficiently comprehensive to embrace such an order and to authorize the penalty imposed</w:t>
      </w:r>
      <w:r w:rsidRPr="00011A8E">
        <w:rPr>
          <w:sz w:val="12"/>
        </w:rPr>
        <w:t xml:space="preserve">, and in support of this contention the following authorities are cited: Black's Law Dictionary, defining regulation and order; </w:t>
      </w:r>
      <w:proofErr w:type="spellStart"/>
      <w:r w:rsidRPr="00011A8E">
        <w:rPr>
          <w:sz w:val="12"/>
        </w:rPr>
        <w:t>Rapalje</w:t>
      </w:r>
      <w:proofErr w:type="spellEnd"/>
      <w:r w:rsidRPr="00011A8E">
        <w:rPr>
          <w:sz w:val="12"/>
        </w:rPr>
        <w:t xml:space="preserve"> &amp; Lawrence's Law Dictionary, defining rule; Abbott's Law Dictionary, defining rule; </w:t>
      </w:r>
      <w:proofErr w:type="spellStart"/>
      <w:r w:rsidRPr="00011A8E">
        <w:rPr>
          <w:sz w:val="12"/>
        </w:rPr>
        <w:t>Bouvier's</w:t>
      </w:r>
      <w:proofErr w:type="spellEnd"/>
      <w:r w:rsidRPr="00011A8E">
        <w:rPr>
          <w:sz w:val="12"/>
        </w:rPr>
        <w:t xml:space="preserve"> Law Dictionary, defining order and rule  [**602]  of court; Webster's New International Dictionary, defining regulation; Curry v. Marvin, 2 Fla. 411, text 515; In re Leasing of State Lands, 18 Colo. 359, 32 Pac. Rep. 986; Betts v. Commissioners of the Land Office, 27 </w:t>
      </w:r>
      <w:proofErr w:type="spellStart"/>
      <w:r w:rsidRPr="00011A8E">
        <w:rPr>
          <w:sz w:val="12"/>
        </w:rPr>
        <w:t>Okl</w:t>
      </w:r>
      <w:proofErr w:type="spellEnd"/>
      <w:r w:rsidRPr="00011A8E">
        <w:rPr>
          <w:sz w:val="12"/>
        </w:rPr>
        <w:t xml:space="preserve">. 64, 110 Pac. Rep. 766; Carter V. Louisiana Purchase Exposition Co., 124 Mo. App. 530, 102 S.W. Rep. 6, text 9; 34 </w:t>
      </w:r>
      <w:proofErr w:type="spellStart"/>
      <w:r w:rsidRPr="00011A8E">
        <w:rPr>
          <w:sz w:val="12"/>
        </w:rPr>
        <w:t>Cyc</w:t>
      </w:r>
      <w:proofErr w:type="spellEnd"/>
      <w:r w:rsidRPr="00011A8E">
        <w:rPr>
          <w:sz w:val="12"/>
        </w:rPr>
        <w:t>. 1031. We have examined all of these authorities, as well as those cited by the [***32</w:t>
      </w:r>
      <w:proofErr w:type="gramStart"/>
      <w:r w:rsidRPr="00011A8E">
        <w:rPr>
          <w:sz w:val="12"/>
        </w:rPr>
        <w:t>]  plaintiffs</w:t>
      </w:r>
      <w:proofErr w:type="gramEnd"/>
      <w:r w:rsidRPr="00011A8E">
        <w:rPr>
          <w:sz w:val="12"/>
        </w:rPr>
        <w:t xml:space="preserve"> in error and a number of others, but shall not undertake an analysis and discussion of all of them. </w:t>
      </w:r>
      <w:r w:rsidRPr="00011A8E">
        <w:rPr>
          <w:bCs/>
          <w:u w:val="single"/>
        </w:rPr>
        <w:t>While it is undoubtedly true that the words, rule, regulation and order are frequently used as synonyms, as the dictionaries, both English and law, and the dictionaries of synonyms, such as Soule's show, it does not follow that these words always mean the same thing or are interchangeable at will</w:t>
      </w:r>
      <w:r w:rsidRPr="00011A8E">
        <w:rPr>
          <w:sz w:val="12"/>
        </w:rPr>
        <w:t xml:space="preserve">. It is well known that the same word used in different contexts may mean a different thing by virtue of the coloring which the </w:t>
      </w:r>
      <w:proofErr w:type="gramStart"/>
      <w:r w:rsidRPr="00011A8E">
        <w:rPr>
          <w:sz w:val="12"/>
        </w:rPr>
        <w:t>word  [</w:t>
      </w:r>
      <w:proofErr w:type="gramEnd"/>
      <w:r w:rsidRPr="00011A8E">
        <w:rPr>
          <w:sz w:val="12"/>
        </w:rPr>
        <w:t xml:space="preserve">*633]  takes on both from what precedes it in the context and what follows after. </w:t>
      </w:r>
      <w:r w:rsidRPr="00011A8E">
        <w:rPr>
          <w:bCs/>
          <w:u w:val="single"/>
        </w:rPr>
        <w:t>Thus in discussing the proper constructions to be placed upon the words "restrictions and regulations" as used in the Constitution of this State</w:t>
      </w:r>
      <w:r w:rsidRPr="00011A8E">
        <w:rPr>
          <w:sz w:val="12"/>
        </w:rPr>
        <w:t xml:space="preserve">, then in force, Chap. 4, Sec. 2, No. 1, of Thompson's Digest, page 50, this court in Curry v. Marvin, 2 Fla. 411, text 415, which case is cited to us and relied upon by both the parties litigant, makes the following statement: </w:t>
      </w:r>
      <w:r w:rsidRPr="00011A8E">
        <w:rPr>
          <w:bCs/>
          <w:u w:val="single"/>
        </w:rPr>
        <w:t xml:space="preserve">"The </w:t>
      </w:r>
      <w:r w:rsidRPr="00011A8E">
        <w:rPr>
          <w:rStyle w:val="Emphasis"/>
        </w:rPr>
        <w:t>word restriction</w:t>
      </w:r>
      <w:r w:rsidRPr="00011A8E">
        <w:rPr>
          <w:bCs/>
          <w:u w:val="single"/>
        </w:rPr>
        <w:t xml:space="preserve"> is defined by the best lexicographers to mean </w:t>
      </w:r>
      <w:r w:rsidRPr="00011A8E">
        <w:rPr>
          <w:b/>
          <w:iCs/>
          <w:u w:val="single"/>
          <w:bdr w:val="single" w:sz="4" w:space="0" w:color="auto"/>
        </w:rPr>
        <w:t>limitation</w:t>
      </w:r>
      <w:r w:rsidRPr="00011A8E">
        <w:rPr>
          <w:bCs/>
          <w:u w:val="single"/>
        </w:rPr>
        <w:t xml:space="preserve">, confinement within bounds, and would seem, as used in the constitution, to apply to the </w:t>
      </w:r>
      <w:r w:rsidRPr="00011A8E">
        <w:rPr>
          <w:rStyle w:val="Emphasis"/>
        </w:rPr>
        <w:t>amount</w:t>
      </w:r>
      <w:r w:rsidRPr="00011A8E">
        <w:rPr>
          <w:bCs/>
          <w:u w:val="single"/>
        </w:rPr>
        <w:t xml:space="preserve"> and to the time</w:t>
      </w:r>
      <w:r w:rsidRPr="00011A8E">
        <w:rPr>
          <w:sz w:val="12"/>
        </w:rPr>
        <w:t xml:space="preserve"> [***33]  </w:t>
      </w:r>
      <w:r w:rsidRPr="00011A8E">
        <w:rPr>
          <w:bCs/>
          <w:u w:val="single"/>
        </w:rPr>
        <w:t>within which an appeal might to be taken, or a writ of error sued out.</w:t>
      </w:r>
      <w:r w:rsidRPr="00011A8E">
        <w:rPr>
          <w:sz w:val="12"/>
        </w:rPr>
        <w:t xml:space="preserve"> </w:t>
      </w:r>
      <w:r w:rsidRPr="00011A8E">
        <w:rPr>
          <w:bCs/>
          <w:u w:val="single"/>
        </w:rPr>
        <w:t xml:space="preserve">The </w:t>
      </w:r>
      <w:r w:rsidRPr="00011A8E">
        <w:rPr>
          <w:rStyle w:val="Emphasis"/>
        </w:rPr>
        <w:t>word regulation</w:t>
      </w:r>
      <w:r w:rsidRPr="00011A8E">
        <w:rPr>
          <w:bCs/>
          <w:u w:val="single"/>
        </w:rPr>
        <w:t xml:space="preserve"> has a different signification -- it means </w:t>
      </w:r>
      <w:r w:rsidRPr="00011A8E">
        <w:rPr>
          <w:rStyle w:val="Emphasis"/>
        </w:rPr>
        <w:t>method</w:t>
      </w:r>
      <w:r w:rsidRPr="00011A8E">
        <w:rPr>
          <w:bCs/>
          <w:u w:val="single"/>
        </w:rPr>
        <w:t>, and is defined by Webster in his Dictionary,</w:t>
      </w:r>
      <w:r w:rsidRPr="00011A8E">
        <w:rPr>
          <w:sz w:val="12"/>
        </w:rPr>
        <w:t xml:space="preserve"> folio 31, page 929, </w:t>
      </w:r>
      <w:r w:rsidRPr="00011A8E">
        <w:rPr>
          <w:bCs/>
          <w:u w:val="single"/>
        </w:rPr>
        <w:t xml:space="preserve">to be 'a rule or order </w:t>
      </w:r>
      <w:r w:rsidRPr="00011A8E">
        <w:rPr>
          <w:rStyle w:val="Emphasis"/>
        </w:rPr>
        <w:t>prescribed</w:t>
      </w:r>
      <w:r w:rsidRPr="00011A8E">
        <w:rPr>
          <w:bCs/>
          <w:u w:val="single"/>
        </w:rPr>
        <w:t xml:space="preserve"> by a superior for the management of some business, or for the government of a company or society.'</w:t>
      </w:r>
      <w:r w:rsidRPr="00011A8E">
        <w:rPr>
          <w:sz w:val="12"/>
        </w:rPr>
        <w:t xml:space="preserve"> </w:t>
      </w:r>
      <w:r w:rsidRPr="00011A8E">
        <w:rPr>
          <w:bCs/>
          <w:u w:val="single"/>
        </w:rPr>
        <w:t xml:space="preserve">This more properly perhaps applies to the </w:t>
      </w:r>
      <w:r w:rsidRPr="00011A8E">
        <w:rPr>
          <w:rStyle w:val="Emphasis"/>
        </w:rPr>
        <w:t>mode and form</w:t>
      </w:r>
      <w:r w:rsidRPr="00011A8E">
        <w:rPr>
          <w:bCs/>
          <w:u w:val="single"/>
        </w:rPr>
        <w:t xml:space="preserve"> of proceeding in taking and prosecuting appeals and writs of error.</w:t>
      </w:r>
      <w:r w:rsidRPr="00011A8E">
        <w:rPr>
          <w:sz w:val="12"/>
        </w:rPr>
        <w:t xml:space="preserve"> By the use of both of those terms, </w:t>
      </w:r>
      <w:r w:rsidRPr="00011A8E">
        <w:rPr>
          <w:bCs/>
          <w:u w:val="single"/>
        </w:rPr>
        <w:t>we think that something more was intended than merely regulating the mode and form of proceedings in such cases</w:t>
      </w:r>
      <w:r w:rsidRPr="00011A8E">
        <w:rPr>
          <w:sz w:val="12"/>
        </w:rPr>
        <w:t xml:space="preserve">." Thus, in Carter v. Louisiana Purchase Exposition Co., 124 Mo. App. 530, text 538, 102 S.W. Rep. 6, text 9, it is said, "The definition of a rule or order, which are synonymous terms, include commands to lower courts or court officials to do ministerial acts." In support of this proposition is cited 24 Amer. &amp; Eng. Ency. of Law 1016, which is evidently an erroneous citation, whether the first or second edition is meant. See the definition of regulate and rule, 24 </w:t>
      </w:r>
      <w:proofErr w:type="spellStart"/>
      <w:r w:rsidRPr="00011A8E">
        <w:rPr>
          <w:sz w:val="12"/>
        </w:rPr>
        <w:t>amer.</w:t>
      </w:r>
      <w:proofErr w:type="spellEnd"/>
      <w:r w:rsidRPr="00011A8E">
        <w:rPr>
          <w:sz w:val="12"/>
        </w:rPr>
        <w:t xml:space="preserve"> &amp; Eng. Ency. of Law (2nd Ed.) pages 243 to 246 and 1010, and it will be seen that </w:t>
      </w:r>
      <w:r w:rsidRPr="00011A8E">
        <w:rPr>
          <w:bCs/>
          <w:u w:val="single"/>
        </w:rPr>
        <w:t>the two words are not always [***34</w:t>
      </w:r>
      <w:proofErr w:type="gramStart"/>
      <w:r w:rsidRPr="00011A8E">
        <w:rPr>
          <w:bCs/>
          <w:u w:val="single"/>
        </w:rPr>
        <w:t>]  synonymous</w:t>
      </w:r>
      <w:proofErr w:type="gramEnd"/>
      <w:r w:rsidRPr="00011A8E">
        <w:rPr>
          <w:bCs/>
          <w:u w:val="single"/>
        </w:rPr>
        <w:t>, much necessarily depending upon the context and the sense in which the words are used</w:t>
      </w:r>
      <w:r w:rsidRPr="00011A8E">
        <w:rPr>
          <w:sz w:val="12"/>
        </w:rPr>
        <w:t xml:space="preserve">. Also see the </w:t>
      </w:r>
      <w:proofErr w:type="gramStart"/>
      <w:r w:rsidRPr="00011A8E">
        <w:rPr>
          <w:sz w:val="12"/>
        </w:rPr>
        <w:t>discussion  [</w:t>
      </w:r>
      <w:proofErr w:type="gramEnd"/>
      <w:r w:rsidRPr="00011A8E">
        <w:rPr>
          <w:sz w:val="12"/>
        </w:rPr>
        <w:t xml:space="preserve">*634]  of the word regulation in 34 </w:t>
      </w:r>
      <w:proofErr w:type="spellStart"/>
      <w:r w:rsidRPr="00011A8E">
        <w:rPr>
          <w:sz w:val="12"/>
        </w:rPr>
        <w:t>Cyc</w:t>
      </w:r>
      <w:proofErr w:type="spellEnd"/>
      <w:r w:rsidRPr="00011A8E">
        <w:rPr>
          <w:sz w:val="12"/>
        </w:rPr>
        <w:t xml:space="preserve">. 1031. We would call especial attention to Morris v. Board of Pilot Commissioners, 7 Del. chan. 136, 30 Atl. Rep. 667, text 669, wherein the following statement is made by the court: "These words 'rule' and the 'order,' when used in a statute, have a definite signification. They are different in their nature and extent. A rule, to be valid, must be general in its scope, and undiscriminating in its application; an order is specific and not limited in its application. The function of an order relates more particularly to the execution or enforcement of a rule previously made." Also see 7 Words &amp; Phrases 6271 and 6272, and 4 Words &amp; Phrases (2nd Ser.) 419, 420. As we held in City of Los Angeles v. </w:t>
      </w:r>
      <w:proofErr w:type="spellStart"/>
      <w:r w:rsidRPr="00011A8E">
        <w:rPr>
          <w:sz w:val="12"/>
        </w:rPr>
        <w:t>Gager</w:t>
      </w:r>
      <w:proofErr w:type="spellEnd"/>
      <w:r w:rsidRPr="00011A8E">
        <w:rPr>
          <w:sz w:val="12"/>
        </w:rPr>
        <w:t>, 10 Cal. App. 378, 102 Pac. Rep. 17, "</w:t>
      </w:r>
      <w:r w:rsidRPr="00011A8E">
        <w:rPr>
          <w:bCs/>
          <w:u w:val="single"/>
        </w:rPr>
        <w:t>The meaning of the word 'rules' is of wide and varied significance, depending upon the context; in a legal sense it is synonymous with 'laws</w:t>
      </w:r>
      <w:r w:rsidRPr="00011A8E">
        <w:rPr>
          <w:sz w:val="12"/>
        </w:rPr>
        <w:t>.'" If Section 2908 had contained the word order, or had authorized the Commissioners to impose a penalty for the violation of any order [***35</w:t>
      </w:r>
      <w:proofErr w:type="gramStart"/>
      <w:r w:rsidRPr="00011A8E">
        <w:rPr>
          <w:sz w:val="12"/>
        </w:rPr>
        <w:t>]  made</w:t>
      </w:r>
      <w:proofErr w:type="gramEnd"/>
      <w:r w:rsidRPr="00011A8E">
        <w:rPr>
          <w:sz w:val="12"/>
        </w:rPr>
        <w:t xml:space="preserve"> by them, there would be no room for construction. The Georgia statute, Acts of 1905, p. 120, generally known as the "Steed Bill," entitled "An act to further extend the powers of the Railroad Commission of this State, and to confer upon the commission the power to regulate the time and manner within which the several railroads in this State shall receive, receipt for, forward and deliver to its destination all freight of every character, which may be tendered or received by them for transportation; to provide a penalty for non-compliance with any and all reasonable rules, regulations and orders prescribed by the said commission in the execution of these powers, and for other purposes," expressly authorized the Railroad Commissioners "to provide a penalty for non-compliance with any and all reasonable rules, regulations and orders prescribed by the said </w:t>
      </w:r>
      <w:proofErr w:type="spellStart"/>
      <w:r w:rsidRPr="00011A8E">
        <w:rPr>
          <w:sz w:val="12"/>
        </w:rPr>
        <w:t>Commision</w:t>
      </w:r>
      <w:proofErr w:type="spellEnd"/>
      <w:r w:rsidRPr="00011A8E">
        <w:rPr>
          <w:sz w:val="12"/>
        </w:rPr>
        <w:t>."  [*635</w:t>
      </w:r>
      <w:proofErr w:type="gramStart"/>
      <w:r w:rsidRPr="00011A8E">
        <w:rPr>
          <w:sz w:val="12"/>
        </w:rPr>
        <w:t>]  See</w:t>
      </w:r>
      <w:proofErr w:type="gramEnd"/>
      <w:r w:rsidRPr="00011A8E">
        <w:rPr>
          <w:sz w:val="12"/>
        </w:rPr>
        <w:t xml:space="preserve"> Pennington v. Douglas, A. &amp; G. Ry. Co., 3 Ga. App. 665, 60 S.E. Rep. 485, which we cited with approval in State v. Atlantic Coast Line R. Co., 56 </w:t>
      </w:r>
      <w:proofErr w:type="spellStart"/>
      <w:r w:rsidRPr="00011A8E">
        <w:rPr>
          <w:sz w:val="12"/>
        </w:rPr>
        <w:t>fla.</w:t>
      </w:r>
      <w:proofErr w:type="spellEnd"/>
      <w:r w:rsidRPr="00011A8E">
        <w:rPr>
          <w:sz w:val="12"/>
        </w:rPr>
        <w:t xml:space="preserve"> 617, text 651, 47 South. Rep. 969, 32 L.R.A. (N.S.) 639. Under the reasoning in the cited authorities, especially State v. Atlantic Coast Line R. Co.</w:t>
      </w:r>
      <w:proofErr w:type="gramStart"/>
      <w:r w:rsidRPr="00011A8E">
        <w:rPr>
          <w:sz w:val="12"/>
        </w:rPr>
        <w:t>,  [</w:t>
      </w:r>
      <w:proofErr w:type="gramEnd"/>
      <w:r w:rsidRPr="00011A8E">
        <w:rPr>
          <w:sz w:val="12"/>
        </w:rPr>
        <w:t>***36]  supra, and Morris v. Board of Pilot Commissioners, we are constrained to hold that the fourth and eighth grounds of the demurrer are well founded and that HN16the Railroad Commissioners were not empowered or authorized to impose a penalty upon the three railroads for failure to comply with the order for the erection of a union depot.</w:t>
      </w:r>
    </w:p>
    <w:p w:rsidR="00CF652D" w:rsidRPr="00CF652D" w:rsidRDefault="00CF652D" w:rsidP="00CF652D"/>
    <w:p w:rsidR="00CF652D" w:rsidRDefault="00CF652D" w:rsidP="00CF652D">
      <w:pPr>
        <w:pStyle w:val="Heading2"/>
      </w:pPr>
      <w:r>
        <w:lastRenderedPageBreak/>
        <w:t>Legal Immigration</w:t>
      </w:r>
    </w:p>
    <w:p w:rsidR="00CF652D" w:rsidRDefault="00CF652D" w:rsidP="00CF652D">
      <w:pPr>
        <w:pStyle w:val="Heading4"/>
      </w:pPr>
      <w:r>
        <w:t xml:space="preserve">Legal immigrants can include: naturalized citizens, permanent residents, </w:t>
      </w:r>
      <w:proofErr w:type="spellStart"/>
      <w:r>
        <w:t>asylees</w:t>
      </w:r>
      <w:proofErr w:type="spellEnd"/>
      <w:r>
        <w:t>, refugees and temporary migrants</w:t>
      </w:r>
    </w:p>
    <w:p w:rsidR="00CF652D" w:rsidRPr="00C173EF" w:rsidRDefault="00CF652D" w:rsidP="00CF652D">
      <w:r w:rsidRPr="00622D8A">
        <w:rPr>
          <w:rStyle w:val="Style13ptBold"/>
        </w:rPr>
        <w:t>Passel and Cohn ’15</w:t>
      </w:r>
      <w:r>
        <w:t xml:space="preserve"> [JEFFREY S. PASSEL AND D’VERA COHN, 3/26/15, “Share of Unauthorized Immigrant Workers in Production, Construction Jobs Falls Since 2007,” Pew Research Center, http://www.pewhispanic.org/2015/03/26/share-of-unauthorized-immigrant-workers-in-production-construction-jobs-falls-since-2007/]</w:t>
      </w:r>
    </w:p>
    <w:p w:rsidR="00CF652D" w:rsidRPr="00CF652D" w:rsidRDefault="00CF652D" w:rsidP="00CF652D">
      <w:pPr>
        <w:rPr>
          <w:sz w:val="14"/>
        </w:rPr>
      </w:pPr>
      <w:r w:rsidRPr="00CF652D">
        <w:rPr>
          <w:sz w:val="14"/>
        </w:rPr>
        <w:t xml:space="preserve">A Note on Terminology “Foreign born” refers to an individual who is not a U.S. citizen at birth or who, in other words, is born outside the U.S., Puerto Rico or other U.S. territories and whose parents are not U.S. citizens. The terms “foreign born” and “immigrant” are used interchangeably. “U.S. born” refers to an individual who is a U.S. citizen at birth, including people born in the United States, Puerto Rico or other U.S. territories, as well as those born elsewhere to parents who are U.S. citizens. The </w:t>
      </w:r>
      <w:r w:rsidRPr="00622D8A">
        <w:rPr>
          <w:rStyle w:val="Emphasis"/>
        </w:rPr>
        <w:t>“legal immigrant”</w:t>
      </w:r>
      <w:r w:rsidRPr="00CF652D">
        <w:rPr>
          <w:sz w:val="14"/>
        </w:rPr>
        <w:t xml:space="preserve"> population </w:t>
      </w:r>
      <w:r w:rsidRPr="00622D8A">
        <w:rPr>
          <w:rStyle w:val="TitleChar"/>
        </w:rPr>
        <w:t>is defined as people granted legal permanent residence</w:t>
      </w:r>
      <w:r w:rsidRPr="00CF652D">
        <w:rPr>
          <w:sz w:val="14"/>
        </w:rPr>
        <w:t xml:space="preserve">; </w:t>
      </w:r>
      <w:r w:rsidRPr="00622D8A">
        <w:rPr>
          <w:rStyle w:val="TitleChar"/>
        </w:rPr>
        <w:t>those granted asylum</w:t>
      </w:r>
      <w:r w:rsidRPr="00CF652D">
        <w:rPr>
          <w:sz w:val="14"/>
        </w:rPr>
        <w:t xml:space="preserve">; </w:t>
      </w:r>
      <w:r w:rsidRPr="00622D8A">
        <w:rPr>
          <w:rStyle w:val="TitleChar"/>
        </w:rPr>
        <w:t>people admitted as refugees; and people admitted under a set of specific authorized temporary statuses for longer-term residence and work</w:t>
      </w:r>
      <w:r w:rsidRPr="00CF652D">
        <w:rPr>
          <w:sz w:val="14"/>
        </w:rPr>
        <w:t xml:space="preserve">. </w:t>
      </w:r>
      <w:r w:rsidRPr="00622D8A">
        <w:rPr>
          <w:rStyle w:val="TitleChar"/>
        </w:rPr>
        <w:t>This group includes</w:t>
      </w:r>
      <w:r w:rsidRPr="00CF652D">
        <w:rPr>
          <w:sz w:val="14"/>
        </w:rPr>
        <w:t xml:space="preserve"> </w:t>
      </w:r>
      <w:r w:rsidRPr="00622D8A">
        <w:rPr>
          <w:rStyle w:val="Emphasis"/>
        </w:rPr>
        <w:t>“naturalized citizens,”</w:t>
      </w:r>
      <w:r w:rsidRPr="00CF652D">
        <w:rPr>
          <w:sz w:val="14"/>
        </w:rPr>
        <w:t xml:space="preserve"> legal immigrants who have become U.S. citizens through naturalization; “legal permanent resident aliens” who have been granted permission to stay indefinitely in the U.S. as </w:t>
      </w:r>
      <w:r w:rsidRPr="00622D8A">
        <w:rPr>
          <w:rStyle w:val="Emphasis"/>
        </w:rPr>
        <w:t>permanent residents</w:t>
      </w:r>
      <w:r w:rsidRPr="00CF652D">
        <w:rPr>
          <w:sz w:val="14"/>
        </w:rPr>
        <w:t xml:space="preserve">, </w:t>
      </w:r>
      <w:proofErr w:type="spellStart"/>
      <w:r w:rsidRPr="00622D8A">
        <w:rPr>
          <w:rStyle w:val="Emphasis"/>
        </w:rPr>
        <w:t>asylees</w:t>
      </w:r>
      <w:proofErr w:type="spellEnd"/>
      <w:r w:rsidRPr="00CF652D">
        <w:rPr>
          <w:sz w:val="14"/>
        </w:rPr>
        <w:t xml:space="preserve"> or </w:t>
      </w:r>
      <w:r w:rsidRPr="00622D8A">
        <w:rPr>
          <w:rStyle w:val="Emphasis"/>
        </w:rPr>
        <w:t>refugees</w:t>
      </w:r>
      <w:r w:rsidRPr="00CF652D">
        <w:rPr>
          <w:sz w:val="14"/>
        </w:rPr>
        <w:t xml:space="preserve">; </w:t>
      </w:r>
      <w:r w:rsidRPr="00622D8A">
        <w:rPr>
          <w:rStyle w:val="TitleChar"/>
        </w:rPr>
        <w:t>and</w:t>
      </w:r>
      <w:r w:rsidRPr="00CF652D">
        <w:rPr>
          <w:sz w:val="14"/>
        </w:rPr>
        <w:t xml:space="preserve"> </w:t>
      </w:r>
      <w:r w:rsidRPr="00622D8A">
        <w:rPr>
          <w:rStyle w:val="Emphasis"/>
        </w:rPr>
        <w:t>“legal temporary migrants</w:t>
      </w:r>
      <w:r w:rsidRPr="00CF652D">
        <w:rPr>
          <w:sz w:val="14"/>
        </w:rPr>
        <w:t>” (including students, diplomats and “high-tech guest workers”) who are allowed to live and, in some cases, work in the U.S. for specific periods of time (usually longer than one year).</w:t>
      </w:r>
    </w:p>
    <w:p w:rsidR="00CF652D" w:rsidRDefault="00CF652D" w:rsidP="00CF652D">
      <w:pPr>
        <w:pStyle w:val="Heading4"/>
      </w:pPr>
      <w:r>
        <w:t>Legal immigration means permanent legal residence – this excludes noncitizens authorized for short, temporary stays</w:t>
      </w:r>
    </w:p>
    <w:p w:rsidR="00CF652D" w:rsidRDefault="00CF652D" w:rsidP="00CF652D">
      <w:r w:rsidRPr="00CF652D">
        <w:rPr>
          <w:rStyle w:val="Style13ptBold"/>
        </w:rPr>
        <w:t>Wilcox ‘5</w:t>
      </w:r>
      <w:r>
        <w:t xml:space="preserve"> [Shelly, </w:t>
      </w:r>
      <w:proofErr w:type="spellStart"/>
      <w:r>
        <w:t>Asst</w:t>
      </w:r>
      <w:proofErr w:type="spellEnd"/>
      <w:r>
        <w:t xml:space="preserve"> Prof of Philosophy @ Temple University, Feminist Interventions in Ethics and Politics: Feminist Ethics and Social Theory, p. 228]</w:t>
      </w:r>
    </w:p>
    <w:p w:rsidR="00CF652D" w:rsidRDefault="00CF652D" w:rsidP="00CF652D"/>
    <w:p w:rsidR="00CF652D" w:rsidRPr="00CF652D" w:rsidRDefault="00CF652D" w:rsidP="00CF652D">
      <w:pPr>
        <w:rPr>
          <w:sz w:val="14"/>
        </w:rPr>
      </w:pPr>
      <w:r w:rsidRPr="00CF652D">
        <w:rPr>
          <w:rStyle w:val="Emphasis"/>
        </w:rPr>
        <w:t>Legal immigration</w:t>
      </w:r>
      <w:r w:rsidRPr="00CF652D">
        <w:rPr>
          <w:sz w:val="14"/>
        </w:rPr>
        <w:t xml:space="preserve">, </w:t>
      </w:r>
      <w:r w:rsidRPr="00CF652D">
        <w:rPr>
          <w:rStyle w:val="TitleChar"/>
        </w:rPr>
        <w:t>as defined by U.S. immigration law</w:t>
      </w:r>
      <w:r w:rsidRPr="00CF652D">
        <w:rPr>
          <w:sz w:val="14"/>
        </w:rPr>
        <w:t xml:space="preserve">, </w:t>
      </w:r>
      <w:r w:rsidRPr="00CF652D">
        <w:rPr>
          <w:rStyle w:val="TitleChar"/>
        </w:rPr>
        <w:t>includes persons who have been admitted under legal permanent resident status</w:t>
      </w:r>
      <w:r w:rsidRPr="00CF652D">
        <w:rPr>
          <w:sz w:val="14"/>
        </w:rPr>
        <w:t xml:space="preserve">. Legal immigrations may remain in the United States permanently under this status unless they relinquish it by living abroad for lengthy periods or by committing a crime that subjects them to deportation.  After five years of residence, permanent residents have the right to petition for naturalized U.S. citizenship.  </w:t>
      </w:r>
      <w:r w:rsidRPr="00CF652D">
        <w:rPr>
          <w:rStyle w:val="TitleChar"/>
        </w:rPr>
        <w:t xml:space="preserve">The category of legal immigration </w:t>
      </w:r>
      <w:r w:rsidRPr="00CF652D">
        <w:rPr>
          <w:rStyle w:val="Emphasis"/>
        </w:rPr>
        <w:t>excludes noncitizens</w:t>
      </w:r>
      <w:r w:rsidRPr="00CF652D">
        <w:rPr>
          <w:rStyle w:val="TitleChar"/>
        </w:rPr>
        <w:t xml:space="preserve"> who are authorized to enter and remain in the United States for </w:t>
      </w:r>
      <w:r w:rsidRPr="00CF652D">
        <w:rPr>
          <w:rStyle w:val="Emphasis"/>
        </w:rPr>
        <w:t>short periods of time</w:t>
      </w:r>
      <w:r w:rsidRPr="00CF652D">
        <w:rPr>
          <w:rStyle w:val="TitleChar"/>
        </w:rPr>
        <w:t xml:space="preserve"> for the purposes of employment, education, tourism, and commerce</w:t>
      </w:r>
      <w:r w:rsidRPr="00CF652D">
        <w:rPr>
          <w:sz w:val="14"/>
        </w:rPr>
        <w:t xml:space="preserve"> without the right to reside permanently or petition for citizenship.</w:t>
      </w:r>
    </w:p>
    <w:p w:rsidR="00CF652D" w:rsidRDefault="00CF652D" w:rsidP="00CF652D">
      <w:pPr>
        <w:pStyle w:val="Heading4"/>
      </w:pPr>
      <w:r>
        <w:t xml:space="preserve">Legal immigration is for persons lawfully admitted </w:t>
      </w:r>
      <w:r w:rsidR="00011A8E">
        <w:t>for family, employment, or diversity reasons</w:t>
      </w:r>
    </w:p>
    <w:p w:rsidR="00CF652D" w:rsidRPr="009E34FC" w:rsidRDefault="00011A8E" w:rsidP="00CF652D">
      <w:r w:rsidRPr="00011A8E">
        <w:rPr>
          <w:rStyle w:val="Style13ptBold"/>
        </w:rPr>
        <w:t>SSA ‘4</w:t>
      </w:r>
      <w:r>
        <w:t xml:space="preserve"> </w:t>
      </w:r>
      <w:r w:rsidR="00CF652D">
        <w:t>[Social Security Administration, A Stochastic Model of the Long-Range Financial Status of the OASDI Program—September 2004, https://www.ssa.gov/oact/NOTES/as117/LR_Stochastic_IIC.html]</w:t>
      </w:r>
    </w:p>
    <w:p w:rsidR="00CF652D" w:rsidRDefault="00CF652D" w:rsidP="00CF652D">
      <w:r>
        <w:t>Total immigration is defined here as legal immigration minus legal emigration plus net other immigration. Each component is modeled separately.</w:t>
      </w:r>
      <w:r w:rsidR="00011A8E">
        <w:t xml:space="preserve"> </w:t>
      </w:r>
      <w:r>
        <w:t>1. Legal Immigration</w:t>
      </w:r>
      <w:r w:rsidR="00011A8E">
        <w:t xml:space="preserve"> </w:t>
      </w:r>
      <w:r w:rsidRPr="009E34FC">
        <w:rPr>
          <w:rStyle w:val="Emphasis"/>
        </w:rPr>
        <w:t>Legal immigration is defined as persons lawfully admitted for permanent residence into the United States</w:t>
      </w:r>
      <w:r>
        <w:t xml:space="preserve">.1 The level of legal immigration largely depends on legislation which basically serves to define and establish limits for certain categories of immigrants. </w:t>
      </w:r>
      <w:r w:rsidRPr="009E34FC">
        <w:rPr>
          <w:rStyle w:val="TitleChar"/>
        </w:rPr>
        <w:t>The Immigration Act of 1990</w:t>
      </w:r>
      <w:r>
        <w:t xml:space="preserve">, which is currently the legislation in force, </w:t>
      </w:r>
      <w:r w:rsidRPr="009E34FC">
        <w:rPr>
          <w:rStyle w:val="Emphasis"/>
        </w:rPr>
        <w:t>establishes limits for three classes</w:t>
      </w:r>
      <w:r w:rsidRPr="009E34FC">
        <w:rPr>
          <w:rStyle w:val="TitleChar"/>
        </w:rPr>
        <w:t xml:space="preserve"> of immigrants: family-sponsored preferences, employment-based preferences, and diversity immigrants</w:t>
      </w:r>
      <w:r>
        <w:t>. However, no numerical limits currently exist for immediate relatives of U.S. citizens.</w:t>
      </w:r>
    </w:p>
    <w:p w:rsidR="00011A8E" w:rsidRDefault="00011A8E" w:rsidP="00011A8E">
      <w:pPr>
        <w:pStyle w:val="Heading4"/>
      </w:pPr>
      <w:r>
        <w:lastRenderedPageBreak/>
        <w:t>Legal immigration can include both temporary visas or permanent residency</w:t>
      </w:r>
    </w:p>
    <w:p w:rsidR="00011A8E" w:rsidRDefault="00011A8E" w:rsidP="00011A8E">
      <w:proofErr w:type="spellStart"/>
      <w:r w:rsidRPr="00011A8E">
        <w:rPr>
          <w:rStyle w:val="Style13ptBold"/>
        </w:rPr>
        <w:t>Dayzad</w:t>
      </w:r>
      <w:proofErr w:type="spellEnd"/>
      <w:r w:rsidRPr="00011A8E">
        <w:rPr>
          <w:rStyle w:val="Style13ptBold"/>
        </w:rPr>
        <w:t xml:space="preserve"> ‘18</w:t>
      </w:r>
      <w:r w:rsidR="00870B2B">
        <w:t xml:space="preserve"> [</w:t>
      </w:r>
      <w:proofErr w:type="spellStart"/>
      <w:r>
        <w:t>Dayzad</w:t>
      </w:r>
      <w:proofErr w:type="spellEnd"/>
      <w:r>
        <w:t xml:space="preserve"> Law Offices, specializes in immigration and citizenship law, “Immigration Options,” http://www.dayzadlaw.com/immigration_law/immigratio</w:t>
      </w:r>
      <w:r w:rsidR="00870B2B">
        <w:t>n-guidance/immigration-options/]</w:t>
      </w:r>
    </w:p>
    <w:p w:rsidR="00011A8E" w:rsidRPr="00DE2C6F" w:rsidRDefault="00011A8E" w:rsidP="00011A8E">
      <w:r w:rsidRPr="00011A8E">
        <w:rPr>
          <w:rStyle w:val="TitleChar"/>
        </w:rPr>
        <w:t xml:space="preserve">Two </w:t>
      </w:r>
      <w:r w:rsidRPr="00011A8E">
        <w:t>basic</w:t>
      </w:r>
      <w:r w:rsidRPr="00011A8E">
        <w:rPr>
          <w:rStyle w:val="TitleChar"/>
        </w:rPr>
        <w:t xml:space="preserve"> paths exist for obtaining </w:t>
      </w:r>
      <w:r w:rsidRPr="00011A8E">
        <w:rPr>
          <w:rStyle w:val="Emphasis"/>
        </w:rPr>
        <w:t>legal immigration</w:t>
      </w:r>
      <w:r w:rsidRPr="00011A8E">
        <w:rPr>
          <w:rStyle w:val="TitleChar"/>
        </w:rPr>
        <w:t xml:space="preserve"> status in the United States</w:t>
      </w:r>
      <w:r>
        <w:t xml:space="preserve">. A foreign-national can </w:t>
      </w:r>
      <w:r w:rsidRPr="00011A8E">
        <w:rPr>
          <w:rStyle w:val="TitleChar"/>
        </w:rPr>
        <w:t>either</w:t>
      </w:r>
      <w:r>
        <w:t xml:space="preserve"> apply for </w:t>
      </w:r>
      <w:r w:rsidRPr="00011A8E">
        <w:rPr>
          <w:rStyle w:val="TitleChar"/>
        </w:rPr>
        <w:t>a</w:t>
      </w:r>
      <w:r>
        <w:t xml:space="preserve"> </w:t>
      </w:r>
      <w:r w:rsidRPr="00011A8E">
        <w:rPr>
          <w:rStyle w:val="Emphasis"/>
        </w:rPr>
        <w:t>temporary visa</w:t>
      </w:r>
      <w:r>
        <w:t xml:space="preserve"> </w:t>
      </w:r>
      <w:r w:rsidRPr="00011A8E">
        <w:rPr>
          <w:rStyle w:val="TitleChar"/>
        </w:rPr>
        <w:t xml:space="preserve">or </w:t>
      </w:r>
      <w:r w:rsidRPr="00011A8E">
        <w:rPr>
          <w:rStyle w:val="Emphasis"/>
        </w:rPr>
        <w:t>permanent residence</w:t>
      </w:r>
      <w:r>
        <w:t xml:space="preserve"> (commonly known as a “green card”). </w:t>
      </w:r>
      <w:r w:rsidRPr="00011A8E">
        <w:rPr>
          <w:rStyle w:val="TitleChar"/>
        </w:rPr>
        <w:t>A temporary visa allows an individual to live for a certain number of years in the United States for a specified purpose. In contrast, permanent residency allows an individual to live in the United States on an ongoing basis with few restrictions</w:t>
      </w:r>
      <w:r>
        <w:t>. Once an individual has been a permanent resident for some time, she/he can apply to become a U.S. citizen.</w:t>
      </w:r>
    </w:p>
    <w:p w:rsidR="00CF652D" w:rsidRPr="00CF652D" w:rsidRDefault="00CF652D" w:rsidP="00CF652D"/>
    <w:p w:rsidR="00CF652D" w:rsidRPr="00CF652D" w:rsidRDefault="00CF652D" w:rsidP="00CF652D"/>
    <w:p w:rsidR="004156A4" w:rsidRPr="004156A4" w:rsidRDefault="004156A4" w:rsidP="004156A4"/>
    <w:p w:rsidR="008211AC" w:rsidRDefault="008211AC" w:rsidP="008211AC">
      <w:pPr>
        <w:rPr>
          <w:rFonts w:asciiTheme="minorHAnsi" w:hAnsiTheme="minorHAnsi"/>
        </w:rPr>
      </w:pPr>
    </w:p>
    <w:sectPr w:rsidR="008211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0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70124D"/>
    <w:multiLevelType w:val="hybridMultilevel"/>
    <w:tmpl w:val="2E90DA4E"/>
    <w:lvl w:ilvl="0" w:tplc="E49A6A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EBC3CC3"/>
    <w:multiLevelType w:val="hybridMultilevel"/>
    <w:tmpl w:val="F052355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553685"/>
    <w:multiLevelType w:val="hybridMultilevel"/>
    <w:tmpl w:val="60D4334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B8A7B6C"/>
    <w:multiLevelType w:val="hybridMultilevel"/>
    <w:tmpl w:val="2E90DA4E"/>
    <w:lvl w:ilvl="0" w:tplc="E49A6A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35006C8"/>
    <w:multiLevelType w:val="hybridMultilevel"/>
    <w:tmpl w:val="3806A634"/>
    <w:lvl w:ilvl="0" w:tplc="884AFFBA">
      <w:start w:val="1"/>
      <w:numFmt w:val="decimal"/>
      <w:lvlText w:val="%1)"/>
      <w:lvlJc w:val="left"/>
      <w:pPr>
        <w:ind w:left="720" w:hanging="360"/>
      </w:pPr>
      <w:rPr>
        <w:rFonts w:eastAsiaTheme="minorHAnsi" w:cstheme="minorBidi" w:hint="default"/>
        <w:b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4354980"/>
    <w:multiLevelType w:val="hybridMultilevel"/>
    <w:tmpl w:val="20607732"/>
    <w:lvl w:ilvl="0" w:tplc="B8D43560">
      <w:start w:val="1"/>
      <w:numFmt w:val="decimal"/>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9B66906"/>
    <w:multiLevelType w:val="hybridMultilevel"/>
    <w:tmpl w:val="9C7A88B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AC8100C"/>
    <w:multiLevelType w:val="hybridMultilevel"/>
    <w:tmpl w:val="6F14C19C"/>
    <w:lvl w:ilvl="0" w:tplc="04090015">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3"/>
  </w:num>
  <w:num w:numId="13">
    <w:abstractNumId w:val="17"/>
  </w:num>
  <w:num w:numId="14">
    <w:abstractNumId w:val="16"/>
  </w:num>
  <w:num w:numId="15">
    <w:abstractNumId w:val="14"/>
  </w:num>
  <w:num w:numId="16">
    <w:abstractNumId w:val="15"/>
  </w:num>
  <w:num w:numId="17">
    <w:abstractNumId w:val="11"/>
  </w:num>
  <w:num w:numId="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318176032"/>
    <w:docVar w:name="VerbatimVersion" w:val="5.1"/>
  </w:docVars>
  <w:rsids>
    <w:rsidRoot w:val="00DA371E"/>
    <w:rsid w:val="000036AB"/>
    <w:rsid w:val="00011A8E"/>
    <w:rsid w:val="000139A3"/>
    <w:rsid w:val="000D52D9"/>
    <w:rsid w:val="000F52AF"/>
    <w:rsid w:val="00100833"/>
    <w:rsid w:val="00104529"/>
    <w:rsid w:val="00105942"/>
    <w:rsid w:val="00107396"/>
    <w:rsid w:val="00144A4C"/>
    <w:rsid w:val="001513B2"/>
    <w:rsid w:val="00176AB0"/>
    <w:rsid w:val="00177B7D"/>
    <w:rsid w:val="0018322D"/>
    <w:rsid w:val="001A1864"/>
    <w:rsid w:val="001B5776"/>
    <w:rsid w:val="001D34E8"/>
    <w:rsid w:val="001D57CD"/>
    <w:rsid w:val="001E527A"/>
    <w:rsid w:val="001F78CE"/>
    <w:rsid w:val="0023219C"/>
    <w:rsid w:val="00251FC7"/>
    <w:rsid w:val="00281705"/>
    <w:rsid w:val="002855A7"/>
    <w:rsid w:val="002B146A"/>
    <w:rsid w:val="002B5E17"/>
    <w:rsid w:val="002D3BD3"/>
    <w:rsid w:val="00315690"/>
    <w:rsid w:val="00316B75"/>
    <w:rsid w:val="00325646"/>
    <w:rsid w:val="003460F2"/>
    <w:rsid w:val="003668B8"/>
    <w:rsid w:val="0038158C"/>
    <w:rsid w:val="00383046"/>
    <w:rsid w:val="003902BA"/>
    <w:rsid w:val="003A09E2"/>
    <w:rsid w:val="003A1BEF"/>
    <w:rsid w:val="00407037"/>
    <w:rsid w:val="004156A4"/>
    <w:rsid w:val="004605D6"/>
    <w:rsid w:val="004618CC"/>
    <w:rsid w:val="00474E32"/>
    <w:rsid w:val="004B27F8"/>
    <w:rsid w:val="004C60E8"/>
    <w:rsid w:val="004E3579"/>
    <w:rsid w:val="004E728B"/>
    <w:rsid w:val="004F2F1E"/>
    <w:rsid w:val="004F39E0"/>
    <w:rsid w:val="004F60CA"/>
    <w:rsid w:val="00522DB6"/>
    <w:rsid w:val="00537BD5"/>
    <w:rsid w:val="0057268A"/>
    <w:rsid w:val="005D2912"/>
    <w:rsid w:val="005D7D8A"/>
    <w:rsid w:val="006065BD"/>
    <w:rsid w:val="00645FA9"/>
    <w:rsid w:val="00647866"/>
    <w:rsid w:val="006525B0"/>
    <w:rsid w:val="00665003"/>
    <w:rsid w:val="006A2AD0"/>
    <w:rsid w:val="006C2375"/>
    <w:rsid w:val="006D4ECC"/>
    <w:rsid w:val="00722258"/>
    <w:rsid w:val="007243E5"/>
    <w:rsid w:val="00766EA0"/>
    <w:rsid w:val="00767D19"/>
    <w:rsid w:val="007734E5"/>
    <w:rsid w:val="007A2226"/>
    <w:rsid w:val="007B1F8B"/>
    <w:rsid w:val="007F5B66"/>
    <w:rsid w:val="008211AC"/>
    <w:rsid w:val="00823A1C"/>
    <w:rsid w:val="00845B9D"/>
    <w:rsid w:val="00860984"/>
    <w:rsid w:val="00870B2B"/>
    <w:rsid w:val="008977BB"/>
    <w:rsid w:val="008B3ECB"/>
    <w:rsid w:val="008B4E85"/>
    <w:rsid w:val="008C1B2E"/>
    <w:rsid w:val="008C46D1"/>
    <w:rsid w:val="008D61C6"/>
    <w:rsid w:val="008F5188"/>
    <w:rsid w:val="0091627E"/>
    <w:rsid w:val="00925196"/>
    <w:rsid w:val="00943F0D"/>
    <w:rsid w:val="0097032B"/>
    <w:rsid w:val="009907F4"/>
    <w:rsid w:val="009B7F67"/>
    <w:rsid w:val="009C6ACA"/>
    <w:rsid w:val="009D2EAD"/>
    <w:rsid w:val="009D54B2"/>
    <w:rsid w:val="009E1922"/>
    <w:rsid w:val="009F7ED2"/>
    <w:rsid w:val="00A10D6F"/>
    <w:rsid w:val="00A121DA"/>
    <w:rsid w:val="00A31403"/>
    <w:rsid w:val="00A62F57"/>
    <w:rsid w:val="00A93661"/>
    <w:rsid w:val="00A95652"/>
    <w:rsid w:val="00AB7F53"/>
    <w:rsid w:val="00AC0AB8"/>
    <w:rsid w:val="00AE74C3"/>
    <w:rsid w:val="00B175E1"/>
    <w:rsid w:val="00B33C6D"/>
    <w:rsid w:val="00B36406"/>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CF652D"/>
    <w:rsid w:val="00D325A9"/>
    <w:rsid w:val="00D36A8A"/>
    <w:rsid w:val="00D36CDF"/>
    <w:rsid w:val="00D61409"/>
    <w:rsid w:val="00D6691E"/>
    <w:rsid w:val="00D71170"/>
    <w:rsid w:val="00DA1C92"/>
    <w:rsid w:val="00DA25D4"/>
    <w:rsid w:val="00DA371E"/>
    <w:rsid w:val="00DA6538"/>
    <w:rsid w:val="00DB1B08"/>
    <w:rsid w:val="00E15E75"/>
    <w:rsid w:val="00E36C78"/>
    <w:rsid w:val="00E5262C"/>
    <w:rsid w:val="00E65891"/>
    <w:rsid w:val="00EA6C58"/>
    <w:rsid w:val="00EB7CCE"/>
    <w:rsid w:val="00EC7DC4"/>
    <w:rsid w:val="00ED30CF"/>
    <w:rsid w:val="00F165F4"/>
    <w:rsid w:val="00F176EF"/>
    <w:rsid w:val="00F4312D"/>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54788"/>
  <w15:chartTrackingRefBased/>
  <w15:docId w15:val="{FD24221B-ED9A-4385-B47E-4146755F8B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383046"/>
    <w:rPr>
      <w:rFonts w:ascii="Calibri" w:hAnsi="Calibri"/>
    </w:rPr>
  </w:style>
  <w:style w:type="paragraph" w:styleId="Heading1">
    <w:name w:val="heading 1"/>
    <w:aliases w:val="Pocket"/>
    <w:basedOn w:val="Normal"/>
    <w:next w:val="Normal"/>
    <w:link w:val="Heading1Char"/>
    <w:qFormat/>
    <w:rsid w:val="0038304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38304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38304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Heading 2 Char2 Char,Heading 2 Char1 Char Char, Ch,Ch,no read,No Spacing12,No Spacing2111,TAG,Card Format,small text,No Spacing1121,ta,No Spacing211,No Spacing4,No Spacing11111,No Spacing5,No Spacing21,t"/>
    <w:basedOn w:val="Normal"/>
    <w:next w:val="Normal"/>
    <w:link w:val="Heading4Char"/>
    <w:uiPriority w:val="3"/>
    <w:unhideWhenUsed/>
    <w:qFormat/>
    <w:rsid w:val="0038304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38304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83046"/>
  </w:style>
  <w:style w:type="character" w:customStyle="1" w:styleId="Heading1Char">
    <w:name w:val="Heading 1 Char"/>
    <w:aliases w:val="Pocket Char"/>
    <w:basedOn w:val="DefaultParagraphFont"/>
    <w:link w:val="Heading1"/>
    <w:rsid w:val="0038304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83046"/>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383046"/>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Heading 2 Char2 Char Char,Heading 2 Char1 Char Char Char, Ch Char,Ch Char,no read Char,No Spacing12 Char,No Spacing2111 Char,TAG Char,Card Format Char,small text Char,ta Char"/>
    <w:basedOn w:val="DefaultParagraphFont"/>
    <w:link w:val="Heading4"/>
    <w:uiPriority w:val="3"/>
    <w:rsid w:val="00383046"/>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B"/>
    <w:basedOn w:val="DefaultParagraphFont"/>
    <w:link w:val="textbold"/>
    <w:uiPriority w:val="7"/>
    <w:qFormat/>
    <w:rsid w:val="00383046"/>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5"/>
    <w:qFormat/>
    <w:rsid w:val="00383046"/>
    <w:rPr>
      <w:b/>
      <w:bCs/>
      <w:sz w:val="26"/>
      <w:u w:val="none"/>
    </w:rPr>
  </w:style>
  <w:style w:type="character" w:customStyle="1" w:styleId="TitleChar">
    <w:name w:val="Title Char"/>
    <w:basedOn w:val="DefaultParagraphFont"/>
    <w:link w:val="Title"/>
    <w:uiPriority w:val="6"/>
    <w:qFormat/>
    <w:rsid w:val="00DA371E"/>
    <w:rPr>
      <w:b/>
      <w:sz w:val="22"/>
      <w:u w:val="single"/>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
    <w:basedOn w:val="DefaultParagraphFont"/>
    <w:uiPriority w:val="99"/>
    <w:unhideWhenUsed/>
    <w:rsid w:val="00383046"/>
    <w:rPr>
      <w:color w:val="auto"/>
      <w:u w:val="none"/>
    </w:rPr>
  </w:style>
  <w:style w:type="character" w:styleId="FollowedHyperlink">
    <w:name w:val="FollowedHyperlink"/>
    <w:basedOn w:val="DefaultParagraphFont"/>
    <w:uiPriority w:val="99"/>
    <w:semiHidden/>
    <w:unhideWhenUsed/>
    <w:rsid w:val="00383046"/>
    <w:rPr>
      <w:color w:val="auto"/>
      <w:u w:val="none"/>
    </w:rPr>
  </w:style>
  <w:style w:type="paragraph" w:customStyle="1" w:styleId="evidencetext">
    <w:name w:val="evidence text"/>
    <w:basedOn w:val="Normal"/>
    <w:next w:val="Normal"/>
    <w:link w:val="evidencetextChar1"/>
    <w:qFormat/>
    <w:rsid w:val="00DA371E"/>
    <w:pPr>
      <w:spacing w:after="0" w:line="240" w:lineRule="auto"/>
      <w:ind w:left="432" w:right="432"/>
    </w:pPr>
    <w:rPr>
      <w:rFonts w:ascii="Arial" w:eastAsia="Times New Roman" w:hAnsi="Arial" w:cs="Times New Roman"/>
      <w:color w:val="000000"/>
      <w:sz w:val="16"/>
      <w:szCs w:val="24"/>
    </w:rPr>
  </w:style>
  <w:style w:type="character" w:customStyle="1" w:styleId="highlight2">
    <w:name w:val="highlight2"/>
    <w:rsid w:val="00DA371E"/>
    <w:rPr>
      <w:rFonts w:ascii="Arial" w:hAnsi="Arial"/>
      <w:b/>
      <w:sz w:val="19"/>
      <w:u w:val="thick"/>
      <w:bdr w:val="none" w:sz="0" w:space="0" w:color="auto"/>
      <w:shd w:val="clear" w:color="auto" w:fill="auto"/>
    </w:rPr>
  </w:style>
  <w:style w:type="character" w:customStyle="1" w:styleId="box">
    <w:name w:val="box"/>
    <w:rsid w:val="00DA371E"/>
    <w:rPr>
      <w:rFonts w:ascii="Arial" w:hAnsi="Arial" w:cs="Arial"/>
      <w:b/>
      <w:color w:val="000000"/>
      <w:sz w:val="19"/>
      <w:szCs w:val="22"/>
      <w:u w:val="thick"/>
      <w:bdr w:val="single" w:sz="12" w:space="0" w:color="auto"/>
    </w:rPr>
  </w:style>
  <w:style w:type="character" w:customStyle="1" w:styleId="evidencetextChar1">
    <w:name w:val="evidence text Char1"/>
    <w:link w:val="evidencetext"/>
    <w:rsid w:val="00DA371E"/>
    <w:rPr>
      <w:rFonts w:ascii="Arial" w:eastAsia="Times New Roman" w:hAnsi="Arial" w:cs="Times New Roman"/>
      <w:color w:val="000000"/>
      <w:sz w:val="16"/>
      <w:szCs w:val="24"/>
    </w:rPr>
  </w:style>
  <w:style w:type="character" w:customStyle="1" w:styleId="apple-style-span">
    <w:name w:val="apple-style-span"/>
    <w:rsid w:val="00DA371E"/>
  </w:style>
  <w:style w:type="character" w:customStyle="1" w:styleId="apple-converted-space">
    <w:name w:val="apple-converted-space"/>
    <w:rsid w:val="00DA371E"/>
  </w:style>
  <w:style w:type="character" w:customStyle="1" w:styleId="TagChar1">
    <w:name w:val="Tag Char1"/>
    <w:aliases w:val="Heading 2 Cha Char,TagStyle Char1,Heading 2 Char Char Char Char Char Char Char Char Char Char Char Char Char Char Char,Heading 2 Char Char Char Char Char Char Char Char Char Char Char Char,TAG Char1 Char1,Tag&amp;Ci Char,Heading 2 Char Char Char1"/>
    <w:qFormat/>
    <w:locked/>
    <w:rsid w:val="00DA371E"/>
    <w:rPr>
      <w:rFonts w:ascii="Arial" w:hAnsi="Arial"/>
      <w:b/>
      <w:sz w:val="22"/>
      <w:szCs w:val="24"/>
    </w:rPr>
  </w:style>
  <w:style w:type="paragraph" w:customStyle="1" w:styleId="Cards">
    <w:name w:val="Cards"/>
    <w:next w:val="Normal"/>
    <w:rsid w:val="00F4312D"/>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DebateUnderline">
    <w:name w:val="Debate Underline"/>
    <w:rsid w:val="00F4312D"/>
    <w:rPr>
      <w:rFonts w:ascii="Times New Roman" w:hAnsi="Times New Roman"/>
      <w:sz w:val="24"/>
      <w:u w:val="thick"/>
    </w:rPr>
  </w:style>
  <w:style w:type="paragraph" w:customStyle="1" w:styleId="Cites">
    <w:name w:val="Cites"/>
    <w:next w:val="Cards"/>
    <w:rsid w:val="00F4312D"/>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Author-Date">
    <w:name w:val="Author-Date"/>
    <w:rsid w:val="00F4312D"/>
    <w:rPr>
      <w:b/>
      <w:sz w:val="24"/>
    </w:rPr>
  </w:style>
  <w:style w:type="paragraph" w:customStyle="1" w:styleId="Tags">
    <w:name w:val="Tags"/>
    <w:next w:val="Normal"/>
    <w:rsid w:val="00F4312D"/>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textbold">
    <w:name w:val="text bold"/>
    <w:basedOn w:val="Normal"/>
    <w:link w:val="Emphasis"/>
    <w:uiPriority w:val="7"/>
    <w:qFormat/>
    <w:rsid w:val="00943F0D"/>
    <w:pPr>
      <w:ind w:left="720"/>
      <w:jc w:val="both"/>
    </w:pPr>
    <w:rPr>
      <w:b/>
      <w:iCs/>
      <w:u w:val="single"/>
    </w:rPr>
  </w:style>
  <w:style w:type="paragraph" w:styleId="ListParagraph">
    <w:name w:val="List Paragraph"/>
    <w:basedOn w:val="Normal"/>
    <w:uiPriority w:val="99"/>
    <w:unhideWhenUsed/>
    <w:qFormat/>
    <w:rsid w:val="009B7F67"/>
    <w:pPr>
      <w:ind w:left="720"/>
      <w:contextualSpacing/>
    </w:pPr>
  </w:style>
  <w:style w:type="paragraph" w:customStyle="1" w:styleId="UnderlinePara">
    <w:name w:val="Underline Para"/>
    <w:basedOn w:val="Normal"/>
    <w:uiPriority w:val="6"/>
    <w:qFormat/>
    <w:rsid w:val="008211AC"/>
    <w:pPr>
      <w:widowControl w:val="0"/>
      <w:suppressAutoHyphens/>
      <w:spacing w:after="200"/>
      <w:contextualSpacing/>
    </w:pPr>
    <w:rPr>
      <w:rFonts w:asciiTheme="minorHAnsi" w:hAnsiTheme="minorHAnsi"/>
      <w:b/>
      <w:u w:val="single"/>
    </w:rPr>
  </w:style>
  <w:style w:type="character" w:customStyle="1" w:styleId="UnderlineBold">
    <w:name w:val="Underline + Bold"/>
    <w:uiPriority w:val="1"/>
    <w:qFormat/>
    <w:rsid w:val="00A31403"/>
    <w:rPr>
      <w:b w:val="0"/>
      <w:sz w:val="20"/>
      <w:u w:val="single"/>
    </w:rPr>
  </w:style>
  <w:style w:type="paragraph" w:customStyle="1" w:styleId="CardIndented">
    <w:name w:val="Card (Indented)"/>
    <w:basedOn w:val="Normal"/>
    <w:link w:val="CardIndentedChar"/>
    <w:qFormat/>
    <w:rsid w:val="00CF652D"/>
    <w:pPr>
      <w:ind w:left="288"/>
    </w:pPr>
  </w:style>
  <w:style w:type="character" w:customStyle="1" w:styleId="CardIndentedChar">
    <w:name w:val="Card (Indented) Char"/>
    <w:basedOn w:val="DefaultParagraphFont"/>
    <w:link w:val="CardIndented"/>
    <w:rsid w:val="00CF652D"/>
    <w:rPr>
      <w:rFonts w:ascii="Calibri" w:hAnsi="Calibri"/>
    </w:rPr>
  </w:style>
  <w:style w:type="paragraph" w:styleId="Title">
    <w:name w:val="Title"/>
    <w:basedOn w:val="Normal"/>
    <w:next w:val="Normal"/>
    <w:link w:val="TitleChar"/>
    <w:uiPriority w:val="6"/>
    <w:qFormat/>
    <w:rsid w:val="00CF652D"/>
    <w:pPr>
      <w:pBdr>
        <w:bottom w:val="single" w:sz="8" w:space="4" w:color="4F81BD"/>
      </w:pBdr>
      <w:spacing w:after="300"/>
      <w:contextualSpacing/>
    </w:pPr>
    <w:rPr>
      <w:rFonts w:asciiTheme="minorHAnsi" w:hAnsiTheme="minorHAnsi"/>
      <w:b/>
      <w:u w:val="single"/>
    </w:rPr>
  </w:style>
  <w:style w:type="character" w:customStyle="1" w:styleId="TitleChar1">
    <w:name w:val="Title Char1"/>
    <w:basedOn w:val="DefaultParagraphFont"/>
    <w:uiPriority w:val="99"/>
    <w:semiHidden/>
    <w:rsid w:val="00CF652D"/>
    <w:rPr>
      <w:rFonts w:asciiTheme="majorHAnsi" w:eastAsiaTheme="majorEastAsia" w:hAnsiTheme="majorHAnsi" w:cstheme="majorBidi"/>
      <w:spacing w:val="-10"/>
      <w:kern w:val="28"/>
      <w:sz w:val="56"/>
      <w:szCs w:val="56"/>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
    <w:basedOn w:val="DefaultParagraphFont"/>
    <w:uiPriority w:val="6"/>
    <w:qFormat/>
    <w:rsid w:val="00383046"/>
    <w:rPr>
      <w:b w:val="0"/>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ooks.google.com/books?id=YQMWlyvoJhIC&amp;pg=PA225&amp;lpg=PA225&amp;dq=%22the+term+legal+immigration%22&amp;source=bl&amp;ots=enndBaRt8x&amp;sig=4N2vLnx_U-QNiC4CMUS2asQYpnA&amp;hl=en&amp;sa=X&amp;ved=0ahUKEwjvu47gjvzaAhXidd8KHRZgDmQQ6AEIMjAC" TargetMode="External"/><Relationship Id="rId3" Type="http://schemas.openxmlformats.org/officeDocument/2006/relationships/styles" Target="styles.xml"/><Relationship Id="rId7" Type="http://schemas.openxmlformats.org/officeDocument/2006/relationships/hyperlink" Target="https://fas.org/sgp/crs/homesec/R45020.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repository.law.indiana.edu/cgi/viewcontent.cgi?article=1024&amp;context=ijgls"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courts.wa.gov/content/Briefs/A01/686429%20Appellant%20Randall%20Kincheloe%27s.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ssi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081A7D-CD50-4C6B-8A62-F1BE23B126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55</TotalTime>
  <Pages>28</Pages>
  <Words>10320</Words>
  <Characters>58825</Characters>
  <Application>Microsoft Office Word</Application>
  <DocSecurity>0</DocSecurity>
  <Lines>490</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Courtney Schauer</dc:creator>
  <cp:keywords>5.1.1</cp:keywords>
  <dc:description/>
  <cp:lastModifiedBy>Issie</cp:lastModifiedBy>
  <cp:revision>21</cp:revision>
  <dcterms:created xsi:type="dcterms:W3CDTF">2018-06-24T05:38:00Z</dcterms:created>
  <dcterms:modified xsi:type="dcterms:W3CDTF">2018-06-29T07:19:00Z</dcterms:modified>
</cp:coreProperties>
</file>