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16F6" w:rsidRDefault="00DC16F6" w:rsidP="00B36BF3">
      <w:pPr>
        <w:pStyle w:val="Heading1"/>
      </w:pPr>
      <w:r>
        <w:t>Substantially</w:t>
      </w:r>
    </w:p>
    <w:p w:rsidR="00984BD1" w:rsidRDefault="00984BD1" w:rsidP="00984BD1">
      <w:pPr>
        <w:pStyle w:val="Heading2"/>
      </w:pPr>
      <w:r>
        <w:t>Numerical</w:t>
      </w:r>
    </w:p>
    <w:p w:rsidR="00984BD1" w:rsidRPr="00984BD1" w:rsidRDefault="00984BD1" w:rsidP="00984BD1"/>
    <w:p w:rsidR="00DC16F6" w:rsidRDefault="00DC16F6" w:rsidP="00DC16F6">
      <w:pPr>
        <w:pStyle w:val="Heading3"/>
      </w:pPr>
      <w:r>
        <w:t>1nc – substantially</w:t>
      </w:r>
      <w:r w:rsidR="00EC7F1C">
        <w:t xml:space="preserve"> - numerical</w:t>
      </w:r>
    </w:p>
    <w:p w:rsidR="00DC16F6" w:rsidRDefault="00DC16F6" w:rsidP="00DC16F6"/>
    <w:p w:rsidR="00FC39F9" w:rsidRPr="00FC39F9" w:rsidRDefault="00FC39F9" w:rsidP="00FC39F9">
      <w:pPr>
        <w:pStyle w:val="Heading4"/>
        <w:rPr>
          <w:u w:val="single"/>
        </w:rPr>
      </w:pPr>
      <w:r>
        <w:t xml:space="preserve">Reducing restrictions should be measured by the </w:t>
      </w:r>
      <w:r>
        <w:rPr>
          <w:u w:val="single"/>
        </w:rPr>
        <w:t>increase in overall immigration levels</w:t>
      </w:r>
    </w:p>
    <w:p w:rsidR="00FC39F9" w:rsidRDefault="00FC39F9" w:rsidP="00FC39F9">
      <w:r>
        <w:rPr>
          <w:b/>
        </w:rPr>
        <w:t xml:space="preserve">Lowell, 7 </w:t>
      </w:r>
      <w:r>
        <w:t xml:space="preserve">- Director of Policy Studies, Institute for the Study of International Migration, Georgetown University (B. Lindsay, “Trends in International Migration Flows and Stocks, 1975-2005” </w:t>
      </w:r>
      <w:hyperlink r:id="rId6" w:history="1">
        <w:r w:rsidRPr="0014512C">
          <w:rPr>
            <w:rStyle w:val="Hyperlink"/>
          </w:rPr>
          <w:t>http://www.oecd.org/migration/mig/39415229.pdf</w:t>
        </w:r>
      </w:hyperlink>
    </w:p>
    <w:p w:rsidR="00FC39F9" w:rsidRPr="00DA3E99" w:rsidRDefault="00FC39F9" w:rsidP="00FC39F9"/>
    <w:p w:rsidR="00FC39F9" w:rsidRDefault="00FC39F9" w:rsidP="00DC16F6">
      <w:r>
        <w:t xml:space="preserve">22. However, whereas some researchers believe that policies reflect the political economy and play only an indirect role in the level of mobility, they raise some interesting points. They do not necessarily agree on whether policies impose a cost affecting migrants’ decisions or are a quantity constraint that conditions the impacts of push/pull factors. But empirical analyses find that policies matter. Analysis of emigration to the United States finds that quota consolidations reduced Asian immigration in the 1970s while the legalization of nearly 3 million workers doubled Latino migration in the 1990s.10 At the same time, an analysis of emigration to 14 nations found that pull factors are the dominant driver and that push factors play no substantive role. So this analysis based on a large sample of nations suggests that economic pull factors are the driving force of international flows.11 In fact, an interaction of policy regimes with pull variables suggests that laxer admission policies increase the power of pull factors in the host economy.12 As long as economic conditions favor migration, then </w:t>
      </w:r>
      <w:r w:rsidRPr="00DA3E99">
        <w:rPr>
          <w:rStyle w:val="StyleUnderline"/>
        </w:rPr>
        <w:t xml:space="preserve">reducing restrictions on immigration, by either </w:t>
      </w:r>
      <w:r w:rsidRPr="00DA3E99">
        <w:rPr>
          <w:rStyle w:val="Emphasis"/>
        </w:rPr>
        <w:t>lifting caps</w:t>
      </w:r>
      <w:r w:rsidRPr="00DA3E99">
        <w:rPr>
          <w:rStyle w:val="StyleUnderline"/>
        </w:rPr>
        <w:t xml:space="preserve"> or </w:t>
      </w:r>
      <w:r w:rsidRPr="00DA3E99">
        <w:rPr>
          <w:rStyle w:val="Emphasis"/>
        </w:rPr>
        <w:t>easing admission requirements</w:t>
      </w:r>
      <w:r w:rsidRPr="00DA3E99">
        <w:rPr>
          <w:rStyle w:val="StyleUnderline"/>
        </w:rPr>
        <w:t xml:space="preserve">, should increase </w:t>
      </w:r>
      <w:r w:rsidRPr="00FC39F9">
        <w:rPr>
          <w:rStyle w:val="Emphasis"/>
        </w:rPr>
        <w:t>overall</w:t>
      </w:r>
      <w:r w:rsidRPr="00DA3E99">
        <w:rPr>
          <w:rStyle w:val="StyleUnderline"/>
        </w:rPr>
        <w:t xml:space="preserve"> levels of immigration</w:t>
      </w:r>
      <w:r>
        <w:t xml:space="preserve">. This is hardly a surprising conclusion but it is at least consistent with recent trends in skilled mobility. </w:t>
      </w:r>
    </w:p>
    <w:p w:rsidR="00876169" w:rsidRDefault="00876169" w:rsidP="00876169">
      <w:pPr>
        <w:pStyle w:val="Heading4"/>
      </w:pPr>
      <w:r>
        <w:t xml:space="preserve">Substantially </w:t>
      </w:r>
      <w:r w:rsidR="00065DB0">
        <w:t>means they have to increase considerably more than 3% of legal immigration levels</w:t>
      </w:r>
    </w:p>
    <w:p w:rsidR="00876169" w:rsidRDefault="00876169" w:rsidP="00876169">
      <w:r>
        <w:rPr>
          <w:b/>
        </w:rPr>
        <w:t xml:space="preserve">Passel and Suro, 5 </w:t>
      </w:r>
      <w:r>
        <w:t xml:space="preserve">– Jeffrey Passel is a senior demographer at Pew Research Center. He is a nationally known expert on immigration to the United States and the demography of racial and ethnic groups.  “IV. Changes in the Composition of Immigrant Flows” 9/27, </w:t>
      </w:r>
      <w:hyperlink r:id="rId7" w:history="1">
        <w:r w:rsidRPr="0014512C">
          <w:rPr>
            <w:rStyle w:val="Hyperlink"/>
          </w:rPr>
          <w:t>http://www.pewhispanic.org/2005/09/27/iv-changes-in-the-composition-of-immigrant-flows/</w:t>
        </w:r>
      </w:hyperlink>
    </w:p>
    <w:p w:rsidR="00876169" w:rsidRPr="00DA34EE" w:rsidRDefault="00876169" w:rsidP="00876169"/>
    <w:p w:rsidR="00226099" w:rsidRDefault="00876169" w:rsidP="00DC16F6">
      <w:r>
        <w:t xml:space="preserve">The mix of legal and unauthorized migrants in the flow changed considerably from 1992 to 2004. </w:t>
      </w:r>
      <w:r w:rsidRPr="00DA34EE">
        <w:rPr>
          <w:rStyle w:val="StyleUnderline"/>
        </w:rPr>
        <w:t xml:space="preserve">The inflow of </w:t>
      </w:r>
      <w:r w:rsidRPr="00876169">
        <w:t xml:space="preserve">legal permanent immigrants </w:t>
      </w:r>
      <w:r>
        <w:t>(</w:t>
      </w:r>
      <w:r w:rsidRPr="00876169">
        <w:rPr>
          <w:rStyle w:val="StyleUnderline"/>
        </w:rPr>
        <w:t>LPRs</w:t>
      </w:r>
      <w:r>
        <w:t xml:space="preserve">, or “green card” holders) </w:t>
      </w:r>
      <w:r w:rsidRPr="00DA34EE">
        <w:rPr>
          <w:rStyle w:val="StyleUnderline"/>
        </w:rPr>
        <w:t>increased</w:t>
      </w:r>
      <w:r>
        <w:t xml:space="preserve"> </w:t>
      </w:r>
      <w:r w:rsidRPr="00876169">
        <w:rPr>
          <w:rStyle w:val="Emphasis"/>
        </w:rPr>
        <w:t>only very slightly</w:t>
      </w:r>
      <w:r>
        <w:t xml:space="preserve"> </w:t>
      </w:r>
      <w:r w:rsidRPr="00876169">
        <w:rPr>
          <w:rStyle w:val="Emphasis"/>
        </w:rPr>
        <w:t xml:space="preserve">(3%) </w:t>
      </w:r>
      <w:r>
        <w:t xml:space="preserve">from the mid-1990s to the peak around 2000. </w:t>
      </w:r>
      <w:r w:rsidRPr="00876169">
        <w:rPr>
          <w:rStyle w:val="StyleUnderline"/>
        </w:rPr>
        <w:t>On the other hand</w:t>
      </w:r>
      <w:r>
        <w:t xml:space="preserve">, annual </w:t>
      </w:r>
      <w:r w:rsidRPr="00DA34EE">
        <w:rPr>
          <w:rStyle w:val="StyleUnderline"/>
        </w:rPr>
        <w:t xml:space="preserve">arrivals </w:t>
      </w:r>
      <w:r w:rsidRPr="00876169">
        <w:rPr>
          <w:rStyle w:val="StyleUnderline"/>
        </w:rPr>
        <w:t>of</w:t>
      </w:r>
      <w:r w:rsidRPr="00876169">
        <w:t xml:space="preserve"> both unauthorized migrants and legal temporary migrants (or “</w:t>
      </w:r>
      <w:r w:rsidRPr="00876169">
        <w:rPr>
          <w:rStyle w:val="StyleUnderline"/>
        </w:rPr>
        <w:t>legal nonimmigrants</w:t>
      </w:r>
      <w:r w:rsidRPr="00DA34EE">
        <w:rPr>
          <w:rStyle w:val="StyleUnderline"/>
        </w:rPr>
        <w:t>”) increased</w:t>
      </w:r>
      <w:r>
        <w:t xml:space="preserve"> by </w:t>
      </w:r>
      <w:r w:rsidRPr="00AC491E">
        <w:rPr>
          <w:rStyle w:val="Emphasis"/>
        </w:rPr>
        <w:t>substantially</w:t>
      </w:r>
      <w:r w:rsidRPr="00DA34EE">
        <w:rPr>
          <w:rStyle w:val="StyleUnderline"/>
        </w:rPr>
        <w:t xml:space="preserve"> </w:t>
      </w:r>
      <w:r>
        <w:t xml:space="preserve">higher rates. </w:t>
      </w:r>
      <w:r w:rsidRPr="00876169">
        <w:rPr>
          <w:rStyle w:val="StyleUnderline"/>
        </w:rPr>
        <w:t>The increase</w:t>
      </w:r>
      <w:r>
        <w:t xml:space="preserve"> to the peak for unauthorized migrants </w:t>
      </w:r>
      <w:r w:rsidRPr="00876169">
        <w:rPr>
          <w:rStyle w:val="StyleUnderline"/>
        </w:rPr>
        <w:t>was 36%</w:t>
      </w:r>
      <w:r>
        <w:t xml:space="preserve"> and for legal nonimmigrants, 68% (Summary Table A and Detailed Table 1a).</w:t>
      </w:r>
    </w:p>
    <w:p w:rsidR="00DE704F" w:rsidRDefault="00DE704F" w:rsidP="00DE704F">
      <w:pPr>
        <w:pStyle w:val="Heading4"/>
      </w:pPr>
      <w:r>
        <w:t>The baseline is 1 million – that means the plan has affect many more than 30,000 people a year</w:t>
      </w:r>
    </w:p>
    <w:p w:rsidR="00DE704F" w:rsidRDefault="00DE704F" w:rsidP="00DE704F">
      <w:r>
        <w:rPr>
          <w:b/>
        </w:rPr>
        <w:t xml:space="preserve">Kandel, 17 – </w:t>
      </w:r>
      <w:r>
        <w:t xml:space="preserve">specialist in Immigration Policy at the Congressional Research Service (William, “A Primer on U.S. Immigration Policy” CRS Report for Congress, 11/14, </w:t>
      </w:r>
      <w:hyperlink r:id="rId8" w:history="1">
        <w:r w:rsidRPr="00387785">
          <w:rPr>
            <w:rStyle w:val="Hyperlink"/>
          </w:rPr>
          <w:t>https://fas.org/sgp/crs/homesec/R45020.pdf</w:t>
        </w:r>
      </w:hyperlink>
    </w:p>
    <w:p w:rsidR="00DE704F" w:rsidRDefault="00DE704F" w:rsidP="00DE704F"/>
    <w:p w:rsidR="00DE704F" w:rsidRDefault="00DE704F" w:rsidP="00DE704F">
      <w:r w:rsidRPr="00DE704F">
        <w:rPr>
          <w:rStyle w:val="StyleUnderline"/>
        </w:rPr>
        <w:t>The INA limits worldwide permanent immigration to 675,000 persons annually</w:t>
      </w:r>
      <w:r w:rsidRPr="00DE704F">
        <w:t xml:space="preserve">: 480,000 familysponsored immigrants, made up of family-sponsored immediate relatives of U.S. citizens (“immediate relatives”), and a set of ordered family-sponsored preference immigrants (“preference immigrants”); 140,000 employment-based immigrants; and 55,000 diversity visa immigrants. 6 </w:t>
      </w:r>
      <w:r w:rsidRPr="00DE704F">
        <w:rPr>
          <w:rStyle w:val="StyleUnderline"/>
        </w:rPr>
        <w:t>This</w:t>
      </w:r>
      <w:r w:rsidRPr="00DE704F">
        <w:t xml:space="preserve"> worldwide </w:t>
      </w:r>
      <w:r w:rsidRPr="00DE704F">
        <w:rPr>
          <w:rStyle w:val="StyleUnderline"/>
        </w:rPr>
        <w:t>limit,</w:t>
      </w:r>
      <w:r w:rsidRPr="00DE704F">
        <w:t xml:space="preserve"> however, </w:t>
      </w:r>
      <w:r w:rsidRPr="00DE704F">
        <w:rPr>
          <w:rStyle w:val="StyleUnderline"/>
        </w:rPr>
        <w:t>is</w:t>
      </w:r>
      <w:r w:rsidRPr="00DE704F">
        <w:t xml:space="preserve"> referred to as </w:t>
      </w:r>
      <w:r w:rsidRPr="00DE704F">
        <w:rPr>
          <w:rStyle w:val="StyleUnderline"/>
        </w:rPr>
        <w:t>a “permeable cap” because immediate relatives are exempt from numerical limits</w:t>
      </w:r>
      <w:r w:rsidRPr="00DE704F">
        <w:t xml:space="preserve"> placed on family-sponsored immigration (described below) and thereby represent the flexible component of the 675,000 worldwide limit. </w:t>
      </w:r>
      <w:r w:rsidRPr="00DE704F">
        <w:rPr>
          <w:rStyle w:val="StyleUnderline"/>
        </w:rPr>
        <w:t>In addition, the annual number of refugees is determined not by statute but by the President</w:t>
      </w:r>
      <w:r w:rsidRPr="00DE704F">
        <w:t xml:space="preserve">, in consultation with Congress.7 Consequently, </w:t>
      </w:r>
      <w:r w:rsidRPr="00DE704F">
        <w:rPr>
          <w:rStyle w:val="StyleUnderline"/>
        </w:rPr>
        <w:t>actual total annual LPRs</w:t>
      </w:r>
      <w:r w:rsidRPr="00DE704F">
        <w:t xml:space="preserve"> (immigrants, refugees, and asylees) </w:t>
      </w:r>
      <w:r w:rsidRPr="00DE704F">
        <w:rPr>
          <w:rStyle w:val="StyleUnderline"/>
        </w:rPr>
        <w:t>have averaged roughly 1 million persons during the past decade</w:t>
      </w:r>
      <w:r w:rsidRPr="00DE704F">
        <w:t>.</w:t>
      </w:r>
    </w:p>
    <w:p w:rsidR="00DE704F" w:rsidRDefault="00DE704F" w:rsidP="00DC16F6"/>
    <w:p w:rsidR="00DE704F" w:rsidRDefault="00DE704F" w:rsidP="00FC39F9">
      <w:pPr>
        <w:pStyle w:val="Heading4"/>
      </w:pPr>
      <w:r>
        <w:t xml:space="preserve">Voting issue </w:t>
      </w:r>
      <w:r w:rsidR="00FC39F9">
        <w:t>–</w:t>
      </w:r>
      <w:r>
        <w:t xml:space="preserve"> </w:t>
      </w:r>
      <w:r w:rsidR="00FC39F9">
        <w:t>to protect limits and ground.  They allow minor modifications to admissibility restrictions or tiny changes to caps – that explodes the topic and prevents us from winning DA links</w:t>
      </w:r>
    </w:p>
    <w:p w:rsidR="00FC39F9" w:rsidRPr="00FC39F9" w:rsidRDefault="00FC39F9" w:rsidP="00FC39F9"/>
    <w:p w:rsidR="00DE704F" w:rsidRPr="00DE704F" w:rsidRDefault="00DE704F" w:rsidP="00DE704F"/>
    <w:p w:rsidR="00EA0A90" w:rsidRDefault="00EA0A90" w:rsidP="00EA0A90">
      <w:pPr>
        <w:pStyle w:val="Heading3"/>
      </w:pPr>
      <w:r>
        <w:t>2nc – must be numerical</w:t>
      </w:r>
    </w:p>
    <w:p w:rsidR="00EA0A90" w:rsidRDefault="00EA0A90" w:rsidP="00EA0A90">
      <w:pPr>
        <w:pStyle w:val="Heading4"/>
      </w:pPr>
      <w:r>
        <w:t xml:space="preserve">Reducing restrictions should be measured by </w:t>
      </w:r>
      <w:r>
        <w:rPr>
          <w:u w:val="single"/>
        </w:rPr>
        <w:t>numbers of immigrants</w:t>
      </w:r>
      <w:r>
        <w:t xml:space="preserve"> affected</w:t>
      </w:r>
    </w:p>
    <w:p w:rsidR="00EA0A90" w:rsidRPr="00FC39F9" w:rsidRDefault="00EA0A90" w:rsidP="00EA0A90">
      <w:pPr>
        <w:rPr>
          <w:rFonts w:asciiTheme="minorHAnsi" w:hAnsiTheme="minorHAnsi"/>
        </w:rPr>
      </w:pPr>
      <w:r w:rsidRPr="00FC39F9">
        <w:rPr>
          <w:rFonts w:asciiTheme="minorHAnsi" w:hAnsiTheme="minorHAnsi"/>
          <w:b/>
        </w:rPr>
        <w:t xml:space="preserve">Facchini, 8 – </w:t>
      </w:r>
      <w:r w:rsidRPr="00FC39F9">
        <w:rPr>
          <w:rFonts w:asciiTheme="minorHAnsi" w:hAnsiTheme="minorHAnsi"/>
        </w:rPr>
        <w:t>University of Essex (Giovanni, “Do Interest Groups Affect U.S. Immigration Policy?</w:t>
      </w:r>
      <w:r w:rsidRPr="00FC39F9">
        <w:rPr>
          <w:rFonts w:ascii="Cambria Math" w:hAnsi="Cambria Math" w:cs="Cambria Math"/>
        </w:rPr>
        <w:t>∗</w:t>
      </w:r>
      <w:r w:rsidRPr="00FC39F9">
        <w:t>”</w:t>
      </w:r>
      <w:r w:rsidRPr="00FC39F9">
        <w:rPr>
          <w:rFonts w:asciiTheme="minorHAnsi" w:hAnsiTheme="minorHAnsi" w:cs="Cambria Math"/>
        </w:rPr>
        <w:t xml:space="preserve"> IMF Working Paper, October, </w:t>
      </w:r>
      <w:hyperlink r:id="rId9" w:history="1">
        <w:r w:rsidRPr="00FC39F9">
          <w:rPr>
            <w:rStyle w:val="Hyperlink"/>
            <w:rFonts w:asciiTheme="minorHAnsi" w:hAnsiTheme="minorHAnsi" w:cs="Cambria Math"/>
          </w:rPr>
          <w:t>http://www.imf.org/external/pubs/ft/wp/2008/wp08244.pdf</w:t>
        </w:r>
      </w:hyperlink>
    </w:p>
    <w:p w:rsidR="00EA0A90" w:rsidRPr="001E4A6C" w:rsidRDefault="00EA0A90" w:rsidP="00EA0A90">
      <w:pPr>
        <w:rPr>
          <w:b/>
        </w:rPr>
      </w:pPr>
    </w:p>
    <w:p w:rsidR="00EA0A90" w:rsidRDefault="00EA0A90" w:rsidP="00EA0A90">
      <w:r>
        <w:t xml:space="preserve">As mentioned above, </w:t>
      </w:r>
      <w:r w:rsidRPr="001E4A6C">
        <w:rPr>
          <w:rStyle w:val="StyleUnderline"/>
        </w:rPr>
        <w:t xml:space="preserve">as a </w:t>
      </w:r>
      <w:r w:rsidRPr="00310AE6">
        <w:rPr>
          <w:rStyle w:val="Emphasis"/>
        </w:rPr>
        <w:t>measure of migration restrictions</w:t>
      </w:r>
      <w:r w:rsidRPr="001E4A6C">
        <w:rPr>
          <w:rStyle w:val="StyleUnderline"/>
        </w:rPr>
        <w:t xml:space="preserve">, we </w:t>
      </w:r>
      <w:r w:rsidRPr="00310AE6">
        <w:rPr>
          <w:rStyle w:val="Emphasis"/>
        </w:rPr>
        <w:t>use the number of visas issued</w:t>
      </w:r>
      <w:r>
        <w:t xml:space="preserve">. </w:t>
      </w:r>
      <w:r w:rsidRPr="001E4A6C">
        <w:rPr>
          <w:rStyle w:val="StyleUnderline"/>
        </w:rPr>
        <w:t>This is an ex post measure of quotas</w:t>
      </w:r>
      <w:r>
        <w:t xml:space="preserve">, which might be affected by the supply side of international migration flows. In other words, the number of visas issued is an equilibrium outcome that results from the interaction of migration policy and of those factors that affect the willingness of migrants to move. The rationale for using the ex post measure is that </w:t>
      </w:r>
      <w:r w:rsidRPr="00611D47">
        <w:rPr>
          <w:rStyle w:val="StyleUnderline"/>
        </w:rPr>
        <w:t>migration quotas are likely to be binding</w:t>
      </w:r>
      <w:r>
        <w:t xml:space="preserve">, for the most part, in the United States, </w:t>
      </w:r>
      <w:r w:rsidRPr="00611D47">
        <w:rPr>
          <w:rStyle w:val="StyleUnderline"/>
        </w:rPr>
        <w:t>which implies that changes in the number of visas coincide with policy changes</w:t>
      </w:r>
      <w:r>
        <w:t xml:space="preserve">. For instance, it is well known that the H1B visa quotas are regularly filled within the first few days of each fiscal year. However, to address the possibility that this assumption does not hold, we assess the robustness of our results by including variables that affect the willingness of migrants to relocate and therefore the number of visas if migration quotas are not binding. In column (3), we control for negative shocks—such as wars, earthquakes, windstorms or droughts—taking place in the origin countries of immigrants working in any given industry ( ). The negative and significant coefficient on can be interpreted as being driven by the ability of migrants to leave their origin countries. Although their willingness to migrate may increase following a shock, their ability is likely to decrease because credit constraints become more binding following the event. Another interpretation that is consistent with our framework is that immigrants from countries affected by a shock might be entitled to enter the U.S. as asylum seekers or political refugees and, in that case, the number of work visas in the sectors where those immigrants are employed will decrease. In column (3), we also account for pull factors by including the (log) U.S. lagged wages. As expected from a supply point of view, they have a positive and significant impact on the number of visas issued in a given sector. In other words, sectors with higher wages attract more immigrants. Alternatively, an interpretation related to policy is that authorities might be more willing and better able to accommodate the requests of pro-migration lobbyists that represent booming sectors. Regression (3) shows that our results on the key variables are robust to the introduction of these additional regressors. </w:t>
      </w:r>
    </w:p>
    <w:p w:rsidR="00EA0A90" w:rsidRDefault="00EA0A90" w:rsidP="00EA0A90">
      <w:pPr>
        <w:pStyle w:val="Heading4"/>
      </w:pPr>
      <w:r>
        <w:t xml:space="preserve">Changing the </w:t>
      </w:r>
      <w:r w:rsidRPr="00FC39F9">
        <w:rPr>
          <w:u w:val="single"/>
        </w:rPr>
        <w:t>type</w:t>
      </w:r>
      <w:r>
        <w:t xml:space="preserve"> of immigrant isn’t substantial – lifting the caps is key</w:t>
      </w:r>
    </w:p>
    <w:p w:rsidR="00EA0A90" w:rsidRDefault="00EA0A90" w:rsidP="00EA0A90">
      <w:r>
        <w:rPr>
          <w:b/>
        </w:rPr>
        <w:t xml:space="preserve">Hollified, 6 </w:t>
      </w:r>
      <w:r>
        <w:t xml:space="preserve">- Professor of Political Science, SMU (James, “Immigrants, Markets and Rights: The US as an Emerging Migration State” </w:t>
      </w:r>
      <w:hyperlink r:id="rId10" w:history="1">
        <w:r w:rsidRPr="0030783F">
          <w:rPr>
            <w:rStyle w:val="Hyperlink"/>
          </w:rPr>
          <w:t>http://citeseerx.ist.psu.edu/viewdoc/download?doi=10.1.1.433.5749&amp;rep=rep1&amp;type=pdf</w:t>
        </w:r>
      </w:hyperlink>
    </w:p>
    <w:p w:rsidR="00EA0A90" w:rsidRPr="00183882" w:rsidRDefault="00EA0A90" w:rsidP="00EA0A90"/>
    <w:p w:rsidR="00EA0A90" w:rsidRDefault="00EA0A90" w:rsidP="00EA0A90">
      <w:r w:rsidRPr="00183882">
        <w:rPr>
          <w:rStyle w:val="StyleUnderline"/>
        </w:rPr>
        <w:t xml:space="preserve">The demise of the national origins quota system </w:t>
      </w:r>
      <w:r>
        <w:t xml:space="preserve">finally </w:t>
      </w:r>
      <w:r w:rsidRPr="00183882">
        <w:rPr>
          <w:rStyle w:val="StyleUnderline"/>
        </w:rPr>
        <w:t>came with the</w:t>
      </w:r>
      <w:r>
        <w:t xml:space="preserve"> enactment of the </w:t>
      </w:r>
      <w:r w:rsidRPr="00183882">
        <w:rPr>
          <w:rStyle w:val="StyleUnderline"/>
        </w:rPr>
        <w:t>Hart-Celler Act</w:t>
      </w:r>
      <w:r>
        <w:t xml:space="preserve"> of 1965, an event that was undoubtedly fortified by national prosperity. But reformers in the executive and legislative branches had far more than the economic utility of immigration in mind when they embraced a new visa preference system. In making immigration reform an important feature of the Great Society juggernaut, the White House and its congressional allies argued that discriminatory national origins quotas -- like domestic racial barriers -- undermined American global prestige and influence amidst urgent Cold War competition. Civil rights and foreign policy interests loomed large in immigration policymaking of the 1960s. The 1965 law replaced national origin quotas with a new emphasis on uniting families, providing an unlimited number of immigrant visas to immediate family members of U.S. citizens and most numerically-limited visas to other close relatives of citizens and the immediate family of permanent resident aliens. Remaining visa slots were allocated to refugees and skilled workers. </w:t>
      </w:r>
      <w:r w:rsidRPr="00183882">
        <w:rPr>
          <w:rStyle w:val="StyleUnderline"/>
        </w:rPr>
        <w:t>Policy-makers were careful to stipulate that the 1965 immigration</w:t>
      </w:r>
      <w:r>
        <w:rPr>
          <w:rStyle w:val="StyleUnderline"/>
        </w:rPr>
        <w:t xml:space="preserve"> </w:t>
      </w:r>
      <w:r w:rsidRPr="00183882">
        <w:rPr>
          <w:rStyle w:val="StyleUnderline"/>
        </w:rPr>
        <w:t>reform was strictly designed to</w:t>
      </w:r>
      <w:r>
        <w:t xml:space="preserve"> </w:t>
      </w:r>
      <w:r w:rsidRPr="00EA0A90">
        <w:rPr>
          <w:rStyle w:val="Emphasis"/>
        </w:rPr>
        <w:t>remove</w:t>
      </w:r>
      <w:r>
        <w:t xml:space="preserve"> ethnic, racial, and religious </w:t>
      </w:r>
      <w:r w:rsidRPr="00EA0A90">
        <w:rPr>
          <w:rStyle w:val="Emphasis"/>
        </w:rPr>
        <w:t>biases</w:t>
      </w:r>
      <w:r>
        <w:t xml:space="preserve"> from the immigration code -- </w:t>
      </w:r>
      <w:r w:rsidRPr="00183882">
        <w:rPr>
          <w:rStyle w:val="Emphasis"/>
        </w:rPr>
        <w:t>not to expand the volume of annual legal admissions</w:t>
      </w:r>
      <w:r>
        <w:t xml:space="preserve"> (Reimers 1992).</w:t>
      </w:r>
    </w:p>
    <w:p w:rsidR="00EA0A90" w:rsidRDefault="00EA0A90" w:rsidP="00EA0A90">
      <w:r>
        <w:t xml:space="preserve"> Although expected by its architects primarily to benefit European migrants, the familybased system established in 1965 would spur unprecedented Third World immigration to the United States as a result of unanticipated chain migration during the next quarter-century. </w:t>
      </w:r>
      <w:r w:rsidRPr="00065DB0">
        <w:rPr>
          <w:rStyle w:val="StyleUnderline"/>
        </w:rPr>
        <w:t>Whereas</w:t>
      </w:r>
      <w:r>
        <w:t xml:space="preserve"> the </w:t>
      </w:r>
      <w:r w:rsidRPr="00065DB0">
        <w:rPr>
          <w:rStyle w:val="StyleUnderline"/>
        </w:rPr>
        <w:t>Hart-Celler Act</w:t>
      </w:r>
      <w:r>
        <w:t xml:space="preserve"> </w:t>
      </w:r>
      <w:r w:rsidRPr="00065DB0">
        <w:rPr>
          <w:rStyle w:val="StyleUnderline"/>
        </w:rPr>
        <w:t>contributed to a dramatic shift in</w:t>
      </w:r>
      <w:r>
        <w:t xml:space="preserve"> the </w:t>
      </w:r>
      <w:r w:rsidRPr="00065DB0">
        <w:rPr>
          <w:rStyle w:val="Emphasis"/>
        </w:rPr>
        <w:t>composition</w:t>
      </w:r>
      <w:r>
        <w:t xml:space="preserve"> </w:t>
      </w:r>
      <w:r w:rsidRPr="00065DB0">
        <w:rPr>
          <w:rStyle w:val="StyleUnderline"/>
        </w:rPr>
        <w:t>of</w:t>
      </w:r>
      <w:r>
        <w:t xml:space="preserve"> U.S. </w:t>
      </w:r>
      <w:r w:rsidRPr="00065DB0">
        <w:rPr>
          <w:rStyle w:val="StyleUnderline"/>
        </w:rPr>
        <w:t>immigration</w:t>
      </w:r>
      <w:r>
        <w:t xml:space="preserve">, </w:t>
      </w:r>
      <w:r w:rsidRPr="00183882">
        <w:rPr>
          <w:rStyle w:val="Emphasis"/>
        </w:rPr>
        <w:t>it did not substantially expand legal immigration</w:t>
      </w:r>
      <w:r>
        <w:t xml:space="preserve">; </w:t>
      </w:r>
      <w:r w:rsidRPr="00183882">
        <w:rPr>
          <w:rStyle w:val="StyleUnderline"/>
        </w:rPr>
        <w:t>annual admissions increased only incrementally</w:t>
      </w:r>
      <w:r>
        <w:t xml:space="preserve"> during the decade following its passage (see Figure 2). </w:t>
      </w:r>
    </w:p>
    <w:p w:rsidR="00EA0A90" w:rsidRDefault="00EA0A90" w:rsidP="00EA0A90">
      <w:pPr>
        <w:pStyle w:val="Heading4"/>
      </w:pPr>
      <w:r>
        <w:t>Qualitative restrictions are not substantial</w:t>
      </w:r>
    </w:p>
    <w:p w:rsidR="00EA0A90" w:rsidRDefault="00EA0A90" w:rsidP="00EA0A90">
      <w:r>
        <w:rPr>
          <w:b/>
        </w:rPr>
        <w:t xml:space="preserve">Martin, 14 - </w:t>
      </w:r>
      <w:r w:rsidRPr="00A1122D">
        <w:t>S</w:t>
      </w:r>
      <w:r w:rsidRPr="00385CED">
        <w:t>usan Forbes Martin, Ph.D. International Migration. Dr. Martin served as the Executive Director of the U.S. Commission on Immigration Reform, established by legislation to advise Congress and the President on U.S. immigration and refugee policy, and Director of Research and Programs at the Refugee Policy Group</w:t>
      </w:r>
      <w:r>
        <w:rPr>
          <w:b/>
        </w:rPr>
        <w:t xml:space="preserve"> </w:t>
      </w:r>
      <w:r>
        <w:t xml:space="preserve">(Susan, </w:t>
      </w:r>
      <w:r w:rsidRPr="00385CED">
        <w:rPr>
          <w:u w:val="single"/>
        </w:rPr>
        <w:t>International Migration: Evolving Trends from the Early Twentieth Century to the Present</w:t>
      </w:r>
      <w:r>
        <w:t>, google books)</w:t>
      </w:r>
    </w:p>
    <w:p w:rsidR="00EA0A90" w:rsidRPr="00385CED" w:rsidRDefault="00EA0A90" w:rsidP="00EA0A90"/>
    <w:p w:rsidR="00EA0A90" w:rsidRDefault="00EA0A90" w:rsidP="00EA0A90">
      <w:r>
        <w:t xml:space="preserve">Although immigration decreased somewhat during and immediately after World War I, it resumed as soon as conditions in Europe permitted. Believing that the </w:t>
      </w:r>
      <w:r w:rsidRPr="00824C24">
        <w:rPr>
          <w:rStyle w:val="Emphasis"/>
        </w:rPr>
        <w:t>qualitative restrictions were inadequate</w:t>
      </w:r>
      <w:r>
        <w:t xml:space="preserve"> to stem the tide, </w:t>
      </w:r>
      <w:r w:rsidRPr="00385CED">
        <w:rPr>
          <w:rStyle w:val="StyleUnderline"/>
        </w:rPr>
        <w:t xml:space="preserve">those favoring reduction in immigration turned to quantitative restrictions. The </w:t>
      </w:r>
      <w:r w:rsidRPr="00AC491E">
        <w:t>resulting National Origins</w:t>
      </w:r>
      <w:r w:rsidRPr="00385CED">
        <w:rPr>
          <w:rStyle w:val="StyleUnderline"/>
        </w:rPr>
        <w:t xml:space="preserve"> quotas </w:t>
      </w:r>
      <w:r w:rsidRPr="00AC491E">
        <w:t>established in the Immigration Acts of 1921 and 1924 accomplished these aims. They</w:t>
      </w:r>
      <w:r w:rsidRPr="00EA0A90">
        <w:t xml:space="preserve"> </w:t>
      </w:r>
      <w:r w:rsidRPr="00385CED">
        <w:rPr>
          <w:rStyle w:val="Emphasis"/>
        </w:rPr>
        <w:t>led to substantial reductions in numbers of immigrants</w:t>
      </w:r>
      <w:r>
        <w:t>, with severe limitations on immigration from eastern and southern Europe and bars on almost all Asian migration. Migration within the western hemisphere remained without numerical quotas but was subject to the various grounds of exclusion already discussed. By 1926, Canada had also adopted a mixed immigration system, with what were essentially bars on migration from Asia, Africa, and the Caribbean (even from British colonies) and restrictions on immigration from southern and eastern Europe, but a rather open system for migration from Britain and the United States. Australia maintained its "White Australia" policies into the 1960s.</w:t>
      </w:r>
    </w:p>
    <w:p w:rsidR="00EA0A90" w:rsidRPr="00EC7F1C" w:rsidRDefault="00EA0A90" w:rsidP="00EA0A90"/>
    <w:p w:rsidR="00EA0A90" w:rsidRDefault="00EA0A90" w:rsidP="00EA0A90"/>
    <w:p w:rsidR="00EA0A90" w:rsidRDefault="00EA0A90" w:rsidP="00EA0A90"/>
    <w:p w:rsidR="00DC16F6" w:rsidRDefault="00DC16F6" w:rsidP="00DC16F6"/>
    <w:p w:rsidR="00DE704F" w:rsidRDefault="00DE704F" w:rsidP="00DE704F">
      <w:pPr>
        <w:pStyle w:val="Heading3"/>
      </w:pPr>
      <w:r>
        <w:t>Link – non-EB, FB or DV</w:t>
      </w:r>
    </w:p>
    <w:p w:rsidR="00DE704F" w:rsidRDefault="00DE704F" w:rsidP="00DE704F"/>
    <w:p w:rsidR="00DE704F" w:rsidRPr="006D71DE" w:rsidRDefault="00DE704F" w:rsidP="00DE704F">
      <w:pPr>
        <w:pStyle w:val="Heading4"/>
        <w:rPr>
          <w:rFonts w:asciiTheme="minorHAnsi" w:hAnsiTheme="minorHAnsi" w:cstheme="minorHAnsi"/>
        </w:rPr>
      </w:pPr>
      <w:r w:rsidRPr="006D71DE">
        <w:rPr>
          <w:rFonts w:asciiTheme="minorHAnsi" w:hAnsiTheme="minorHAnsi" w:cstheme="minorHAnsi"/>
        </w:rPr>
        <w:t xml:space="preserve">The plan affects a </w:t>
      </w:r>
      <w:r w:rsidRPr="007F5B18">
        <w:rPr>
          <w:rFonts w:asciiTheme="minorHAnsi" w:hAnsiTheme="minorHAnsi" w:cstheme="minorHAnsi"/>
          <w:u w:val="single"/>
        </w:rPr>
        <w:t>trivial</w:t>
      </w:r>
      <w:r w:rsidRPr="006D71DE">
        <w:rPr>
          <w:rFonts w:asciiTheme="minorHAnsi" w:hAnsiTheme="minorHAnsi" w:cstheme="minorHAnsi"/>
        </w:rPr>
        <w:t xml:space="preserve"> number of people</w:t>
      </w:r>
    </w:p>
    <w:p w:rsidR="00DE704F" w:rsidRPr="006D71DE" w:rsidRDefault="00DE704F" w:rsidP="00DE704F">
      <w:pPr>
        <w:rPr>
          <w:rFonts w:asciiTheme="minorHAnsi" w:hAnsiTheme="minorHAnsi" w:cstheme="minorHAnsi"/>
        </w:rPr>
      </w:pPr>
      <w:r w:rsidRPr="006D71DE">
        <w:rPr>
          <w:rFonts w:asciiTheme="minorHAnsi" w:hAnsiTheme="minorHAnsi" w:cstheme="minorHAnsi"/>
          <w:b/>
        </w:rPr>
        <w:t xml:space="preserve">Bipartisan Policy Center, 14 </w:t>
      </w:r>
      <w:r w:rsidRPr="006D71DE">
        <w:rPr>
          <w:rFonts w:asciiTheme="minorHAnsi" w:hAnsiTheme="minorHAnsi" w:cstheme="minorHAnsi"/>
        </w:rPr>
        <w:t xml:space="preserve">(“Immigration 101: Path to Citizenship”, </w:t>
      </w:r>
      <w:hyperlink r:id="rId11" w:history="1">
        <w:r w:rsidRPr="006D71DE">
          <w:rPr>
            <w:rStyle w:val="Hyperlink"/>
            <w:rFonts w:asciiTheme="minorHAnsi" w:hAnsiTheme="minorHAnsi" w:cstheme="minorHAnsi"/>
          </w:rPr>
          <w:t>https://bipartisanpolicy.org/wp-content/uploads/sites/default/files/BPC%20Immigration%20Task%20Force%20Immigration%20101%20-%20Path%20to%20Citizenship%20Issue%20Brief%20May%202014.pdf</w:t>
        </w:r>
      </w:hyperlink>
    </w:p>
    <w:p w:rsidR="00DE704F" w:rsidRPr="006D71DE" w:rsidRDefault="00DE704F" w:rsidP="00DE704F">
      <w:pPr>
        <w:rPr>
          <w:rFonts w:asciiTheme="minorHAnsi" w:hAnsiTheme="minorHAnsi" w:cstheme="minorHAnsi"/>
        </w:rPr>
      </w:pPr>
    </w:p>
    <w:p w:rsidR="00DE704F" w:rsidRPr="006D71DE" w:rsidRDefault="00DE704F" w:rsidP="00DE704F">
      <w:pPr>
        <w:rPr>
          <w:rFonts w:asciiTheme="minorHAnsi" w:hAnsiTheme="minorHAnsi" w:cstheme="minorHAnsi"/>
        </w:rPr>
      </w:pPr>
      <w:r w:rsidRPr="006D71DE">
        <w:rPr>
          <w:rStyle w:val="StyleUnderline"/>
          <w:rFonts w:asciiTheme="minorHAnsi" w:hAnsiTheme="minorHAnsi" w:cstheme="minorHAnsi"/>
        </w:rPr>
        <w:t>Foreign nationals</w:t>
      </w:r>
      <w:r w:rsidRPr="006D71DE">
        <w:rPr>
          <w:rFonts w:asciiTheme="minorHAnsi" w:hAnsiTheme="minorHAnsi" w:cstheme="minorHAnsi"/>
        </w:rPr>
        <w:t xml:space="preserve"> outside the United States or non-immigrants in the United States </w:t>
      </w:r>
      <w:r w:rsidRPr="006D71DE">
        <w:rPr>
          <w:rStyle w:val="StyleUnderline"/>
          <w:rFonts w:asciiTheme="minorHAnsi" w:hAnsiTheme="minorHAnsi" w:cstheme="minorHAnsi"/>
        </w:rPr>
        <w:t>can acquire a green card in one of four ways: (1) family, (2) employment, (3) refugee or asylum status, or (4) the diversity visa lottery</w:t>
      </w:r>
      <w:r w:rsidRPr="006D71DE">
        <w:rPr>
          <w:rFonts w:asciiTheme="minorHAnsi" w:hAnsiTheme="minorHAnsi" w:cstheme="minorHAnsi"/>
        </w:rPr>
        <w:t>. For the most part, these categories are subject to numerical limits. The Immigration and Nationality Act (INA) sets a total worldwide limit of 675,000 LPRs per year, this includes, EB preferences (140,000), diversity visa lottery immigrants (55,000), and family-sponsored preferences (480,000 minus the number of immediate relative immigrants, minimum 226,000) (Table 2). Family members of the principal applicant (spouses and children) are considered “derivative” applicants and are included in these caps.</w:t>
      </w:r>
    </w:p>
    <w:p w:rsidR="00DE704F" w:rsidRPr="006D71DE" w:rsidRDefault="00DE704F" w:rsidP="00DE704F">
      <w:pPr>
        <w:rPr>
          <w:rFonts w:asciiTheme="minorHAnsi" w:hAnsiTheme="minorHAnsi" w:cstheme="minorHAnsi"/>
        </w:rPr>
      </w:pPr>
      <w:r w:rsidRPr="006D71DE">
        <w:rPr>
          <w:rFonts w:asciiTheme="minorHAnsi" w:hAnsiTheme="minorHAnsi" w:cstheme="minorHAnsi"/>
        </w:rPr>
        <w:t xml:space="preserve">Within the family category, there is no cap on the number of immediate relatives of U.S. citizens that can be granted LPR status each year. Additionally, there is also no cap on the number of refugees or asylees that can adjust their status to LPR each year. Thus, </w:t>
      </w:r>
      <w:r w:rsidRPr="006D71DE">
        <w:rPr>
          <w:rStyle w:val="StyleUnderline"/>
          <w:rFonts w:asciiTheme="minorHAnsi" w:hAnsiTheme="minorHAnsi" w:cstheme="minorHAnsi"/>
        </w:rPr>
        <w:t>the number of persons admitted as permanent residents each year usually exceeds 675,000</w:t>
      </w:r>
      <w:r w:rsidRPr="006D71DE">
        <w:rPr>
          <w:rFonts w:asciiTheme="minorHAnsi" w:hAnsiTheme="minorHAnsi" w:cstheme="minorHAnsi"/>
        </w:rPr>
        <w:t>.</w:t>
      </w:r>
    </w:p>
    <w:p w:rsidR="00DE704F" w:rsidRPr="006D71DE" w:rsidRDefault="00DE704F" w:rsidP="00DE704F">
      <w:pPr>
        <w:rPr>
          <w:rFonts w:asciiTheme="minorHAnsi" w:hAnsiTheme="minorHAnsi" w:cstheme="minorHAnsi"/>
          <w:b/>
        </w:rPr>
      </w:pPr>
      <w:r w:rsidRPr="006D71DE">
        <w:rPr>
          <w:rFonts w:asciiTheme="minorHAnsi" w:hAnsiTheme="minorHAnsi" w:cstheme="minorHAnsi"/>
          <w:noProof/>
        </w:rPr>
        <w:drawing>
          <wp:inline distT="0" distB="0" distL="0" distR="0" wp14:anchorId="0FC4F3DD" wp14:editId="11CC195D">
            <wp:extent cx="6813753" cy="7711405"/>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32065" cy="7732130"/>
                    </a:xfrm>
                    <a:prstGeom prst="rect">
                      <a:avLst/>
                    </a:prstGeom>
                  </pic:spPr>
                </pic:pic>
              </a:graphicData>
            </a:graphic>
          </wp:inline>
        </w:drawing>
      </w:r>
    </w:p>
    <w:p w:rsidR="00DE704F" w:rsidRPr="006D71DE" w:rsidRDefault="00DE704F" w:rsidP="00DE704F">
      <w:pPr>
        <w:rPr>
          <w:rFonts w:asciiTheme="minorHAnsi" w:hAnsiTheme="minorHAnsi" w:cstheme="minorHAnsi"/>
        </w:rPr>
      </w:pPr>
      <w:r w:rsidRPr="006D71DE">
        <w:rPr>
          <w:rStyle w:val="StyleUnderline"/>
          <w:rFonts w:asciiTheme="minorHAnsi" w:hAnsiTheme="minorHAnsi" w:cstheme="minorHAnsi"/>
        </w:rPr>
        <w:t>Although</w:t>
      </w:r>
      <w:r w:rsidRPr="006D71DE">
        <w:rPr>
          <w:rFonts w:asciiTheme="minorHAnsi" w:hAnsiTheme="minorHAnsi" w:cstheme="minorHAnsi"/>
        </w:rPr>
        <w:t xml:space="preserve"> </w:t>
      </w:r>
      <w:r w:rsidRPr="006D71DE">
        <w:rPr>
          <w:rStyle w:val="StyleUnderline"/>
          <w:rFonts w:asciiTheme="minorHAnsi" w:hAnsiTheme="minorHAnsi" w:cstheme="minorHAnsi"/>
        </w:rPr>
        <w:t>most immigrants come through the categories listed above,</w:t>
      </w:r>
      <w:r w:rsidRPr="006D71DE">
        <w:rPr>
          <w:rFonts w:asciiTheme="minorHAnsi" w:hAnsiTheme="minorHAnsi" w:cstheme="minorHAnsi"/>
        </w:rPr>
        <w:t xml:space="preserve"> </w:t>
      </w:r>
      <w:r w:rsidRPr="006D71DE">
        <w:rPr>
          <w:rStyle w:val="StyleUnderline"/>
          <w:rFonts w:asciiTheme="minorHAnsi" w:hAnsiTheme="minorHAnsi" w:cstheme="minorHAnsi"/>
        </w:rPr>
        <w:t>there are several other special ways to get a green card</w:t>
      </w:r>
      <w:r w:rsidRPr="006D71DE">
        <w:rPr>
          <w:rFonts w:asciiTheme="minorHAnsi" w:hAnsiTheme="minorHAnsi" w:cstheme="minorHAnsi"/>
        </w:rPr>
        <w:t xml:space="preserve"> in current law. Some of </w:t>
      </w:r>
      <w:r w:rsidRPr="006D71DE">
        <w:rPr>
          <w:rStyle w:val="StyleUnderline"/>
          <w:rFonts w:asciiTheme="minorHAnsi" w:hAnsiTheme="minorHAnsi" w:cstheme="minorHAnsi"/>
        </w:rPr>
        <w:t>these include green card programs for battered spouses</w:t>
      </w:r>
      <w:r w:rsidRPr="006D71DE">
        <w:rPr>
          <w:rFonts w:asciiTheme="minorHAnsi" w:hAnsiTheme="minorHAnsi" w:cstheme="minorHAnsi"/>
        </w:rPr>
        <w:t xml:space="preserve"> or children </w:t>
      </w:r>
      <w:r w:rsidRPr="006D71DE">
        <w:rPr>
          <w:rStyle w:val="StyleUnderline"/>
          <w:rFonts w:asciiTheme="minorHAnsi" w:hAnsiTheme="minorHAnsi" w:cstheme="minorHAnsi"/>
        </w:rPr>
        <w:t>under the Violence Against Women Act, persons born to foreign diplomats</w:t>
      </w:r>
      <w:r w:rsidRPr="006D71DE">
        <w:rPr>
          <w:rFonts w:asciiTheme="minorHAnsi" w:hAnsiTheme="minorHAnsi" w:cstheme="minorHAnsi"/>
        </w:rPr>
        <w:t xml:space="preserve"> in the United States, </w:t>
      </w:r>
      <w:r w:rsidRPr="006D71DE">
        <w:rPr>
          <w:rStyle w:val="StyleUnderline"/>
          <w:rFonts w:asciiTheme="minorHAnsi" w:hAnsiTheme="minorHAnsi" w:cstheme="minorHAnsi"/>
        </w:rPr>
        <w:t>and persons with previous military servic</w:t>
      </w:r>
      <w:r w:rsidRPr="006D71DE">
        <w:rPr>
          <w:rFonts w:asciiTheme="minorHAnsi" w:hAnsiTheme="minorHAnsi" w:cstheme="minorHAnsi"/>
        </w:rPr>
        <w:t xml:space="preserve">e. 6 In 2012, </w:t>
      </w:r>
      <w:r w:rsidRPr="006D71DE">
        <w:rPr>
          <w:rStyle w:val="StyleUnderline"/>
          <w:rFonts w:asciiTheme="minorHAnsi" w:hAnsiTheme="minorHAnsi" w:cstheme="minorHAnsi"/>
        </w:rPr>
        <w:t>about 9,000 green cards were allocated outside the categories</w:t>
      </w:r>
      <w:r w:rsidRPr="006D71DE">
        <w:rPr>
          <w:rFonts w:asciiTheme="minorHAnsi" w:hAnsiTheme="minorHAnsi" w:cstheme="minorHAnsi"/>
        </w:rPr>
        <w:t xml:space="preserve"> </w:t>
      </w:r>
      <w:r w:rsidRPr="006D71DE">
        <w:rPr>
          <w:rStyle w:val="StyleUnderline"/>
          <w:rFonts w:asciiTheme="minorHAnsi" w:hAnsiTheme="minorHAnsi" w:cstheme="minorHAnsi"/>
        </w:rPr>
        <w:t>in Table 2</w:t>
      </w:r>
      <w:r w:rsidRPr="006D71DE">
        <w:rPr>
          <w:rFonts w:asciiTheme="minorHAnsi" w:hAnsiTheme="minorHAnsi" w:cstheme="minorHAnsi"/>
        </w:rPr>
        <w:t>.</w:t>
      </w:r>
    </w:p>
    <w:p w:rsidR="00DC16F6" w:rsidRDefault="00DC16F6" w:rsidP="00DC16F6"/>
    <w:p w:rsidR="009A30F2" w:rsidRDefault="009A30F2" w:rsidP="00DC16F6"/>
    <w:p w:rsidR="009A30F2" w:rsidRDefault="009A30F2" w:rsidP="009A30F2">
      <w:pPr>
        <w:pStyle w:val="Heading3"/>
      </w:pPr>
      <w:bookmarkStart w:id="0" w:name="_GoBack"/>
      <w:bookmarkEnd w:id="0"/>
      <w:r>
        <w:t>AT: WM – Potential applicants</w:t>
      </w:r>
    </w:p>
    <w:p w:rsidR="009A30F2" w:rsidRDefault="009A30F2" w:rsidP="009A30F2"/>
    <w:p w:rsidR="009A30F2" w:rsidRPr="006A2A20" w:rsidRDefault="009A30F2" w:rsidP="009A30F2">
      <w:pPr>
        <w:pStyle w:val="Heading4"/>
        <w:rPr>
          <w:rFonts w:eastAsia="Calibri"/>
        </w:rPr>
      </w:pPr>
      <w:r w:rsidRPr="006A2A20">
        <w:rPr>
          <w:rFonts w:eastAsia="Calibri"/>
        </w:rPr>
        <w:t xml:space="preserve">The baseline </w:t>
      </w:r>
      <w:r>
        <w:rPr>
          <w:rFonts w:eastAsia="Calibri"/>
        </w:rPr>
        <w:t xml:space="preserve">determination for eligibility </w:t>
      </w:r>
      <w:r w:rsidR="00120577">
        <w:rPr>
          <w:rFonts w:eastAsia="Calibri"/>
        </w:rPr>
        <w:t xml:space="preserve">potential </w:t>
      </w:r>
      <w:r>
        <w:rPr>
          <w:rFonts w:eastAsia="Calibri"/>
        </w:rPr>
        <w:t xml:space="preserve">can only be measured by how many who have </w:t>
      </w:r>
      <w:r w:rsidRPr="00726042">
        <w:rPr>
          <w:rFonts w:eastAsia="Calibri"/>
          <w:u w:val="single"/>
        </w:rPr>
        <w:t xml:space="preserve">already </w:t>
      </w:r>
      <w:r w:rsidRPr="006A2A20">
        <w:rPr>
          <w:rFonts w:eastAsia="Calibri"/>
          <w:u w:val="single"/>
        </w:rPr>
        <w:t>applied</w:t>
      </w:r>
      <w:r w:rsidRPr="006A2A20">
        <w:rPr>
          <w:rFonts w:eastAsia="Calibri"/>
          <w:u w:val="single"/>
        </w:rPr>
        <w:softHyphen/>
      </w:r>
      <w:r w:rsidRPr="006A2A20">
        <w:rPr>
          <w:rFonts w:eastAsia="Calibri"/>
        </w:rPr>
        <w:t xml:space="preserve"> – not to theoretical totals, which are impossible to calculate</w:t>
      </w:r>
    </w:p>
    <w:p w:rsidR="009A30F2" w:rsidRPr="004B1475" w:rsidRDefault="009A30F2" w:rsidP="009A30F2">
      <w:pPr>
        <w:rPr>
          <w:rFonts w:asciiTheme="minorHAnsi" w:eastAsia="Calibri" w:hAnsiTheme="minorHAnsi" w:cstheme="minorHAnsi"/>
        </w:rPr>
      </w:pPr>
      <w:r w:rsidRPr="004B1475">
        <w:rPr>
          <w:rFonts w:asciiTheme="minorHAnsi" w:eastAsia="Calibri" w:hAnsiTheme="minorHAnsi" w:cstheme="minorHAnsi"/>
          <w:b/>
        </w:rPr>
        <w:t xml:space="preserve">Randolph, 9 </w:t>
      </w:r>
      <w:r w:rsidRPr="004B1475">
        <w:rPr>
          <w:rFonts w:asciiTheme="minorHAnsi" w:eastAsia="Calibri" w:hAnsiTheme="minorHAnsi" w:cstheme="minorHAnsi"/>
        </w:rPr>
        <w:t xml:space="preserve">– Senior Circuit Judge for the DC Court of Appeals (JAMAL KIYEMBA, NEXT FRIEND, ET AL., APPELLEES v. BARACK H. OBAMA, PRESIDENT OF THE UNITED STATES, ET AL., APPELLANTS, </w:t>
      </w:r>
      <w:hyperlink r:id="rId13" w:history="1">
        <w:r w:rsidRPr="004B1475">
          <w:rPr>
            <w:rFonts w:asciiTheme="minorHAnsi" w:eastAsia="Calibri" w:hAnsiTheme="minorHAnsi" w:cstheme="minorHAnsi"/>
          </w:rPr>
          <w:t>http://monsieurdevillefort.files.wordpress.com/2010/02/jamal-kiyemba-et-al-v-barack-h-obama.pdf</w:t>
        </w:r>
      </w:hyperlink>
      <w:r w:rsidRPr="004B1475">
        <w:rPr>
          <w:rFonts w:asciiTheme="minorHAnsi" w:eastAsia="Calibri" w:hAnsiTheme="minorHAnsi" w:cstheme="minorHAnsi"/>
        </w:rPr>
        <w:t>)</w:t>
      </w:r>
    </w:p>
    <w:p w:rsidR="009A30F2" w:rsidRPr="004B1475" w:rsidRDefault="009A30F2" w:rsidP="009A30F2">
      <w:pPr>
        <w:rPr>
          <w:rFonts w:asciiTheme="minorHAnsi" w:eastAsia="Calibri" w:hAnsiTheme="minorHAnsi" w:cstheme="minorHAnsi"/>
          <w:b/>
        </w:rPr>
      </w:pPr>
    </w:p>
    <w:p w:rsidR="009A30F2" w:rsidRPr="00120577" w:rsidRDefault="009A30F2" w:rsidP="009A30F2">
      <w:pPr>
        <w:rPr>
          <w:rFonts w:asciiTheme="minorHAnsi" w:eastAsia="Calibri" w:hAnsiTheme="minorHAnsi" w:cstheme="minorHAnsi"/>
          <w:u w:val="single"/>
        </w:rPr>
      </w:pPr>
      <w:r w:rsidRPr="00120577">
        <w:rPr>
          <w:rFonts w:asciiTheme="minorHAnsi" w:eastAsia="Calibri" w:hAnsiTheme="minorHAnsi" w:cstheme="minorHAnsi"/>
          <w:u w:val="single"/>
        </w:rPr>
        <w:t>What</w:t>
      </w:r>
      <w:r w:rsidRPr="00120577">
        <w:rPr>
          <w:rFonts w:asciiTheme="minorHAnsi" w:eastAsia="Calibri" w:hAnsiTheme="minorHAnsi" w:cstheme="minorHAnsi"/>
        </w:rPr>
        <w:t xml:space="preserve"> then </w:t>
      </w:r>
      <w:r w:rsidRPr="00120577">
        <w:rPr>
          <w:rFonts w:asciiTheme="minorHAnsi" w:eastAsia="Calibri" w:hAnsiTheme="minorHAnsi" w:cstheme="minorHAnsi"/>
          <w:u w:val="single"/>
        </w:rPr>
        <w:t>is Judge Rogers talking about when she insists on evaluating petitioners’ eligibility for admission</w:t>
      </w:r>
      <w:r w:rsidRPr="00120577">
        <w:rPr>
          <w:rFonts w:asciiTheme="minorHAnsi" w:eastAsia="Calibri" w:hAnsiTheme="minorHAnsi" w:cstheme="minorHAnsi"/>
        </w:rPr>
        <w:t xml:space="preserve"> under the immigration laws? </w:t>
      </w:r>
      <w:r w:rsidRPr="00120577">
        <w:rPr>
          <w:rFonts w:asciiTheme="minorHAnsi" w:eastAsia="Calibri" w:hAnsiTheme="minorHAnsi" w:cstheme="minorHAnsi"/>
          <w:u w:val="single"/>
        </w:rPr>
        <w:t>None of the petitioners has even applied for admission</w:t>
      </w:r>
      <w:r w:rsidRPr="00120577">
        <w:rPr>
          <w:rFonts w:asciiTheme="minorHAnsi" w:eastAsia="Calibri" w:hAnsiTheme="minorHAnsi" w:cstheme="minorHAnsi"/>
        </w:rPr>
        <w:t xml:space="preserve">. </w:t>
      </w:r>
      <w:r w:rsidRPr="00120577">
        <w:rPr>
          <w:rFonts w:asciiTheme="minorHAnsi" w:eastAsia="Calibri" w:hAnsiTheme="minorHAnsi" w:cstheme="minorHAnsi"/>
          <w:u w:val="single"/>
        </w:rPr>
        <w:t>Perhaps she thinks a court should decide which</w:t>
      </w:r>
      <w:r w:rsidRPr="00120577">
        <w:rPr>
          <w:rFonts w:asciiTheme="minorHAnsi" w:eastAsia="Calibri" w:hAnsiTheme="minorHAnsi" w:cstheme="minorHAnsi"/>
        </w:rPr>
        <w:t xml:space="preserve">, if any, </w:t>
      </w:r>
      <w:r w:rsidRPr="00120577">
        <w:rPr>
          <w:rFonts w:asciiTheme="minorHAnsi" w:eastAsia="Calibri" w:hAnsiTheme="minorHAnsi" w:cstheme="minorHAnsi"/>
          <w:u w:val="single"/>
        </w:rPr>
        <w:t xml:space="preserve">of the petitioners </w:t>
      </w:r>
      <w:r w:rsidRPr="00120577">
        <w:rPr>
          <w:rStyle w:val="Emphasis"/>
        </w:rPr>
        <w:t>would have been admitted if they had applied</w:t>
      </w:r>
      <w:r w:rsidRPr="00120577">
        <w:rPr>
          <w:rFonts w:asciiTheme="minorHAnsi" w:eastAsia="Calibri" w:hAnsiTheme="minorHAnsi" w:cstheme="minorHAnsi"/>
          <w:u w:val="single"/>
        </w:rPr>
        <w:t xml:space="preserve">. But </w:t>
      </w:r>
      <w:r w:rsidRPr="00120577">
        <w:rPr>
          <w:rStyle w:val="Emphasis"/>
        </w:rPr>
        <w:t>deciding that at this stage is impossible</w:t>
      </w:r>
      <w:r w:rsidRPr="00120577">
        <w:rPr>
          <w:rFonts w:asciiTheme="minorHAnsi" w:eastAsia="Calibri" w:hAnsiTheme="minorHAnsi" w:cstheme="minorHAnsi"/>
          <w:u w:val="single"/>
        </w:rPr>
        <w:t xml:space="preserve">. </w:t>
      </w:r>
      <w:r w:rsidRPr="00120577">
        <w:rPr>
          <w:rFonts w:asciiTheme="minorHAnsi" w:eastAsia="Calibri" w:hAnsiTheme="minorHAnsi" w:cstheme="minorHAnsi"/>
        </w:rPr>
        <w:t>A brief survey of immigration law shows why.</w:t>
      </w:r>
    </w:p>
    <w:p w:rsidR="009A30F2" w:rsidRPr="00120577" w:rsidRDefault="009A30F2" w:rsidP="009A30F2">
      <w:pPr>
        <w:rPr>
          <w:rFonts w:asciiTheme="minorHAnsi" w:eastAsia="Calibri" w:hAnsiTheme="minorHAnsi" w:cstheme="minorHAnsi"/>
        </w:rPr>
      </w:pPr>
      <w:r w:rsidRPr="00120577">
        <w:rPr>
          <w:rFonts w:asciiTheme="minorHAnsi" w:eastAsia="Calibri" w:hAnsiTheme="minorHAnsi" w:cstheme="minorHAnsi"/>
          <w:u w:val="single"/>
        </w:rPr>
        <w:t>Eligibility turns in part on what status the alien is seeking</w:t>
      </w:r>
      <w:r w:rsidRPr="00120577">
        <w:rPr>
          <w:rFonts w:asciiTheme="minorHAnsi" w:eastAsia="Calibri" w:hAnsiTheme="minorHAnsi" w:cstheme="minorHAnsi"/>
        </w:rPr>
        <w:t xml:space="preserve">. The immigration laws presume that those applying for entry seek permanent resident status. Such persons must first obtain an immigrant visa from a consular officer. 8 U.S.C. § 1101(a)(16). But the consular officer can only act after a petition is filed with the Secretary of Homeland Security, showing the immigrant status for which the alien qualifies. Id. §§ 1153(f), 1154. The consular officer then has the exclusive authority to make the final decision about the issuance of any such immigrant visa. Id. §§ 1104(a), 1201(a)(1)(A). That decision is not judicially reviewable. Saavedra Bruno, 197 F.3d at 1158. </w:t>
      </w:r>
    </w:p>
    <w:p w:rsidR="009A30F2" w:rsidRPr="00120577" w:rsidRDefault="009A30F2" w:rsidP="009A30F2">
      <w:pPr>
        <w:rPr>
          <w:rFonts w:asciiTheme="minorHAnsi" w:eastAsia="Calibri" w:hAnsiTheme="minorHAnsi" w:cstheme="minorHAnsi"/>
        </w:rPr>
      </w:pPr>
      <w:r w:rsidRPr="00120577">
        <w:rPr>
          <w:rFonts w:asciiTheme="minorHAnsi" w:eastAsia="Calibri" w:hAnsiTheme="minorHAnsi" w:cstheme="minorHAnsi"/>
        </w:rPr>
        <w:t>Worldwide limits on immigration are set out in 8 U.S.C. § 1151. Additionally, there are limitations on the number of visas that can be issued to immigrants from any one particular country. Id. § 1152. Immigrants are divided into three categories: family-sponsored immigrants, id. § 1153(a); employment-based immigrants, id. § 1153(b); and diversity immigrants, id. § 1153(c). For employment-based immigrants, first preference is given to “priority workers,” which include aliens with extraordinary ability in sciences, arts, education, business, or athletics, id. § 1153(b)(1)(A); “outstanding professors and researchers,” id. § 1153(b)(1)(B); and “certain multinational executives and managers,” id. § 1153(b)(1)(C). There are lower preference categories unnecessary to set forth.</w:t>
      </w:r>
    </w:p>
    <w:p w:rsidR="009A30F2" w:rsidRPr="00120577" w:rsidRDefault="009A30F2" w:rsidP="009A30F2">
      <w:pPr>
        <w:rPr>
          <w:rFonts w:asciiTheme="minorHAnsi" w:eastAsia="Calibri" w:hAnsiTheme="minorHAnsi" w:cstheme="minorHAnsi"/>
          <w:bdr w:val="single" w:sz="4" w:space="0" w:color="auto"/>
        </w:rPr>
      </w:pPr>
      <w:r w:rsidRPr="00120577">
        <w:rPr>
          <w:rFonts w:asciiTheme="minorHAnsi" w:eastAsia="Calibri" w:hAnsiTheme="minorHAnsi" w:cstheme="minorHAnsi"/>
        </w:rPr>
        <w:t xml:space="preserve">Suppose the eligibility of any of the petitioners was determined on the basis that they were seeking only temporary admission. Here again, </w:t>
      </w:r>
      <w:r w:rsidRPr="00120577">
        <w:rPr>
          <w:rFonts w:asciiTheme="minorHAnsi" w:eastAsia="Calibri" w:hAnsiTheme="minorHAnsi" w:cstheme="minorHAnsi"/>
          <w:u w:val="single"/>
        </w:rPr>
        <w:t>to be admitted as a nonimmigrant in any of the categories</w:t>
      </w:r>
      <w:r w:rsidRPr="00120577">
        <w:rPr>
          <w:rFonts w:asciiTheme="minorHAnsi" w:eastAsia="Calibri" w:hAnsiTheme="minorHAnsi" w:cstheme="minorHAnsi"/>
        </w:rPr>
        <w:t xml:space="preserve"> set forth in the margin, 15 </w:t>
      </w:r>
      <w:r w:rsidRPr="00120577">
        <w:rPr>
          <w:rFonts w:asciiTheme="minorHAnsi" w:eastAsia="Calibri" w:hAnsiTheme="minorHAnsi" w:cstheme="minorHAnsi"/>
          <w:u w:val="single"/>
        </w:rPr>
        <w:t>the alien must apply for a visa</w:t>
      </w:r>
      <w:r w:rsidRPr="00120577">
        <w:rPr>
          <w:rFonts w:asciiTheme="minorHAnsi" w:eastAsia="Calibri" w:hAnsiTheme="minorHAnsi" w:cstheme="minorHAnsi"/>
        </w:rPr>
        <w:t xml:space="preserve">. 8 U.S.C. § 1201(a)(1)(B). </w:t>
      </w:r>
      <w:r w:rsidRPr="00120577">
        <w:rPr>
          <w:rFonts w:asciiTheme="minorHAnsi" w:eastAsia="Calibri" w:hAnsiTheme="minorHAnsi" w:cstheme="minorHAnsi"/>
          <w:u w:val="single"/>
        </w:rPr>
        <w:t xml:space="preserve">Different classes have different requirements for what the alien must do to obtain a visa, </w:t>
      </w:r>
      <w:r w:rsidRPr="00120577">
        <w:rPr>
          <w:rStyle w:val="Emphasis"/>
        </w:rPr>
        <w:t>but all require that the alien submit some form</w:t>
      </w:r>
      <w:r w:rsidRPr="00120577">
        <w:t>.</w:t>
      </w:r>
    </w:p>
    <w:p w:rsidR="009A30F2" w:rsidRPr="00120577" w:rsidRDefault="009A30F2" w:rsidP="009A30F2">
      <w:pPr>
        <w:rPr>
          <w:rFonts w:asciiTheme="minorHAnsi" w:eastAsia="Calibri" w:hAnsiTheme="minorHAnsi" w:cstheme="minorHAnsi"/>
        </w:rPr>
      </w:pPr>
      <w:r w:rsidRPr="00120577">
        <w:rPr>
          <w:rFonts w:asciiTheme="minorHAnsi" w:eastAsia="Calibri" w:hAnsiTheme="minorHAnsi" w:cstheme="minorHAnsi"/>
        </w:rPr>
        <w:t>Suppose the petitioners’ eligibility for admission turned on whether they could be considered refugees or asylum seekers. An alien seeking refugee or asylum status (refugees apply from abroad; asylum applicants apply when already here) must qualify as a “refugee” as defined in 8 U.S.C. § 1101(a)(42). Whether they could be admitted under this heading depends on numerical limitations established by the President, and on the discretion of the Attorney General or the Secretary of Homeland Security. To qualify as a refugee, an alien must (1) not be firmly resettled in a foreign country, (2) be of “special humanitarian concern” to the United States, and (3) be admissible as an immigrant under the immigration laws. Id. § 1157(c)(1). Although the Attorney General and the Secretary are given discretion to waive many of the grounds of inadmissibility for a refugee applicant, the statute specifically prohibits waiver of the “terrorist activity” ground. Id. § 1157(c)(3); see also supra at 12 n.14.</w:t>
      </w:r>
    </w:p>
    <w:p w:rsidR="009A30F2" w:rsidRPr="00120577" w:rsidRDefault="009A30F2" w:rsidP="009A30F2">
      <w:pPr>
        <w:rPr>
          <w:rFonts w:asciiTheme="minorHAnsi" w:eastAsia="Calibri" w:hAnsiTheme="minorHAnsi" w:cstheme="minorHAnsi"/>
        </w:rPr>
      </w:pPr>
      <w:r w:rsidRPr="00120577">
        <w:rPr>
          <w:rFonts w:asciiTheme="minorHAnsi" w:eastAsia="Calibri" w:hAnsiTheme="minorHAnsi" w:cstheme="minorHAnsi"/>
        </w:rPr>
        <w:t>The parole remedy, 8 U.S.C. § 1182(d)(5)(A), not only is granted in the exclusive discretion of the Secretary of Homeland Security, but also is specifically limited to “any alien applying for admission.” The section also provides that no alien who would more properly be considered a refugee should be paroled unless the Secretary specifically determines that “compelling reasons in the public interest” argue in favor of the parole remedy.</w:t>
      </w:r>
    </w:p>
    <w:p w:rsidR="009A30F2" w:rsidRPr="00120577" w:rsidRDefault="009A30F2" w:rsidP="009A30F2">
      <w:pPr>
        <w:rPr>
          <w:rFonts w:asciiTheme="minorHAnsi" w:eastAsia="Calibri" w:hAnsiTheme="minorHAnsi" w:cstheme="minorHAnsi"/>
        </w:rPr>
      </w:pPr>
      <w:r w:rsidRPr="00120577">
        <w:rPr>
          <w:rFonts w:asciiTheme="minorHAnsi" w:eastAsia="Calibri" w:hAnsiTheme="minorHAnsi" w:cstheme="minorHAnsi"/>
        </w:rPr>
        <w:t xml:space="preserve">There are many more complications, but the bottom line is clear. </w:t>
      </w:r>
      <w:r w:rsidRPr="00120577">
        <w:rPr>
          <w:rFonts w:asciiTheme="minorHAnsi" w:eastAsia="Calibri" w:hAnsiTheme="minorHAnsi" w:cstheme="minorHAnsi"/>
          <w:u w:val="single"/>
        </w:rPr>
        <w:t xml:space="preserve">Aliens are </w:t>
      </w:r>
      <w:r w:rsidRPr="00120577">
        <w:rPr>
          <w:rStyle w:val="Emphasis"/>
        </w:rPr>
        <w:t>not eligible</w:t>
      </w:r>
      <w:r w:rsidRPr="00120577">
        <w:rPr>
          <w:rFonts w:asciiTheme="minorHAnsi" w:eastAsia="Calibri" w:hAnsiTheme="minorHAnsi" w:cstheme="minorHAnsi"/>
          <w:u w:val="single"/>
        </w:rPr>
        <w:t xml:space="preserve"> for admission into the U</w:t>
      </w:r>
      <w:r w:rsidRPr="00120577">
        <w:rPr>
          <w:rFonts w:asciiTheme="minorHAnsi" w:eastAsia="Calibri" w:hAnsiTheme="minorHAnsi" w:cstheme="minorHAnsi"/>
        </w:rPr>
        <w:t xml:space="preserve">nited </w:t>
      </w:r>
      <w:r w:rsidRPr="00120577">
        <w:rPr>
          <w:rFonts w:asciiTheme="minorHAnsi" w:eastAsia="Calibri" w:hAnsiTheme="minorHAnsi" w:cstheme="minorHAnsi"/>
          <w:u w:val="single"/>
        </w:rPr>
        <w:t>S</w:t>
      </w:r>
      <w:r w:rsidRPr="00120577">
        <w:rPr>
          <w:rFonts w:asciiTheme="minorHAnsi" w:eastAsia="Calibri" w:hAnsiTheme="minorHAnsi" w:cstheme="minorHAnsi"/>
        </w:rPr>
        <w:t xml:space="preserve">tates </w:t>
      </w:r>
      <w:r w:rsidRPr="00120577">
        <w:rPr>
          <w:rStyle w:val="Emphasis"/>
        </w:rPr>
        <w:t>unless they have applied</w:t>
      </w:r>
      <w:r w:rsidRPr="00120577">
        <w:rPr>
          <w:rFonts w:asciiTheme="minorHAnsi" w:eastAsia="Calibri" w:hAnsiTheme="minorHAnsi" w:cstheme="minorHAnsi"/>
          <w:u w:val="single"/>
        </w:rPr>
        <w:t xml:space="preserve"> for admission. Numerical limits may render them ineligible, as may many other considerations</w:t>
      </w:r>
      <w:r w:rsidRPr="00120577">
        <w:rPr>
          <w:rFonts w:asciiTheme="minorHAnsi" w:eastAsia="Calibri" w:hAnsiTheme="minorHAnsi" w:cstheme="minorHAnsi"/>
        </w:rPr>
        <w:t xml:space="preserve">. The Secretary has wide discretion with respect to several categories of applicants and the decisions of consular officers on visa applications are not subject to judicial review. </w:t>
      </w:r>
      <w:r w:rsidRPr="00120577">
        <w:rPr>
          <w:rFonts w:asciiTheme="minorHAnsi" w:eastAsia="Calibri" w:hAnsiTheme="minorHAnsi" w:cstheme="minorHAnsi"/>
          <w:u w:val="single"/>
        </w:rPr>
        <w:t>And so we find it impossible to understand what Judge Rogers is thinking when she insists</w:t>
      </w:r>
      <w:r w:rsidRPr="00120577">
        <w:rPr>
          <w:rFonts w:asciiTheme="minorHAnsi" w:eastAsia="Calibri" w:hAnsiTheme="minorHAnsi" w:cstheme="minorHAnsi"/>
        </w:rPr>
        <w:t xml:space="preserve">, for instance, </w:t>
      </w:r>
      <w:r w:rsidRPr="00120577">
        <w:rPr>
          <w:rFonts w:asciiTheme="minorHAnsi" w:eastAsia="Calibri" w:hAnsiTheme="minorHAnsi" w:cstheme="minorHAnsi"/>
          <w:u w:val="single"/>
        </w:rPr>
        <w:t>that “the district court erred</w:t>
      </w:r>
      <w:r w:rsidRPr="00120577">
        <w:rPr>
          <w:rFonts w:asciiTheme="minorHAnsi" w:eastAsia="Calibri" w:hAnsiTheme="minorHAnsi" w:cstheme="minorHAnsi"/>
        </w:rPr>
        <w:t xml:space="preserve"> by ordering release into the country </w:t>
      </w:r>
      <w:r w:rsidRPr="00120577">
        <w:rPr>
          <w:rFonts w:asciiTheme="minorHAnsi" w:eastAsia="Calibri" w:hAnsiTheme="minorHAnsi" w:cstheme="minorHAnsi"/>
          <w:u w:val="single"/>
        </w:rPr>
        <w:t>without first ascertaining whether the immigration laws provided a valid basis for detention” of someone who</w:t>
      </w:r>
      <w:r w:rsidRPr="00120577">
        <w:rPr>
          <w:rFonts w:asciiTheme="minorHAnsi" w:eastAsia="Calibri" w:hAnsiTheme="minorHAnsi" w:cstheme="minorHAnsi"/>
        </w:rPr>
        <w:t xml:space="preserve"> (a) has never entered or attempted to enter the country, and (b) </w:t>
      </w:r>
      <w:r w:rsidRPr="00120577">
        <w:rPr>
          <w:rFonts w:asciiTheme="minorHAnsi" w:eastAsia="Calibri" w:hAnsiTheme="minorHAnsi" w:cstheme="minorHAnsi"/>
          <w:u w:val="single"/>
        </w:rPr>
        <w:t>has never applied for admission</w:t>
      </w:r>
      <w:r w:rsidRPr="00120577">
        <w:rPr>
          <w:rFonts w:asciiTheme="minorHAnsi" w:eastAsia="Calibri" w:hAnsiTheme="minorHAnsi" w:cstheme="minorHAnsi"/>
        </w:rPr>
        <w:t xml:space="preserve"> under the immigration laws.</w:t>
      </w:r>
    </w:p>
    <w:p w:rsidR="009A30F2" w:rsidRPr="00120577" w:rsidRDefault="009A30F2" w:rsidP="009A30F2"/>
    <w:p w:rsidR="009A30F2" w:rsidRPr="00120577" w:rsidRDefault="009A30F2" w:rsidP="009A30F2">
      <w:pPr>
        <w:pStyle w:val="Heading4"/>
      </w:pPr>
      <w:r w:rsidRPr="00120577">
        <w:t xml:space="preserve">Don’t look to potential future applicants – the number isn’t knowable </w:t>
      </w:r>
      <w:r w:rsidR="00120577">
        <w:t xml:space="preserve">and you can only measure the plan against what’s </w:t>
      </w:r>
      <w:r w:rsidR="00120577">
        <w:rPr>
          <w:u w:val="single"/>
        </w:rPr>
        <w:t>immediately</w:t>
      </w:r>
      <w:r w:rsidR="00120577">
        <w:t xml:space="preserve"> available</w:t>
      </w:r>
      <w:r w:rsidRPr="00120577">
        <w:t xml:space="preserve">.  They effectively make “substantial” </w:t>
      </w:r>
      <w:r w:rsidRPr="00120577">
        <w:rPr>
          <w:u w:val="single"/>
        </w:rPr>
        <w:t>meaningless</w:t>
      </w:r>
      <w:r w:rsidRPr="00120577">
        <w:t>, which is contrary to proper legal interpretation</w:t>
      </w:r>
    </w:p>
    <w:p w:rsidR="009A30F2" w:rsidRPr="00120577" w:rsidRDefault="009A30F2" w:rsidP="009A30F2">
      <w:pPr>
        <w:rPr>
          <w:color w:val="000000"/>
          <w:szCs w:val="20"/>
        </w:rPr>
      </w:pPr>
      <w:r w:rsidRPr="00120577">
        <w:rPr>
          <w:b/>
        </w:rPr>
        <w:t>Stahl, 9</w:t>
      </w:r>
      <w:r w:rsidRPr="00120577">
        <w:t xml:space="preserve"> – US Circuit Judge</w:t>
      </w:r>
      <w:r w:rsidRPr="00120577">
        <w:rPr>
          <w:rStyle w:val="StyleUnderline"/>
          <w:u w:val="none"/>
        </w:rPr>
        <w:t xml:space="preserve"> (</w:t>
      </w:r>
      <w:r w:rsidRPr="00120577">
        <w:rPr>
          <w:color w:val="000000"/>
          <w:szCs w:val="20"/>
        </w:rPr>
        <w:t xml:space="preserve">SILVIO MARTINS OLIVEIRA, </w:t>
      </w:r>
      <w:r w:rsidRPr="00120577">
        <w:t>Petitioner, v. ERIC H. HOLDER,</w:t>
      </w:r>
      <w:r w:rsidRPr="00120577">
        <w:rPr>
          <w:rStyle w:val="apple-converted-space"/>
        </w:rPr>
        <w:t xml:space="preserve"> </w:t>
      </w:r>
      <w:bookmarkStart w:id="1" w:name="ref1"/>
      <w:r w:rsidRPr="00120577">
        <w:rPr>
          <w:vertAlign w:val="superscript"/>
        </w:rPr>
        <w:fldChar w:fldCharType="begin"/>
      </w:r>
      <w:r w:rsidRPr="00120577">
        <w:rPr>
          <w:vertAlign w:val="superscript"/>
        </w:rPr>
        <w:instrText xml:space="preserve"> HYPERLINK "http://www.lexisnexis.com.proxy.lib.umich.edu/lnacui2api/frame.do?reloadEntirePage=true&amp;rand=1299180011832&amp;returnToKey=20_T11383674962&amp;parent=docview&amp;target=results_DocumentContent&amp;tokenKey=rsh-20.93742.0396156291" \l "fnote1" </w:instrText>
      </w:r>
      <w:r w:rsidRPr="00120577">
        <w:rPr>
          <w:vertAlign w:val="superscript"/>
        </w:rPr>
        <w:fldChar w:fldCharType="separate"/>
      </w:r>
      <w:r w:rsidRPr="00120577">
        <w:rPr>
          <w:rStyle w:val="blue"/>
          <w:vertAlign w:val="superscript"/>
        </w:rPr>
        <w:t>*</w:t>
      </w:r>
      <w:r w:rsidRPr="00120577">
        <w:rPr>
          <w:vertAlign w:val="superscript"/>
        </w:rPr>
        <w:fldChar w:fldCharType="end"/>
      </w:r>
      <w:bookmarkEnd w:id="1"/>
      <w:r w:rsidRPr="00120577">
        <w:rPr>
          <w:rStyle w:val="apple-converted-space"/>
        </w:rPr>
        <w:t xml:space="preserve"> </w:t>
      </w:r>
      <w:r w:rsidRPr="00120577">
        <w:t xml:space="preserve">JR., UNITED STATES ATTORNEY GENERAL, Respondent. </w:t>
      </w:r>
      <w:bookmarkStart w:id="2" w:name="fnote1"/>
      <w:bookmarkEnd w:id="2"/>
      <w:r w:rsidRPr="00120577">
        <w:fldChar w:fldCharType="begin"/>
      </w:r>
      <w:r w:rsidRPr="00120577">
        <w:instrText xml:space="preserve"> HYPERLINK "http://www.lexisnexis.com.proxy.lib.umich.edu/lnacui2api/frame.do?reloadEntirePage=true&amp;rand=1299180011832&amp;returnToKey=20_T11383674962&amp;parent=docview&amp;target=results_DocumentContent&amp;tokenKey=rsh-20.93742.0396156291" \l "ref1" </w:instrText>
      </w:r>
      <w:r w:rsidRPr="00120577">
        <w:fldChar w:fldCharType="separate"/>
      </w:r>
      <w:r w:rsidRPr="00120577">
        <w:rPr>
          <w:rStyle w:val="Hyperlink"/>
        </w:rPr>
        <w:t>*</w:t>
      </w:r>
      <w:r w:rsidRPr="00120577">
        <w:fldChar w:fldCharType="end"/>
      </w:r>
      <w:r w:rsidRPr="00120577">
        <w:rPr>
          <w:rStyle w:val="apple-converted-space"/>
        </w:rPr>
        <w:t xml:space="preserve"> </w:t>
      </w:r>
      <w:r w:rsidRPr="00120577">
        <w:rPr>
          <w:rStyle w:val="tightinline"/>
        </w:rPr>
        <w:t>Pursuant to Fed. R. App. P. 43(c)(2), Attorney General Eric H. Holder, Jr. has been substituted for former Attorney General Michael B. Mukasey as the respondent.</w:t>
      </w:r>
      <w:r w:rsidRPr="00120577">
        <w:t xml:space="preserve"> No. 08-2494 UNITED STATES COURT OF APPEALS FOR THE FIRST CIRCUIT 568 F.3d 275; 2009 U.S. App. LEXIS 12039 June 4, 2009</w:t>
      </w:r>
      <w:r w:rsidRPr="00120577">
        <w:rPr>
          <w:color w:val="000000"/>
          <w:szCs w:val="20"/>
        </w:rPr>
        <w:t>, Decided, lexis)</w:t>
      </w:r>
    </w:p>
    <w:p w:rsidR="009A30F2" w:rsidRPr="00120577" w:rsidRDefault="009A30F2" w:rsidP="009A30F2">
      <w:pPr>
        <w:rPr>
          <w:rStyle w:val="StyleUnderline"/>
        </w:rPr>
      </w:pPr>
    </w:p>
    <w:p w:rsidR="009A30F2" w:rsidRPr="00BA52C6" w:rsidRDefault="009A30F2" w:rsidP="009A30F2">
      <w:pPr>
        <w:rPr>
          <w:color w:val="000000"/>
          <w:szCs w:val="20"/>
        </w:rPr>
      </w:pPr>
      <w:r w:rsidRPr="00120577">
        <w:rPr>
          <w:szCs w:val="20"/>
          <w:u w:val="single"/>
        </w:rPr>
        <w:t>The BIA found that no visa was</w:t>
      </w:r>
      <w:r w:rsidRPr="00120577">
        <w:rPr>
          <w:rStyle w:val="apple-converted-space"/>
          <w:szCs w:val="20"/>
        </w:rPr>
        <w:t> </w:t>
      </w:r>
      <w:bookmarkStart w:id="3" w:name="ORIGHIT_7"/>
      <w:bookmarkStart w:id="4" w:name="HIT_7"/>
      <w:bookmarkEnd w:id="3"/>
      <w:bookmarkEnd w:id="4"/>
      <w:r w:rsidRPr="00120577">
        <w:rPr>
          <w:rStyle w:val="StyleUnderline"/>
        </w:rPr>
        <w:t>immediately available</w:t>
      </w:r>
      <w:r w:rsidRPr="00120577">
        <w:rPr>
          <w:rStyle w:val="apple-converted-space"/>
          <w:szCs w:val="20"/>
        </w:rPr>
        <w:t> </w:t>
      </w:r>
      <w:r w:rsidRPr="00120577">
        <w:rPr>
          <w:color w:val="000000"/>
          <w:szCs w:val="20"/>
          <w:u w:val="single"/>
        </w:rPr>
        <w:t>to Oliveira</w:t>
      </w:r>
      <w:r w:rsidRPr="00120577">
        <w:rPr>
          <w:color w:val="000000"/>
          <w:szCs w:val="20"/>
        </w:rPr>
        <w:t>,</w:t>
      </w:r>
      <w:r w:rsidRPr="00120577">
        <w:rPr>
          <w:rStyle w:val="apple-converted-space"/>
          <w:szCs w:val="20"/>
        </w:rPr>
        <w:t> </w:t>
      </w:r>
      <w:r w:rsidRPr="00120577">
        <w:t>see </w:t>
      </w:r>
      <w:hyperlink r:id="rId14" w:tgtFrame="_parent" w:history="1">
        <w:r w:rsidRPr="00120577">
          <w:rPr>
            <w:rStyle w:val="Hyperlink"/>
          </w:rPr>
          <w:t>8 U.S.C.§ 1255(a)</w:t>
        </w:r>
      </w:hyperlink>
      <w:r w:rsidRPr="00120577">
        <w:rPr>
          <w:rStyle w:val="apple-converted-space"/>
          <w:szCs w:val="20"/>
        </w:rPr>
        <w:t> </w:t>
      </w:r>
      <w:r w:rsidRPr="00120577">
        <w:rPr>
          <w:color w:val="000000"/>
          <w:szCs w:val="20"/>
        </w:rPr>
        <w:t>(requiring that the applicant have "an immigrant visa . . .</w:t>
      </w:r>
      <w:r w:rsidRPr="00120577">
        <w:rPr>
          <w:rStyle w:val="apple-converted-space"/>
          <w:szCs w:val="20"/>
        </w:rPr>
        <w:t> </w:t>
      </w:r>
      <w:bookmarkStart w:id="5" w:name="ORIGHIT_8"/>
      <w:bookmarkStart w:id="6" w:name="HIT_8"/>
      <w:bookmarkEnd w:id="5"/>
      <w:bookmarkEnd w:id="6"/>
      <w:r w:rsidRPr="00120577">
        <w:rPr>
          <w:rStyle w:val="hit"/>
          <w:bCs/>
          <w:szCs w:val="20"/>
        </w:rPr>
        <w:t>immediately available</w:t>
      </w:r>
      <w:r w:rsidRPr="00120577">
        <w:rPr>
          <w:rStyle w:val="apple-converted-space"/>
          <w:szCs w:val="20"/>
        </w:rPr>
        <w:t> </w:t>
      </w:r>
      <w:r w:rsidRPr="00120577">
        <w:rPr>
          <w:color w:val="000000"/>
          <w:szCs w:val="20"/>
        </w:rPr>
        <w:t xml:space="preserve">to him at the time his application is filed"), </w:t>
      </w:r>
      <w:r w:rsidRPr="00120577">
        <w:rPr>
          <w:color w:val="000000"/>
          <w:szCs w:val="20"/>
          <w:u w:val="single"/>
        </w:rPr>
        <w:t xml:space="preserve">such that he could not establish a prima facie case </w:t>
      </w:r>
      <w:r w:rsidRPr="00120577">
        <w:rPr>
          <w:color w:val="000000"/>
          <w:szCs w:val="20"/>
        </w:rPr>
        <w:t>for adjustment of status.</w:t>
      </w:r>
      <w:r w:rsidRPr="00120577">
        <w:rPr>
          <w:rStyle w:val="apple-converted-space"/>
          <w:szCs w:val="20"/>
        </w:rPr>
        <w:t> </w:t>
      </w:r>
      <w:r w:rsidRPr="00120577">
        <w:rPr>
          <w:color w:val="000000"/>
          <w:szCs w:val="20"/>
        </w:rPr>
        <w:t xml:space="preserve"> Under current</w:t>
      </w:r>
      <w:r w:rsidRPr="00120577">
        <w:rPr>
          <w:rStyle w:val="apple-converted-space"/>
          <w:szCs w:val="20"/>
        </w:rPr>
        <w:t> </w:t>
      </w:r>
      <w:r w:rsidRPr="00120577">
        <w:rPr>
          <w:color w:val="000000"/>
          <w:szCs w:val="20"/>
        </w:rPr>
        <w:t xml:space="preserve"> [**6] law, </w:t>
      </w:r>
      <w:r w:rsidRPr="00120577">
        <w:rPr>
          <w:color w:val="000000"/>
          <w:szCs w:val="20"/>
          <w:u w:val="single"/>
        </w:rPr>
        <w:t>visa availability is subject to various quotas limiting the number</w:t>
      </w:r>
      <w:r w:rsidRPr="00120577">
        <w:rPr>
          <w:color w:val="000000"/>
          <w:szCs w:val="20"/>
        </w:rPr>
        <w:t xml:space="preserve"> issued per year.</w:t>
      </w:r>
      <w:r w:rsidRPr="00120577">
        <w:rPr>
          <w:rStyle w:val="apple-converted-space"/>
          <w:szCs w:val="20"/>
        </w:rPr>
        <w:t> </w:t>
      </w:r>
      <w:r w:rsidRPr="00120577">
        <w:rPr>
          <w:rStyle w:val="italic"/>
          <w:i/>
          <w:iCs/>
          <w:color w:val="000000"/>
          <w:szCs w:val="20"/>
        </w:rPr>
        <w:t>See, e.g</w:t>
      </w:r>
      <w:r w:rsidRPr="00120577">
        <w:rPr>
          <w:color w:val="000000"/>
          <w:szCs w:val="20"/>
        </w:rPr>
        <w:t>.,</w:t>
      </w:r>
      <w:r w:rsidRPr="00120577">
        <w:rPr>
          <w:rStyle w:val="apple-converted-space"/>
          <w:szCs w:val="20"/>
        </w:rPr>
        <w:t> </w:t>
      </w:r>
      <w:hyperlink r:id="rId15" w:tgtFrame="_parent" w:history="1">
        <w:r w:rsidRPr="00120577">
          <w:rPr>
            <w:rStyle w:val="Hyperlink"/>
            <w:color w:val="3300CC"/>
            <w:szCs w:val="20"/>
          </w:rPr>
          <w:t>8 U.S.C. §§ 1151(c)</w:t>
        </w:r>
      </w:hyperlink>
      <w:r w:rsidRPr="00120577">
        <w:rPr>
          <w:color w:val="000000"/>
          <w:szCs w:val="20"/>
        </w:rPr>
        <w:t>,</w:t>
      </w:r>
      <w:r w:rsidRPr="00120577">
        <w:rPr>
          <w:rStyle w:val="apple-converted-space"/>
          <w:szCs w:val="20"/>
        </w:rPr>
        <w:t> </w:t>
      </w:r>
      <w:hyperlink r:id="rId16" w:tgtFrame="_parent" w:history="1">
        <w:r w:rsidRPr="00120577">
          <w:rPr>
            <w:rStyle w:val="Hyperlink"/>
            <w:color w:val="3300CC"/>
            <w:szCs w:val="20"/>
          </w:rPr>
          <w:t>1153(a)</w:t>
        </w:r>
      </w:hyperlink>
      <w:r w:rsidRPr="00120577">
        <w:rPr>
          <w:color w:val="000000"/>
          <w:szCs w:val="20"/>
        </w:rPr>
        <w:t>,</w:t>
      </w:r>
      <w:r w:rsidRPr="00120577">
        <w:rPr>
          <w:rStyle w:val="apple-converted-space"/>
          <w:szCs w:val="20"/>
        </w:rPr>
        <w:t> </w:t>
      </w:r>
      <w:hyperlink r:id="rId17" w:tgtFrame="_parent" w:history="1">
        <w:r w:rsidRPr="00120577">
          <w:rPr>
            <w:rStyle w:val="Hyperlink"/>
            <w:color w:val="3300CC"/>
            <w:szCs w:val="20"/>
          </w:rPr>
          <w:t>1153(b)</w:t>
        </w:r>
      </w:hyperlink>
      <w:r w:rsidRPr="00120577">
        <w:rPr>
          <w:color w:val="000000"/>
          <w:szCs w:val="20"/>
        </w:rPr>
        <w:t>. Oliveira's visa petition had a priority date of May 24, 2007, but only visas with a priority date of January 15, 2003, or earlier were then currently available.</w:t>
      </w:r>
      <w:r w:rsidRPr="00120577">
        <w:rPr>
          <w:rStyle w:val="apple-converted-space"/>
          <w:szCs w:val="20"/>
        </w:rPr>
        <w:t> </w:t>
      </w:r>
      <w:r w:rsidRPr="00120577">
        <w:rPr>
          <w:rStyle w:val="italic"/>
          <w:i/>
          <w:iCs/>
          <w:color w:val="000000"/>
          <w:szCs w:val="20"/>
        </w:rPr>
        <w:t>See</w:t>
      </w:r>
      <w:r w:rsidRPr="00120577">
        <w:rPr>
          <w:rStyle w:val="apple-converted-space"/>
          <w:szCs w:val="20"/>
        </w:rPr>
        <w:t> </w:t>
      </w:r>
      <w:hyperlink r:id="rId18" w:tgtFrame="_parent" w:history="1">
        <w:r w:rsidRPr="00120577">
          <w:rPr>
            <w:rStyle w:val="Hyperlink"/>
            <w:color w:val="3300CC"/>
            <w:szCs w:val="20"/>
          </w:rPr>
          <w:t>8 C.F.R. § 1245.1(g)(1)</w:t>
        </w:r>
      </w:hyperlink>
      <w:r w:rsidRPr="00120577">
        <w:rPr>
          <w:rStyle w:val="apple-converted-space"/>
          <w:szCs w:val="20"/>
        </w:rPr>
        <w:t> </w:t>
      </w:r>
      <w:r w:rsidRPr="00120577">
        <w:rPr>
          <w:color w:val="000000"/>
          <w:szCs w:val="20"/>
        </w:rPr>
        <w:t>("An immigrant visa is considered available for accepting and processing . . . [if] the preference category applicant has a priority date on the waiting list which is earlier than the date shown in the Bulletin (or the Bulletin shows that numbers for visa applicants in his or her</w:t>
      </w:r>
      <w:bookmarkStart w:id="7" w:name="PAGE_278_1107"/>
      <w:bookmarkEnd w:id="7"/>
      <w:r w:rsidRPr="00120577">
        <w:rPr>
          <w:color w:val="000000"/>
          <w:szCs w:val="20"/>
        </w:rPr>
        <w:t> [*278] </w:t>
      </w:r>
      <w:r w:rsidRPr="00120577">
        <w:rPr>
          <w:rStyle w:val="apple-converted-space"/>
          <w:szCs w:val="20"/>
        </w:rPr>
        <w:t> </w:t>
      </w:r>
      <w:r w:rsidRPr="00120577">
        <w:rPr>
          <w:color w:val="000000"/>
          <w:szCs w:val="20"/>
        </w:rPr>
        <w:t>category are current.)"). Thus, the priority date for Oliveira's visa was not current at the time he filed his motion to reopen.</w:t>
      </w:r>
      <w:r w:rsidRPr="00120577">
        <w:rPr>
          <w:rStyle w:val="apple-converted-space"/>
          <w:szCs w:val="20"/>
        </w:rPr>
        <w:t> </w:t>
      </w:r>
      <w:r w:rsidRPr="00120577">
        <w:rPr>
          <w:rStyle w:val="italic"/>
          <w:i/>
          <w:iCs/>
          <w:color w:val="000000"/>
          <w:szCs w:val="20"/>
        </w:rPr>
        <w:t>See</w:t>
      </w:r>
      <w:r w:rsidRPr="00120577">
        <w:rPr>
          <w:rStyle w:val="apple-converted-space"/>
          <w:i/>
          <w:iCs/>
          <w:szCs w:val="20"/>
        </w:rPr>
        <w:t> </w:t>
      </w:r>
      <w:hyperlink r:id="rId19" w:tgtFrame="_parent" w:history="1">
        <w:r w:rsidRPr="00120577">
          <w:rPr>
            <w:rStyle w:val="italic"/>
            <w:i/>
            <w:iCs/>
            <w:color w:val="3300CC"/>
            <w:szCs w:val="20"/>
          </w:rPr>
          <w:t>Conteh v. Gonzales</w:t>
        </w:r>
        <w:r w:rsidRPr="00120577">
          <w:rPr>
            <w:rStyle w:val="Hyperlink"/>
            <w:color w:val="3300CC"/>
            <w:szCs w:val="20"/>
          </w:rPr>
          <w:t>, 461 F.3d 45, 64 (1st Cir. 2006)</w:t>
        </w:r>
      </w:hyperlink>
      <w:r w:rsidRPr="00120577">
        <w:rPr>
          <w:rStyle w:val="apple-converted-space"/>
          <w:szCs w:val="20"/>
        </w:rPr>
        <w:t> </w:t>
      </w:r>
      <w:r w:rsidRPr="00120577">
        <w:rPr>
          <w:color w:val="000000"/>
          <w:szCs w:val="20"/>
        </w:rPr>
        <w:t>(affirming Board's finding that alien was statutorily ineligible for adjustment under</w:t>
      </w:r>
      <w:r w:rsidRPr="00120577">
        <w:rPr>
          <w:rStyle w:val="apple-converted-space"/>
          <w:szCs w:val="20"/>
        </w:rPr>
        <w:t> </w:t>
      </w:r>
      <w:hyperlink r:id="rId20" w:tgtFrame="_parent" w:history="1">
        <w:r w:rsidRPr="00120577">
          <w:rPr>
            <w:rStyle w:val="Hyperlink"/>
            <w:color w:val="3300CC"/>
            <w:szCs w:val="20"/>
          </w:rPr>
          <w:t>8 U.S.C. § 1255(a)</w:t>
        </w:r>
      </w:hyperlink>
      <w:r w:rsidRPr="00120577">
        <w:rPr>
          <w:rStyle w:val="apple-converted-space"/>
          <w:szCs w:val="20"/>
        </w:rPr>
        <w:t> </w:t>
      </w:r>
      <w:r w:rsidRPr="00120577">
        <w:rPr>
          <w:color w:val="000000"/>
          <w:szCs w:val="20"/>
        </w:rPr>
        <w:t>where a visa was not</w:t>
      </w:r>
      <w:r w:rsidRPr="00120577">
        <w:rPr>
          <w:rStyle w:val="apple-converted-space"/>
          <w:szCs w:val="20"/>
        </w:rPr>
        <w:t> </w:t>
      </w:r>
      <w:bookmarkStart w:id="8" w:name="ORIGHIT_9"/>
      <w:bookmarkStart w:id="9" w:name="HIT_9"/>
      <w:bookmarkEnd w:id="8"/>
      <w:bookmarkEnd w:id="9"/>
      <w:r w:rsidRPr="00120577">
        <w:rPr>
          <w:rStyle w:val="hit"/>
          <w:bCs/>
          <w:szCs w:val="20"/>
        </w:rPr>
        <w:t>immediately available</w:t>
      </w:r>
      <w:r w:rsidRPr="00120577">
        <w:rPr>
          <w:rStyle w:val="apple-converted-space"/>
          <w:szCs w:val="20"/>
        </w:rPr>
        <w:t> </w:t>
      </w:r>
      <w:r w:rsidRPr="00120577">
        <w:rPr>
          <w:szCs w:val="20"/>
        </w:rPr>
        <w:t xml:space="preserve">at the time alien proffered his motion to reopen). </w:t>
      </w:r>
      <w:r w:rsidRPr="00120577">
        <w:rPr>
          <w:szCs w:val="20"/>
          <w:u w:val="single"/>
        </w:rPr>
        <w:t>To suggest</w:t>
      </w:r>
      <w:r w:rsidRPr="00120577">
        <w:rPr>
          <w:szCs w:val="20"/>
        </w:rPr>
        <w:t xml:space="preserve">, as Oliveira does, </w:t>
      </w:r>
      <w:r w:rsidRPr="00120577">
        <w:rPr>
          <w:szCs w:val="20"/>
          <w:u w:val="single"/>
        </w:rPr>
        <w:t>that he nevertheless qualifies for adjustment of status because he is</w:t>
      </w:r>
      <w:r w:rsidRPr="00120577">
        <w:rPr>
          <w:rStyle w:val="apple-converted-space"/>
          <w:szCs w:val="20"/>
        </w:rPr>
        <w:t> </w:t>
      </w:r>
      <w:bookmarkStart w:id="10" w:name="ORIGHIT_10"/>
      <w:bookmarkStart w:id="11" w:name="HIT_10"/>
      <w:bookmarkEnd w:id="10"/>
      <w:bookmarkEnd w:id="11"/>
      <w:r w:rsidRPr="00120577">
        <w:rPr>
          <w:rStyle w:val="hit"/>
          <w:bCs/>
          <w:szCs w:val="20"/>
          <w:u w:val="single"/>
        </w:rPr>
        <w:t>eligible</w:t>
      </w:r>
      <w:r w:rsidRPr="00120577">
        <w:rPr>
          <w:rStyle w:val="apple-converted-space"/>
          <w:szCs w:val="20"/>
        </w:rPr>
        <w:t> </w:t>
      </w:r>
      <w:r w:rsidRPr="00120577">
        <w:rPr>
          <w:rStyle w:val="hit"/>
          <w:bCs/>
          <w:szCs w:val="20"/>
          <w:u w:val="single"/>
        </w:rPr>
        <w:t>for a visa</w:t>
      </w:r>
      <w:r w:rsidRPr="00120577">
        <w:rPr>
          <w:rStyle w:val="apple-converted-space"/>
          <w:szCs w:val="20"/>
        </w:rPr>
        <w:t> </w:t>
      </w:r>
      <w:r w:rsidRPr="00120577">
        <w:rPr>
          <w:szCs w:val="20"/>
          <w:u w:val="single"/>
        </w:rPr>
        <w:t>(</w:t>
      </w:r>
      <w:r w:rsidRPr="00120577">
        <w:rPr>
          <w:rStyle w:val="Emphasis"/>
        </w:rPr>
        <w:t>at some future date</w:t>
      </w:r>
      <w:r w:rsidRPr="00120577">
        <w:rPr>
          <w:szCs w:val="20"/>
          <w:u w:val="single"/>
        </w:rPr>
        <w:t xml:space="preserve">) makes superfluous the requirement that the visa </w:t>
      </w:r>
      <w:r w:rsidRPr="00120577">
        <w:rPr>
          <w:rStyle w:val="Emphasis"/>
        </w:rPr>
        <w:t>be </w:t>
      </w:r>
      <w:bookmarkStart w:id="12" w:name="ORIGHIT_11"/>
      <w:bookmarkStart w:id="13" w:name="HIT_11"/>
      <w:bookmarkEnd w:id="12"/>
      <w:bookmarkEnd w:id="13"/>
      <w:r w:rsidRPr="00120577">
        <w:rPr>
          <w:rStyle w:val="Emphasis"/>
        </w:rPr>
        <w:t>immediately available</w:t>
      </w:r>
      <w:r w:rsidRPr="00120577">
        <w:rPr>
          <w:rStyle w:val="hit"/>
          <w:bCs/>
          <w:szCs w:val="20"/>
        </w:rPr>
        <w:t>.</w:t>
      </w:r>
      <w:r w:rsidRPr="00120577">
        <w:rPr>
          <w:rStyle w:val="apple-converted-space"/>
          <w:szCs w:val="20"/>
        </w:rPr>
        <w:t> </w:t>
      </w:r>
      <w:r w:rsidRPr="00120577">
        <w:rPr>
          <w:color w:val="000000"/>
          <w:szCs w:val="20"/>
        </w:rPr>
        <w:t> [**7] </w:t>
      </w:r>
      <w:r w:rsidRPr="00120577">
        <w:rPr>
          <w:rStyle w:val="italic"/>
          <w:i/>
          <w:iCs/>
          <w:color w:val="000000"/>
          <w:szCs w:val="20"/>
        </w:rPr>
        <w:t>See</w:t>
      </w:r>
      <w:r w:rsidRPr="00120577">
        <w:rPr>
          <w:rStyle w:val="apple-converted-space"/>
          <w:i/>
          <w:iCs/>
          <w:szCs w:val="20"/>
        </w:rPr>
        <w:t> </w:t>
      </w:r>
      <w:hyperlink r:id="rId21" w:tgtFrame="_parent" w:history="1">
        <w:r w:rsidRPr="00120577">
          <w:rPr>
            <w:rStyle w:val="italic"/>
            <w:i/>
            <w:iCs/>
            <w:color w:val="3300CC"/>
            <w:szCs w:val="20"/>
          </w:rPr>
          <w:t>Alaska Dep't of Envtl. Conservation v. EPA</w:t>
        </w:r>
        <w:r w:rsidRPr="00120577">
          <w:rPr>
            <w:rStyle w:val="Hyperlink"/>
            <w:color w:val="3300CC"/>
            <w:szCs w:val="20"/>
          </w:rPr>
          <w:t>, 540 U.S. 461, 482 n.13, 124 S. Ct. 983, 157 L. Ed. 2d 967 (2004)</w:t>
        </w:r>
      </w:hyperlink>
      <w:r w:rsidRPr="00120577">
        <w:rPr>
          <w:rStyle w:val="apple-converted-space"/>
          <w:szCs w:val="20"/>
        </w:rPr>
        <w:t> </w:t>
      </w:r>
      <w:r w:rsidRPr="00120577">
        <w:rPr>
          <w:color w:val="000000"/>
          <w:szCs w:val="20"/>
        </w:rPr>
        <w:t xml:space="preserve">(discussing </w:t>
      </w:r>
      <w:r w:rsidRPr="00120577">
        <w:rPr>
          <w:color w:val="000000"/>
          <w:szCs w:val="20"/>
          <w:u w:val="single"/>
        </w:rPr>
        <w:t>the</w:t>
      </w:r>
      <w:r w:rsidRPr="00120577">
        <w:rPr>
          <w:rStyle w:val="apple-converted-space"/>
          <w:szCs w:val="20"/>
        </w:rPr>
        <w:t> </w:t>
      </w:r>
      <w:r w:rsidRPr="00120577">
        <w:rPr>
          <w:color w:val="000000"/>
          <w:szCs w:val="20"/>
          <w:u w:val="single"/>
        </w:rPr>
        <w:t xml:space="preserve"> "cardinal principle of statutory construction that a statute ought</w:t>
      </w:r>
      <w:r w:rsidRPr="00120577">
        <w:rPr>
          <w:color w:val="000000"/>
          <w:szCs w:val="20"/>
        </w:rPr>
        <w:t xml:space="preserve">, upon the whole, </w:t>
      </w:r>
      <w:r w:rsidRPr="00120577">
        <w:rPr>
          <w:color w:val="000000"/>
          <w:szCs w:val="20"/>
          <w:u w:val="single"/>
        </w:rPr>
        <w:t xml:space="preserve">to be so construed that, </w:t>
      </w:r>
      <w:r w:rsidRPr="00120577">
        <w:t>if it can be prevented,</w:t>
      </w:r>
      <w:r w:rsidRPr="00120577">
        <w:rPr>
          <w:color w:val="000000"/>
          <w:szCs w:val="20"/>
          <w:u w:val="single"/>
        </w:rPr>
        <w:t xml:space="preserve"> </w:t>
      </w:r>
      <w:r w:rsidRPr="00120577">
        <w:rPr>
          <w:rStyle w:val="Emphasis"/>
        </w:rPr>
        <w:t xml:space="preserve">no </w:t>
      </w:r>
      <w:r w:rsidRPr="00120577">
        <w:t>clause, sentence, or</w:t>
      </w:r>
      <w:r w:rsidRPr="00120577">
        <w:rPr>
          <w:color w:val="000000"/>
          <w:szCs w:val="20"/>
          <w:u w:val="single"/>
        </w:rPr>
        <w:t xml:space="preserve"> </w:t>
      </w:r>
      <w:r w:rsidRPr="00120577">
        <w:rPr>
          <w:rStyle w:val="Emphasis"/>
        </w:rPr>
        <w:t>word shall be superfluous,</w:t>
      </w:r>
      <w:r w:rsidRPr="00120577">
        <w:rPr>
          <w:color w:val="000000"/>
          <w:szCs w:val="20"/>
          <w:u w:val="single"/>
        </w:rPr>
        <w:t xml:space="preserve"> void, or </w:t>
      </w:r>
      <w:r w:rsidRPr="00120577">
        <w:rPr>
          <w:rStyle w:val="StyleUnderline"/>
        </w:rPr>
        <w:t>insignificant</w:t>
      </w:r>
      <w:r w:rsidRPr="00120577">
        <w:rPr>
          <w:color w:val="000000"/>
          <w:szCs w:val="20"/>
        </w:rPr>
        <w:t>") (internal quotation marks and citation omitted).</w:t>
      </w:r>
      <w:r w:rsidRPr="00120577">
        <w:rPr>
          <w:rStyle w:val="apple-converted-space"/>
          <w:szCs w:val="20"/>
        </w:rPr>
        <w:t> </w:t>
      </w:r>
      <w:bookmarkStart w:id="14" w:name="ref6"/>
      <w:r w:rsidRPr="00120577">
        <w:rPr>
          <w:color w:val="000000"/>
          <w:szCs w:val="20"/>
          <w:vertAlign w:val="superscript"/>
        </w:rPr>
        <w:fldChar w:fldCharType="begin"/>
      </w:r>
      <w:r w:rsidRPr="00120577">
        <w:rPr>
          <w:color w:val="000000"/>
          <w:szCs w:val="20"/>
          <w:vertAlign w:val="superscript"/>
        </w:rPr>
        <w:instrText xml:space="preserve"> HYPERLINK "http://www.lexisnexis.com.proxy.lib.umich.edu/lnacui2api/frame.do?reloadEntirePage=true&amp;rand=1299180011832&amp;returnToKey=20_T11383674962&amp;parent=docview&amp;target=results_DocumentContent&amp;tokenKey=rsh-20.93742.0396156291" \l "fnote6" </w:instrText>
      </w:r>
      <w:r w:rsidRPr="00120577">
        <w:rPr>
          <w:color w:val="000000"/>
          <w:szCs w:val="20"/>
          <w:vertAlign w:val="superscript"/>
        </w:rPr>
        <w:fldChar w:fldCharType="separate"/>
      </w:r>
      <w:r w:rsidRPr="00120577">
        <w:rPr>
          <w:rStyle w:val="blue"/>
          <w:color w:val="0000FF"/>
          <w:szCs w:val="16"/>
          <w:vertAlign w:val="superscript"/>
        </w:rPr>
        <w:t>5</w:t>
      </w:r>
      <w:r w:rsidRPr="00120577">
        <w:rPr>
          <w:color w:val="000000"/>
          <w:szCs w:val="20"/>
          <w:vertAlign w:val="superscript"/>
        </w:rPr>
        <w:fldChar w:fldCharType="end"/>
      </w:r>
      <w:bookmarkEnd w:id="14"/>
      <w:r w:rsidRPr="00120577">
        <w:rPr>
          <w:rStyle w:val="apple-converted-space"/>
          <w:szCs w:val="20"/>
        </w:rPr>
        <w:t> </w:t>
      </w:r>
      <w:r w:rsidRPr="00120577">
        <w:rPr>
          <w:color w:val="000000"/>
          <w:szCs w:val="20"/>
        </w:rPr>
        <w:t>Because the priority date for Oliveira's visa was not current at the time he filed his motion to reopen, the Board did not abuse its discretion in denying the motion.</w:t>
      </w:r>
    </w:p>
    <w:p w:rsidR="009A30F2" w:rsidRPr="009A30F2" w:rsidRDefault="009A30F2" w:rsidP="009A30F2"/>
    <w:p w:rsidR="00ED37D1" w:rsidRDefault="00ED37D1" w:rsidP="00AC491E">
      <w:pPr>
        <w:pStyle w:val="Heading3"/>
      </w:pPr>
      <w:r>
        <w:t>AT: Arbitrary</w:t>
      </w:r>
    </w:p>
    <w:p w:rsidR="00DE704F" w:rsidRDefault="00DE704F" w:rsidP="00DE704F">
      <w:pPr>
        <w:pStyle w:val="Heading4"/>
      </w:pPr>
      <w:r>
        <w:t>Even if it’s indefinite, substantially can still be given meaning by looking to contextual usage – it’s a good enough standard for courts</w:t>
      </w:r>
    </w:p>
    <w:p w:rsidR="00DE704F" w:rsidRDefault="00DE704F" w:rsidP="00DE704F">
      <w:pPr>
        <w:rPr>
          <w:rFonts w:asciiTheme="minorHAnsi" w:hAnsiTheme="minorHAnsi"/>
        </w:rPr>
      </w:pPr>
      <w:r w:rsidRPr="00DE704F">
        <w:rPr>
          <w:b/>
        </w:rPr>
        <w:t>Devinsky 2</w:t>
      </w:r>
      <w:r w:rsidRPr="00F97288">
        <w:rPr>
          <w:rFonts w:asciiTheme="minorHAnsi" w:hAnsiTheme="minorHAnsi"/>
        </w:rPr>
        <w:t xml:space="preserve"> </w:t>
      </w:r>
      <w:r>
        <w:rPr>
          <w:rFonts w:asciiTheme="minorHAnsi" w:hAnsiTheme="minorHAnsi"/>
        </w:rPr>
        <w:t xml:space="preserve">– patent attorney </w:t>
      </w:r>
      <w:r w:rsidRPr="00F97288">
        <w:rPr>
          <w:rFonts w:asciiTheme="minorHAnsi" w:hAnsiTheme="minorHAnsi"/>
        </w:rPr>
        <w:t xml:space="preserve">(Paul, “Is Claim "Substantially" Definite?  Ask Person of Skill in the Art”, IP Update, 5(11), November, </w:t>
      </w:r>
      <w:hyperlink r:id="rId22" w:history="1">
        <w:r w:rsidRPr="004671DD">
          <w:rPr>
            <w:rStyle w:val="Hyperlink"/>
            <w:rFonts w:asciiTheme="minorHAnsi" w:hAnsiTheme="minorHAnsi"/>
          </w:rPr>
          <w:t>https://www.mwe.com/en/thought-leadership/publications/2002/11/ip-update-volume-5-no-11-november-2002</w:t>
        </w:r>
      </w:hyperlink>
    </w:p>
    <w:p w:rsidR="00DE704F" w:rsidRPr="00F97288" w:rsidRDefault="00DE704F" w:rsidP="00DE704F">
      <w:pPr>
        <w:rPr>
          <w:rFonts w:asciiTheme="minorHAnsi" w:hAnsiTheme="minorHAnsi"/>
        </w:rPr>
      </w:pPr>
    </w:p>
    <w:p w:rsidR="00DE704F" w:rsidRPr="00F97288" w:rsidRDefault="00DE704F" w:rsidP="00DE704F">
      <w:pPr>
        <w:widowControl w:val="0"/>
        <w:rPr>
          <w:rFonts w:asciiTheme="minorHAnsi" w:hAnsiTheme="minorHAnsi"/>
          <w:color w:val="000000"/>
        </w:rPr>
      </w:pPr>
      <w:r w:rsidRPr="00F97288">
        <w:rPr>
          <w:rFonts w:asciiTheme="minorHAnsi" w:hAnsiTheme="minorHAnsi"/>
          <w:color w:val="000000"/>
        </w:rPr>
        <w:t>In reversing a summary judgment of invalidity,</w:t>
      </w:r>
      <w:r w:rsidRPr="00F97288">
        <w:rPr>
          <w:rStyle w:val="Style11ptBlack"/>
          <w:rFonts w:asciiTheme="minorHAnsi" w:hAnsiTheme="minorHAnsi"/>
        </w:rPr>
        <w:t xml:space="preserve"> </w:t>
      </w:r>
      <w:r w:rsidRPr="00CC0E1E">
        <w:rPr>
          <w:rStyle w:val="Style11ptBlackUnderline"/>
          <w:rFonts w:asciiTheme="minorHAnsi" w:hAnsiTheme="minorHAnsi"/>
          <w:highlight w:val="cyan"/>
        </w:rPr>
        <w:t>the U.S. Court of Appeals</w:t>
      </w:r>
      <w:r w:rsidRPr="00F97288">
        <w:rPr>
          <w:rStyle w:val="Style11ptBlack"/>
          <w:rFonts w:asciiTheme="minorHAnsi" w:hAnsiTheme="minorHAnsi"/>
        </w:rPr>
        <w:t xml:space="preserve"> </w:t>
      </w:r>
      <w:r w:rsidRPr="00F97288">
        <w:rPr>
          <w:rFonts w:asciiTheme="minorHAnsi" w:hAnsiTheme="minorHAnsi"/>
          <w:color w:val="000000"/>
        </w:rPr>
        <w:t>for the Federal Circuit</w:t>
      </w:r>
      <w:r w:rsidRPr="00F97288">
        <w:rPr>
          <w:rStyle w:val="Style11ptBlack"/>
          <w:rFonts w:asciiTheme="minorHAnsi" w:hAnsiTheme="minorHAnsi"/>
        </w:rPr>
        <w:t xml:space="preserve"> </w:t>
      </w:r>
      <w:r w:rsidRPr="00CC0E1E">
        <w:rPr>
          <w:rStyle w:val="Style11ptBlackUnderline"/>
          <w:rFonts w:asciiTheme="minorHAnsi" w:hAnsiTheme="minorHAnsi"/>
          <w:highlight w:val="cyan"/>
        </w:rPr>
        <w:t>found that the district court</w:t>
      </w:r>
      <w:r w:rsidRPr="00F97288">
        <w:rPr>
          <w:rStyle w:val="Style11ptBlackUnderline"/>
          <w:rFonts w:asciiTheme="minorHAnsi" w:hAnsiTheme="minorHAnsi"/>
        </w:rPr>
        <w:t>,</w:t>
      </w:r>
      <w:r w:rsidRPr="00F97288">
        <w:rPr>
          <w:rStyle w:val="Style11ptBlack"/>
          <w:rFonts w:asciiTheme="minorHAnsi" w:hAnsiTheme="minorHAnsi"/>
        </w:rPr>
        <w:t xml:space="preserve"> </w:t>
      </w:r>
      <w:r w:rsidRPr="00F97288">
        <w:rPr>
          <w:rFonts w:asciiTheme="minorHAnsi" w:hAnsiTheme="minorHAnsi"/>
          <w:color w:val="000000"/>
        </w:rPr>
        <w:t>by failing to look beyond the intrinsic claim construction evidence to consider what a person of skill in the art would understand in a "technologic context,"</w:t>
      </w:r>
      <w:r w:rsidRPr="00F97288">
        <w:rPr>
          <w:rStyle w:val="Style11ptBlack"/>
          <w:rFonts w:asciiTheme="minorHAnsi" w:hAnsiTheme="minorHAnsi"/>
        </w:rPr>
        <w:t xml:space="preserve"> </w:t>
      </w:r>
      <w:r w:rsidRPr="00CC0E1E">
        <w:rPr>
          <w:rStyle w:val="Emphasis"/>
          <w:rFonts w:asciiTheme="minorHAnsi" w:hAnsiTheme="minorHAnsi"/>
          <w:highlight w:val="cyan"/>
        </w:rPr>
        <w:t>erroneously concluded</w:t>
      </w:r>
      <w:r w:rsidRPr="00CC0E1E">
        <w:rPr>
          <w:rStyle w:val="Style11ptBlackUnderline"/>
          <w:rFonts w:asciiTheme="minorHAnsi" w:hAnsiTheme="minorHAnsi"/>
          <w:highlight w:val="cyan"/>
        </w:rPr>
        <w:t xml:space="preserve"> the term "substantially" made a claim fatally indefinite</w:t>
      </w:r>
      <w:r w:rsidRPr="00CC0E1E">
        <w:rPr>
          <w:rFonts w:asciiTheme="minorHAnsi" w:hAnsiTheme="minorHAnsi"/>
          <w:color w:val="000000"/>
          <w:highlight w:val="cyan"/>
          <w:u w:val="single"/>
        </w:rPr>
        <w:t>.</w:t>
      </w:r>
      <w:r w:rsidRPr="00F97288">
        <w:rPr>
          <w:rFonts w:asciiTheme="minorHAnsi" w:hAnsiTheme="minorHAnsi"/>
          <w:color w:val="000000"/>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F97288">
        <w:rPr>
          <w:rStyle w:val="Style11ptBlackUnderline"/>
          <w:rFonts w:asciiTheme="minorHAnsi" w:hAnsiTheme="minorHAnsi"/>
        </w:rPr>
        <w:t>the Federal Circuit instructed that "</w:t>
      </w:r>
      <w:r w:rsidRPr="00CC0E1E">
        <w:rPr>
          <w:rStyle w:val="Style11ptBlackUnderline"/>
          <w:rFonts w:asciiTheme="minorHAnsi" w:hAnsiTheme="minorHAnsi"/>
          <w:highlight w:val="cyan"/>
        </w:rPr>
        <w:t>resolution of</w:t>
      </w:r>
      <w:r w:rsidRPr="00F97288">
        <w:rPr>
          <w:rStyle w:val="Style11ptBlackUnderline"/>
          <w:rFonts w:asciiTheme="minorHAnsi" w:hAnsiTheme="minorHAnsi"/>
        </w:rPr>
        <w:t xml:space="preserve"> any </w:t>
      </w:r>
      <w:r w:rsidRPr="00CC0E1E">
        <w:rPr>
          <w:rStyle w:val="Style11ptBlackUnderline"/>
          <w:rFonts w:asciiTheme="minorHAnsi" w:hAnsiTheme="minorHAnsi"/>
          <w:highlight w:val="cyan"/>
        </w:rPr>
        <w:t>ambiguity</w:t>
      </w:r>
      <w:r w:rsidRPr="00F97288">
        <w:rPr>
          <w:rStyle w:val="Style11ptBlack"/>
          <w:rFonts w:asciiTheme="minorHAnsi" w:hAnsiTheme="minorHAnsi"/>
        </w:rPr>
        <w:t xml:space="preserve"> </w:t>
      </w:r>
      <w:r w:rsidRPr="00F97288">
        <w:rPr>
          <w:rFonts w:asciiTheme="minorHAnsi" w:hAnsiTheme="minorHAnsi"/>
          <w:color w:val="000000"/>
        </w:rPr>
        <w:t>arising from the claims and specification</w:t>
      </w:r>
      <w:r w:rsidRPr="00F97288">
        <w:rPr>
          <w:rStyle w:val="Style11ptBlack"/>
          <w:rFonts w:asciiTheme="minorHAnsi" w:hAnsiTheme="minorHAnsi"/>
        </w:rPr>
        <w:t xml:space="preserve"> </w:t>
      </w:r>
      <w:r w:rsidRPr="00CC0E1E">
        <w:rPr>
          <w:rStyle w:val="Style11ptBlackUnderline"/>
          <w:rFonts w:asciiTheme="minorHAnsi" w:hAnsiTheme="minorHAnsi"/>
          <w:highlight w:val="cyan"/>
        </w:rPr>
        <w:t>may be aided by</w:t>
      </w:r>
      <w:r w:rsidRPr="00F97288">
        <w:rPr>
          <w:rStyle w:val="Style11ptBlack"/>
          <w:rFonts w:asciiTheme="minorHAnsi" w:hAnsiTheme="minorHAnsi"/>
        </w:rPr>
        <w:t xml:space="preserve"> </w:t>
      </w:r>
      <w:r w:rsidRPr="00F97288">
        <w:rPr>
          <w:rFonts w:asciiTheme="minorHAnsi" w:hAnsiTheme="minorHAnsi"/>
          <w:color w:val="000000"/>
        </w:rPr>
        <w:t>extrinsic</w:t>
      </w:r>
      <w:r w:rsidRPr="00F97288">
        <w:rPr>
          <w:rStyle w:val="Style11ptBlack"/>
          <w:rFonts w:asciiTheme="minorHAnsi" w:hAnsiTheme="minorHAnsi"/>
        </w:rPr>
        <w:t xml:space="preserve"> </w:t>
      </w:r>
      <w:r w:rsidRPr="00CC0E1E">
        <w:rPr>
          <w:rStyle w:val="Style11ptBlackUnderline"/>
          <w:rFonts w:asciiTheme="minorHAnsi" w:hAnsiTheme="minorHAnsi"/>
          <w:highlight w:val="cyan"/>
        </w:rPr>
        <w:t>evidence of usage</w:t>
      </w:r>
      <w:r w:rsidRPr="00F97288">
        <w:rPr>
          <w:rStyle w:val="Style11ptBlack"/>
          <w:rFonts w:asciiTheme="minorHAnsi" w:hAnsiTheme="minorHAnsi"/>
        </w:rPr>
        <w:t xml:space="preserve"> </w:t>
      </w:r>
      <w:r w:rsidRPr="00F97288">
        <w:rPr>
          <w:rFonts w:asciiTheme="minorHAnsi" w:hAnsiTheme="minorHAnsi"/>
          <w:color w:val="000000"/>
        </w:rPr>
        <w:t>and meaning of a term in the context of the invention."  The Federal Circuit remanded the case to the district court with instruction that</w:t>
      </w:r>
      <w:r w:rsidRPr="00F97288">
        <w:rPr>
          <w:rStyle w:val="Style11ptBlack"/>
          <w:rFonts w:asciiTheme="minorHAnsi" w:hAnsiTheme="minorHAnsi"/>
        </w:rPr>
        <w:t xml:space="preserve"> </w:t>
      </w:r>
      <w:r w:rsidRPr="00F97288">
        <w:rPr>
          <w:rStyle w:val="Style11ptBlackUnderline"/>
          <w:rFonts w:asciiTheme="minorHAnsi" w:hAnsiTheme="minorHAnsi"/>
        </w:rPr>
        <w:t>"[</w:t>
      </w:r>
      <w:r w:rsidRPr="00CC0E1E">
        <w:rPr>
          <w:rStyle w:val="Style11ptBlackUnderline"/>
          <w:rFonts w:asciiTheme="minorHAnsi" w:hAnsiTheme="minorHAnsi"/>
          <w:highlight w:val="cyan"/>
        </w:rPr>
        <w:t>t]he question is not whether the word 'substantially' has a fixed meaning</w:t>
      </w:r>
      <w:r w:rsidRPr="00F97288">
        <w:rPr>
          <w:rStyle w:val="Style11ptBlack"/>
          <w:rFonts w:asciiTheme="minorHAnsi" w:hAnsiTheme="minorHAnsi"/>
        </w:rPr>
        <w:t xml:space="preserve"> </w:t>
      </w:r>
      <w:r w:rsidRPr="00F97288">
        <w:rPr>
          <w:rFonts w:asciiTheme="minorHAnsi" w:hAnsiTheme="minorHAnsi"/>
          <w:color w:val="000000"/>
        </w:rPr>
        <w:t>as applied to 'constant wall thickness,'</w:t>
      </w:r>
      <w:r w:rsidRPr="00F97288">
        <w:rPr>
          <w:rStyle w:val="Style11ptBlack"/>
          <w:rFonts w:asciiTheme="minorHAnsi" w:hAnsiTheme="minorHAnsi"/>
        </w:rPr>
        <w:t xml:space="preserve"> </w:t>
      </w:r>
      <w:r w:rsidRPr="00CC0E1E">
        <w:rPr>
          <w:rStyle w:val="Style11ptBlackUnderline"/>
          <w:rFonts w:asciiTheme="minorHAnsi" w:hAnsiTheme="minorHAnsi"/>
          <w:highlight w:val="cyan"/>
        </w:rPr>
        <w:t>but how the phrase would be understood by persons experienced in this field</w:t>
      </w:r>
      <w:r w:rsidRPr="00F97288">
        <w:rPr>
          <w:rStyle w:val="Style11ptBlack"/>
          <w:rFonts w:asciiTheme="minorHAnsi" w:hAnsiTheme="minorHAnsi"/>
        </w:rPr>
        <w:t xml:space="preserve"> </w:t>
      </w:r>
      <w:r w:rsidRPr="00F97288">
        <w:rPr>
          <w:rFonts w:asciiTheme="minorHAnsi" w:hAnsiTheme="minorHAnsi"/>
          <w:color w:val="000000"/>
        </w:rPr>
        <w:t>of mechanics, upon reading the patent documents."</w:t>
      </w:r>
    </w:p>
    <w:p w:rsidR="00DE704F" w:rsidRPr="00ED37D1" w:rsidRDefault="00DE704F" w:rsidP="00ED37D1"/>
    <w:p w:rsidR="00ED37D1" w:rsidRDefault="00ED37D1" w:rsidP="00EA0A90">
      <w:pPr>
        <w:pStyle w:val="Heading3"/>
      </w:pPr>
      <w:r>
        <w:t>AT: Precision</w:t>
      </w:r>
    </w:p>
    <w:p w:rsidR="00AC491E" w:rsidRPr="00F40E79" w:rsidRDefault="00AC491E" w:rsidP="00AC491E">
      <w:pPr>
        <w:pStyle w:val="Heading4"/>
      </w:pPr>
      <w:r>
        <w:t xml:space="preserve">Even though there’s not a clear brightline for what constitutes ‘large’ – make a gut check.  If the aff is a small subset, they’re probably not substantial.  The word might not be precise but it still has to be given effect </w:t>
      </w:r>
    </w:p>
    <w:p w:rsidR="00AC491E" w:rsidRPr="005531F7" w:rsidRDefault="00AC491E" w:rsidP="00AC491E">
      <w:pPr>
        <w:rPr>
          <w:color w:val="000000"/>
        </w:rPr>
      </w:pPr>
      <w:r>
        <w:rPr>
          <w:b/>
          <w:color w:val="000000"/>
        </w:rPr>
        <w:t xml:space="preserve">Hartmann </w:t>
      </w:r>
      <w:r w:rsidRPr="005531F7">
        <w:rPr>
          <w:b/>
          <w:color w:val="000000"/>
        </w:rPr>
        <w:t xml:space="preserve">7 </w:t>
      </w:r>
      <w:r w:rsidRPr="005531F7">
        <w:rPr>
          <w:color w:val="000000"/>
        </w:rPr>
        <w:t xml:space="preserve">– Judge, Hong Kong (IN THE HIGH COURT OF THE HONG KONG SPECIAL ADMINISTRATIVE REGION COURT OF FIRST INSTANCE, 8/20, http://legalref.judiciary.gov.hk/lrs/common/ju/ju_frame.jsp?DIS=58463&amp;currpage=T </w:t>
      </w:r>
    </w:p>
    <w:p w:rsidR="00AC491E" w:rsidRPr="005531F7" w:rsidRDefault="00AC491E" w:rsidP="00AC491E">
      <w:pPr>
        <w:rPr>
          <w:color w:val="000000"/>
        </w:rPr>
      </w:pPr>
    </w:p>
    <w:p w:rsidR="00AC491E" w:rsidRPr="00030600" w:rsidRDefault="00AC491E" w:rsidP="00AC491E">
      <w:pPr>
        <w:rPr>
          <w:color w:val="000000"/>
          <w:sz w:val="16"/>
        </w:rPr>
      </w:pPr>
      <w:r w:rsidRPr="005531F7">
        <w:rPr>
          <w:color w:val="000000"/>
          <w:u w:val="single"/>
        </w:rPr>
        <w:t> </w:t>
      </w:r>
      <w:r w:rsidRPr="00F97288">
        <w:rPr>
          <w:color w:val="000000"/>
          <w:highlight w:val="cyan"/>
          <w:u w:val="single"/>
        </w:rPr>
        <w:t>The word ‘substantial’ is not</w:t>
      </w:r>
      <w:r w:rsidRPr="005531F7">
        <w:rPr>
          <w:color w:val="000000"/>
          <w:u w:val="single"/>
        </w:rPr>
        <w:t xml:space="preserve"> a technical term nor is it </w:t>
      </w:r>
      <w:r w:rsidRPr="00F97288">
        <w:rPr>
          <w:color w:val="000000"/>
          <w:highlight w:val="cyan"/>
          <w:u w:val="single"/>
        </w:rPr>
        <w:t>a word that lends itself to a precise measurement</w:t>
      </w:r>
      <w:r w:rsidRPr="00030600">
        <w:rPr>
          <w:color w:val="000000"/>
          <w:sz w:val="16"/>
        </w:rPr>
        <w:t>.  In an earlier judgment on this issue, that of S. v. S. [2006] 3 HKLRD 251, I said that it is not a word —</w:t>
      </w:r>
    </w:p>
    <w:p w:rsidR="00AC491E" w:rsidRPr="00F40E79" w:rsidRDefault="00AC491E" w:rsidP="00AC491E">
      <w:pPr>
        <w:rPr>
          <w:color w:val="000000"/>
          <w:sz w:val="16"/>
        </w:rPr>
      </w:pPr>
      <w:r w:rsidRPr="00030600">
        <w:rPr>
          <w:color w:val="000000"/>
          <w:sz w:val="16"/>
        </w:rPr>
        <w:t>“… that lends itself to precise definition or from which precise deductions can be drawn.  </w:t>
      </w:r>
      <w:r w:rsidRPr="00F97288">
        <w:rPr>
          <w:color w:val="000000"/>
          <w:highlight w:val="cyan"/>
          <w:u w:val="single"/>
        </w:rPr>
        <w:t>To say</w:t>
      </w:r>
      <w:r w:rsidRPr="00030600">
        <w:rPr>
          <w:color w:val="000000"/>
          <w:sz w:val="16"/>
        </w:rPr>
        <w:t xml:space="preserve">, for example, </w:t>
      </w:r>
      <w:r w:rsidRPr="00F97288">
        <w:rPr>
          <w:color w:val="000000"/>
          <w:highlight w:val="cyan"/>
          <w:u w:val="single"/>
        </w:rPr>
        <w:t>that ‘there has been a substantial increase</w:t>
      </w:r>
      <w:r w:rsidRPr="005531F7">
        <w:rPr>
          <w:color w:val="000000"/>
          <w:u w:val="single"/>
        </w:rPr>
        <w:t xml:space="preserve"> in expenditure’ does not of itself allow for a calculation</w:t>
      </w:r>
      <w:r w:rsidRPr="00030600">
        <w:rPr>
          <w:color w:val="000000"/>
          <w:sz w:val="16"/>
        </w:rPr>
        <w:t xml:space="preserve"> in numerative terms </w:t>
      </w:r>
      <w:r w:rsidRPr="005531F7">
        <w:rPr>
          <w:color w:val="000000"/>
          <w:u w:val="single"/>
        </w:rPr>
        <w:t xml:space="preserve">of the exact increase.  It </w:t>
      </w:r>
      <w:r w:rsidRPr="00F97288">
        <w:rPr>
          <w:color w:val="000000"/>
          <w:highlight w:val="cyan"/>
          <w:u w:val="single"/>
        </w:rPr>
        <w:t>is a statement to the effect that it is certainly more than a little but less than great.  It defines,</w:t>
      </w:r>
      <w:r w:rsidRPr="005531F7">
        <w:rPr>
          <w:color w:val="000000"/>
          <w:u w:val="single"/>
        </w:rPr>
        <w:t xml:space="preserve"> however, </w:t>
      </w:r>
      <w:r w:rsidRPr="00F97288">
        <w:rPr>
          <w:color w:val="000000"/>
          <w:highlight w:val="cyan"/>
          <w:u w:val="single"/>
        </w:rPr>
        <w:t>a significant increase, one that is weighty or sizeable</w:t>
      </w:r>
      <w:r w:rsidRPr="00030600">
        <w:rPr>
          <w:color w:val="000000"/>
          <w:sz w:val="16"/>
        </w:rPr>
        <w:t>.”</w:t>
      </w:r>
    </w:p>
    <w:p w:rsidR="00ED37D1" w:rsidRPr="006D71DE" w:rsidRDefault="00ED37D1" w:rsidP="00ED37D1">
      <w:pPr>
        <w:rPr>
          <w:rFonts w:asciiTheme="minorHAnsi" w:hAnsiTheme="minorHAnsi" w:cstheme="minorHAnsi"/>
        </w:rPr>
      </w:pPr>
    </w:p>
    <w:p w:rsidR="007F5B18" w:rsidRDefault="007F5B18" w:rsidP="007F5B18">
      <w:pPr>
        <w:pStyle w:val="Heading3"/>
      </w:pPr>
      <w:r>
        <w:t>Substantially = 10%</w:t>
      </w:r>
    </w:p>
    <w:p w:rsidR="007F5B18" w:rsidRDefault="007F5B18" w:rsidP="007F5B18"/>
    <w:p w:rsidR="00DE704F" w:rsidRPr="00B066E4" w:rsidRDefault="00DE704F" w:rsidP="00DE704F">
      <w:pPr>
        <w:pStyle w:val="Heading4"/>
      </w:pPr>
      <w:r>
        <w:t>Substantially refers to at least a 10% change in numbers</w:t>
      </w:r>
    </w:p>
    <w:p w:rsidR="00DE704F" w:rsidRPr="00B066E4" w:rsidRDefault="00DE704F" w:rsidP="00DE704F">
      <w:pPr>
        <w:rPr>
          <w:rStyle w:val="apple-style-span"/>
          <w:szCs w:val="15"/>
        </w:rPr>
      </w:pPr>
      <w:r w:rsidRPr="00B066E4">
        <w:rPr>
          <w:b/>
        </w:rPr>
        <w:t xml:space="preserve">Scherer, 1 – </w:t>
      </w:r>
      <w:r w:rsidRPr="00B066E4">
        <w:t>professor of economics at</w:t>
      </w:r>
      <w:r w:rsidRPr="00B066E4">
        <w:rPr>
          <w:b/>
        </w:rPr>
        <w:t xml:space="preserve"> </w:t>
      </w:r>
      <w:r w:rsidRPr="00B066E4">
        <w:t>Harvard University (F.M., “</w:t>
      </w:r>
      <w:r w:rsidRPr="00B066E4">
        <w:rPr>
          <w:szCs w:val="23"/>
        </w:rPr>
        <w:t xml:space="preserve">U.S. Government Programs to Advance Technology,”  </w:t>
      </w:r>
      <w:r w:rsidRPr="00B066E4">
        <w:rPr>
          <w:rStyle w:val="apple-style-span"/>
          <w:szCs w:val="15"/>
        </w:rPr>
        <w:t>Revue d'économie industrielle Year 2001, Volume   94  </w:t>
      </w:r>
      <w:r w:rsidRPr="00B066E4">
        <w:rPr>
          <w:rStyle w:val="apple-converted-space"/>
          <w:szCs w:val="15"/>
        </w:rPr>
        <w:t>  </w:t>
      </w:r>
      <w:hyperlink r:id="rId23" w:history="1">
        <w:r w:rsidRPr="00B066E4">
          <w:rPr>
            <w:rStyle w:val="Hyperlink"/>
            <w:szCs w:val="15"/>
          </w:rPr>
          <w:t>Issue   94</w:t>
        </w:r>
      </w:hyperlink>
      <w:r w:rsidRPr="00B066E4">
        <w:rPr>
          <w:rStyle w:val="apple-converted-space"/>
          <w:szCs w:val="15"/>
        </w:rPr>
        <w:t> </w:t>
      </w:r>
      <w:r w:rsidRPr="00B066E4">
        <w:rPr>
          <w:rStyle w:val="apple-style-span"/>
          <w:szCs w:val="15"/>
        </w:rPr>
        <w:t> </w:t>
      </w:r>
      <w:r w:rsidRPr="00B066E4">
        <w:rPr>
          <w:rStyle w:val="apple-converted-space"/>
          <w:szCs w:val="15"/>
        </w:rPr>
        <w:t>  </w:t>
      </w:r>
      <w:r w:rsidRPr="00B066E4">
        <w:rPr>
          <w:rStyle w:val="apple-style-span"/>
          <w:szCs w:val="15"/>
        </w:rPr>
        <w:t xml:space="preserve">pp. 69-88, </w:t>
      </w:r>
      <w:hyperlink r:id="rId24" w:history="1">
        <w:r w:rsidRPr="00B066E4">
          <w:rPr>
            <w:rStyle w:val="Hyperlink"/>
          </w:rPr>
          <w:t>http://www.persee.fr/web/revues/home/prescript/article/rei_0154-3229_2001_num_94_1_1781</w:t>
        </w:r>
      </w:hyperlink>
      <w:r w:rsidRPr="00B066E4">
        <w:rPr>
          <w:rStyle w:val="apple-style-span"/>
          <w:szCs w:val="15"/>
        </w:rPr>
        <w:t>)</w:t>
      </w:r>
    </w:p>
    <w:p w:rsidR="00DE704F" w:rsidRPr="00B066E4" w:rsidRDefault="00DE704F" w:rsidP="00DE704F">
      <w:pPr>
        <w:rPr>
          <w:rStyle w:val="apple-style-span"/>
          <w:szCs w:val="15"/>
        </w:rPr>
      </w:pPr>
    </w:p>
    <w:p w:rsidR="00DE704F" w:rsidRPr="00DE704F" w:rsidRDefault="00DE704F" w:rsidP="007F5B18">
      <w:pPr>
        <w:rPr>
          <w:szCs w:val="15"/>
        </w:rPr>
      </w:pPr>
      <w:r w:rsidRPr="00B066E4">
        <w:t xml:space="preserve">Figure 3 traces trends in the number of scientists and engineers who received permanent visas to remain for work in the United States (8). The number has waxed and waned over years, mostly in response to changes in U.S. immigration law. </w:t>
      </w:r>
      <w:r w:rsidRPr="00ED37D1">
        <w:rPr>
          <w:highlight w:val="cyan"/>
          <w:u w:val="single"/>
        </w:rPr>
        <w:t>The</w:t>
      </w:r>
      <w:r w:rsidRPr="00B066E4">
        <w:rPr>
          <w:u w:val="single"/>
        </w:rPr>
        <w:t xml:space="preserve"> nearly 20,000 </w:t>
      </w:r>
      <w:r w:rsidRPr="00ED37D1">
        <w:rPr>
          <w:highlight w:val="cyan"/>
          <w:u w:val="single"/>
        </w:rPr>
        <w:t>individuals</w:t>
      </w:r>
      <w:r w:rsidRPr="00B066E4">
        <w:rPr>
          <w:u w:val="single"/>
        </w:rPr>
        <w:t xml:space="preserve"> </w:t>
      </w:r>
      <w:r w:rsidRPr="00ED37D1">
        <w:rPr>
          <w:highlight w:val="cyan"/>
          <w:u w:val="single"/>
        </w:rPr>
        <w:t>receiving</w:t>
      </w:r>
      <w:r w:rsidRPr="00B066E4">
        <w:rPr>
          <w:u w:val="single"/>
        </w:rPr>
        <w:t xml:space="preserve"> permanent</w:t>
      </w:r>
      <w:r w:rsidRPr="00ED37D1">
        <w:rPr>
          <w:highlight w:val="cyan"/>
          <w:u w:val="single"/>
        </w:rPr>
        <w:t xml:space="preserve"> </w:t>
      </w:r>
      <w:r w:rsidRPr="00ED37D1">
        <w:rPr>
          <w:szCs w:val="29"/>
          <w:highlight w:val="cyan"/>
          <w:u w:val="single"/>
        </w:rPr>
        <w:t>visas</w:t>
      </w:r>
      <w:r w:rsidRPr="00B066E4">
        <w:rPr>
          <w:szCs w:val="29"/>
        </w:rPr>
        <w:t xml:space="preserve"> </w:t>
      </w:r>
      <w:r w:rsidRPr="00B066E4">
        <w:t xml:space="preserve">in 1995 </w:t>
      </w:r>
      <w:r w:rsidRPr="00ED37D1">
        <w:rPr>
          <w:highlight w:val="cyan"/>
          <w:u w:val="single"/>
        </w:rPr>
        <w:t>augmented the flow</w:t>
      </w:r>
      <w:r w:rsidRPr="00B066E4">
        <w:t xml:space="preserve"> of students from domestic bachelor's degree programs in scien</w:t>
      </w:r>
      <w:r w:rsidRPr="00B066E4">
        <w:rPr>
          <w:szCs w:val="32"/>
        </w:rPr>
        <w:t xml:space="preserve">ce and engineering </w:t>
      </w:r>
      <w:r w:rsidRPr="00ED37D1">
        <w:rPr>
          <w:rFonts w:cs="Arial"/>
          <w:szCs w:val="29"/>
          <w:highlight w:val="cyan"/>
          <w:u w:val="single"/>
        </w:rPr>
        <w:t>by</w:t>
      </w:r>
      <w:r w:rsidRPr="00B066E4">
        <w:rPr>
          <w:rFonts w:cs="Arial"/>
          <w:szCs w:val="29"/>
        </w:rPr>
        <w:t xml:space="preserve"> </w:t>
      </w:r>
      <w:r w:rsidRPr="00B066E4">
        <w:rPr>
          <w:szCs w:val="32"/>
        </w:rPr>
        <w:t xml:space="preserve">approximately </w:t>
      </w:r>
      <w:r w:rsidRPr="00ED37D1">
        <w:rPr>
          <w:szCs w:val="32"/>
          <w:highlight w:val="cyan"/>
          <w:u w:val="single"/>
        </w:rPr>
        <w:t>ten percent</w:t>
      </w:r>
      <w:r w:rsidRPr="00B066E4">
        <w:rPr>
          <w:szCs w:val="32"/>
          <w:u w:val="single"/>
        </w:rPr>
        <w:t xml:space="preserve"> - </w:t>
      </w:r>
      <w:r w:rsidRPr="00B066E4">
        <w:rPr>
          <w:u w:val="single"/>
        </w:rPr>
        <w:t xml:space="preserve">a </w:t>
      </w:r>
      <w:r w:rsidRPr="00B066E4">
        <w:rPr>
          <w:szCs w:val="32"/>
          <w:u w:val="single"/>
        </w:rPr>
        <w:t xml:space="preserve">not insignificant </w:t>
      </w:r>
      <w:r w:rsidRPr="00B066E4">
        <w:rPr>
          <w:u w:val="single"/>
        </w:rPr>
        <w:t>contribution</w:t>
      </w:r>
      <w:r w:rsidRPr="00B066E4">
        <w:t>.</w:t>
      </w:r>
      <w:r w:rsidRPr="00B066E4">
        <w:rPr>
          <w:szCs w:val="29"/>
        </w:rPr>
        <w:t xml:space="preserve"> </w:t>
      </w:r>
      <w:r w:rsidRPr="00B066E4">
        <w:rPr>
          <w:szCs w:val="29"/>
          <w:u w:val="single"/>
        </w:rPr>
        <w:t xml:space="preserve">Updating </w:t>
      </w:r>
      <w:r w:rsidRPr="00B066E4">
        <w:rPr>
          <w:szCs w:val="29"/>
        </w:rPr>
        <w:t xml:space="preserve">of Figure 7 </w:t>
      </w:r>
      <w:r w:rsidRPr="00B066E4">
        <w:rPr>
          <w:szCs w:val="29"/>
          <w:u w:val="single"/>
        </w:rPr>
        <w:t>would</w:t>
      </w:r>
      <w:r w:rsidRPr="00B066E4">
        <w:rPr>
          <w:szCs w:val="29"/>
        </w:rPr>
        <w:t xml:space="preserve"> probably </w:t>
      </w:r>
      <w:r w:rsidRPr="00B066E4">
        <w:rPr>
          <w:szCs w:val="29"/>
          <w:u w:val="single"/>
        </w:rPr>
        <w:t xml:space="preserve">show </w:t>
      </w:r>
      <w:r w:rsidRPr="00ED37D1">
        <w:rPr>
          <w:szCs w:val="29"/>
          <w:highlight w:val="cyan"/>
          <w:u w:val="single"/>
        </w:rPr>
        <w:t xml:space="preserve">a substantial increase in the </w:t>
      </w:r>
      <w:r w:rsidRPr="00ED37D1">
        <w:rPr>
          <w:szCs w:val="32"/>
          <w:highlight w:val="cyan"/>
          <w:u w:val="single"/>
        </w:rPr>
        <w:t>number of visas</w:t>
      </w:r>
      <w:r w:rsidRPr="00B066E4">
        <w:rPr>
          <w:szCs w:val="32"/>
          <w:u w:val="single"/>
        </w:rPr>
        <w:t xml:space="preserve"> received </w:t>
      </w:r>
      <w:r w:rsidRPr="00B066E4">
        <w:rPr>
          <w:rFonts w:cs="Arial"/>
          <w:szCs w:val="30"/>
          <w:u w:val="single"/>
        </w:rPr>
        <w:t xml:space="preserve">by </w:t>
      </w:r>
      <w:r w:rsidRPr="00B066E4">
        <w:rPr>
          <w:szCs w:val="32"/>
          <w:u w:val="single"/>
        </w:rPr>
        <w:t>foreign scientists and engineers</w:t>
      </w:r>
      <w:r w:rsidRPr="00B066E4">
        <w:rPr>
          <w:szCs w:val="32"/>
        </w:rPr>
        <w:t>. The number of H</w:t>
      </w:r>
      <w:r w:rsidRPr="00B066E4">
        <w:rPr>
          <w:szCs w:val="29"/>
        </w:rPr>
        <w:t xml:space="preserve">1B </w:t>
      </w:r>
      <w:r w:rsidRPr="00B066E4">
        <w:rPr>
          <w:szCs w:val="32"/>
        </w:rPr>
        <w:t xml:space="preserve">visas </w:t>
      </w:r>
      <w:r w:rsidRPr="00B066E4">
        <w:rPr>
          <w:szCs w:val="29"/>
        </w:rPr>
        <w:t xml:space="preserve">reserved for highly qualified workers was increased </w:t>
      </w:r>
      <w:r w:rsidRPr="00B066E4">
        <w:rPr>
          <w:rFonts w:cs="Arial"/>
          <w:szCs w:val="30"/>
        </w:rPr>
        <w:t xml:space="preserve">by </w:t>
      </w:r>
      <w:r w:rsidRPr="00B066E4">
        <w:rPr>
          <w:szCs w:val="29"/>
        </w:rPr>
        <w:t xml:space="preserve">the U.S. </w:t>
      </w:r>
      <w:r w:rsidRPr="00B066E4">
        <w:rPr>
          <w:rFonts w:cs="Arial"/>
          <w:szCs w:val="28"/>
        </w:rPr>
        <w:t xml:space="preserve">Congress from 65,000 to 115,000 per year in 1998. The demand for high-skill </w:t>
      </w:r>
      <w:r w:rsidRPr="00B066E4">
        <w:rPr>
          <w:szCs w:val="32"/>
        </w:rPr>
        <w:t xml:space="preserve">workers was so great, especially from software development firms, that the supply </w:t>
      </w:r>
      <w:r w:rsidRPr="00B066E4">
        <w:rPr>
          <w:szCs w:val="33"/>
        </w:rPr>
        <w:t xml:space="preserve">of </w:t>
      </w:r>
      <w:r w:rsidRPr="00B066E4">
        <w:rPr>
          <w:szCs w:val="32"/>
        </w:rPr>
        <w:t xml:space="preserve">H-1B </w:t>
      </w:r>
      <w:r w:rsidRPr="00B066E4">
        <w:rPr>
          <w:szCs w:val="33"/>
        </w:rPr>
        <w:t xml:space="preserve">for fiscal </w:t>
      </w:r>
      <w:r w:rsidRPr="00B066E4">
        <w:rPr>
          <w:szCs w:val="32"/>
        </w:rPr>
        <w:t>year 1999 had already been exhausted in June of 1999.</w:t>
      </w:r>
    </w:p>
    <w:p w:rsidR="007F5B18" w:rsidRPr="00B066E4" w:rsidRDefault="007F5B18" w:rsidP="007F5B18">
      <w:pPr>
        <w:pStyle w:val="Heading4"/>
      </w:pPr>
      <w:r>
        <w:t>A substantial change in immigration numbers is 10%</w:t>
      </w:r>
    </w:p>
    <w:p w:rsidR="007F5B18" w:rsidRDefault="007F5B18" w:rsidP="007F5B18">
      <w:pPr>
        <w:rPr>
          <w:rStyle w:val="Hyperlink"/>
        </w:rPr>
      </w:pPr>
      <w:r w:rsidRPr="00B066E4">
        <w:rPr>
          <w:b/>
        </w:rPr>
        <w:t>Jaeger, 6</w:t>
      </w:r>
      <w:r w:rsidRPr="00B066E4">
        <w:t xml:space="preserve"> – Professor of Economics at William and Mary (David, “Green Cards and the Location Choices of Immigrants in the United States, 1971-2000,” May, </w:t>
      </w:r>
      <w:hyperlink r:id="rId25" w:history="1">
        <w:r w:rsidR="004C017B" w:rsidRPr="004671DD">
          <w:rPr>
            <w:rStyle w:val="Hyperlink"/>
          </w:rPr>
          <w:t>http://www.djaeger.org/research/pubs/rle2007.pdf</w:t>
        </w:r>
      </w:hyperlink>
    </w:p>
    <w:p w:rsidR="004C017B" w:rsidRPr="00B066E4" w:rsidRDefault="004C017B" w:rsidP="007F5B18"/>
    <w:p w:rsidR="007F5B18" w:rsidRPr="00B066E4" w:rsidRDefault="007F5B18" w:rsidP="007F5B18">
      <w:pPr>
        <w:rPr>
          <w:rFonts w:eastAsia="Times New Roman"/>
          <w:szCs w:val="24"/>
        </w:rPr>
      </w:pPr>
      <w:r w:rsidRPr="00B066E4">
        <w:rPr>
          <w:rFonts w:eastAsia="Times New Roman"/>
          <w:szCs w:val="24"/>
        </w:rPr>
        <w:t xml:space="preserve">Figure 2 presents the share of each green card group in total immigrant admissions from 1971 to 2000. Immediate relatives of U.S. citizens, who are not subject to quota limitations, are always the largest group, with a share that has been generally increasing from around 25 percent in the early 1970s to around 40 percent in the late 1990s and 2000. The number of other relatives of U.S. citizens, which is subject to a quota, has fluctuated somewhat, but has usually remained between 12 and 18 percent of the total. Not surprisingly, given the increasing number of green card holders, </w:t>
      </w:r>
      <w:r w:rsidRPr="00ED37D1">
        <w:rPr>
          <w:rFonts w:eastAsia="Times New Roman"/>
          <w:szCs w:val="24"/>
          <w:highlight w:val="cyan"/>
          <w:u w:val="single"/>
        </w:rPr>
        <w:t>the share of relatives of legal permanent residents increased</w:t>
      </w:r>
      <w:r w:rsidRPr="00B066E4">
        <w:t xml:space="preserve"> fairly</w:t>
      </w:r>
      <w:r w:rsidRPr="00B066E4">
        <w:rPr>
          <w:rFonts w:eastAsia="Times New Roman"/>
          <w:szCs w:val="24"/>
          <w:u w:val="single"/>
        </w:rPr>
        <w:t xml:space="preserve"> </w:t>
      </w:r>
      <w:r w:rsidRPr="00ED37D1">
        <w:rPr>
          <w:rFonts w:eastAsia="Times New Roman"/>
          <w:szCs w:val="24"/>
          <w:highlight w:val="cyan"/>
          <w:u w:val="single"/>
        </w:rPr>
        <w:t>substantially from</w:t>
      </w:r>
      <w:r w:rsidRPr="00B066E4">
        <w:rPr>
          <w:rFonts w:eastAsia="Times New Roman"/>
          <w:szCs w:val="24"/>
          <w:u w:val="single"/>
        </w:rPr>
        <w:t xml:space="preserve"> the early 1970s (</w:t>
      </w:r>
      <w:r w:rsidRPr="00ED37D1">
        <w:rPr>
          <w:rFonts w:eastAsia="Times New Roman"/>
          <w:szCs w:val="24"/>
          <w:highlight w:val="cyan"/>
          <w:u w:val="single"/>
        </w:rPr>
        <w:t>when it was around 10 percent) to</w:t>
      </w:r>
      <w:r w:rsidRPr="00B066E4">
        <w:rPr>
          <w:rFonts w:eastAsia="Times New Roman"/>
          <w:szCs w:val="24"/>
          <w:u w:val="single"/>
        </w:rPr>
        <w:t xml:space="preserve"> the mid-1980s (when it was around </w:t>
      </w:r>
      <w:r w:rsidRPr="00ED37D1">
        <w:rPr>
          <w:rFonts w:eastAsia="Times New Roman"/>
          <w:szCs w:val="24"/>
          <w:highlight w:val="cyan"/>
          <w:u w:val="single"/>
        </w:rPr>
        <w:t>20 percent</w:t>
      </w:r>
      <w:r w:rsidRPr="00B066E4">
        <w:rPr>
          <w:rFonts w:eastAsia="Times New Roman"/>
          <w:szCs w:val="24"/>
        </w:rPr>
        <w:t xml:space="preserve">). The share of this group then declined somewhat in the 1990s and by 2000 was around 15 percent. Overall family-related admissions (relatives of U.S. citizens and legal permanent residents) have been at least half of the total flow of immigrants since 1973, at times surpassing 70 percent of the total flow. This has been in spite of the </w:t>
      </w:r>
      <w:r w:rsidRPr="00B066E4">
        <w:t>legislative changes in 1990 that increased the number of employment-based visas and introduced employment-creation and “diversity” green cards (winners of the visa lottery). Reflecting those changes, employmentbased entrants</w:t>
      </w:r>
      <w:r w:rsidRPr="00B066E4">
        <w:rPr>
          <w:rFonts w:eastAsia="Times New Roman"/>
          <w:szCs w:val="24"/>
        </w:rPr>
        <w:t xml:space="preserve"> (including those entering as beneficiaries of the job holder) increased from less than 10 percent of the total in 1971 to a peak of 18 percent in 1992, falling back to an average of around 11 percent from 1995 to 2000. Refugee admissions have fluctuated substantially depending on the conditions around the world that warrant awarding refugee status, from a minimum of 6 percent in 1999 to a maximum of 28 percent in 1982. The number of diversity admissions has remained fairly constant at around 50,000 per year since their introduction in 1992, but as a share have fluctuated between 4 and 8 percent of the total.</w:t>
      </w:r>
    </w:p>
    <w:p w:rsidR="007F5B18" w:rsidRDefault="007F5B18" w:rsidP="007F5B18"/>
    <w:p w:rsidR="00EA0A90" w:rsidRDefault="00EA0A90" w:rsidP="00EA0A90">
      <w:pPr>
        <w:pStyle w:val="Heading3"/>
      </w:pPr>
      <w:r>
        <w:t>Substantially = 20%</w:t>
      </w:r>
    </w:p>
    <w:p w:rsidR="00EA0A90" w:rsidRDefault="00EA0A90" w:rsidP="00EA0A90"/>
    <w:p w:rsidR="00EA0A90" w:rsidRPr="006E59D2" w:rsidRDefault="00EA0A90" w:rsidP="00EA0A90">
      <w:pPr>
        <w:pStyle w:val="Heading4"/>
      </w:pPr>
      <w:r w:rsidRPr="006E59D2">
        <w:t>Substantial requires at least 20%</w:t>
      </w:r>
    </w:p>
    <w:p w:rsidR="00EA0A90" w:rsidRPr="003E6651" w:rsidRDefault="00EA0A90" w:rsidP="00EA0A90">
      <w:pPr>
        <w:rPr>
          <w:rFonts w:eastAsia="Times New Roman"/>
        </w:rPr>
      </w:pPr>
      <w:r w:rsidRPr="006E59D2">
        <w:rPr>
          <w:b/>
        </w:rPr>
        <w:t>HR</w:t>
      </w:r>
      <w:r>
        <w:rPr>
          <w:b/>
        </w:rPr>
        <w:t xml:space="preserve"> </w:t>
      </w:r>
      <w:r w:rsidRPr="006E59D2">
        <w:rPr>
          <w:b/>
        </w:rPr>
        <w:t>1, 2001</w:t>
      </w:r>
      <w:r w:rsidRPr="006E59D2">
        <w:rPr>
          <w:rStyle w:val="StyleUnderline"/>
          <w:u w:val="none"/>
        </w:rPr>
        <w:t xml:space="preserve"> </w:t>
      </w:r>
      <w:r>
        <w:rPr>
          <w:rStyle w:val="StyleUnderline"/>
          <w:u w:val="none"/>
        </w:rPr>
        <w:t xml:space="preserve">- </w:t>
      </w:r>
      <w:r w:rsidRPr="003E6651">
        <w:rPr>
          <w:rStyle w:val="apple-style-span"/>
          <w:color w:val="000000"/>
          <w:szCs w:val="20"/>
        </w:rPr>
        <w:t xml:space="preserve">A bill to close the achievement gap with accountability, flexibility, and choice, so that no child is left behind, </w:t>
      </w:r>
      <w:r w:rsidRPr="003E6651">
        <w:rPr>
          <w:rFonts w:eastAsia="Times New Roman"/>
        </w:rPr>
        <w:t xml:space="preserve">FULL TEXT OF BILLS 107th CONGRESS, 1ST SESSION IN THE SENATE OF THE UNITED STATES ENGROSSED SENATE AMENDMENT, </w:t>
      </w:r>
      <w:r w:rsidRPr="003E6651">
        <w:rPr>
          <w:rStyle w:val="apple-style-span"/>
          <w:color w:val="000000"/>
          <w:szCs w:val="20"/>
        </w:rPr>
        <w:t>2001 H.R. 1; 107 H.R. 1,</w:t>
      </w:r>
      <w:r>
        <w:rPr>
          <w:rStyle w:val="apple-style-span"/>
          <w:color w:val="000000"/>
          <w:szCs w:val="20"/>
        </w:rPr>
        <w:t xml:space="preserve"> lexis – also available:</w:t>
      </w:r>
      <w:r w:rsidRPr="003E6651">
        <w:rPr>
          <w:rStyle w:val="apple-style-span"/>
          <w:color w:val="000000"/>
          <w:szCs w:val="20"/>
        </w:rPr>
        <w:t xml:space="preserve"> </w:t>
      </w:r>
      <w:r>
        <w:rPr>
          <w:rStyle w:val="apple-style-span"/>
          <w:color w:val="000000"/>
          <w:szCs w:val="20"/>
        </w:rPr>
        <w:t>https://www.gpo.gov/fdsys/pkg/BILLS-107hr1eas/html/BILLS-107hr1eas.htm</w:t>
      </w:r>
    </w:p>
    <w:p w:rsidR="00EA0A90" w:rsidRDefault="00EA0A90" w:rsidP="00EA0A90">
      <w:pPr>
        <w:rPr>
          <w:rStyle w:val="StyleUnderline"/>
        </w:rPr>
      </w:pPr>
    </w:p>
    <w:p w:rsidR="00EA0A90" w:rsidRDefault="00EA0A90" w:rsidP="00EA0A90">
      <w:pPr>
        <w:rPr>
          <w:rStyle w:val="apple-style-span"/>
          <w:color w:val="000000"/>
          <w:szCs w:val="20"/>
        </w:rPr>
      </w:pPr>
      <w:r w:rsidRPr="003E6651">
        <w:rPr>
          <w:rStyle w:val="apple-style-span"/>
          <w:color w:val="000000"/>
          <w:szCs w:val="20"/>
        </w:rPr>
        <w:t xml:space="preserve"> "(B) Substantial increase. For the purpose of this paragraph, </w:t>
      </w:r>
      <w:r w:rsidRPr="006A2A20">
        <w:rPr>
          <w:rStyle w:val="apple-style-span"/>
          <w:color w:val="000000"/>
          <w:szCs w:val="20"/>
          <w:highlight w:val="cyan"/>
          <w:u w:val="single"/>
        </w:rPr>
        <w:t>the term</w:t>
      </w:r>
      <w:r w:rsidRPr="006A2A20">
        <w:rPr>
          <w:highlight w:val="cyan"/>
          <w:u w:val="single"/>
        </w:rPr>
        <w:t xml:space="preserve"> </w:t>
      </w:r>
      <w:r w:rsidRPr="006A2A20">
        <w:rPr>
          <w:rStyle w:val="apple-style-span"/>
          <w:color w:val="000000"/>
          <w:szCs w:val="20"/>
          <w:highlight w:val="cyan"/>
          <w:u w:val="single"/>
        </w:rPr>
        <w:t>'substantial increase'</w:t>
      </w:r>
      <w:r w:rsidRPr="006A2A20">
        <w:rPr>
          <w:rStyle w:val="apple-style-span"/>
          <w:color w:val="000000"/>
          <w:szCs w:val="20"/>
          <w:highlight w:val="cyan"/>
        </w:rPr>
        <w:t xml:space="preserve">, </w:t>
      </w:r>
      <w:r w:rsidRPr="006A2A20">
        <w:rPr>
          <w:rStyle w:val="apple-style-span"/>
          <w:color w:val="000000"/>
          <w:szCs w:val="20"/>
          <w:highlight w:val="cyan"/>
          <w:u w:val="single"/>
        </w:rPr>
        <w:t>used with respect to the number of immigrant</w:t>
      </w:r>
      <w:r w:rsidRPr="006A2A20">
        <w:rPr>
          <w:highlight w:val="cyan"/>
          <w:u w:val="single"/>
        </w:rPr>
        <w:t xml:space="preserve"> </w:t>
      </w:r>
      <w:r w:rsidRPr="006A2A20">
        <w:rPr>
          <w:rStyle w:val="apple-style-span"/>
          <w:color w:val="000000"/>
          <w:szCs w:val="20"/>
          <w:highlight w:val="cyan"/>
          <w:u w:val="single"/>
        </w:rPr>
        <w:t>children</w:t>
      </w:r>
      <w:r w:rsidRPr="003E6651">
        <w:rPr>
          <w:rStyle w:val="apple-style-span"/>
          <w:color w:val="000000"/>
          <w:szCs w:val="20"/>
        </w:rPr>
        <w:t xml:space="preserve"> and youth </w:t>
      </w:r>
      <w:r w:rsidRPr="003E6651">
        <w:rPr>
          <w:rStyle w:val="apple-style-span"/>
          <w:color w:val="000000"/>
          <w:szCs w:val="20"/>
          <w:u w:val="single"/>
        </w:rPr>
        <w:t>enrolled in schools</w:t>
      </w:r>
      <w:r w:rsidRPr="003E6651">
        <w:rPr>
          <w:rStyle w:val="apple-style-span"/>
          <w:color w:val="000000"/>
          <w:szCs w:val="20"/>
        </w:rPr>
        <w:t xml:space="preserve"> for a fiscal year, </w:t>
      </w:r>
      <w:r w:rsidRPr="006A2A20">
        <w:rPr>
          <w:rStyle w:val="apple-style-span"/>
          <w:color w:val="000000"/>
          <w:szCs w:val="20"/>
          <w:highlight w:val="cyan"/>
          <w:u w:val="single"/>
        </w:rPr>
        <w:t>means</w:t>
      </w:r>
      <w:r w:rsidRPr="003E6651">
        <w:rPr>
          <w:rStyle w:val="apple-style-span"/>
          <w:color w:val="000000"/>
          <w:szCs w:val="20"/>
          <w:u w:val="single"/>
        </w:rPr>
        <w:t>-</w:t>
      </w:r>
      <w:r w:rsidRPr="003E6651">
        <w:rPr>
          <w:rStyle w:val="apple-style-span"/>
          <w:color w:val="000000"/>
          <w:szCs w:val="20"/>
        </w:rPr>
        <w:t>-</w:t>
      </w:r>
      <w:r w:rsidRPr="003E6651">
        <w:br/>
      </w:r>
      <w:r w:rsidRPr="003E6651">
        <w:rPr>
          <w:rStyle w:val="apple-style-span"/>
          <w:color w:val="000000"/>
          <w:szCs w:val="20"/>
        </w:rPr>
        <w:t xml:space="preserve"> "(i) </w:t>
      </w:r>
      <w:r w:rsidRPr="006A2A20">
        <w:rPr>
          <w:rStyle w:val="apple-style-span"/>
          <w:color w:val="000000"/>
          <w:szCs w:val="20"/>
          <w:highlight w:val="cyan"/>
          <w:u w:val="single"/>
        </w:rPr>
        <w:t>an</w:t>
      </w:r>
      <w:r w:rsidRPr="006A2A20">
        <w:rPr>
          <w:rStyle w:val="apple-converted-space"/>
          <w:szCs w:val="20"/>
          <w:highlight w:val="cyan"/>
        </w:rPr>
        <w:t> </w:t>
      </w:r>
      <w:r w:rsidRPr="006A2A20">
        <w:rPr>
          <w:rStyle w:val="apple-style-span"/>
          <w:bCs/>
          <w:color w:val="000000"/>
          <w:szCs w:val="20"/>
          <w:highlight w:val="cyan"/>
          <w:u w:val="single"/>
        </w:rPr>
        <w:t>increase of not less than 20 percent</w:t>
      </w:r>
      <w:r w:rsidRPr="003E6651">
        <w:rPr>
          <w:rStyle w:val="apple-style-span"/>
          <w:bCs/>
          <w:color w:val="000000"/>
          <w:szCs w:val="20"/>
        </w:rPr>
        <w:t>,</w:t>
      </w:r>
      <w:r w:rsidRPr="003E6651">
        <w:rPr>
          <w:rStyle w:val="apple-converted-space"/>
          <w:szCs w:val="20"/>
        </w:rPr>
        <w:t xml:space="preserve"> </w:t>
      </w:r>
      <w:r w:rsidRPr="003E6651">
        <w:rPr>
          <w:rStyle w:val="apple-style-span"/>
          <w:color w:val="000000"/>
          <w:szCs w:val="20"/>
        </w:rPr>
        <w:t>or of not fewer than 50</w:t>
      </w:r>
      <w:r w:rsidRPr="003E6651">
        <w:t xml:space="preserve"> </w:t>
      </w:r>
      <w:r w:rsidRPr="003E6651">
        <w:rPr>
          <w:rStyle w:val="apple-style-span"/>
          <w:color w:val="000000"/>
          <w:szCs w:val="20"/>
        </w:rPr>
        <w:t xml:space="preserve">individuals, </w:t>
      </w:r>
      <w:r w:rsidRPr="006A2A20">
        <w:rPr>
          <w:rStyle w:val="apple-style-span"/>
          <w:color w:val="000000"/>
          <w:szCs w:val="20"/>
          <w:highlight w:val="cyan"/>
          <w:u w:val="single"/>
        </w:rPr>
        <w:t>in the number of such children</w:t>
      </w:r>
      <w:r w:rsidRPr="003E6651">
        <w:rPr>
          <w:rStyle w:val="apple-style-span"/>
          <w:color w:val="000000"/>
          <w:szCs w:val="20"/>
        </w:rPr>
        <w:t xml:space="preserve"> and youth so enrolled, </w:t>
      </w:r>
      <w:r w:rsidRPr="006A2A20">
        <w:rPr>
          <w:rStyle w:val="apple-style-span"/>
          <w:color w:val="000000"/>
          <w:szCs w:val="20"/>
          <w:highlight w:val="cyan"/>
          <w:u w:val="single"/>
        </w:rPr>
        <w:t>relative</w:t>
      </w:r>
      <w:r w:rsidRPr="006A2A20">
        <w:rPr>
          <w:highlight w:val="cyan"/>
          <w:u w:val="single"/>
        </w:rPr>
        <w:t xml:space="preserve"> </w:t>
      </w:r>
      <w:r w:rsidRPr="006A2A20">
        <w:rPr>
          <w:rStyle w:val="apple-style-span"/>
          <w:color w:val="000000"/>
          <w:szCs w:val="20"/>
          <w:highlight w:val="cyan"/>
          <w:u w:val="single"/>
        </w:rPr>
        <w:t>to the preceding year</w:t>
      </w:r>
      <w:r w:rsidRPr="003E6651">
        <w:rPr>
          <w:rStyle w:val="apple-style-span"/>
          <w:color w:val="000000"/>
          <w:szCs w:val="20"/>
        </w:rPr>
        <w:t>; or</w:t>
      </w:r>
      <w:r w:rsidRPr="003E6651">
        <w:br/>
      </w:r>
      <w:r w:rsidRPr="003E6651">
        <w:rPr>
          <w:rStyle w:val="apple-style-span"/>
          <w:color w:val="000000"/>
          <w:szCs w:val="20"/>
        </w:rPr>
        <w:t> "(ii) an</w:t>
      </w:r>
      <w:r w:rsidRPr="003E6651">
        <w:rPr>
          <w:rStyle w:val="apple-converted-space"/>
          <w:szCs w:val="20"/>
        </w:rPr>
        <w:t> </w:t>
      </w:r>
      <w:r w:rsidRPr="003E6651">
        <w:rPr>
          <w:rStyle w:val="apple-style-span"/>
          <w:bCs/>
          <w:color w:val="000000"/>
          <w:szCs w:val="20"/>
        </w:rPr>
        <w:t>increase of not less than 20 percent</w:t>
      </w:r>
      <w:r>
        <w:rPr>
          <w:rStyle w:val="apple-converted-space"/>
          <w:szCs w:val="20"/>
        </w:rPr>
        <w:t xml:space="preserve"> </w:t>
      </w:r>
      <w:r w:rsidRPr="003E6651">
        <w:rPr>
          <w:rStyle w:val="apple-style-span"/>
          <w:color w:val="000000"/>
          <w:szCs w:val="20"/>
        </w:rPr>
        <w:t>in such number, relative</w:t>
      </w:r>
      <w:r>
        <w:t xml:space="preserve"> </w:t>
      </w:r>
      <w:r w:rsidRPr="003E6651">
        <w:rPr>
          <w:rStyle w:val="apple-style-span"/>
          <w:color w:val="000000"/>
          <w:szCs w:val="20"/>
        </w:rPr>
        <w:t>to the preceding year, in the case of a local educational agency that has</w:t>
      </w:r>
      <w:r>
        <w:t xml:space="preserve"> </w:t>
      </w:r>
      <w:r w:rsidRPr="003E6651">
        <w:rPr>
          <w:rStyle w:val="apple-style-span"/>
          <w:color w:val="000000"/>
          <w:szCs w:val="20"/>
        </w:rPr>
        <w:t>limited or no experience in serving limited English proficient students.</w:t>
      </w:r>
    </w:p>
    <w:p w:rsidR="00EA0A90" w:rsidRPr="00EA0A90" w:rsidRDefault="00EA0A90" w:rsidP="00EA0A90"/>
    <w:p w:rsidR="009131C8" w:rsidRDefault="007F5B18" w:rsidP="007F5B18">
      <w:pPr>
        <w:pStyle w:val="Heading3"/>
      </w:pPr>
      <w:r>
        <w:t>Substantially = 50%</w:t>
      </w:r>
    </w:p>
    <w:p w:rsidR="007F5B18" w:rsidRDefault="007F5B18" w:rsidP="007F5B18"/>
    <w:p w:rsidR="007F5B18" w:rsidRPr="00CC4F3D" w:rsidRDefault="007F5B18" w:rsidP="007F5B18">
      <w:pPr>
        <w:pStyle w:val="Heading4"/>
      </w:pPr>
      <w:r>
        <w:t>Substantially means affecting between 50-100% of the immigration rate</w:t>
      </w:r>
    </w:p>
    <w:p w:rsidR="007F5B18" w:rsidRPr="005249CB" w:rsidRDefault="007F5B18" w:rsidP="007F5B18">
      <w:pPr>
        <w:rPr>
          <w:color w:val="000000"/>
          <w:u w:val="single"/>
        </w:rPr>
      </w:pPr>
      <w:r w:rsidRPr="005B2019">
        <w:rPr>
          <w:rStyle w:val="StyleUnderline"/>
          <w:b/>
          <w:color w:val="000000"/>
          <w:u w:val="none"/>
        </w:rPr>
        <w:t>Simon, 89</w:t>
      </w:r>
      <w:r w:rsidRPr="005B2019">
        <w:rPr>
          <w:rStyle w:val="StyleUnderline"/>
          <w:color w:val="000000"/>
          <w:u w:val="none"/>
        </w:rPr>
        <w:t xml:space="preserve"> – </w:t>
      </w:r>
      <w:r w:rsidRPr="005B2019">
        <w:rPr>
          <w:rStyle w:val="apple-style-span"/>
          <w:color w:val="000000"/>
          <w:szCs w:val="27"/>
        </w:rPr>
        <w:t>teaches</w:t>
      </w:r>
      <w:r w:rsidRPr="00CC4F3D">
        <w:rPr>
          <w:rStyle w:val="apple-converted-space"/>
          <w:color w:val="000000"/>
          <w:szCs w:val="27"/>
        </w:rPr>
        <w:t> </w:t>
      </w:r>
      <w:hyperlink r:id="rId26" w:history="1">
        <w:r w:rsidRPr="00CC4F3D">
          <w:rPr>
            <w:rStyle w:val="Hyperlink"/>
            <w:color w:val="000000"/>
            <w:szCs w:val="27"/>
          </w:rPr>
          <w:t>Business Administration</w:t>
        </w:r>
      </w:hyperlink>
      <w:r w:rsidRPr="00CC4F3D">
        <w:rPr>
          <w:rStyle w:val="apple-converted-space"/>
          <w:color w:val="000000"/>
          <w:szCs w:val="27"/>
        </w:rPr>
        <w:t> </w:t>
      </w:r>
      <w:r w:rsidRPr="00CC4F3D">
        <w:rPr>
          <w:rStyle w:val="apple-style-span"/>
          <w:color w:val="000000"/>
          <w:szCs w:val="27"/>
        </w:rPr>
        <w:t>at the</w:t>
      </w:r>
      <w:r w:rsidRPr="00CC4F3D">
        <w:rPr>
          <w:rStyle w:val="apple-converted-space"/>
          <w:color w:val="000000"/>
          <w:szCs w:val="27"/>
        </w:rPr>
        <w:t> </w:t>
      </w:r>
      <w:hyperlink r:id="rId27" w:history="1">
        <w:r w:rsidRPr="00CC4F3D">
          <w:rPr>
            <w:rStyle w:val="Hyperlink"/>
            <w:color w:val="000000"/>
            <w:szCs w:val="27"/>
          </w:rPr>
          <w:t>University of Maryland</w:t>
        </w:r>
      </w:hyperlink>
      <w:r w:rsidRPr="00CC4F3D">
        <w:rPr>
          <w:rStyle w:val="apple-converted-space"/>
          <w:color w:val="000000"/>
          <w:szCs w:val="27"/>
        </w:rPr>
        <w:t> </w:t>
      </w:r>
      <w:r w:rsidRPr="00CC4F3D">
        <w:rPr>
          <w:rStyle w:val="apple-style-span"/>
          <w:color w:val="000000"/>
          <w:szCs w:val="27"/>
        </w:rPr>
        <w:t>and is a Senior Fellow at the Cato Institute</w:t>
      </w:r>
      <w:r w:rsidRPr="00CC4F3D">
        <w:rPr>
          <w:rStyle w:val="StyleUnderline"/>
          <w:color w:val="000000"/>
        </w:rPr>
        <w:t xml:space="preserve"> </w:t>
      </w:r>
      <w:r w:rsidRPr="005B2019">
        <w:t>(but is currently dead) (Julian, “</w:t>
      </w:r>
      <w:r w:rsidRPr="00CC4F3D">
        <w:rPr>
          <w:color w:val="000000"/>
        </w:rPr>
        <w:t>The Economic Consequences of Immigration into the United States”</w:t>
      </w:r>
      <w:r w:rsidRPr="00CC4F3D">
        <w:rPr>
          <w:rStyle w:val="StyleUnderline"/>
          <w:color w:val="000000"/>
        </w:rPr>
        <w:t xml:space="preserve"> </w:t>
      </w:r>
      <w:hyperlink r:id="rId28" w:history="1">
        <w:r w:rsidRPr="00CC4F3D">
          <w:rPr>
            <w:rStyle w:val="Hyperlink"/>
            <w:color w:val="000000"/>
          </w:rPr>
          <w:t>http://www.juliansimon.com/writings/Immigration/CHAP16.txt</w:t>
        </w:r>
      </w:hyperlink>
      <w:r>
        <w:rPr>
          <w:rStyle w:val="StyleUnderline"/>
          <w:color w:val="000000"/>
        </w:rPr>
        <w:t>)</w:t>
      </w:r>
    </w:p>
    <w:p w:rsidR="007F5B18" w:rsidRPr="00CC4F3D" w:rsidRDefault="007F5B18" w:rsidP="007F5B18">
      <w:pPr>
        <w:rPr>
          <w:rStyle w:val="apple-style-span"/>
          <w:iCs/>
          <w:color w:val="000000"/>
          <w:szCs w:val="20"/>
        </w:rPr>
      </w:pPr>
    </w:p>
    <w:p w:rsidR="007F5B18" w:rsidRPr="00CC4F3D" w:rsidRDefault="007F5B18" w:rsidP="007F5B18">
      <w:pPr>
        <w:rPr>
          <w:color w:val="000000"/>
        </w:rPr>
      </w:pPr>
      <w:r w:rsidRPr="00E74895">
        <w:rPr>
          <w:color w:val="000000"/>
          <w:u w:val="single"/>
        </w:rPr>
        <w:t>The total number of immigrants to be admitted</w:t>
      </w:r>
      <w:r w:rsidRPr="00E74895">
        <w:rPr>
          <w:color w:val="000000"/>
        </w:rPr>
        <w:t xml:space="preserve"> </w:t>
      </w:r>
      <w:r w:rsidRPr="00E74895">
        <w:rPr>
          <w:color w:val="000000"/>
          <w:u w:val="single"/>
        </w:rPr>
        <w:t>legally is the key economic element of immigration policy</w:t>
      </w:r>
      <w:r w:rsidRPr="00E74895">
        <w:rPr>
          <w:color w:val="000000"/>
        </w:rPr>
        <w:t xml:space="preserve">. If no applicants will be admitted legally, the only remaining immigration decisions concern illegal immigrants. If all applicants will be admitted, there are no further decisions to be made. </w:t>
      </w:r>
      <w:r w:rsidRPr="00E74895">
        <w:rPr>
          <w:color w:val="000000"/>
          <w:u w:val="single"/>
        </w:rPr>
        <w:t>The alternatives</w:t>
      </w:r>
      <w:r w:rsidRPr="00E74895">
        <w:rPr>
          <w:color w:val="000000"/>
        </w:rPr>
        <w:t xml:space="preserve"> that I think realistic </w:t>
      </w:r>
      <w:r w:rsidRPr="00E74895">
        <w:rPr>
          <w:color w:val="000000"/>
          <w:u w:val="single"/>
        </w:rPr>
        <w:t>are: a) substantially more immigrants than now, b) substantially less immigrants than now, and c) about the same number as now. By "substantially" I mean a change up to a doubling</w:t>
      </w:r>
      <w:r w:rsidRPr="00E74895">
        <w:rPr>
          <w:color w:val="000000"/>
        </w:rPr>
        <w:t xml:space="preserve"> (and perhaps subsequent doublings) </w:t>
      </w:r>
      <w:r w:rsidRPr="00E74895">
        <w:rPr>
          <w:color w:val="000000"/>
          <w:u w:val="single"/>
        </w:rPr>
        <w:t>or halving of the immigration rate</w:t>
      </w:r>
      <w:r w:rsidRPr="00E74895">
        <w:rPr>
          <w:color w:val="000000"/>
        </w:rPr>
        <w:t>.</w:t>
      </w:r>
      <w:r w:rsidRPr="00CC4F3D">
        <w:rPr>
          <w:color w:val="000000"/>
        </w:rPr>
        <w:t xml:space="preserve"> Furthermore, it would seem likely that, given the nature of politics and social decision-making in the United States, changes in the amount of immigration would be made in several steps - a sequential process of "muddling through" as we learn by trial and error. Recommending only "substantially more" or "substantially less" would seem to be consistent with this prevailing political process. A recommendation of either zero immigrants or an open door would have no chance of being adopted by American society now or in the forseeable future, and therefore it would hardly be useful to make either recommendation even if it were warranted on strictly economic grounds.</w:t>
      </w:r>
    </w:p>
    <w:p w:rsidR="007F5B18" w:rsidRDefault="007F5B18" w:rsidP="007F5B18"/>
    <w:p w:rsidR="00984BD1" w:rsidRDefault="00984BD1" w:rsidP="007F5B18"/>
    <w:p w:rsidR="00984BD1" w:rsidRDefault="00984BD1" w:rsidP="00984BD1">
      <w:pPr>
        <w:pStyle w:val="Heading2"/>
      </w:pPr>
      <w:r>
        <w:t>Affirmative</w:t>
      </w:r>
    </w:p>
    <w:p w:rsidR="00984BD1" w:rsidRPr="00984BD1" w:rsidRDefault="00984BD1" w:rsidP="00984BD1"/>
    <w:p w:rsidR="007F5B18" w:rsidRDefault="007F5B18" w:rsidP="007F5B18">
      <w:pPr>
        <w:pStyle w:val="Heading3"/>
      </w:pPr>
      <w:r>
        <w:t>Substantially = in the main</w:t>
      </w:r>
    </w:p>
    <w:p w:rsidR="007F5B18" w:rsidRDefault="007F5B18" w:rsidP="007F5B18"/>
    <w:p w:rsidR="007F5B18" w:rsidRPr="006D71DE" w:rsidRDefault="007F5B18" w:rsidP="007F5B18">
      <w:pPr>
        <w:pStyle w:val="Heading4"/>
        <w:rPr>
          <w:rFonts w:asciiTheme="minorHAnsi" w:hAnsiTheme="minorHAnsi" w:cstheme="minorHAnsi"/>
        </w:rPr>
      </w:pPr>
      <w:r w:rsidRPr="006D71DE">
        <w:rPr>
          <w:rFonts w:asciiTheme="minorHAnsi" w:hAnsiTheme="minorHAnsi" w:cstheme="minorHAnsi"/>
        </w:rPr>
        <w:t>Substantially means in the main, including the essential part</w:t>
      </w:r>
    </w:p>
    <w:p w:rsidR="007F5B18" w:rsidRPr="006D71DE" w:rsidRDefault="007F5B18" w:rsidP="007F5B18">
      <w:pPr>
        <w:rPr>
          <w:rFonts w:asciiTheme="minorHAnsi" w:hAnsiTheme="minorHAnsi" w:cstheme="minorHAnsi"/>
          <w:color w:val="000000"/>
        </w:rPr>
      </w:pPr>
      <w:r w:rsidRPr="006D71DE">
        <w:rPr>
          <w:rFonts w:asciiTheme="minorHAnsi" w:hAnsiTheme="minorHAnsi" w:cstheme="minorHAnsi"/>
          <w:b/>
          <w:color w:val="000000"/>
        </w:rPr>
        <w:t>Words and Phrases, 2</w:t>
      </w:r>
      <w:r w:rsidRPr="006D71DE">
        <w:rPr>
          <w:rFonts w:asciiTheme="minorHAnsi" w:hAnsiTheme="minorHAnsi" w:cstheme="minorHAnsi"/>
          <w:color w:val="000000"/>
        </w:rPr>
        <w:t xml:space="preserve"> (Words and Phrases Permanent Edition, “Substantially,” Volume 40B, p. 324-330 October 2002, Thomson West)</w:t>
      </w:r>
    </w:p>
    <w:p w:rsidR="007F5B18" w:rsidRPr="006D71DE" w:rsidRDefault="007F5B18" w:rsidP="007F5B18">
      <w:pPr>
        <w:rPr>
          <w:rFonts w:asciiTheme="minorHAnsi" w:hAnsiTheme="minorHAnsi" w:cstheme="minorHAnsi"/>
          <w:color w:val="000000"/>
          <w:u w:val="single"/>
        </w:rPr>
      </w:pPr>
      <w:r w:rsidRPr="006D71DE">
        <w:rPr>
          <w:rFonts w:asciiTheme="minorHAnsi" w:hAnsiTheme="minorHAnsi" w:cstheme="minorHAnsi"/>
          <w:color w:val="000000"/>
        </w:rPr>
        <w:t>Okla. 1911. “</w:t>
      </w:r>
      <w:r w:rsidRPr="006D71DE">
        <w:rPr>
          <w:rFonts w:asciiTheme="minorHAnsi" w:hAnsiTheme="minorHAnsi" w:cstheme="minorHAnsi"/>
          <w:color w:val="000000"/>
          <w:u w:val="single"/>
        </w:rPr>
        <w:t>Substantially” means in substance: in the main</w:t>
      </w:r>
      <w:r w:rsidRPr="006D71DE">
        <w:rPr>
          <w:rFonts w:asciiTheme="minorHAnsi" w:hAnsiTheme="minorHAnsi" w:cstheme="minorHAnsi"/>
          <w:color w:val="000000"/>
        </w:rPr>
        <w:t>; essentially;</w:t>
      </w:r>
      <w:r w:rsidRPr="006D71DE">
        <w:rPr>
          <w:rFonts w:asciiTheme="minorHAnsi" w:hAnsiTheme="minorHAnsi" w:cstheme="minorHAnsi"/>
          <w:color w:val="000000"/>
          <w:u w:val="single"/>
        </w:rPr>
        <w:t xml:space="preserve"> by including the material or essential part.</w:t>
      </w:r>
    </w:p>
    <w:p w:rsidR="007F5B18" w:rsidRPr="006D71DE" w:rsidRDefault="007F5B18" w:rsidP="007F5B18">
      <w:pPr>
        <w:rPr>
          <w:rFonts w:asciiTheme="minorHAnsi" w:hAnsiTheme="minorHAnsi" w:cstheme="minorHAnsi"/>
          <w:color w:val="000000"/>
        </w:rPr>
      </w:pPr>
    </w:p>
    <w:p w:rsidR="007F5B18" w:rsidRPr="006D71DE" w:rsidRDefault="007F5B18" w:rsidP="007F5B18">
      <w:pPr>
        <w:pStyle w:val="Heading4"/>
        <w:rPr>
          <w:rFonts w:asciiTheme="minorHAnsi" w:hAnsiTheme="minorHAnsi" w:cstheme="minorHAnsi"/>
        </w:rPr>
      </w:pPr>
      <w:r w:rsidRPr="006D71DE">
        <w:rPr>
          <w:rFonts w:asciiTheme="minorHAnsi" w:hAnsiTheme="minorHAnsi" w:cstheme="minorHAnsi"/>
        </w:rPr>
        <w:t>Substantially means essential and material</w:t>
      </w:r>
    </w:p>
    <w:p w:rsidR="007F5B18" w:rsidRPr="006D71DE" w:rsidRDefault="007F5B18" w:rsidP="007F5B18">
      <w:pPr>
        <w:rPr>
          <w:rFonts w:asciiTheme="minorHAnsi" w:hAnsiTheme="minorHAnsi" w:cstheme="minorHAnsi"/>
          <w:color w:val="000000"/>
          <w:sz w:val="16"/>
        </w:rPr>
      </w:pPr>
      <w:r w:rsidRPr="006D71DE">
        <w:rPr>
          <w:rFonts w:asciiTheme="minorHAnsi" w:hAnsiTheme="minorHAnsi" w:cstheme="minorHAnsi"/>
          <w:b/>
          <w:color w:val="000000"/>
        </w:rPr>
        <w:t xml:space="preserve">Words and Phrases, 2 </w:t>
      </w:r>
      <w:r w:rsidRPr="006D71DE">
        <w:rPr>
          <w:rFonts w:asciiTheme="minorHAnsi" w:hAnsiTheme="minorHAnsi" w:cstheme="minorHAnsi"/>
          <w:color w:val="000000"/>
          <w:sz w:val="16"/>
        </w:rPr>
        <w:t>(40B W&amp;P – 328)</w:t>
      </w:r>
    </w:p>
    <w:p w:rsidR="007F5B18" w:rsidRPr="006D71DE" w:rsidRDefault="007F5B18" w:rsidP="007F5B18">
      <w:pPr>
        <w:rPr>
          <w:rFonts w:asciiTheme="minorHAnsi" w:hAnsiTheme="minorHAnsi" w:cstheme="minorHAnsi"/>
          <w:color w:val="000000"/>
          <w:sz w:val="16"/>
        </w:rPr>
      </w:pPr>
    </w:p>
    <w:p w:rsidR="007F5B18" w:rsidRPr="006D71DE" w:rsidRDefault="007F5B18" w:rsidP="007F5B18">
      <w:pPr>
        <w:rPr>
          <w:rFonts w:asciiTheme="minorHAnsi" w:hAnsiTheme="minorHAnsi" w:cstheme="minorHAnsi"/>
          <w:color w:val="000000"/>
          <w:sz w:val="16"/>
        </w:rPr>
      </w:pPr>
      <w:r w:rsidRPr="006D71DE">
        <w:rPr>
          <w:rFonts w:asciiTheme="minorHAnsi" w:hAnsiTheme="minorHAnsi" w:cstheme="minorHAnsi"/>
          <w:color w:val="000000"/>
          <w:sz w:val="16"/>
        </w:rPr>
        <w:t>Ind. 1962.  “</w:t>
      </w:r>
      <w:r w:rsidRPr="006D71DE">
        <w:rPr>
          <w:rStyle w:val="StyleUnderline"/>
          <w:rFonts w:asciiTheme="minorHAnsi" w:hAnsiTheme="minorHAnsi" w:cstheme="minorHAnsi"/>
          <w:color w:val="000000"/>
        </w:rPr>
        <w:t>Substantially” means meeting requirements in essential and material parts</w:t>
      </w:r>
      <w:r w:rsidRPr="006D71DE">
        <w:rPr>
          <w:rFonts w:asciiTheme="minorHAnsi" w:hAnsiTheme="minorHAnsi" w:cstheme="minorHAnsi"/>
          <w:color w:val="000000"/>
          <w:sz w:val="16"/>
        </w:rPr>
        <w:t>.</w:t>
      </w:r>
    </w:p>
    <w:p w:rsidR="007F5B18" w:rsidRDefault="007F5B18" w:rsidP="007F5B18">
      <w:pPr>
        <w:rPr>
          <w:rFonts w:asciiTheme="minorHAnsi" w:hAnsiTheme="minorHAnsi" w:cstheme="minorHAnsi"/>
        </w:rPr>
      </w:pPr>
    </w:p>
    <w:p w:rsidR="00FB2261" w:rsidRDefault="00FB2261" w:rsidP="00FB2261">
      <w:pPr>
        <w:pStyle w:val="Heading3"/>
      </w:pPr>
      <w:r>
        <w:t>Substantially = large</w:t>
      </w:r>
    </w:p>
    <w:p w:rsidR="00FB2261" w:rsidRDefault="00FB2261" w:rsidP="00FB2261"/>
    <w:p w:rsidR="00FB2261" w:rsidRDefault="00FB2261" w:rsidP="00FB2261">
      <w:pPr>
        <w:pStyle w:val="Heading4"/>
      </w:pPr>
      <w:r>
        <w:t xml:space="preserve">Substantially means large </w:t>
      </w:r>
      <w:r w:rsidR="002D1BBD">
        <w:t>but doesn’t require precision</w:t>
      </w:r>
    </w:p>
    <w:p w:rsidR="00FB2261" w:rsidRPr="006D71DE" w:rsidRDefault="00FB2261" w:rsidP="00FB2261">
      <w:pPr>
        <w:rPr>
          <w:rFonts w:asciiTheme="minorHAnsi" w:hAnsiTheme="minorHAnsi" w:cstheme="minorHAnsi"/>
          <w:color w:val="000000"/>
        </w:rPr>
      </w:pPr>
      <w:r w:rsidRPr="006D71DE">
        <w:rPr>
          <w:rFonts w:asciiTheme="minorHAnsi" w:hAnsiTheme="minorHAnsi" w:cstheme="minorHAnsi"/>
          <w:b/>
          <w:color w:val="000000"/>
        </w:rPr>
        <w:t xml:space="preserve">Hartmann, 7 </w:t>
      </w:r>
      <w:r w:rsidRPr="006D71DE">
        <w:rPr>
          <w:rFonts w:asciiTheme="minorHAnsi" w:hAnsiTheme="minorHAnsi" w:cstheme="minorHAnsi"/>
          <w:color w:val="000000"/>
        </w:rPr>
        <w:t xml:space="preserve">– Judge, Hong Kong (IN THE HIGH COURT OF THE HONG KONG SPECIAL ADMINISTRATIVE REGION COURT OF FIRST INSTANCE, 8/20, http://legalref.judiciary.gov.hk/lrs/common/ju/ju_frame.jsp?DIS=58463&amp;currpage=T </w:t>
      </w:r>
    </w:p>
    <w:p w:rsidR="00FB2261" w:rsidRPr="006D71DE" w:rsidRDefault="00FB2261" w:rsidP="00FB2261">
      <w:pPr>
        <w:rPr>
          <w:rFonts w:asciiTheme="minorHAnsi" w:hAnsiTheme="minorHAnsi" w:cstheme="minorHAnsi"/>
          <w:color w:val="000000"/>
        </w:rPr>
      </w:pPr>
    </w:p>
    <w:p w:rsidR="00FB2261" w:rsidRPr="006D71DE" w:rsidRDefault="00FB2261" w:rsidP="00FB2261">
      <w:pPr>
        <w:rPr>
          <w:rFonts w:asciiTheme="minorHAnsi" w:hAnsiTheme="minorHAnsi" w:cstheme="minorHAnsi"/>
          <w:color w:val="000000"/>
        </w:rPr>
      </w:pPr>
      <w:r w:rsidRPr="006D71DE">
        <w:rPr>
          <w:rFonts w:asciiTheme="minorHAnsi" w:hAnsiTheme="minorHAnsi" w:cstheme="minorHAnsi"/>
          <w:color w:val="000000"/>
          <w:u w:val="single"/>
        </w:rPr>
        <w:t> The word ‘substantial’ is not a technical term nor is it a word that lends itself to a precise measurement</w:t>
      </w:r>
      <w:r w:rsidRPr="006D71DE">
        <w:rPr>
          <w:rFonts w:asciiTheme="minorHAnsi" w:hAnsiTheme="minorHAnsi" w:cstheme="minorHAnsi"/>
          <w:color w:val="000000"/>
        </w:rPr>
        <w:t>.  In an earlier judgment on this issue, that of S. v. S. [2006] 3 HKLRD 251, I said that it is not a word —</w:t>
      </w:r>
    </w:p>
    <w:p w:rsidR="00FB2261" w:rsidRPr="006D71DE" w:rsidRDefault="00FB2261" w:rsidP="00FB2261">
      <w:pPr>
        <w:rPr>
          <w:rFonts w:asciiTheme="minorHAnsi" w:hAnsiTheme="minorHAnsi" w:cstheme="minorHAnsi"/>
          <w:color w:val="000000"/>
        </w:rPr>
      </w:pPr>
      <w:r w:rsidRPr="006D71DE">
        <w:rPr>
          <w:rFonts w:asciiTheme="minorHAnsi" w:hAnsiTheme="minorHAnsi" w:cstheme="minorHAnsi"/>
          <w:color w:val="000000"/>
        </w:rPr>
        <w:t>“… that lends itself to precise definition or from which precise deductions can be drawn.  </w:t>
      </w:r>
      <w:r w:rsidRPr="006D71DE">
        <w:rPr>
          <w:rFonts w:asciiTheme="minorHAnsi" w:hAnsiTheme="minorHAnsi" w:cstheme="minorHAnsi"/>
          <w:color w:val="000000"/>
          <w:u w:val="single"/>
        </w:rPr>
        <w:t>To say</w:t>
      </w:r>
      <w:r w:rsidRPr="006D71DE">
        <w:rPr>
          <w:rFonts w:asciiTheme="minorHAnsi" w:hAnsiTheme="minorHAnsi" w:cstheme="minorHAnsi"/>
          <w:color w:val="000000"/>
        </w:rPr>
        <w:t xml:space="preserve">, for example, </w:t>
      </w:r>
      <w:r w:rsidRPr="006D71DE">
        <w:rPr>
          <w:rFonts w:asciiTheme="minorHAnsi" w:hAnsiTheme="minorHAnsi" w:cstheme="minorHAnsi"/>
          <w:color w:val="000000"/>
          <w:u w:val="single"/>
        </w:rPr>
        <w:t>that ‘there has been a substantial increase in expenditure’ does not of itself allow for a calculation</w:t>
      </w:r>
      <w:r w:rsidRPr="006D71DE">
        <w:rPr>
          <w:rFonts w:asciiTheme="minorHAnsi" w:hAnsiTheme="minorHAnsi" w:cstheme="minorHAnsi"/>
          <w:color w:val="000000"/>
        </w:rPr>
        <w:t xml:space="preserve"> in numerative terms </w:t>
      </w:r>
      <w:r w:rsidRPr="006D71DE">
        <w:rPr>
          <w:rFonts w:asciiTheme="minorHAnsi" w:hAnsiTheme="minorHAnsi" w:cstheme="minorHAnsi"/>
          <w:color w:val="000000"/>
          <w:u w:val="single"/>
        </w:rPr>
        <w:t>of the exact increase.  It is a statement to the effect that it is certainly more than a little but less than great.  It defines, however, a significant increase, one that is weighty or sizeable</w:t>
      </w:r>
      <w:r w:rsidRPr="006D71DE">
        <w:rPr>
          <w:rFonts w:asciiTheme="minorHAnsi" w:hAnsiTheme="minorHAnsi" w:cstheme="minorHAnsi"/>
          <w:color w:val="000000"/>
        </w:rPr>
        <w:t>.”</w:t>
      </w:r>
    </w:p>
    <w:p w:rsidR="00FB2261" w:rsidRPr="00FB2261" w:rsidRDefault="00FB2261" w:rsidP="00FB2261"/>
    <w:p w:rsidR="007F5B18" w:rsidRDefault="007F5B18" w:rsidP="007F5B18">
      <w:pPr>
        <w:pStyle w:val="Heading3"/>
      </w:pPr>
      <w:r>
        <w:t>Substantially = materially</w:t>
      </w:r>
    </w:p>
    <w:p w:rsidR="007F5B18" w:rsidRDefault="007F5B18" w:rsidP="007F5B18"/>
    <w:p w:rsidR="007F5B18" w:rsidRPr="006D71DE" w:rsidRDefault="007F5B18" w:rsidP="007F5B18">
      <w:pPr>
        <w:pStyle w:val="Heading4"/>
        <w:rPr>
          <w:rFonts w:asciiTheme="minorHAnsi" w:hAnsiTheme="minorHAnsi" w:cstheme="minorHAnsi"/>
        </w:rPr>
      </w:pPr>
      <w:r w:rsidRPr="006D71DE">
        <w:rPr>
          <w:rFonts w:asciiTheme="minorHAnsi" w:hAnsiTheme="minorHAnsi" w:cstheme="minorHAnsi"/>
        </w:rPr>
        <w:t>Substantial has to be materially</w:t>
      </w:r>
    </w:p>
    <w:p w:rsidR="007F5B18" w:rsidRPr="006D71DE" w:rsidRDefault="007F5B18" w:rsidP="007F5B18">
      <w:pPr>
        <w:rPr>
          <w:rFonts w:asciiTheme="minorHAnsi" w:hAnsiTheme="minorHAnsi" w:cstheme="minorHAnsi"/>
          <w:color w:val="000000"/>
        </w:rPr>
      </w:pPr>
      <w:r w:rsidRPr="006D71DE">
        <w:rPr>
          <w:rFonts w:asciiTheme="minorHAnsi" w:hAnsiTheme="minorHAnsi" w:cstheme="minorHAnsi"/>
          <w:b/>
          <w:color w:val="000000"/>
        </w:rPr>
        <w:t>Words and Phrases, 2</w:t>
      </w:r>
      <w:r w:rsidRPr="006D71DE">
        <w:rPr>
          <w:rFonts w:asciiTheme="minorHAnsi" w:hAnsiTheme="minorHAnsi" w:cstheme="minorHAnsi"/>
          <w:color w:val="000000"/>
        </w:rPr>
        <w:t xml:space="preserve"> (Words and Phrases Permanent Edition, “Substantial,” Volume 40A, p. 448-486 October 2002, Thomson West)</w:t>
      </w:r>
    </w:p>
    <w:p w:rsidR="007F5B18" w:rsidRPr="006D71DE" w:rsidRDefault="007F5B18" w:rsidP="007F5B18">
      <w:pPr>
        <w:rPr>
          <w:rFonts w:asciiTheme="minorHAnsi" w:hAnsiTheme="minorHAnsi" w:cstheme="minorHAnsi"/>
          <w:color w:val="000000"/>
        </w:rPr>
      </w:pPr>
    </w:p>
    <w:p w:rsidR="007F5B18" w:rsidRPr="006D71DE" w:rsidRDefault="007F5B18" w:rsidP="007F5B18">
      <w:pPr>
        <w:rPr>
          <w:rFonts w:asciiTheme="minorHAnsi" w:hAnsiTheme="minorHAnsi" w:cstheme="minorHAnsi"/>
          <w:color w:val="000000"/>
        </w:rPr>
      </w:pPr>
      <w:r w:rsidRPr="006D71DE">
        <w:rPr>
          <w:rFonts w:asciiTheme="minorHAnsi" w:hAnsiTheme="minorHAnsi" w:cstheme="minorHAnsi"/>
          <w:color w:val="000000"/>
        </w:rPr>
        <w:t>Ala. 1909. “</w:t>
      </w:r>
      <w:r w:rsidRPr="006D71DE">
        <w:rPr>
          <w:rFonts w:asciiTheme="minorHAnsi" w:hAnsiTheme="minorHAnsi" w:cstheme="minorHAnsi"/>
          <w:color w:val="000000"/>
          <w:u w:val="single"/>
        </w:rPr>
        <w:t>Substantial” means “belonging to substance; actually existing; real; * * * not seeming or imaginatary; not illusive; real; solid; true; veritable</w:t>
      </w:r>
      <w:r w:rsidRPr="006D71DE">
        <w:rPr>
          <w:rFonts w:asciiTheme="minorHAnsi" w:hAnsiTheme="minorHAnsi" w:cstheme="minorHAnsi"/>
          <w:color w:val="000000"/>
        </w:rPr>
        <w:t>.” – Elder v. State, 50 So. 370, 162 Ala. 41.</w:t>
      </w:r>
    </w:p>
    <w:p w:rsidR="007F5B18" w:rsidRPr="006D71DE" w:rsidRDefault="007F5B18" w:rsidP="007F5B18">
      <w:pPr>
        <w:rPr>
          <w:rFonts w:asciiTheme="minorHAnsi" w:hAnsiTheme="minorHAnsi" w:cstheme="minorHAnsi"/>
          <w:color w:val="000000"/>
        </w:rPr>
      </w:pPr>
    </w:p>
    <w:p w:rsidR="007F5B18" w:rsidRPr="006D71DE" w:rsidRDefault="007F5B18" w:rsidP="007F5B18">
      <w:pPr>
        <w:pStyle w:val="Heading4"/>
        <w:rPr>
          <w:rFonts w:asciiTheme="minorHAnsi" w:hAnsiTheme="minorHAnsi" w:cstheme="minorHAnsi"/>
        </w:rPr>
      </w:pPr>
      <w:r w:rsidRPr="006D71DE">
        <w:rPr>
          <w:rFonts w:asciiTheme="minorHAnsi" w:hAnsiTheme="minorHAnsi" w:cstheme="minorHAnsi"/>
        </w:rPr>
        <w:t>Substantially means real, not imaginary</w:t>
      </w:r>
    </w:p>
    <w:p w:rsidR="007F5B18" w:rsidRPr="006D71DE" w:rsidRDefault="007F5B18" w:rsidP="007F5B18">
      <w:pPr>
        <w:rPr>
          <w:rFonts w:asciiTheme="minorHAnsi" w:hAnsiTheme="minorHAnsi" w:cstheme="minorHAnsi"/>
          <w:color w:val="000000"/>
        </w:rPr>
      </w:pPr>
      <w:r w:rsidRPr="006D71DE">
        <w:rPr>
          <w:rFonts w:asciiTheme="minorHAnsi" w:hAnsiTheme="minorHAnsi" w:cstheme="minorHAnsi"/>
          <w:b/>
          <w:color w:val="000000"/>
        </w:rPr>
        <w:t>Wollman ’93</w:t>
      </w:r>
      <w:r w:rsidRPr="006D71DE">
        <w:rPr>
          <w:rFonts w:asciiTheme="minorHAnsi" w:hAnsiTheme="minorHAnsi" w:cstheme="minorHAnsi"/>
          <w:color w:val="000000"/>
        </w:rPr>
        <w:t xml:space="preserve"> (Circuit Judge, US Court of Appeals – 8</w:t>
      </w:r>
      <w:r w:rsidRPr="006D71DE">
        <w:rPr>
          <w:rFonts w:asciiTheme="minorHAnsi" w:hAnsiTheme="minorHAnsi" w:cstheme="minorHAnsi"/>
          <w:color w:val="000000"/>
          <w:vertAlign w:val="superscript"/>
        </w:rPr>
        <w:t>th</w:t>
      </w:r>
      <w:r w:rsidRPr="006D71DE">
        <w:rPr>
          <w:rFonts w:asciiTheme="minorHAnsi" w:hAnsiTheme="minorHAnsi" w:cstheme="minorHAnsi"/>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rsidR="007F5B18" w:rsidRPr="006D71DE" w:rsidRDefault="007F5B18" w:rsidP="007F5B18">
      <w:pPr>
        <w:rPr>
          <w:rFonts w:asciiTheme="minorHAnsi" w:hAnsiTheme="minorHAnsi" w:cstheme="minorHAnsi"/>
          <w:color w:val="000000"/>
        </w:rPr>
      </w:pPr>
    </w:p>
    <w:p w:rsidR="007F5B18" w:rsidRPr="006D71DE" w:rsidRDefault="007F5B18" w:rsidP="007F5B18">
      <w:pPr>
        <w:rPr>
          <w:rFonts w:asciiTheme="minorHAnsi" w:hAnsiTheme="minorHAnsi" w:cstheme="minorHAnsi"/>
          <w:color w:val="000000"/>
        </w:rPr>
      </w:pPr>
      <w:r w:rsidRPr="006D71DE">
        <w:rPr>
          <w:rFonts w:asciiTheme="minorHAnsi" w:hAnsiTheme="minorHAnsi" w:cstheme="minorHAnsi"/>
          <w:color w:val="000000"/>
        </w:rPr>
        <w:t xml:space="preserve">Instruction No. 10 was not given in isolation, however. </w:t>
      </w:r>
      <w:r w:rsidRPr="006D71DE">
        <w:rPr>
          <w:rFonts w:asciiTheme="minorHAnsi" w:hAnsiTheme="minorHAnsi" w:cstheme="minorHAnsi"/>
          <w:color w:val="000000"/>
          <w:u w:val="single"/>
        </w:rPr>
        <w:t>The district court'</w:t>
      </w:r>
      <w:r w:rsidRPr="006D71DE">
        <w:rPr>
          <w:rFonts w:asciiTheme="minorHAnsi" w:hAnsiTheme="minorHAnsi" w:cstheme="minorHAnsi"/>
          <w:color w:val="000000"/>
        </w:rPr>
        <w:t xml:space="preserve">s instructions also contained a definition of "substantial." Instruction No. 11 </w:t>
      </w:r>
      <w:r w:rsidRPr="006D71DE">
        <w:rPr>
          <w:rFonts w:asciiTheme="minorHAnsi" w:hAnsiTheme="minorHAnsi" w:cstheme="minorHAnsi"/>
          <w:color w:val="000000"/>
          <w:u w:val="single"/>
        </w:rPr>
        <w:t>defined "substantial" as meaning "true, real or likely to materialize" and as not meaning "imaginary or unlikely to materialize.</w:t>
      </w:r>
      <w:r w:rsidRPr="006D71DE">
        <w:rPr>
          <w:rFonts w:asciiTheme="minorHAnsi" w:hAnsiTheme="minorHAnsi" w:cstheme="minorHAnsi"/>
          <w:color w:val="000000"/>
        </w:rPr>
        <w:t>"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channelled into deciding whether KCPL had sufficiently studied and honestly considered the likelihood of receiving such a demand notice. That determination is all that the contract required.</w:t>
      </w:r>
    </w:p>
    <w:p w:rsidR="007F5B18" w:rsidRPr="006D71DE" w:rsidRDefault="007F5B18" w:rsidP="007F5B18">
      <w:pPr>
        <w:rPr>
          <w:rFonts w:asciiTheme="minorHAnsi" w:hAnsiTheme="minorHAnsi" w:cstheme="minorHAnsi"/>
        </w:rPr>
      </w:pPr>
    </w:p>
    <w:p w:rsidR="00CF5598" w:rsidRDefault="007F5B18" w:rsidP="00CF5598">
      <w:pPr>
        <w:pStyle w:val="Heading3"/>
      </w:pPr>
      <w:r>
        <w:t>Substantially is quantitative</w:t>
      </w:r>
    </w:p>
    <w:p w:rsidR="00CF5598" w:rsidRDefault="00CF5598" w:rsidP="00CF5598">
      <w:pPr>
        <w:pStyle w:val="Heading4"/>
      </w:pPr>
      <w:r>
        <w:t>Substantial is quantitative</w:t>
      </w:r>
    </w:p>
    <w:p w:rsidR="00CF5598" w:rsidRDefault="00CF5598" w:rsidP="00CF5598">
      <w:r>
        <w:rPr>
          <w:b/>
        </w:rPr>
        <w:t xml:space="preserve">Brennan, 81 – </w:t>
      </w:r>
      <w:r>
        <w:t xml:space="preserve">US Supreme Court Justice (450 U.S. 91 101 S.Ct. 999 67 L.Ed.2d 69 Charles W. STEADMAN, Petitioner, v. SECURITIES AND EXCHANGE COMMISSION. No. 79-1266. Argued Dec. 3, 1980. Decided Feb. 25, 1981., </w:t>
      </w:r>
      <w:hyperlink r:id="rId29" w:history="1">
        <w:r w:rsidRPr="00902CF3">
          <w:rPr>
            <w:rStyle w:val="Hyperlink"/>
          </w:rPr>
          <w:t>http://www.princeton.edu/~achaney/tmve/federal_cases/docs/450_US_91_79-1266.html</w:t>
        </w:r>
      </w:hyperlink>
    </w:p>
    <w:p w:rsidR="00CF5598" w:rsidRPr="00CF5598" w:rsidRDefault="00CF5598" w:rsidP="00CF5598"/>
    <w:p w:rsidR="00CF5598" w:rsidRDefault="00CF5598" w:rsidP="007F5B18">
      <w:r>
        <w:t xml:space="preserve">The language of the statute itself implies the enactment of a standard of proof. By allowing sanctions to be imposed only when they are "in accordance with . . . substantial evidence," Congress implied that a sanction must rest on a minimum quantity of evidence. </w:t>
      </w:r>
      <w:r w:rsidRPr="00CF5598">
        <w:rPr>
          <w:rStyle w:val="Emphasis"/>
        </w:rPr>
        <w:t>The word "substantial" denotes quantity</w:t>
      </w:r>
      <w:r>
        <w:t xml:space="preserve">.16 The phrase "in accordance with . . . substantial evidence" thus requires that a decision be based on a certain quantity of evidence. </w:t>
      </w:r>
      <w:r w:rsidRPr="00CF5598">
        <w:rPr>
          <w:rStyle w:val="StyleUnderline"/>
        </w:rPr>
        <w:t xml:space="preserve">Petitioner's contention that </w:t>
      </w:r>
      <w:r>
        <w:t xml:space="preserve">the phrase "reliable, probative, and </w:t>
      </w:r>
      <w:r w:rsidRPr="00CF5598">
        <w:rPr>
          <w:rStyle w:val="StyleUnderline"/>
        </w:rPr>
        <w:t xml:space="preserve">substantial evidence" sets merely a standard of quality of evidence is, </w:t>
      </w:r>
      <w:r>
        <w:t xml:space="preserve">therefore, </w:t>
      </w:r>
      <w:r w:rsidRPr="00CF5598">
        <w:rPr>
          <w:rStyle w:val="StyleUnderline"/>
        </w:rPr>
        <w:t>unpersuasive</w:t>
      </w:r>
      <w:r>
        <w:t>.17</w:t>
      </w:r>
    </w:p>
    <w:p w:rsidR="00CF5598" w:rsidRPr="007F5B18" w:rsidRDefault="00CF5598" w:rsidP="007F5B18"/>
    <w:p w:rsidR="007F5B18" w:rsidRPr="006D71DE" w:rsidRDefault="007F5B18" w:rsidP="007F5B18">
      <w:pPr>
        <w:rPr>
          <w:rFonts w:asciiTheme="minorHAnsi" w:hAnsiTheme="minorHAnsi" w:cstheme="minorHAnsi"/>
          <w:color w:val="000000"/>
        </w:rPr>
      </w:pPr>
    </w:p>
    <w:p w:rsidR="007F5B18" w:rsidRPr="007F5B18" w:rsidRDefault="007F5B18" w:rsidP="007F5B18"/>
    <w:p w:rsidR="009131C8" w:rsidRDefault="009131C8" w:rsidP="009131C8">
      <w:pPr>
        <w:pStyle w:val="Heading1"/>
      </w:pPr>
      <w:r>
        <w:t>Restrictions</w:t>
      </w:r>
    </w:p>
    <w:p w:rsidR="009131C8" w:rsidRDefault="009131C8" w:rsidP="009131C8"/>
    <w:p w:rsidR="00AC491E" w:rsidRDefault="00AC491E" w:rsidP="00AC491E">
      <w:pPr>
        <w:pStyle w:val="Heading3"/>
      </w:pPr>
      <w:r>
        <w:t>Reduce restrictions: lift cap or admissibility</w:t>
      </w:r>
    </w:p>
    <w:p w:rsidR="00AC491E" w:rsidRDefault="00AC491E" w:rsidP="00AC491E"/>
    <w:p w:rsidR="00AC491E" w:rsidRDefault="00AC491E" w:rsidP="00AC491E">
      <w:pPr>
        <w:pStyle w:val="Heading4"/>
      </w:pPr>
      <w:r>
        <w:t>Reducing restrictions means lifting caps or easing admissibility requirements</w:t>
      </w:r>
    </w:p>
    <w:p w:rsidR="00AC491E" w:rsidRDefault="00AC491E" w:rsidP="00AC491E">
      <w:r>
        <w:rPr>
          <w:b/>
        </w:rPr>
        <w:t xml:space="preserve">Lowell, 7 </w:t>
      </w:r>
      <w:r>
        <w:t xml:space="preserve">- Director of Policy Studies, Institute for the Study of International Migration, Georgetown University (B. Lindsay, “Trends in International Migration Flows and Stocks, 1975-2005” </w:t>
      </w:r>
      <w:hyperlink r:id="rId30" w:history="1">
        <w:r w:rsidRPr="0014512C">
          <w:rPr>
            <w:rStyle w:val="Hyperlink"/>
          </w:rPr>
          <w:t>http://www.oecd.org/migration/mig/39415229.pdf</w:t>
        </w:r>
      </w:hyperlink>
    </w:p>
    <w:p w:rsidR="00AC491E" w:rsidRPr="00DA3E99" w:rsidRDefault="00AC491E" w:rsidP="00AC491E"/>
    <w:p w:rsidR="00AC491E" w:rsidRDefault="00AC491E" w:rsidP="00AC491E">
      <w:r>
        <w:t xml:space="preserve">22. However, whereas some researchers believe that policies reflect the political economy and play only an indirect role in the level of mobility, they raise some interesting points. They do not necessarily agree on whether policies impose a cost affecting migrants’ decisions or are a quantity constraint that conditions the impacts of push/pull factors. But empirical analyses find that policies matter. Analysis of emigration to the United States finds that quota consolidations reduced Asian immigration in the 1970s while the legalization of nearly 3 million workers doubled Latino migration in the 1990s.10 At the same time, an analysis of emigration to 14 nations found that pull factors are the dominant driver and that push factors play no substantive role. So this analysis based on a large sample of nations suggests that economic pull factors are the driving force of international flows.11 In fact, an interaction of policy regimes with pull variables suggests that laxer admission policies increase the power of pull factors in the host economy.12 As long as economic conditions favor migration, then </w:t>
      </w:r>
      <w:r w:rsidRPr="00DA3E99">
        <w:rPr>
          <w:rStyle w:val="StyleUnderline"/>
        </w:rPr>
        <w:t xml:space="preserve">reducing restrictions on immigration, by either </w:t>
      </w:r>
      <w:r w:rsidRPr="00DA3E99">
        <w:rPr>
          <w:rStyle w:val="Emphasis"/>
        </w:rPr>
        <w:t>lifting caps</w:t>
      </w:r>
      <w:r w:rsidRPr="00DA3E99">
        <w:rPr>
          <w:rStyle w:val="StyleUnderline"/>
        </w:rPr>
        <w:t xml:space="preserve"> or </w:t>
      </w:r>
      <w:r w:rsidRPr="00DA3E99">
        <w:rPr>
          <w:rStyle w:val="Emphasis"/>
        </w:rPr>
        <w:t>easing admission requirements</w:t>
      </w:r>
      <w:r w:rsidRPr="00DA3E99">
        <w:rPr>
          <w:rStyle w:val="StyleUnderline"/>
        </w:rPr>
        <w:t xml:space="preserve">, should increase </w:t>
      </w:r>
      <w:r w:rsidRPr="00FC39F9">
        <w:rPr>
          <w:rStyle w:val="Emphasis"/>
        </w:rPr>
        <w:t>overall</w:t>
      </w:r>
      <w:r w:rsidRPr="00DA3E99">
        <w:rPr>
          <w:rStyle w:val="StyleUnderline"/>
        </w:rPr>
        <w:t xml:space="preserve"> levels of immigration</w:t>
      </w:r>
      <w:r>
        <w:t xml:space="preserve">. This is hardly a surprising conclusion but it is at least consistent with recent trends in skilled mobility. </w:t>
      </w:r>
    </w:p>
    <w:p w:rsidR="00AC491E" w:rsidRPr="00AC491E" w:rsidRDefault="00AC491E" w:rsidP="00AC491E"/>
    <w:p w:rsidR="009131C8" w:rsidRDefault="00AC491E" w:rsidP="009131C8">
      <w:pPr>
        <w:pStyle w:val="Heading3"/>
      </w:pPr>
      <w:r>
        <w:t>N</w:t>
      </w:r>
      <w:r w:rsidR="009131C8">
        <w:t>o new visa</w:t>
      </w:r>
    </w:p>
    <w:p w:rsidR="009131C8" w:rsidRDefault="009131C8" w:rsidP="009131C8"/>
    <w:p w:rsidR="009131C8" w:rsidRPr="003D4CB0" w:rsidRDefault="009131C8" w:rsidP="009131C8">
      <w:pPr>
        <w:pStyle w:val="Heading4"/>
        <w:rPr>
          <w:b w:val="0"/>
        </w:rPr>
      </w:pPr>
      <w:r>
        <w:t xml:space="preserve">Creating a new visa requires creating new restrictions that determine eligibility – it’s a </w:t>
      </w:r>
      <w:r>
        <w:rPr>
          <w:u w:val="single"/>
        </w:rPr>
        <w:t>distinct option</w:t>
      </w:r>
      <w:r>
        <w:t xml:space="preserve"> from reducing restrictions</w:t>
      </w:r>
    </w:p>
    <w:p w:rsidR="009131C8" w:rsidRDefault="009131C8" w:rsidP="009131C8">
      <w:r>
        <w:rPr>
          <w:b/>
        </w:rPr>
        <w:t xml:space="preserve">Mohan, 13 </w:t>
      </w:r>
      <w:r>
        <w:t>– JD, University of Houston (Sushant Mohan, Falling through the Cracks: How the Current Immigration System Forgets Foreign Children Studying within the United States, 51 Hous. L. Rev. 645 (2013), Hein Online</w:t>
      </w:r>
    </w:p>
    <w:p w:rsidR="009131C8" w:rsidRPr="003D4CB0" w:rsidRDefault="009131C8" w:rsidP="009131C8"/>
    <w:p w:rsidR="009131C8" w:rsidRDefault="009131C8" w:rsidP="009131C8">
      <w:r>
        <w:t xml:space="preserve">Perhaps, instead of tweaking many of the current immigration rules, </w:t>
      </w:r>
      <w:r w:rsidRPr="003D4CB0">
        <w:rPr>
          <w:rStyle w:val="StyleUnderline"/>
        </w:rPr>
        <w:t xml:space="preserve">Congress should </w:t>
      </w:r>
      <w:r w:rsidRPr="003D4CB0">
        <w:rPr>
          <w:rStyle w:val="Emphasis"/>
        </w:rPr>
        <w:t>create a new set of rules</w:t>
      </w:r>
      <w:r>
        <w:rPr>
          <w:rStyle w:val="Emphasis"/>
        </w:rPr>
        <w:t xml:space="preserve"> </w:t>
      </w:r>
      <w:r w:rsidRPr="003D4CB0">
        <w:t>applicable to former dependents.</w:t>
      </w:r>
      <w:r>
        <w:t xml:space="preserve"> </w:t>
      </w:r>
      <w:r w:rsidRPr="003D4CB0">
        <w:rPr>
          <w:rStyle w:val="Emphasis"/>
        </w:rPr>
        <w:t>By creating a new visa category,</w:t>
      </w:r>
      <w:r>
        <w:rPr>
          <w:rStyle w:val="Emphasis"/>
        </w:rPr>
        <w:t xml:space="preserve"> </w:t>
      </w:r>
      <w:r>
        <w:t>specifically for those individuals who fall out of the status of their parents, the United States could make significant strides in making its immigration system more humane and more family-friendly.23' The new visa would be available to former dependents who arrived to the United States before a certain age, such as sixteen. 32 This visa would allow the dependents the right to stay and work in the United States until a certain age, such as twenty-five. After the maturity of the visa, the visa holders would have to apply for a new visa and would revert back to the former immigration system of H-1B visas and EB category of visas. However, because the dependents acquired work experience while on this new visa, they may have improved chances of securing such employment visas.233 Additionally, by having a new visa category for former H-4 visa holders, dependents could escape the highly competitive field of H-1B and EB visas when they graduate college. 34 In a visa population pool filled with scientists, entertainers, and athletes,235 recent college graduates stand little to no chance, especially when only a certain number of visas can be granted in any given year.236 This new visa would also remedy the dissimilar treatment given to high school and college graduates.237 Recall that an H-4 visa expires at the age of twenty-one and is replaced by an F-1 visa if the former child is enrolled in an American college.23 For those students not enrolled in college, the American journey comes to an abrupt end.239 By providing this new visa to both high school and college graduates, and providing them with the same amount of time to find employment, the United States would not be implicitly punishing those who did not pursue a college education.</w:t>
      </w:r>
    </w:p>
    <w:p w:rsidR="009131C8" w:rsidRDefault="009131C8" w:rsidP="009131C8">
      <w:r>
        <w:t xml:space="preserve">In essence, </w:t>
      </w:r>
      <w:r w:rsidRPr="003D4CB0">
        <w:rPr>
          <w:rStyle w:val="StyleUnderline"/>
        </w:rPr>
        <w:t xml:space="preserve">whether Congress </w:t>
      </w:r>
      <w:r w:rsidRPr="003D4CB0">
        <w:rPr>
          <w:rStyle w:val="Emphasis"/>
        </w:rPr>
        <w:t>dissolves the restrictions</w:t>
      </w:r>
      <w:r>
        <w:rPr>
          <w:rStyle w:val="StyleUnderline"/>
        </w:rPr>
        <w:t xml:space="preserve"> </w:t>
      </w:r>
      <w:r w:rsidRPr="003D4CB0">
        <w:rPr>
          <w:rStyle w:val="StyleUnderline"/>
        </w:rPr>
        <w:t>around the ability to work</w:t>
      </w:r>
      <w:r>
        <w:t xml:space="preserve">, does away with the strict deadline of sixty days, </w:t>
      </w:r>
      <w:r w:rsidRPr="003D4CB0">
        <w:rPr>
          <w:rStyle w:val="Emphasis"/>
        </w:rPr>
        <w:t>or</w:t>
      </w:r>
      <w:r>
        <w:t xml:space="preserve"> even </w:t>
      </w:r>
      <w:r w:rsidRPr="003D4CB0">
        <w:rPr>
          <w:rStyle w:val="Emphasis"/>
        </w:rPr>
        <w:t>comes up with an entire new visa</w:t>
      </w:r>
      <w:r>
        <w:t xml:space="preserve"> for former dependents, </w:t>
      </w:r>
      <w:r w:rsidRPr="003D4CB0">
        <w:rPr>
          <w:rStyle w:val="StyleUnderline"/>
        </w:rPr>
        <w:t>all solutions simply allow dependents more time to</w:t>
      </w:r>
      <w:r>
        <w:rPr>
          <w:rStyle w:val="StyleUnderline"/>
        </w:rPr>
        <w:t xml:space="preserve"> </w:t>
      </w:r>
      <w:r w:rsidRPr="003D4CB0">
        <w:rPr>
          <w:rStyle w:val="StyleUnderline"/>
        </w:rPr>
        <w:t>earn the right to live in the U</w:t>
      </w:r>
      <w:r>
        <w:t xml:space="preserve">nited </w:t>
      </w:r>
      <w:r w:rsidRPr="003D4CB0">
        <w:rPr>
          <w:rStyle w:val="StyleUnderline"/>
        </w:rPr>
        <w:t>S</w:t>
      </w:r>
      <w:r>
        <w:t>tates. The current framework of H-1B and EB visas can continue to exist. However, the requirements and restrictions of these employment visas are more applicable to accomplished professionals outside the United States rather than fledgling foreign graduates within the United States. Thus, the solutions listed above delay, rather than destroy, the current immigration system as it relates to former dependents and their interaction with H-1B and EB visas. By allowing dependents more time to earn an American life, the United States promotes fairness, civility, and family.</w:t>
      </w:r>
    </w:p>
    <w:p w:rsidR="009131C8" w:rsidRDefault="009131C8" w:rsidP="009131C8"/>
    <w:p w:rsidR="004377BD" w:rsidRPr="004377BD" w:rsidRDefault="004377BD" w:rsidP="004377BD"/>
    <w:p w:rsidR="004377BD" w:rsidRDefault="004377BD" w:rsidP="004377BD">
      <w:pPr>
        <w:pStyle w:val="Heading3"/>
      </w:pPr>
      <w:r>
        <w:t>AT: No new visa</w:t>
      </w:r>
    </w:p>
    <w:p w:rsidR="004377BD" w:rsidRDefault="004377BD" w:rsidP="004377BD"/>
    <w:p w:rsidR="004377BD" w:rsidRDefault="004377BD" w:rsidP="004377BD">
      <w:pPr>
        <w:pStyle w:val="Heading4"/>
      </w:pPr>
      <w:r>
        <w:t>New visas can net reduce restrictions</w:t>
      </w:r>
    </w:p>
    <w:p w:rsidR="004377BD" w:rsidRDefault="004377BD" w:rsidP="004377BD">
      <w:r>
        <w:rPr>
          <w:b/>
        </w:rPr>
        <w:t xml:space="preserve">Facchini, 11 - </w:t>
      </w:r>
      <w:r w:rsidRPr="00125D7D">
        <w:t xml:space="preserve">PhD in Economics from Stanford University in 2001 and a Laurea in Economics from the University of Trento </w:t>
      </w:r>
      <w:r>
        <w:t>(Giovanni, “Do interest groups affect US immigration policy?” Journal of International Economics, v85 n1, September, science direct)</w:t>
      </w:r>
    </w:p>
    <w:p w:rsidR="004377BD" w:rsidRDefault="004377BD" w:rsidP="004377BD"/>
    <w:p w:rsidR="004377BD" w:rsidRDefault="004377BD" w:rsidP="004377BD">
      <w:r>
        <w:t xml:space="preserve">In addition, </w:t>
      </w:r>
      <w:r w:rsidRPr="00125D7D">
        <w:t xml:space="preserve">new visa categories have been introduced </w:t>
      </w:r>
      <w:r>
        <w:t xml:space="preserve">as the result of lobbying activities. An interesting example is the case of H2R visas. In 2005, the quota for H2B visas was filled with none of them going to the seafood industry in Maryland.5 This industry started heavy lobbying of the Maryland senator Barbara A. Mikulski, who was able to add a last-minute amendment to the Tsunami Relief Act (Cox News May 4, 2006). As a result, </w:t>
      </w:r>
      <w:r w:rsidRPr="00125D7D">
        <w:rPr>
          <w:rStyle w:val="StyleUnderline"/>
        </w:rPr>
        <w:t>a new visa category was introduced—the H2</w:t>
      </w:r>
      <w:r>
        <w:rPr>
          <w:rStyle w:val="StyleUnderline"/>
        </w:rPr>
        <w:t>R</w:t>
      </w:r>
      <w:r w:rsidRPr="00125D7D">
        <w:rPr>
          <w:rStyle w:val="StyleUnderline"/>
        </w:rPr>
        <w:t>—whose requirements are the same as for H2B visas, but there is no quota</w:t>
      </w:r>
      <w:r>
        <w:t xml:space="preserve">. </w:t>
      </w:r>
      <w:r w:rsidRPr="00125D7D">
        <w:rPr>
          <w:rStyle w:val="StyleUnderline"/>
        </w:rPr>
        <w:t>This has substantially expanded the number</w:t>
      </w:r>
      <w:r>
        <w:t xml:space="preserve"> of temporary, non-agricultural workers </w:t>
      </w:r>
      <w:r w:rsidRPr="00125D7D">
        <w:rPr>
          <w:rStyle w:val="StyleUnderline"/>
        </w:rPr>
        <w:t>allowed to enter the country</w:t>
      </w:r>
      <w:r>
        <w:t>.</w:t>
      </w:r>
    </w:p>
    <w:p w:rsidR="004377BD" w:rsidRDefault="004377BD" w:rsidP="004377BD"/>
    <w:p w:rsidR="004377BD" w:rsidRPr="004377BD" w:rsidRDefault="004377BD" w:rsidP="004377BD"/>
    <w:p w:rsidR="009131C8" w:rsidRDefault="009131C8" w:rsidP="009131C8">
      <w:pPr>
        <w:pStyle w:val="Heading3"/>
      </w:pPr>
      <w:r>
        <w:t>AT: Effects</w:t>
      </w:r>
    </w:p>
    <w:p w:rsidR="009131C8" w:rsidRDefault="009131C8" w:rsidP="009131C8"/>
    <w:p w:rsidR="009131C8" w:rsidRDefault="009131C8" w:rsidP="009131C8">
      <w:pPr>
        <w:pStyle w:val="Heading4"/>
      </w:pPr>
      <w:r>
        <w:t xml:space="preserve">A restriction requires </w:t>
      </w:r>
      <w:r>
        <w:rPr>
          <w:u w:val="single"/>
        </w:rPr>
        <w:t>direct targeting</w:t>
      </w:r>
      <w:r>
        <w:t xml:space="preserve"> – at best, the affirmative removes a </w:t>
      </w:r>
      <w:r w:rsidRPr="002B2E2E">
        <w:rPr>
          <w:u w:val="single"/>
        </w:rPr>
        <w:t>burden</w:t>
      </w:r>
      <w:r>
        <w:t xml:space="preserve"> on immigration</w:t>
      </w:r>
    </w:p>
    <w:p w:rsidR="009131C8" w:rsidRDefault="009131C8" w:rsidP="009131C8">
      <w:r w:rsidRPr="002B2E2E">
        <w:rPr>
          <w:b/>
        </w:rPr>
        <w:t>Todres, 2k</w:t>
      </w:r>
      <w:r>
        <w:t xml:space="preserve"> - Associate with Davis Polk &amp; Wardwell. He holds a B.A. from Clark University and a J.D. from Columbia Law School. (Jonathan Todres, Lessons from the Trade Arena: A Proposal to Change U.S. Immigration Law for the Benefit of U.S. Workers, 1 San Diego Int'l L.J. 49 (2000), Hein Online) //DH</w:t>
      </w:r>
    </w:p>
    <w:p w:rsidR="009131C8" w:rsidRPr="002B2E2E" w:rsidRDefault="009131C8" w:rsidP="009131C8"/>
    <w:p w:rsidR="009131C8" w:rsidRDefault="009131C8" w:rsidP="009131C8">
      <w:r>
        <w:t>69. See 19 U.S.C. § 2411(b) (1994). Some criticize the language of section 301 as vague and too broad. For example, section 301 does not explicitly require any demonstration of actual injury to the petitioning industry, unlike antidumping or countervailing duty laws. See Michael K. Young, The Fundamentals of United States Trade Law and Policy 90 (unpublished manuscript on file in Columbia Law Library). Young states that "[</w:t>
      </w:r>
      <w:r w:rsidRPr="002B2E2E">
        <w:rPr>
          <w:rStyle w:val="StyleUnderline"/>
        </w:rPr>
        <w:t xml:space="preserve">a] restriction appears to require </w:t>
      </w:r>
      <w:r>
        <w:t xml:space="preserve">more </w:t>
      </w:r>
      <w:r w:rsidRPr="002B2E2E">
        <w:rPr>
          <w:rStyle w:val="Emphasis"/>
        </w:rPr>
        <w:t>direct targeting</w:t>
      </w:r>
      <w:r>
        <w:t xml:space="preserve"> of American (or, at least foreign) goods. </w:t>
      </w:r>
      <w:r w:rsidRPr="002B2E2E">
        <w:rPr>
          <w:rStyle w:val="StyleUnderline"/>
        </w:rPr>
        <w:t>A burden, on the other hand, may simply be the inadvertent side-effect of some</w:t>
      </w:r>
      <w:r>
        <w:t xml:space="preserve"> general governmental </w:t>
      </w:r>
      <w:r w:rsidRPr="002B2E2E">
        <w:rPr>
          <w:rStyle w:val="StyleUnderline"/>
        </w:rPr>
        <w:t xml:space="preserve">policy </w:t>
      </w:r>
      <w:r>
        <w:t xml:space="preserve">or process </w:t>
      </w:r>
      <w:r w:rsidRPr="002B2E2E">
        <w:rPr>
          <w:rStyle w:val="StyleUnderline"/>
        </w:rPr>
        <w:t>that makes it somewhat more difficult</w:t>
      </w:r>
      <w:r>
        <w:t xml:space="preserve"> for American companies to compete." Id. at 91. An exploration of this issue, however, is beyond the scope of this Article.</w:t>
      </w:r>
    </w:p>
    <w:p w:rsidR="009131C8" w:rsidRPr="009131C8" w:rsidRDefault="009131C8" w:rsidP="009131C8"/>
    <w:p w:rsidR="00AC491E" w:rsidRDefault="00AC491E" w:rsidP="00AC491E">
      <w:pPr>
        <w:pStyle w:val="Heading1"/>
      </w:pPr>
      <w:r>
        <w:t>Adjustment of status</w:t>
      </w:r>
    </w:p>
    <w:p w:rsidR="00AC491E" w:rsidRDefault="00AC491E" w:rsidP="00AC491E"/>
    <w:p w:rsidR="00AC491E" w:rsidRDefault="00AC491E" w:rsidP="00AC491E">
      <w:pPr>
        <w:pStyle w:val="Heading3"/>
      </w:pPr>
      <w:r>
        <w:t>Adjustment of status unlimits</w:t>
      </w:r>
    </w:p>
    <w:p w:rsidR="00AC491E" w:rsidRDefault="00AC491E" w:rsidP="00AC491E"/>
    <w:p w:rsidR="00AC491E" w:rsidRDefault="00AC491E" w:rsidP="00AC491E">
      <w:pPr>
        <w:pStyle w:val="Heading4"/>
      </w:pPr>
      <w:r>
        <w:t>There are over 40 different ways to adjust status</w:t>
      </w:r>
    </w:p>
    <w:p w:rsidR="00AC491E" w:rsidRDefault="00AC491E" w:rsidP="00AC491E">
      <w:r>
        <w:rPr>
          <w:b/>
        </w:rPr>
        <w:t xml:space="preserve">USCIS, 18 </w:t>
      </w:r>
      <w:r>
        <w:t xml:space="preserve">– US Citizenship and Immigration Service (Policy Manual, Current as of 5/23/18, “Chapter 2 – Eligibility Requirements”, </w:t>
      </w:r>
      <w:hyperlink r:id="rId31" w:history="1">
        <w:r w:rsidRPr="0014512C">
          <w:rPr>
            <w:rStyle w:val="Hyperlink"/>
          </w:rPr>
          <w:t>https://www.uscis.gov/policymanual/HTML/PolicyManual-Volume7-PartA-Chapter2.html</w:t>
        </w:r>
      </w:hyperlink>
    </w:p>
    <w:p w:rsidR="00AC491E" w:rsidRPr="00664E49" w:rsidRDefault="00AC491E" w:rsidP="00AC491E"/>
    <w:p w:rsidR="00AC491E" w:rsidRDefault="00AC491E" w:rsidP="00AC491E">
      <w:r w:rsidRPr="00664E49">
        <w:rPr>
          <w:rStyle w:val="StyleUnderline"/>
        </w:rPr>
        <w:t>The</w:t>
      </w:r>
      <w:r>
        <w:t xml:space="preserve"> Immigration and Nationality Act (</w:t>
      </w:r>
      <w:r w:rsidRPr="00664E49">
        <w:rPr>
          <w:rStyle w:val="StyleUnderline"/>
        </w:rPr>
        <w:t xml:space="preserve">INA) and certain other federal laws provide </w:t>
      </w:r>
      <w:r w:rsidRPr="00664E49">
        <w:rPr>
          <w:rStyle w:val="Emphasis"/>
        </w:rPr>
        <w:t>over forty different ways</w:t>
      </w:r>
      <w:r w:rsidRPr="00664E49">
        <w:rPr>
          <w:rStyle w:val="StyleUnderline"/>
        </w:rPr>
        <w:t xml:space="preserve"> for foreign nationals to adjust status to lawful permanent residence.</w:t>
      </w:r>
      <w:r>
        <w:t xml:space="preserve"> Foreign nationals may only adjust under a particular basis if they meet the eligibility requirements for that basis at the time of filing the Application to Register Permanent Residence or Adjust Status (Form I-485). Eligibility requirements vary, depending on the specific basis for adjustment. [1] </w:t>
      </w:r>
    </w:p>
    <w:p w:rsidR="00AC491E" w:rsidRPr="009131C8" w:rsidRDefault="00AC491E" w:rsidP="00AC491E"/>
    <w:p w:rsidR="009131C8" w:rsidRDefault="009131C8" w:rsidP="009131C8">
      <w:pPr>
        <w:pStyle w:val="Heading1"/>
      </w:pPr>
      <w:r>
        <w:t>Nonimmigrants</w:t>
      </w:r>
    </w:p>
    <w:p w:rsidR="009131C8" w:rsidRDefault="009131C8" w:rsidP="009131C8"/>
    <w:p w:rsidR="009131C8" w:rsidRDefault="009131C8" w:rsidP="009131C8">
      <w:pPr>
        <w:pStyle w:val="Heading3"/>
      </w:pPr>
      <w:r>
        <w:t>H-1B link</w:t>
      </w:r>
    </w:p>
    <w:p w:rsidR="009131C8" w:rsidRDefault="009131C8" w:rsidP="009131C8"/>
    <w:p w:rsidR="009131C8" w:rsidRDefault="009131C8" w:rsidP="009131C8">
      <w:pPr>
        <w:pStyle w:val="Heading4"/>
        <w:shd w:val="clear" w:color="auto" w:fill="FFFFFF"/>
        <w:spacing w:before="40" w:line="278" w:lineRule="atLeast"/>
        <w:rPr>
          <w:rFonts w:cs="Calibri"/>
          <w:color w:val="222222"/>
          <w:szCs w:val="26"/>
        </w:rPr>
      </w:pPr>
      <w:r>
        <w:rPr>
          <w:rFonts w:cs="Calibri"/>
          <w:color w:val="222222"/>
          <w:szCs w:val="26"/>
        </w:rPr>
        <w:t>H1-Bs and temporary visas are not immigration</w:t>
      </w:r>
    </w:p>
    <w:p w:rsidR="009131C8" w:rsidRDefault="009131C8" w:rsidP="009131C8">
      <w:r w:rsidRPr="00BE204B">
        <w:rPr>
          <w:b/>
        </w:rPr>
        <w:t>Hira 16</w:t>
      </w:r>
      <w:r w:rsidRPr="00BE204B">
        <w:t> - associate professor of public policy at Rochester Institute of Technology and associate with the Economic Policy Institute (Ron Hira, “Broad STEM Grad Green Card Exemptions Would Distort Labor Market”, 25 May 2012,</w:t>
      </w:r>
      <w:hyperlink r:id="rId32" w:tgtFrame="_blank" w:history="1">
        <w:r w:rsidRPr="00BE204B">
          <w:rPr>
            <w:rStyle w:val="Hyperlink"/>
          </w:rPr>
          <w:t>https://www.usnews.com/debate-club/should-foreign-stem-graduates-get-green-cards/broad-stem-grad-green-card-exemptions-would-distort-labor-market)//abaime</w:t>
        </w:r>
      </w:hyperlink>
    </w:p>
    <w:p w:rsidR="009131C8" w:rsidRPr="00BE204B" w:rsidRDefault="009131C8" w:rsidP="009131C8"/>
    <w:p w:rsidR="009131C8" w:rsidRDefault="009131C8" w:rsidP="009131C8">
      <w:pPr>
        <w:shd w:val="clear" w:color="auto" w:fill="FFFFFF"/>
        <w:spacing w:line="235" w:lineRule="atLeast"/>
        <w:rPr>
          <w:color w:val="222222"/>
        </w:rPr>
      </w:pPr>
      <w:r>
        <w:rPr>
          <w:color w:val="222222"/>
        </w:rPr>
        <w:t>&lt;VII. </w:t>
      </w:r>
      <w:r>
        <w:rPr>
          <w:rStyle w:val="Emphasis"/>
          <w:b w:val="0"/>
          <w:bCs/>
          <w:i/>
          <w:iCs w:val="0"/>
          <w:color w:val="222222"/>
          <w:bdr w:val="none" w:sz="0" w:space="0" w:color="auto" w:frame="1"/>
        </w:rPr>
        <w:t>The H-1B program is a guestworker program – not immigration. </w:t>
      </w:r>
      <w:r>
        <w:rPr>
          <w:color w:val="222222"/>
          <w:u w:val="single"/>
        </w:rPr>
        <w:t>Most H-1Bs are not sponsored for permanent residence, and the leading H-1B employers sponsor virtually none of their H-1Bs for greencards.</w:t>
      </w:r>
    </w:p>
    <w:p w:rsidR="009131C8" w:rsidRDefault="009131C8" w:rsidP="009131C8">
      <w:pPr>
        <w:shd w:val="clear" w:color="auto" w:fill="FFFFFF"/>
        <w:spacing w:line="235" w:lineRule="atLeast"/>
        <w:rPr>
          <w:color w:val="222222"/>
        </w:rPr>
      </w:pPr>
      <w:r>
        <w:rPr>
          <w:rStyle w:val="m-696287448254538171gmail-styleunderline"/>
          <w:color w:val="222222"/>
        </w:rPr>
        <w:t>H-1B advocates often conflate the H-1B with a legal permanent residence</w:t>
      </w:r>
      <w:r>
        <w:rPr>
          <w:color w:val="222222"/>
        </w:rPr>
        <w:t> (a greencard). </w:t>
      </w:r>
      <w:r>
        <w:rPr>
          <w:rStyle w:val="m-696287448254538171gmail-styleunderline"/>
          <w:color w:val="222222"/>
        </w:rPr>
        <w:t>The H1B program is a temporary non-immigrant work permit. An H-1B is not legal permanent residence</w:t>
      </w:r>
      <w:r>
        <w:rPr>
          <w:color w:val="222222"/>
        </w:rPr>
        <w:t> (a greencard). </w:t>
      </w:r>
      <w:r>
        <w:rPr>
          <w:color w:val="222222"/>
          <w:u w:val="single"/>
        </w:rPr>
        <w:t>The employer holds the visa, not the worker, and if the H-1B worker is laid off he must leave the U.S. This provides enormous leverage over the H-1B worker. The employer, not the worker, has the discretion of applying for a greencard for an H-1B worker. And most of the top H-1B employers don't sponsor their H-1B workers for greencards</w:t>
      </w:r>
      <w:r>
        <w:rPr>
          <w:color w:val="222222"/>
        </w:rPr>
        <w:t>. By my </w:t>
      </w:r>
      <w:r>
        <w:rPr>
          <w:rStyle w:val="Emphasis"/>
          <w:b w:val="0"/>
          <w:bCs/>
          <w:i/>
          <w:iCs w:val="0"/>
          <w:color w:val="222222"/>
          <w:bdr w:val="none" w:sz="0" w:space="0" w:color="auto" w:frame="1"/>
        </w:rPr>
        <w:t>estimates less than half of H-1Bs are being sponsored for greencards</w:t>
      </w:r>
      <w:r>
        <w:rPr>
          <w:color w:val="222222"/>
        </w:rPr>
        <w:t>. As the table 3 below shows, most of the top H-1B employers are using the program for temporary labor - as a vehicle to outsource jobs overseas rather than as a bridge to permanent immigration. To use one example – U.S. based offshore outsourcing behemoth Cognizant received 4,293 H1Bs yet applied for a mere 57 greencards for its H-1B workers in FY14. That is a 1% rate, or 1 greencard application for every 75 H-1B workers. India based offshore outsourcing giant Wipro received more than three-thousand H-1B workers and applied for exactly ZERO greencards for its H-1B workers in FY14. &gt;</w:t>
      </w:r>
    </w:p>
    <w:p w:rsidR="004377BD" w:rsidRDefault="004377BD" w:rsidP="009131C8">
      <w:pPr>
        <w:shd w:val="clear" w:color="auto" w:fill="FFFFFF"/>
        <w:spacing w:line="235" w:lineRule="atLeast"/>
        <w:rPr>
          <w:color w:val="222222"/>
        </w:rPr>
      </w:pPr>
    </w:p>
    <w:p w:rsidR="004377BD" w:rsidRDefault="004377BD" w:rsidP="004377BD">
      <w:pPr>
        <w:pStyle w:val="Heading3"/>
      </w:pPr>
      <w:r>
        <w:t>U visa link</w:t>
      </w:r>
    </w:p>
    <w:p w:rsidR="004377BD" w:rsidRDefault="004377BD" w:rsidP="004377BD"/>
    <w:p w:rsidR="004377BD" w:rsidRDefault="004377BD" w:rsidP="004377BD">
      <w:pPr>
        <w:pStyle w:val="Heading4"/>
      </w:pPr>
      <w:r>
        <w:t>U visa is a nonimmigrant visa – LPR status isn’t guaranteed</w:t>
      </w:r>
    </w:p>
    <w:p w:rsidR="004377BD" w:rsidRDefault="004377BD" w:rsidP="004377BD">
      <w:pPr>
        <w:rPr>
          <w:b/>
        </w:rPr>
      </w:pPr>
      <w:r>
        <w:rPr>
          <w:b/>
        </w:rPr>
        <w:t xml:space="preserve">Quinto, 13 - </w:t>
      </w:r>
      <w:r w:rsidRPr="00564A38">
        <w:t>J.D., 2013. Rutgers School of Law – (Olivia Quinto, In a Desert Selling Water: Expanding the U-Visa to Victims of Notario Fraud and Other Unauthorized Practices of Law, 14 Rutgers Race &amp; L. Rev 203 (2013), Hein Online)</w:t>
      </w:r>
    </w:p>
    <w:p w:rsidR="004377BD" w:rsidRDefault="004377BD" w:rsidP="004377BD">
      <w:pPr>
        <w:rPr>
          <w:b/>
        </w:rPr>
      </w:pPr>
    </w:p>
    <w:p w:rsidR="004377BD" w:rsidRPr="00564A38" w:rsidRDefault="004377BD" w:rsidP="004377BD">
      <w:r w:rsidRPr="00564A38">
        <w:t xml:space="preserve">A second critique of U-Visa expansion argues that it would function much like an amnesty program, providing paperless migrants with a backdoor to legal status. This view distorts reality. </w:t>
      </w:r>
      <w:r w:rsidRPr="00564A38">
        <w:rPr>
          <w:rStyle w:val="StyleUnderline"/>
        </w:rPr>
        <w:t>The U-Visa</w:t>
      </w:r>
      <w:r w:rsidRPr="00564A38">
        <w:t xml:space="preserve"> is not an amnesty program. First, it </w:t>
      </w:r>
      <w:r w:rsidRPr="00564A38">
        <w:rPr>
          <w:rStyle w:val="StyleUnderline"/>
        </w:rPr>
        <w:t>provides temporary immigration relief</w:t>
      </w:r>
      <w:r w:rsidRPr="00564A38">
        <w:t xml:space="preserve">. Second, </w:t>
      </w:r>
      <w:r w:rsidRPr="00564A38">
        <w:rPr>
          <w:rStyle w:val="StyleUnderline"/>
        </w:rPr>
        <w:t xml:space="preserve">although a UVisa recipient may eventually apply for permanent resident status, </w:t>
      </w:r>
      <w:r w:rsidRPr="00564A38">
        <w:rPr>
          <w:rStyle w:val="Emphasis"/>
        </w:rPr>
        <w:t>approval is not guaranteed.</w:t>
      </w:r>
      <w:r w:rsidRPr="00564A38">
        <w:t xml:space="preserve"> </w:t>
      </w:r>
      <w:r w:rsidRPr="00564A38">
        <w:rPr>
          <w:rStyle w:val="StyleUnderline"/>
        </w:rPr>
        <w:t>Approval,</w:t>
      </w:r>
      <w:r w:rsidRPr="00564A38">
        <w:t xml:space="preserve"> in fact, </w:t>
      </w:r>
      <w:r w:rsidRPr="00564A38">
        <w:rPr>
          <w:rStyle w:val="StyleUnderline"/>
        </w:rPr>
        <w:t>lies in fulfilling two other requirements</w:t>
      </w:r>
      <w:r w:rsidRPr="00564A38">
        <w:t xml:space="preserve">. </w:t>
      </w:r>
      <w:r w:rsidRPr="00564A38">
        <w:rPr>
          <w:rStyle w:val="StyleUnderline"/>
        </w:rPr>
        <w:t xml:space="preserve">First the "USCIS determines that the individual has not </w:t>
      </w:r>
      <w:r w:rsidRPr="00564A38">
        <w:t xml:space="preserve">unreasonably </w:t>
      </w:r>
      <w:r w:rsidRPr="00564A38">
        <w:rPr>
          <w:rStyle w:val="StyleUnderline"/>
        </w:rPr>
        <w:t>refused to provide assistance</w:t>
      </w:r>
      <w:r w:rsidRPr="00564A38">
        <w:t xml:space="preserve"> in the criminal investigation or prosecution [of the crime] . </w:t>
      </w:r>
      <w:r w:rsidRPr="00564A38">
        <w:rPr>
          <w:rStyle w:val="StyleUnderline"/>
        </w:rPr>
        <w:t>Second, the agency must also determine that the U-Visa recipient's "continued presence in the country is justified on humanitarian grounds,</w:t>
      </w:r>
      <w:r w:rsidRPr="00564A38">
        <w:t xml:space="preserve"> to ensure family unity, or is otherwise in the best interest of the public."335 Moreover, U-Visas are not routine. Indeed, out of more than one million green cards given out each year, U-Visas are capped at 10,000.33 Furthermore, after "nearly a decade of delays, federal officials began allowing the visas en masse only [in 2009], after sustained efforts from immigrant rights groups."</w:t>
      </w:r>
    </w:p>
    <w:p w:rsidR="004377BD" w:rsidRPr="004377BD" w:rsidRDefault="004377BD" w:rsidP="004377BD"/>
    <w:p w:rsidR="009131C8" w:rsidRDefault="009131C8" w:rsidP="009131C8"/>
    <w:p w:rsidR="009131C8" w:rsidRPr="009131C8" w:rsidRDefault="009131C8" w:rsidP="009131C8"/>
    <w:p w:rsidR="009131C8" w:rsidRDefault="009131C8" w:rsidP="009131C8">
      <w:pPr>
        <w:pStyle w:val="Heading1"/>
      </w:pPr>
      <w:r>
        <w:t>Refugees</w:t>
      </w:r>
    </w:p>
    <w:p w:rsidR="009131C8" w:rsidRDefault="009131C8" w:rsidP="009131C8"/>
    <w:p w:rsidR="009131C8" w:rsidRDefault="009131C8" w:rsidP="009131C8">
      <w:pPr>
        <w:pStyle w:val="Heading3"/>
      </w:pPr>
      <w:r>
        <w:t>AT: CI – adjustment of status (refugees)</w:t>
      </w:r>
    </w:p>
    <w:p w:rsidR="009131C8" w:rsidRDefault="009131C8" w:rsidP="009131C8">
      <w:pPr>
        <w:pStyle w:val="Heading4"/>
      </w:pPr>
      <w:r>
        <w:t>Refugees are admitted under refugee status – not as immigrants – which means even if adjustment of status is topical, admitting people as refugees is not</w:t>
      </w:r>
    </w:p>
    <w:p w:rsidR="009131C8" w:rsidRDefault="009131C8" w:rsidP="009131C8">
      <w:r>
        <w:rPr>
          <w:b/>
        </w:rPr>
        <w:t xml:space="preserve">USCIS, 18 </w:t>
      </w:r>
      <w:r>
        <w:t xml:space="preserve">– US Citizenship and Immigration Service (Policy Manual, Current as of 5/23/18, </w:t>
      </w:r>
      <w:hyperlink r:id="rId33" w:history="1">
        <w:r w:rsidRPr="005B252F">
          <w:rPr>
            <w:rStyle w:val="Hyperlink"/>
          </w:rPr>
          <w:t>https://www.uscis.gov/policymanual/HTML/PolicyManual-Volume7-PartL-Chapter2.html</w:t>
        </w:r>
      </w:hyperlink>
    </w:p>
    <w:p w:rsidR="009131C8" w:rsidRDefault="009131C8" w:rsidP="009131C8"/>
    <w:p w:rsidR="009131C8" w:rsidRDefault="009131C8" w:rsidP="009131C8">
      <w:r w:rsidRPr="00091FAD">
        <w:rPr>
          <w:rStyle w:val="StyleUnderline"/>
        </w:rPr>
        <w:t>By applying for adjustment of status, refugees are considered to be applying for</w:t>
      </w:r>
      <w:r>
        <w:t xml:space="preserve"> inspection and </w:t>
      </w:r>
      <w:r w:rsidRPr="00091FAD">
        <w:rPr>
          <w:rStyle w:val="StyleUnderline"/>
        </w:rPr>
        <w:t>admission</w:t>
      </w:r>
      <w:r>
        <w:t xml:space="preserve"> to the United States </w:t>
      </w:r>
      <w:r w:rsidRPr="00091FAD">
        <w:rPr>
          <w:rStyle w:val="StyleUnderline"/>
        </w:rPr>
        <w:t>as an immigrant. A refugee may adjust status to a lawful permanent resident if the refugee meets the following four requirements:</w:t>
      </w:r>
    </w:p>
    <w:p w:rsidR="009131C8" w:rsidRDefault="009131C8" w:rsidP="009131C8">
      <w:bookmarkStart w:id="15" w:name="_Hlk517975732"/>
      <w:r>
        <w:t>•</w:t>
      </w:r>
      <w:r w:rsidRPr="00091FAD">
        <w:rPr>
          <w:rStyle w:val="StyleUnderline"/>
        </w:rPr>
        <w:t xml:space="preserve">Admitted </w:t>
      </w:r>
      <w:r w:rsidRPr="00091FAD">
        <w:rPr>
          <w:rStyle w:val="Emphasis"/>
        </w:rPr>
        <w:t>as a refugee</w:t>
      </w:r>
      <w:r w:rsidRPr="00091FAD">
        <w:rPr>
          <w:rStyle w:val="StyleUnderline"/>
        </w:rPr>
        <w:t xml:space="preserve"> under INA 207</w:t>
      </w:r>
      <w:r>
        <w:t>;</w:t>
      </w:r>
    </w:p>
    <w:p w:rsidR="009131C8" w:rsidRDefault="009131C8" w:rsidP="009131C8">
      <w:r>
        <w:t>•</w:t>
      </w:r>
      <w:r w:rsidRPr="00091FAD">
        <w:rPr>
          <w:rStyle w:val="StyleUnderline"/>
        </w:rPr>
        <w:t>Physically present</w:t>
      </w:r>
      <w:r>
        <w:t xml:space="preserve"> in the United States </w:t>
      </w:r>
      <w:r w:rsidRPr="00091FAD">
        <w:rPr>
          <w:rStyle w:val="Emphasis"/>
        </w:rPr>
        <w:t>as a refugee</w:t>
      </w:r>
      <w:r>
        <w:t xml:space="preserve"> </w:t>
      </w:r>
      <w:r w:rsidRPr="00091FAD">
        <w:rPr>
          <w:rStyle w:val="StyleUnderline"/>
        </w:rPr>
        <w:t>for at least one year</w:t>
      </w:r>
      <w:r>
        <w:t>;</w:t>
      </w:r>
    </w:p>
    <w:p w:rsidR="009131C8" w:rsidRDefault="009131C8" w:rsidP="009131C8">
      <w:r>
        <w:t>•</w:t>
      </w:r>
      <w:r w:rsidRPr="00091FAD">
        <w:rPr>
          <w:rStyle w:val="Emphasis"/>
        </w:rPr>
        <w:t>Refugee status</w:t>
      </w:r>
      <w:r>
        <w:t xml:space="preserve"> </w:t>
      </w:r>
      <w:r w:rsidRPr="00091FAD">
        <w:rPr>
          <w:rStyle w:val="StyleUnderline"/>
        </w:rPr>
        <w:t>has not been terminated; and</w:t>
      </w:r>
    </w:p>
    <w:p w:rsidR="009131C8" w:rsidRDefault="009131C8" w:rsidP="009131C8">
      <w:r>
        <w:t>•</w:t>
      </w:r>
      <w:r w:rsidRPr="00091FAD">
        <w:rPr>
          <w:rStyle w:val="StyleUnderline"/>
        </w:rPr>
        <w:t xml:space="preserve">Permanent resident status has not already been acquired </w:t>
      </w:r>
      <w:r>
        <w:t>in the United States.</w:t>
      </w:r>
    </w:p>
    <w:bookmarkEnd w:id="15"/>
    <w:p w:rsidR="009131C8" w:rsidRDefault="009131C8" w:rsidP="009131C8">
      <w:r w:rsidRPr="00091FAD">
        <w:rPr>
          <w:rStyle w:val="StyleUnderline"/>
        </w:rPr>
        <w:t>Applicants who fail to meet any of these requirements are statutorily ineligible for adjustment of status as a refugee</w:t>
      </w:r>
      <w:r>
        <w:t>.</w:t>
      </w:r>
    </w:p>
    <w:p w:rsidR="009131C8" w:rsidRDefault="009131C8" w:rsidP="009131C8">
      <w:r>
        <w:t>A. Admitted as a Refugee under INA 207</w:t>
      </w:r>
    </w:p>
    <w:p w:rsidR="009131C8" w:rsidRDefault="009131C8" w:rsidP="009131C8">
      <w:r w:rsidRPr="000C3936">
        <w:rPr>
          <w:rStyle w:val="StyleUnderline"/>
        </w:rPr>
        <w:t xml:space="preserve">Only applicants </w:t>
      </w:r>
      <w:r w:rsidRPr="000C3936">
        <w:rPr>
          <w:rStyle w:val="Emphasis"/>
        </w:rPr>
        <w:t>classified as refugees</w:t>
      </w:r>
      <w:r w:rsidRPr="000C3936">
        <w:rPr>
          <w:rStyle w:val="StyleUnderline"/>
        </w:rPr>
        <w:t xml:space="preserve"> are eligible to adjust status as a refugee.</w:t>
      </w:r>
      <w:r>
        <w:t xml:space="preserve"> Foreign nationals are generally classified as refugees through an approved Registration for Classification as Refugee (Form I-590), or an approved Asylee/Refugee Relative Petition (Form I-730) filed by a principal refugee. </w:t>
      </w:r>
    </w:p>
    <w:p w:rsidR="009131C8" w:rsidRDefault="009131C8" w:rsidP="009131C8">
      <w:r>
        <w:t>Refugees who are admitted to the United States through an approved Form I-590 are granted refugee status on the date they are admitted. Derivative refugees already in the United States when their relative petition (Form I-730) is approved are granted refugee status on the date the relative petition is approved. Derivative refugees outside the United States when their relative petition is approved are granted refugee status on the date they are admitted to the United States.</w:t>
      </w:r>
    </w:p>
    <w:p w:rsidR="009131C8" w:rsidRDefault="009131C8" w:rsidP="009131C8"/>
    <w:p w:rsidR="009131C8" w:rsidRDefault="009131C8" w:rsidP="009131C8">
      <w:pPr>
        <w:pStyle w:val="Heading3"/>
      </w:pPr>
      <w:r>
        <w:t>AT: CI – adjustment of status (asylees)</w:t>
      </w:r>
    </w:p>
    <w:p w:rsidR="009131C8" w:rsidRDefault="009131C8" w:rsidP="009131C8"/>
    <w:p w:rsidR="009131C8" w:rsidRDefault="009131C8" w:rsidP="009131C8">
      <w:pPr>
        <w:pStyle w:val="Heading4"/>
      </w:pPr>
      <w:r>
        <w:t>Ayslee status is distinct from immigration status – even if adjustment of status is topical, admitting people as asylees is not</w:t>
      </w:r>
    </w:p>
    <w:p w:rsidR="009131C8" w:rsidRDefault="009131C8" w:rsidP="009131C8">
      <w:r>
        <w:rPr>
          <w:b/>
        </w:rPr>
        <w:t xml:space="preserve">USCIS, 18 </w:t>
      </w:r>
      <w:r>
        <w:t xml:space="preserve">– US Citizenship and Immigration Service (Policy Manual, Current as of 5/23/18, </w:t>
      </w:r>
      <w:hyperlink r:id="rId34" w:history="1">
        <w:r w:rsidRPr="005B252F">
          <w:rPr>
            <w:rStyle w:val="Hyperlink"/>
          </w:rPr>
          <w:t>https://www.uscis.gov/policymanual/HTML/PolicyManual-Volume7-PartM-Chapter2.html</w:t>
        </w:r>
      </w:hyperlink>
    </w:p>
    <w:p w:rsidR="009131C8" w:rsidRDefault="009131C8" w:rsidP="009131C8"/>
    <w:p w:rsidR="009131C8" w:rsidRPr="00197286" w:rsidRDefault="009131C8" w:rsidP="009131C8">
      <w:pPr>
        <w:rPr>
          <w:rStyle w:val="StyleUnderline"/>
        </w:rPr>
      </w:pPr>
      <w:r w:rsidRPr="00197286">
        <w:rPr>
          <w:rStyle w:val="StyleUnderline"/>
        </w:rPr>
        <w:t>An asylee may adjust status to a lawful permanent resident if the asylee meets the following four requirements:</w:t>
      </w:r>
    </w:p>
    <w:p w:rsidR="009131C8" w:rsidRDefault="009131C8" w:rsidP="009131C8">
      <w:r>
        <w:t>•</w:t>
      </w:r>
      <w:r w:rsidRPr="00197286">
        <w:rPr>
          <w:rStyle w:val="StyleUnderline"/>
        </w:rPr>
        <w:t>The asylee has been physically present</w:t>
      </w:r>
      <w:r>
        <w:t xml:space="preserve"> in the United States </w:t>
      </w:r>
      <w:r w:rsidRPr="00197286">
        <w:rPr>
          <w:rStyle w:val="StyleUnderline"/>
        </w:rPr>
        <w:t>for at least one year after being granted asylum</w:t>
      </w:r>
      <w:r>
        <w:t>.</w:t>
      </w:r>
    </w:p>
    <w:p w:rsidR="009131C8" w:rsidRDefault="009131C8" w:rsidP="009131C8">
      <w:r>
        <w:t>•</w:t>
      </w:r>
      <w:r w:rsidRPr="00197286">
        <w:rPr>
          <w:rStyle w:val="StyleUnderline"/>
        </w:rPr>
        <w:t>The</w:t>
      </w:r>
      <w:r>
        <w:t xml:space="preserve"> principal </w:t>
      </w:r>
      <w:r w:rsidRPr="00197286">
        <w:rPr>
          <w:rStyle w:val="StyleUnderline"/>
        </w:rPr>
        <w:t>asylee continues to meet the definition of a refugee</w:t>
      </w:r>
      <w:r>
        <w:t>, or the derivative asylee continues to be the spouse or child of the principal asylee.</w:t>
      </w:r>
    </w:p>
    <w:p w:rsidR="009131C8" w:rsidRDefault="009131C8" w:rsidP="009131C8">
      <w:r>
        <w:t>•The asylee has not firmly resettled in any foreign country.</w:t>
      </w:r>
    </w:p>
    <w:p w:rsidR="009131C8" w:rsidRDefault="009131C8" w:rsidP="009131C8">
      <w:r>
        <w:t>•</w:t>
      </w:r>
      <w:r w:rsidRPr="00197286">
        <w:rPr>
          <w:rStyle w:val="StyleUnderline"/>
        </w:rPr>
        <w:t>The asylee is admissible to the U</w:t>
      </w:r>
      <w:r>
        <w:t xml:space="preserve">nited </w:t>
      </w:r>
      <w:r w:rsidRPr="00197286">
        <w:rPr>
          <w:rStyle w:val="StyleUnderline"/>
        </w:rPr>
        <w:t>S</w:t>
      </w:r>
      <w:r>
        <w:t xml:space="preserve">tates </w:t>
      </w:r>
      <w:r w:rsidRPr="00197286">
        <w:rPr>
          <w:rStyle w:val="StyleUnderline"/>
        </w:rPr>
        <w:t>as an immigrant at the time of</w:t>
      </w:r>
      <w:r>
        <w:t xml:space="preserve"> examination for </w:t>
      </w:r>
      <w:r w:rsidRPr="00197286">
        <w:rPr>
          <w:rStyle w:val="StyleUnderline"/>
        </w:rPr>
        <w:t>adjustment of status</w:t>
      </w:r>
      <w:r>
        <w:t xml:space="preserve">, subject to various exceptions and waivers. </w:t>
      </w:r>
    </w:p>
    <w:p w:rsidR="009131C8" w:rsidRPr="00197286" w:rsidRDefault="009131C8" w:rsidP="009131C8">
      <w:pPr>
        <w:rPr>
          <w:rStyle w:val="StyleUnderline"/>
        </w:rPr>
      </w:pPr>
      <w:r w:rsidRPr="00197286">
        <w:rPr>
          <w:rStyle w:val="StyleUnderline"/>
        </w:rPr>
        <w:t xml:space="preserve">Applicants who fail to meet any of these requirements are statutorily ineligible for adjustment of status as an asylee. </w:t>
      </w:r>
    </w:p>
    <w:p w:rsidR="009131C8" w:rsidRDefault="009131C8" w:rsidP="009131C8"/>
    <w:p w:rsidR="009131C8" w:rsidRDefault="009131C8" w:rsidP="009131C8">
      <w:pPr>
        <w:pStyle w:val="Heading3"/>
      </w:pPr>
      <w:r>
        <w:t>AT: Passel includes temporary workers</w:t>
      </w:r>
    </w:p>
    <w:p w:rsidR="009131C8" w:rsidRDefault="009131C8" w:rsidP="009131C8"/>
    <w:p w:rsidR="004377BD" w:rsidRDefault="004377BD" w:rsidP="004377BD">
      <w:pPr>
        <w:pStyle w:val="Heading4"/>
      </w:pPr>
      <w:r>
        <w:t>Wrong</w:t>
      </w:r>
    </w:p>
    <w:p w:rsidR="004377BD" w:rsidRPr="00C5379E" w:rsidRDefault="004377BD" w:rsidP="004377BD">
      <w:r>
        <w:rPr>
          <w:b/>
        </w:rPr>
        <w:t>Passel and Fix, 3 –</w:t>
      </w:r>
      <w:r w:rsidRPr="00C5379E">
        <w:t xml:space="preserve"> </w:t>
      </w:r>
      <w:r>
        <w:t xml:space="preserve">Jeffrey Passel is Principal Research Associate, Population Studies Center The Urban Institute; Michael Fix is Director, Immigration Studies Program Population Studies Center The Urban Institute; </w:t>
      </w:r>
      <w:r w:rsidRPr="00C5379E">
        <w:t>also includes Randy Capps and Daniel Perez-Lopez (“The New Neighbors:</w:t>
      </w:r>
      <w:r>
        <w:t xml:space="preserve"> </w:t>
      </w:r>
      <w:r w:rsidRPr="00C5379E">
        <w:t>A Users’ Guide to</w:t>
      </w:r>
      <w:r>
        <w:t xml:space="preserve"> </w:t>
      </w:r>
      <w:r w:rsidRPr="00C5379E">
        <w:t>Data on Immigrants in U.S. Communities” http://www.racialequitytools.org/resourcefiles/310844_the_new_neighbors.pdf</w:t>
      </w:r>
    </w:p>
    <w:p w:rsidR="004377BD" w:rsidRPr="00C5379E" w:rsidRDefault="004377BD" w:rsidP="004377BD"/>
    <w:p w:rsidR="004377BD" w:rsidRDefault="004377BD" w:rsidP="009131C8">
      <w:r w:rsidRPr="00C5379E">
        <w:rPr>
          <w:rStyle w:val="StyleUnderline"/>
        </w:rPr>
        <w:t>Temporary residents</w:t>
      </w:r>
      <w:r w:rsidRPr="00C5379E">
        <w:t xml:space="preserve">. More than 20-25 million persons are admitted as temporary visitors to the United States each year. The vast majority of these are tourists or business travelers who leave the United States after a relatively short visit. Because they are in the country for a short period of time, these visitors </w:t>
      </w:r>
      <w:r w:rsidRPr="00C5379E">
        <w:rPr>
          <w:rStyle w:val="StyleUnderline"/>
        </w:rPr>
        <w:t>do not fit the definition of a U.S. resident or show up as “immigrants” in official data sources</w:t>
      </w:r>
      <w:r w:rsidRPr="00C5379E">
        <w:t xml:space="preserve"> such as the Census. As of 2000, however, there were an estimated 1.5 million temporary residents—mainly students, temporary workers, and their spouses and children—who stay in the country for relatively longer periods of time and are enumerated as U.S. residents in the Census and other official data. </w:t>
      </w:r>
    </w:p>
    <w:p w:rsidR="009131C8" w:rsidRDefault="009131C8" w:rsidP="009131C8">
      <w:pPr>
        <w:pStyle w:val="Heading4"/>
      </w:pPr>
      <w:r>
        <w:t>Passel says temporary workers are “legal nonimmigrants”</w:t>
      </w:r>
    </w:p>
    <w:p w:rsidR="009131C8" w:rsidRDefault="009131C8" w:rsidP="009131C8">
      <w:r>
        <w:rPr>
          <w:b/>
        </w:rPr>
        <w:t xml:space="preserve">Passel and Suro, 5 </w:t>
      </w:r>
      <w:r>
        <w:t xml:space="preserve">– Jeffrey Passel is a senior demographer at Pew Research Center. He is a nationally known expert on immigration to the United States and the demography of racial and ethnic groups.  “IV. Changes in the Composition of Immigrant Flows” 9/27, </w:t>
      </w:r>
      <w:hyperlink r:id="rId35" w:history="1">
        <w:r w:rsidRPr="0014512C">
          <w:rPr>
            <w:rStyle w:val="Hyperlink"/>
          </w:rPr>
          <w:t>http://www.pewhispanic.org/2005/09/27/iv-changes-in-the-composition-of-immigrant-flows/</w:t>
        </w:r>
      </w:hyperlink>
    </w:p>
    <w:p w:rsidR="009131C8" w:rsidRPr="00DA34EE" w:rsidRDefault="009131C8" w:rsidP="009131C8"/>
    <w:p w:rsidR="009131C8" w:rsidRDefault="009131C8" w:rsidP="009131C8">
      <w:r>
        <w:t xml:space="preserve">The mix of legal and unauthorized migrants in the flow changed considerably from 1992 to 2004. </w:t>
      </w:r>
      <w:r w:rsidRPr="00DA34EE">
        <w:rPr>
          <w:rStyle w:val="StyleUnderline"/>
        </w:rPr>
        <w:t>The inflow of legal permanent immigrants</w:t>
      </w:r>
      <w:r>
        <w:t xml:space="preserve"> (LPRs, or “green card” holders) </w:t>
      </w:r>
      <w:r w:rsidRPr="00DA34EE">
        <w:rPr>
          <w:rStyle w:val="StyleUnderline"/>
        </w:rPr>
        <w:t>increased</w:t>
      </w:r>
      <w:r>
        <w:t xml:space="preserve"> only very slightly (3%) from the mid-1990s to the peak around 2000. On the other hand, annual </w:t>
      </w:r>
      <w:r w:rsidRPr="00DA34EE">
        <w:rPr>
          <w:rStyle w:val="StyleUnderline"/>
        </w:rPr>
        <w:t xml:space="preserve">arrivals of both unauthorized migrants and legal temporary migrants (or </w:t>
      </w:r>
      <w:r w:rsidRPr="00DA34EE">
        <w:rPr>
          <w:rStyle w:val="Emphasis"/>
        </w:rPr>
        <w:t>“legal nonimmigrants</w:t>
      </w:r>
      <w:r w:rsidRPr="00DA34EE">
        <w:rPr>
          <w:rStyle w:val="StyleUnderline"/>
        </w:rPr>
        <w:t>”) increased</w:t>
      </w:r>
      <w:r>
        <w:t xml:space="preserve"> by </w:t>
      </w:r>
      <w:r w:rsidRPr="00DA34EE">
        <w:rPr>
          <w:rStyle w:val="StyleUnderline"/>
        </w:rPr>
        <w:t xml:space="preserve">substantially </w:t>
      </w:r>
      <w:r>
        <w:t>higher rates. The increase to the peak for unauthorized migrants was 36% and for legal nonimmigrants, 68% (Summary Table A and Detailed Table 1a).</w:t>
      </w:r>
    </w:p>
    <w:p w:rsidR="009131C8" w:rsidRDefault="009131C8" w:rsidP="009131C8"/>
    <w:p w:rsidR="009131C8" w:rsidRDefault="007F5B18" w:rsidP="007F5B18">
      <w:pPr>
        <w:pStyle w:val="Heading3"/>
      </w:pPr>
      <w:r>
        <w:t>Humanitarian admissions unlimit</w:t>
      </w:r>
    </w:p>
    <w:p w:rsidR="007F5B18" w:rsidRDefault="007F5B18" w:rsidP="007F5B18"/>
    <w:p w:rsidR="007F5B18" w:rsidRPr="006D71DE" w:rsidRDefault="007F5B18" w:rsidP="007F5B18">
      <w:pPr>
        <w:pStyle w:val="Heading4"/>
        <w:rPr>
          <w:rFonts w:asciiTheme="minorHAnsi" w:hAnsiTheme="minorHAnsi" w:cstheme="minorHAnsi"/>
        </w:rPr>
      </w:pPr>
      <w:r w:rsidRPr="006D71DE">
        <w:rPr>
          <w:rFonts w:asciiTheme="minorHAnsi" w:hAnsiTheme="minorHAnsi" w:cstheme="minorHAnsi"/>
        </w:rPr>
        <w:t>Humanitarian admissions unlimit</w:t>
      </w:r>
    </w:p>
    <w:p w:rsidR="007F5B18" w:rsidRPr="006D71DE" w:rsidRDefault="007F5B18" w:rsidP="007F5B18">
      <w:pPr>
        <w:rPr>
          <w:rFonts w:asciiTheme="minorHAnsi" w:hAnsiTheme="minorHAnsi" w:cstheme="minorHAnsi"/>
          <w:b/>
        </w:rPr>
      </w:pPr>
      <w:r w:rsidRPr="006D71DE">
        <w:rPr>
          <w:rFonts w:asciiTheme="minorHAnsi" w:hAnsiTheme="minorHAnsi" w:cstheme="minorHAnsi"/>
          <w:b/>
        </w:rPr>
        <w:t xml:space="preserve">Haines, 12 - </w:t>
      </w:r>
      <w:r w:rsidRPr="006D71DE">
        <w:rPr>
          <w:rFonts w:asciiTheme="minorHAnsi" w:hAnsiTheme="minorHAnsi" w:cstheme="minorHAnsi"/>
        </w:rPr>
        <w:t xml:space="preserve">professor of Anthropology at George Mason; Prior to coming to George Mason University in 1997, he had worked for the federal government's refugee resettlement program (David, </w:t>
      </w:r>
      <w:r w:rsidRPr="006D71DE">
        <w:rPr>
          <w:rFonts w:asciiTheme="minorHAnsi" w:hAnsiTheme="minorHAnsi" w:cstheme="minorHAnsi"/>
          <w:u w:val="single"/>
        </w:rPr>
        <w:t>Debates on U.S. Immigration</w:t>
      </w:r>
      <w:r w:rsidRPr="006D71DE">
        <w:rPr>
          <w:rFonts w:asciiTheme="minorHAnsi" w:hAnsiTheme="minorHAnsi" w:cstheme="minorHAnsi"/>
        </w:rPr>
        <w:t>, ed: Gans, google books)</w:t>
      </w:r>
    </w:p>
    <w:p w:rsidR="007F5B18" w:rsidRPr="006D71DE" w:rsidRDefault="007F5B18" w:rsidP="007F5B18">
      <w:pPr>
        <w:rPr>
          <w:rFonts w:asciiTheme="minorHAnsi" w:hAnsiTheme="minorHAnsi" w:cstheme="minorHAnsi"/>
        </w:rPr>
      </w:pPr>
    </w:p>
    <w:p w:rsidR="007F5B18" w:rsidRPr="006D71DE" w:rsidRDefault="007F5B18" w:rsidP="007F5B18">
      <w:pPr>
        <w:rPr>
          <w:rFonts w:asciiTheme="minorHAnsi" w:hAnsiTheme="minorHAnsi" w:cstheme="minorHAnsi"/>
        </w:rPr>
      </w:pPr>
      <w:r w:rsidRPr="006D71DE">
        <w:rPr>
          <w:rFonts w:asciiTheme="minorHAnsi" w:hAnsiTheme="minorHAnsi" w:cstheme="minorHAnsi"/>
        </w:rPr>
        <w:t xml:space="preserve">Humanitarian admissions provide a particularly good example of the differing effects of these two systems: legal admission before physical arrival versus legal admission after physical arrival. In </w:t>
      </w:r>
      <w:r w:rsidRPr="006D71DE">
        <w:rPr>
          <w:rStyle w:val="StyleUnderline"/>
          <w:rFonts w:asciiTheme="minorHAnsi" w:hAnsiTheme="minorHAnsi" w:cstheme="minorHAnsi"/>
        </w:rPr>
        <w:t xml:space="preserve">the humanitarian case, there are </w:t>
      </w:r>
      <w:r w:rsidRPr="006D71DE">
        <w:rPr>
          <w:rStyle w:val="Emphasis"/>
          <w:rFonts w:asciiTheme="minorHAnsi" w:hAnsiTheme="minorHAnsi" w:cstheme="minorHAnsi"/>
        </w:rPr>
        <w:t>many</w:t>
      </w:r>
      <w:r w:rsidRPr="006D71DE">
        <w:rPr>
          <w:rStyle w:val="StyleUnderline"/>
          <w:rFonts w:asciiTheme="minorHAnsi" w:hAnsiTheme="minorHAnsi" w:cstheme="minorHAnsi"/>
        </w:rPr>
        <w:t xml:space="preserve"> admissions categories</w:t>
      </w:r>
      <w:r w:rsidRPr="006D71DE">
        <w:rPr>
          <w:rFonts w:asciiTheme="minorHAnsi" w:hAnsiTheme="minorHAnsi" w:cstheme="minorHAnsi"/>
        </w:rPr>
        <w:t xml:space="preserve">: </w:t>
      </w:r>
      <w:r w:rsidRPr="006D71DE">
        <w:rPr>
          <w:rStyle w:val="StyleUnderline"/>
          <w:rFonts w:asciiTheme="minorHAnsi" w:hAnsiTheme="minorHAnsi" w:cstheme="minorHAnsi"/>
        </w:rPr>
        <w:t>some are temporary—</w:t>
      </w:r>
      <w:r w:rsidRPr="006D71DE">
        <w:rPr>
          <w:rFonts w:asciiTheme="minorHAnsi" w:hAnsiTheme="minorHAnsi" w:cstheme="minorHAnsi"/>
        </w:rPr>
        <w:t>as in temporary protected status</w:t>
      </w:r>
      <w:r w:rsidRPr="006D71DE">
        <w:rPr>
          <w:rStyle w:val="StyleUnderline"/>
          <w:rFonts w:asciiTheme="minorHAnsi" w:hAnsiTheme="minorHAnsi" w:cstheme="minorHAnsi"/>
        </w:rPr>
        <w:t xml:space="preserve"> (TPS)—while others yield permanent legal status</w:t>
      </w:r>
      <w:r w:rsidRPr="006D71DE">
        <w:rPr>
          <w:rFonts w:asciiTheme="minorHAnsi" w:hAnsiTheme="minorHAnsi" w:cstheme="minorHAnsi"/>
        </w:rPr>
        <w:t xml:space="preserve">, or at least a path to it. </w:t>
      </w:r>
      <w:r w:rsidRPr="006D71DE">
        <w:rPr>
          <w:rStyle w:val="StyleUnderline"/>
          <w:rFonts w:asciiTheme="minorHAnsi" w:hAnsiTheme="minorHAnsi" w:cstheme="minorHAnsi"/>
        </w:rPr>
        <w:t>Some are potentially available to all groups, while some are limited to a specific group (such as Cubans under the Cuban Adjustment Act), some are for groups as a whole, and some are for particular individuals (such as cancellation of removal</w:t>
      </w:r>
      <w:r w:rsidRPr="006D71DE">
        <w:rPr>
          <w:rFonts w:asciiTheme="minorHAnsi" w:hAnsiTheme="minorHAnsi" w:cstheme="minorHAnsi"/>
        </w:rPr>
        <w:t>). The two main legal statuses, however, stem from the U.S. Refugee Act of 1980, which created two separate tracks, one for people whose status is determined before arrival in the United States (legal admission before physical arrival) and the other for people whose status is determined after arrival in the United States (legal admission after physical arrival). The standard is the same, but the processes are quite different, providing a good example of this question of whether the newly admitted are already here or not.</w:t>
      </w:r>
    </w:p>
    <w:p w:rsidR="007F5B18" w:rsidRPr="006D71DE" w:rsidRDefault="007F5B18" w:rsidP="007F5B18">
      <w:pPr>
        <w:rPr>
          <w:rFonts w:asciiTheme="minorHAnsi" w:hAnsiTheme="minorHAnsi" w:cstheme="minorHAnsi"/>
        </w:rPr>
      </w:pPr>
    </w:p>
    <w:p w:rsidR="007F5B18" w:rsidRPr="007F5B18" w:rsidRDefault="007F5B18" w:rsidP="007F5B18"/>
    <w:sectPr w:rsidR="007F5B18" w:rsidRPr="007F5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35672100448"/>
    <w:docVar w:name="VerbatimVersion" w:val="5.1"/>
  </w:docVars>
  <w:rsids>
    <w:rsidRoot w:val="00DC16F6"/>
    <w:rsid w:val="000139A3"/>
    <w:rsid w:val="00065DB0"/>
    <w:rsid w:val="00100833"/>
    <w:rsid w:val="00104529"/>
    <w:rsid w:val="00105942"/>
    <w:rsid w:val="00107396"/>
    <w:rsid w:val="00120577"/>
    <w:rsid w:val="00144A4C"/>
    <w:rsid w:val="00176AB0"/>
    <w:rsid w:val="00177B7D"/>
    <w:rsid w:val="0018322D"/>
    <w:rsid w:val="001B5776"/>
    <w:rsid w:val="001E527A"/>
    <w:rsid w:val="001F78CE"/>
    <w:rsid w:val="00226099"/>
    <w:rsid w:val="00251FC7"/>
    <w:rsid w:val="002855A7"/>
    <w:rsid w:val="002B146A"/>
    <w:rsid w:val="002B5E17"/>
    <w:rsid w:val="002D1BBD"/>
    <w:rsid w:val="00315690"/>
    <w:rsid w:val="00316B75"/>
    <w:rsid w:val="00325646"/>
    <w:rsid w:val="003460F2"/>
    <w:rsid w:val="0038158C"/>
    <w:rsid w:val="003902BA"/>
    <w:rsid w:val="003A09E2"/>
    <w:rsid w:val="00407037"/>
    <w:rsid w:val="004377BD"/>
    <w:rsid w:val="004605D6"/>
    <w:rsid w:val="004C017B"/>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18"/>
    <w:rsid w:val="007F5B66"/>
    <w:rsid w:val="00823A1C"/>
    <w:rsid w:val="00845B9D"/>
    <w:rsid w:val="00860984"/>
    <w:rsid w:val="00876169"/>
    <w:rsid w:val="008B3ECB"/>
    <w:rsid w:val="008B4E85"/>
    <w:rsid w:val="008C1B2E"/>
    <w:rsid w:val="009131C8"/>
    <w:rsid w:val="0091627E"/>
    <w:rsid w:val="0097032B"/>
    <w:rsid w:val="00984BD1"/>
    <w:rsid w:val="009A30F2"/>
    <w:rsid w:val="009B345C"/>
    <w:rsid w:val="009D2EAD"/>
    <w:rsid w:val="009D54B2"/>
    <w:rsid w:val="009E1922"/>
    <w:rsid w:val="009F7ED2"/>
    <w:rsid w:val="00A20FF1"/>
    <w:rsid w:val="00A93661"/>
    <w:rsid w:val="00A95652"/>
    <w:rsid w:val="00AC0AB8"/>
    <w:rsid w:val="00AC491E"/>
    <w:rsid w:val="00AD7B27"/>
    <w:rsid w:val="00B33C6D"/>
    <w:rsid w:val="00B36BF3"/>
    <w:rsid w:val="00B4508F"/>
    <w:rsid w:val="00B55AD5"/>
    <w:rsid w:val="00B8057C"/>
    <w:rsid w:val="00BB2C34"/>
    <w:rsid w:val="00BD6238"/>
    <w:rsid w:val="00BF593B"/>
    <w:rsid w:val="00BF773A"/>
    <w:rsid w:val="00BF7E81"/>
    <w:rsid w:val="00C13773"/>
    <w:rsid w:val="00C17CC8"/>
    <w:rsid w:val="00C54733"/>
    <w:rsid w:val="00C83417"/>
    <w:rsid w:val="00C9604F"/>
    <w:rsid w:val="00CA19AA"/>
    <w:rsid w:val="00CC5298"/>
    <w:rsid w:val="00CD736E"/>
    <w:rsid w:val="00CD798D"/>
    <w:rsid w:val="00CE161E"/>
    <w:rsid w:val="00CF5598"/>
    <w:rsid w:val="00CF59A8"/>
    <w:rsid w:val="00D325A9"/>
    <w:rsid w:val="00D36A8A"/>
    <w:rsid w:val="00D61409"/>
    <w:rsid w:val="00D6691E"/>
    <w:rsid w:val="00D71170"/>
    <w:rsid w:val="00DA1C92"/>
    <w:rsid w:val="00DA25D4"/>
    <w:rsid w:val="00DA6538"/>
    <w:rsid w:val="00DC16F6"/>
    <w:rsid w:val="00DE704F"/>
    <w:rsid w:val="00E15E75"/>
    <w:rsid w:val="00E5262C"/>
    <w:rsid w:val="00EA0A90"/>
    <w:rsid w:val="00EC7DC4"/>
    <w:rsid w:val="00EC7F1C"/>
    <w:rsid w:val="00ED30CF"/>
    <w:rsid w:val="00ED37D1"/>
    <w:rsid w:val="00EE313A"/>
    <w:rsid w:val="00F176EF"/>
    <w:rsid w:val="00F45E10"/>
    <w:rsid w:val="00F6364A"/>
    <w:rsid w:val="00F9113A"/>
    <w:rsid w:val="00FB2261"/>
    <w:rsid w:val="00FC39F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058B"/>
  <w15:chartTrackingRefBased/>
  <w15:docId w15:val="{4688A050-2663-4ED0-A008-BBEE7E47B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36BF3"/>
    <w:pPr>
      <w:spacing w:line="240" w:lineRule="auto"/>
    </w:pPr>
    <w:rPr>
      <w:rFonts w:ascii="Calibri" w:hAnsi="Calibri" w:cs="Calibri"/>
    </w:rPr>
  </w:style>
  <w:style w:type="paragraph" w:styleId="Heading1">
    <w:name w:val="heading 1"/>
    <w:aliases w:val="Pocket"/>
    <w:basedOn w:val="Normal"/>
    <w:next w:val="Normal"/>
    <w:link w:val="Heading1Char"/>
    <w:qFormat/>
    <w:rsid w:val="00B36B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6BF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6BF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B36BF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36B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6BF3"/>
  </w:style>
  <w:style w:type="character" w:customStyle="1" w:styleId="Heading1Char">
    <w:name w:val="Heading 1 Char"/>
    <w:aliases w:val="Pocket Char"/>
    <w:basedOn w:val="DefaultParagraphFont"/>
    <w:link w:val="Heading1"/>
    <w:rsid w:val="00B36B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6B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6B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B36BF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B36BF3"/>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B36BF3"/>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B36BF3"/>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B36BF3"/>
    <w:rPr>
      <w:color w:val="auto"/>
      <w:u w:val="none"/>
    </w:rPr>
  </w:style>
  <w:style w:type="character" w:styleId="FollowedHyperlink">
    <w:name w:val="FollowedHyperlink"/>
    <w:basedOn w:val="DefaultParagraphFont"/>
    <w:uiPriority w:val="99"/>
    <w:semiHidden/>
    <w:unhideWhenUsed/>
    <w:rsid w:val="00B36BF3"/>
    <w:rPr>
      <w:color w:val="auto"/>
      <w:u w:val="none"/>
    </w:rPr>
  </w:style>
  <w:style w:type="paragraph" w:customStyle="1" w:styleId="textbold">
    <w:name w:val="text bold"/>
    <w:basedOn w:val="Normal"/>
    <w:link w:val="Emphasis"/>
    <w:uiPriority w:val="7"/>
    <w:qFormat/>
    <w:rsid w:val="00EC7F1C"/>
    <w:pPr>
      <w:ind w:left="720"/>
      <w:jc w:val="both"/>
    </w:pPr>
    <w:rPr>
      <w:b/>
      <w:iCs/>
      <w:u w:val="single"/>
      <w:bdr w:val="single" w:sz="8" w:space="0" w:color="auto"/>
    </w:rPr>
  </w:style>
  <w:style w:type="character" w:customStyle="1" w:styleId="m-696287448254538171gmail-styleunderline">
    <w:name w:val="m_-696287448254538171gmail-styleunderline"/>
    <w:basedOn w:val="DefaultParagraphFont"/>
    <w:rsid w:val="009131C8"/>
  </w:style>
  <w:style w:type="character" w:customStyle="1" w:styleId="apple-converted-space">
    <w:name w:val="apple-converted-space"/>
    <w:rsid w:val="009B345C"/>
  </w:style>
  <w:style w:type="character" w:customStyle="1" w:styleId="apple-style-span">
    <w:name w:val="apple-style-span"/>
    <w:rsid w:val="009B345C"/>
  </w:style>
  <w:style w:type="character" w:customStyle="1" w:styleId="cite">
    <w:name w:val="cite"/>
    <w:rsid w:val="007F5B18"/>
    <w:rPr>
      <w:rFonts w:ascii="Times New Roman" w:hAnsi="Times New Roman"/>
      <w:b/>
      <w:sz w:val="24"/>
    </w:rPr>
  </w:style>
  <w:style w:type="character" w:styleId="UnresolvedMention">
    <w:name w:val="Unresolved Mention"/>
    <w:basedOn w:val="DefaultParagraphFont"/>
    <w:uiPriority w:val="99"/>
    <w:semiHidden/>
    <w:unhideWhenUsed/>
    <w:rsid w:val="004C017B"/>
    <w:rPr>
      <w:color w:val="605E5C"/>
      <w:shd w:val="clear" w:color="auto" w:fill="E1DFDD"/>
    </w:rPr>
  </w:style>
  <w:style w:type="character" w:customStyle="1" w:styleId="Style11ptBlackUnderline">
    <w:name w:val="Style 11 pt Black Underline"/>
    <w:basedOn w:val="DefaultParagraphFont"/>
    <w:rsid w:val="00DE704F"/>
    <w:rPr>
      <w:color w:val="000000"/>
      <w:sz w:val="20"/>
      <w:u w:val="single"/>
    </w:rPr>
  </w:style>
  <w:style w:type="character" w:customStyle="1" w:styleId="Style11ptBlack">
    <w:name w:val="Style 11 pt Black"/>
    <w:basedOn w:val="DefaultParagraphFont"/>
    <w:rsid w:val="00DE704F"/>
    <w:rPr>
      <w:color w:val="000000"/>
      <w:sz w:val="20"/>
    </w:rPr>
  </w:style>
  <w:style w:type="character" w:customStyle="1" w:styleId="hit">
    <w:name w:val="hit"/>
    <w:rsid w:val="009A30F2"/>
  </w:style>
  <w:style w:type="character" w:customStyle="1" w:styleId="blue">
    <w:name w:val="blue"/>
    <w:rsid w:val="009A30F2"/>
  </w:style>
  <w:style w:type="character" w:customStyle="1" w:styleId="italic">
    <w:name w:val="italic"/>
    <w:rsid w:val="009A30F2"/>
  </w:style>
  <w:style w:type="character" w:customStyle="1" w:styleId="tightinline">
    <w:name w:val="tightinline"/>
    <w:rsid w:val="009A3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onsieurdevillefort.files.wordpress.com/2010/02/jamal-kiyemba-et-al-v-barack-h-obama.pdf" TargetMode="External"/><Relationship Id="rId18" Type="http://schemas.openxmlformats.org/officeDocument/2006/relationships/hyperlink" Target="http://www.lexisnexis.com.proxy.lib.umich.edu/lnacui2api/mungo/lexseestat.do?bct=A&amp;risb=21_T11383663824&amp;homeCsi=6320&amp;A=0.5410322035082232&amp;urlEnc=ISO-8859-1&amp;&amp;citeString=8%20C.F.R.%201245.1&amp;countryCode=USA" TargetMode="External"/><Relationship Id="rId26" Type="http://schemas.openxmlformats.org/officeDocument/2006/relationships/hyperlink" Target="http://www.bmgt.umd.edu/" TargetMode="External"/><Relationship Id="rId21" Type="http://schemas.openxmlformats.org/officeDocument/2006/relationships/hyperlink" Target="http://www.lexisnexis.com.proxy.lib.umich.edu/lnacui2api/mungo/lexseestat.do?bct=A&amp;risb=21_T11383663824&amp;homeCsi=6320&amp;A=0.5410322035082232&amp;urlEnc=ISO-8859-1&amp;&amp;citeString=540%20U.S.%20461,%20482&amp;countryCode=USA" TargetMode="External"/><Relationship Id="rId34" Type="http://schemas.openxmlformats.org/officeDocument/2006/relationships/hyperlink" Target="https://www.uscis.gov/policymanual/HTML/PolicyManual-Volume7-PartM-Chapter2.html" TargetMode="External"/><Relationship Id="rId7" Type="http://schemas.openxmlformats.org/officeDocument/2006/relationships/hyperlink" Target="http://www.pewhispanic.org/2005/09/27/iv-changes-in-the-composition-of-immigrant-flows/" TargetMode="External"/><Relationship Id="rId12" Type="http://schemas.openxmlformats.org/officeDocument/2006/relationships/image" Target="media/image1.png"/><Relationship Id="rId17" Type="http://schemas.openxmlformats.org/officeDocument/2006/relationships/hyperlink" Target="http://www.lexisnexis.com.proxy.lib.umich.edu/lnacui2api/mungo/lexseestat.do?bct=A&amp;risb=21_T11383663824&amp;homeCsi=6320&amp;A=0.5410322035082232&amp;urlEnc=ISO-8859-1&amp;&amp;citeString=8%20U.S.C.%201153&amp;countryCode=USA" TargetMode="External"/><Relationship Id="rId25" Type="http://schemas.openxmlformats.org/officeDocument/2006/relationships/hyperlink" Target="http://www.djaeger.org/research/pubs/rle2007.pdf" TargetMode="External"/><Relationship Id="rId33" Type="http://schemas.openxmlformats.org/officeDocument/2006/relationships/hyperlink" Target="https://www.uscis.gov/policymanual/HTML/PolicyManual-Volume7-PartL-Chapter2.html" TargetMode="External"/><Relationship Id="rId2" Type="http://schemas.openxmlformats.org/officeDocument/2006/relationships/numbering" Target="numbering.xml"/><Relationship Id="rId16" Type="http://schemas.openxmlformats.org/officeDocument/2006/relationships/hyperlink" Target="http://www.lexisnexis.com.proxy.lib.umich.edu/lnacui2api/mungo/lexseestat.do?bct=A&amp;risb=21_T11383663824&amp;homeCsi=6320&amp;A=0.5410322035082232&amp;urlEnc=ISO-8859-1&amp;&amp;citeString=8%20U.S.C.%201153&amp;countryCode=USA" TargetMode="External"/><Relationship Id="rId20" Type="http://schemas.openxmlformats.org/officeDocument/2006/relationships/hyperlink" Target="http://www.lexisnexis.com.proxy.lib.umich.edu/lnacui2api/mungo/lexseestat.do?bct=A&amp;risb=21_T11383663824&amp;homeCsi=6320&amp;A=0.5410322035082232&amp;urlEnc=ISO-8859-1&amp;&amp;citeString=8%20U.S.C.%201255&amp;countryCode=USA" TargetMode="External"/><Relationship Id="rId29" Type="http://schemas.openxmlformats.org/officeDocument/2006/relationships/hyperlink" Target="http://www.princeton.edu/~achaney/tmve/federal_cases/docs/450_US_91_79-1266.html" TargetMode="External"/><Relationship Id="rId1" Type="http://schemas.openxmlformats.org/officeDocument/2006/relationships/customXml" Target="../customXml/item1.xml"/><Relationship Id="rId6" Type="http://schemas.openxmlformats.org/officeDocument/2006/relationships/hyperlink" Target="http://www.oecd.org/migration/mig/39415229.pdf" TargetMode="External"/><Relationship Id="rId11" Type="http://schemas.openxmlformats.org/officeDocument/2006/relationships/hyperlink" Target="https://bipartisanpolicy.org/wp-content/uploads/sites/default/files/BPC%20Immigration%20Task%20Force%20Immigration%20101%20-%20Path%20to%20Citizenship%20Issue%20Brief%20May%202014.pdf" TargetMode="External"/><Relationship Id="rId24" Type="http://schemas.openxmlformats.org/officeDocument/2006/relationships/hyperlink" Target="http://www.persee.fr/web/revues/home/prescript/article/rei_0154-3229_2001_num_94_1_1781" TargetMode="External"/><Relationship Id="rId32" Type="http://schemas.openxmlformats.org/officeDocument/2006/relationships/hyperlink" Target="https://www.usnews.com/debate-club/should-foreign-stem-graduates-get-green-cards/broad-stem-grad-green-card-exemptions-would-distort-labor-market)/abaim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lexisnexis.com.proxy.lib.umich.edu/lnacui2api/mungo/lexseestat.do?bct=A&amp;risb=21_T11383663824&amp;homeCsi=6320&amp;A=0.5410322035082232&amp;urlEnc=ISO-8859-1&amp;&amp;citeString=8%20U.S.C.%201151&amp;countryCode=USA" TargetMode="External"/><Relationship Id="rId23" Type="http://schemas.openxmlformats.org/officeDocument/2006/relationships/hyperlink" Target="http://www.persee.fr/web/revues/home/prescript/issue/rei_0154-3229_2001_num_94_1" TargetMode="External"/><Relationship Id="rId28" Type="http://schemas.openxmlformats.org/officeDocument/2006/relationships/hyperlink" Target="http://www.juliansimon.com/writings/Immigration/CHAP16.txt" TargetMode="External"/><Relationship Id="rId36" Type="http://schemas.openxmlformats.org/officeDocument/2006/relationships/fontTable" Target="fontTable.xml"/><Relationship Id="rId10" Type="http://schemas.openxmlformats.org/officeDocument/2006/relationships/hyperlink" Target="http://citeseerx.ist.psu.edu/viewdoc/download?doi=10.1.1.433.5749&amp;rep=rep1&amp;type=pdf" TargetMode="External"/><Relationship Id="rId19" Type="http://schemas.openxmlformats.org/officeDocument/2006/relationships/hyperlink" Target="http://www.lexisnexis.com.proxy.lib.umich.edu/lnacui2api/mungo/lexseestat.do?bct=A&amp;risb=21_T11383663824&amp;homeCsi=6320&amp;A=0.5410322035082232&amp;urlEnc=ISO-8859-1&amp;&amp;citeString=461%20F.3d%2045,%2064&amp;countryCode=USA" TargetMode="External"/><Relationship Id="rId31" Type="http://schemas.openxmlformats.org/officeDocument/2006/relationships/hyperlink" Target="https://www.uscis.gov/policymanual/HTML/PolicyManual-Volume7-PartA-Chapter2.html" TargetMode="External"/><Relationship Id="rId4" Type="http://schemas.openxmlformats.org/officeDocument/2006/relationships/settings" Target="settings.xml"/><Relationship Id="rId9" Type="http://schemas.openxmlformats.org/officeDocument/2006/relationships/hyperlink" Target="http://www.imf.org/external/pubs/ft/wp/2008/wp08244.pdf" TargetMode="External"/><Relationship Id="rId14" Type="http://schemas.openxmlformats.org/officeDocument/2006/relationships/hyperlink" Target="http://www.lexisnexis.com.proxy.lib.umich.edu/lnacui2api/mungo/lexseestat.do?bct=A&amp;risb=21_T11383663824&amp;homeCsi=6320&amp;A=0.5410322035082232&amp;urlEnc=ISO-8859-1&amp;&amp;citeString=8%20U.S.C.%201255&amp;countryCode=USA" TargetMode="External"/><Relationship Id="rId22" Type="http://schemas.openxmlformats.org/officeDocument/2006/relationships/hyperlink" Target="https://www.mwe.com/en/thought-leadership/publications/2002/11/ip-update-volume-5-no-11-november-2002" TargetMode="External"/><Relationship Id="rId27" Type="http://schemas.openxmlformats.org/officeDocument/2006/relationships/hyperlink" Target="http://www.umcp.umd.edu/" TargetMode="External"/><Relationship Id="rId30" Type="http://schemas.openxmlformats.org/officeDocument/2006/relationships/hyperlink" Target="http://www.oecd.org/migration/mig/39415229.pdf" TargetMode="External"/><Relationship Id="rId35" Type="http://schemas.openxmlformats.org/officeDocument/2006/relationships/hyperlink" Target="http://www.pewhispanic.org/2005/09/27/iv-changes-in-the-composition-of-immigrant-flows/" TargetMode="External"/><Relationship Id="rId8" Type="http://schemas.openxmlformats.org/officeDocument/2006/relationships/hyperlink" Target="https://fas.org/sgp/crs/homesec/R45020.pdf"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6CB94-13B9-4665-98A8-3915857F0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326</TotalTime>
  <Pages>1</Pages>
  <Words>8431</Words>
  <Characters>48063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4</cp:revision>
  <dcterms:created xsi:type="dcterms:W3CDTF">2018-07-16T12:25:00Z</dcterms:created>
  <dcterms:modified xsi:type="dcterms:W3CDTF">2018-07-17T15:43:00Z</dcterms:modified>
</cp:coreProperties>
</file>