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266AC0" w:rsidP="00266AC0">
      <w:pPr>
        <w:pStyle w:val="Heading3"/>
      </w:pPr>
      <w:proofErr w:type="gramStart"/>
      <w:r>
        <w:t>at</w:t>
      </w:r>
      <w:proofErr w:type="gramEnd"/>
      <w:r>
        <w:t xml:space="preserve">: </w:t>
      </w:r>
      <w:proofErr w:type="spellStart"/>
      <w:r w:rsidR="00E602D3">
        <w:t>pearson</w:t>
      </w:r>
      <w:proofErr w:type="spellEnd"/>
    </w:p>
    <w:p w:rsidR="00D7185C" w:rsidRDefault="00D7185C" w:rsidP="00D7185C">
      <w:pPr>
        <w:pStyle w:val="Heading4"/>
      </w:pPr>
      <w:r>
        <w:t>FMS and DCS are regulated by the AECA</w:t>
      </w:r>
    </w:p>
    <w:p w:rsidR="00D7185C" w:rsidRDefault="00D7185C" w:rsidP="00D7185C">
      <w:r w:rsidRPr="003B291C">
        <w:rPr>
          <w:rStyle w:val="Style13ptBold"/>
        </w:rPr>
        <w:t>Forum on the Arms Trade 19</w:t>
      </w:r>
      <w:r>
        <w:t xml:space="preserve"> </w:t>
      </w:r>
      <w:r w:rsidRPr="003B291C">
        <w:t>(High School Policy Debate Resources - 2019-2020</w:t>
      </w:r>
      <w:r>
        <w:t xml:space="preserve">. </w:t>
      </w:r>
      <w:hyperlink r:id="rId7" w:history="1">
        <w:r w:rsidRPr="00D676DD">
          <w:rPr>
            <w:rStyle w:val="Hyperlink"/>
          </w:rPr>
          <w:t>https://www.forumarmstrade.org/hspolicydebate.html</w:t>
        </w:r>
      </w:hyperlink>
      <w:r w:rsidRPr="003B291C">
        <w:t>)</w:t>
      </w:r>
    </w:p>
    <w:p w:rsidR="00D7185C" w:rsidRPr="00F44161" w:rsidRDefault="00D7185C" w:rsidP="00D7185C">
      <w:pPr>
        <w:rPr>
          <w:sz w:val="16"/>
        </w:rPr>
      </w:pPr>
      <w:r w:rsidRPr="00F44161">
        <w:rPr>
          <w:sz w:val="16"/>
        </w:rPr>
        <w:t xml:space="preserve">The Foreign Military Sales (FMS) program manages government-to-government purchases of U.S. defense articles and defense services that are on the U.S. Munitions List (USML) for export to foreign countries. The Direct Commercial Sales (DCS) program regulates U.S. companies' international sales of U.S. defense articles and defense services that are on the USML. The Foreign Assistance Act of 1961 and </w:t>
      </w:r>
      <w:r w:rsidRPr="00D7185C">
        <w:rPr>
          <w:rStyle w:val="Emphasis"/>
          <w:highlight w:val="yellow"/>
        </w:rPr>
        <w:t xml:space="preserve">the Arms Export Control Act </w:t>
      </w:r>
      <w:r w:rsidRPr="00D7185C">
        <w:rPr>
          <w:rStyle w:val="StyleUnderline"/>
        </w:rPr>
        <w:t>of 1976</w:t>
      </w:r>
      <w:r w:rsidRPr="00D7185C">
        <w:rPr>
          <w:rStyle w:val="Emphasis"/>
          <w:highlight w:val="yellow"/>
        </w:rPr>
        <w:t xml:space="preserve"> provide the primary legal basis for the FMS and DCS programs</w:t>
      </w:r>
      <w:r w:rsidRPr="00F44161">
        <w:rPr>
          <w:sz w:val="16"/>
        </w:rPr>
        <w:t>, which require Congressional notification and other reporting steps.</w:t>
      </w:r>
    </w:p>
    <w:p w:rsidR="00266AC0" w:rsidRPr="00266AC0" w:rsidRDefault="00266AC0" w:rsidP="00266AC0">
      <w:pPr>
        <w:pStyle w:val="Heading4"/>
        <w:rPr>
          <w:rStyle w:val="Emphasis"/>
        </w:rPr>
      </w:pPr>
      <w:r>
        <w:t>Restrictions are the mechanism by which the federal government reduces arms sales under the AECA- prefer our evidence, it’s in the context of US arms sales, Pearson isn’t</w:t>
      </w:r>
      <w:r w:rsidR="00D7185C">
        <w:t xml:space="preserve">- </w:t>
      </w:r>
      <w:r w:rsidR="00666003">
        <w:t>Pearson is also defining what a reduction is, not reducing- reduction is a measurement from overall baseline, reducing is an end which can be enacted via a restriction</w:t>
      </w:r>
    </w:p>
    <w:p w:rsidR="00266AC0" w:rsidRPr="00266AC0" w:rsidRDefault="00266AC0" w:rsidP="00266AC0">
      <w:proofErr w:type="gramStart"/>
      <w:r w:rsidRPr="00266AC0">
        <w:rPr>
          <w:rStyle w:val="Heading4Char"/>
        </w:rPr>
        <w:t>Levine 12</w:t>
      </w:r>
      <w:r w:rsidRPr="00266AC0">
        <w:t xml:space="preserve"> (Justin, * J.D., University of Miami School of Law, 2013; M.A., International Business, University of Florida, 2010; B.S. Business Finance, University of Florida, 2009.</w:t>
      </w:r>
      <w:proofErr w:type="gramEnd"/>
      <w:r w:rsidRPr="00266AC0">
        <w:t xml:space="preserve"> </w:t>
      </w:r>
      <w:proofErr w:type="gramStart"/>
      <w:r w:rsidRPr="00266AC0">
        <w:t>Editor-in-Chief of t</w:t>
      </w:r>
      <w:bookmarkStart w:id="0" w:name="_GoBack"/>
      <w:bookmarkEnd w:id="0"/>
      <w:r w:rsidRPr="00266AC0">
        <w:t>he University of Miami National Security and Armed Conflict Law Review.</w:t>
      </w:r>
      <w:proofErr w:type="gramEnd"/>
      <w:r w:rsidRPr="00266AC0">
        <w:t xml:space="preserve"> </w:t>
      </w:r>
      <w:proofErr w:type="gramStart"/>
      <w:r w:rsidRPr="00266AC0">
        <w:t>Edited by Alexander J. Roth.</w:t>
      </w:r>
      <w:proofErr w:type="gramEnd"/>
      <w:r w:rsidRPr="00266AC0">
        <w:t xml:space="preserve"> STUDENT NOTE: Reevaluating ITAR: A Holistic Approach to Regaining Critical Market Share While Simultaneously Attaining Robust National Security, 2 U. Miami Natl Sec. &amp; Armed Conf. L. Rev. 150)</w:t>
      </w:r>
    </w:p>
    <w:p w:rsidR="00266AC0" w:rsidRPr="00F44161" w:rsidRDefault="00266AC0" w:rsidP="00266AC0">
      <w:pPr>
        <w:rPr>
          <w:sz w:val="16"/>
        </w:rPr>
      </w:pPr>
      <w:r w:rsidRPr="00F44161">
        <w:rPr>
          <w:sz w:val="16"/>
        </w:rPr>
        <w:t xml:space="preserve">As one would expect, </w:t>
      </w:r>
      <w:r w:rsidRPr="00266AC0">
        <w:rPr>
          <w:rStyle w:val="StyleUnderline"/>
        </w:rPr>
        <w:t xml:space="preserve">exportation of defense and munitions technology is a highly regulated area. </w:t>
      </w:r>
      <w:r w:rsidRPr="00266AC0">
        <w:rPr>
          <w:rStyle w:val="StyleUnderline"/>
          <w:highlight w:val="yellow"/>
        </w:rPr>
        <w:t xml:space="preserve">In the </w:t>
      </w:r>
      <w:r w:rsidRPr="00266AC0">
        <w:rPr>
          <w:rStyle w:val="Emphasis"/>
          <w:highlight w:val="yellow"/>
        </w:rPr>
        <w:t>U</w:t>
      </w:r>
      <w:r w:rsidRPr="00266AC0">
        <w:rPr>
          <w:rStyle w:val="StyleUnderline"/>
        </w:rPr>
        <w:t xml:space="preserve">nited </w:t>
      </w:r>
      <w:r w:rsidRPr="00266AC0">
        <w:rPr>
          <w:rStyle w:val="Emphasis"/>
          <w:highlight w:val="yellow"/>
        </w:rPr>
        <w:t>S</w:t>
      </w:r>
      <w:r w:rsidRPr="00266AC0">
        <w:rPr>
          <w:rStyle w:val="StyleUnderline"/>
        </w:rPr>
        <w:t>tates, there are two sets of statutes that govern these export controls:</w:t>
      </w:r>
      <w:r w:rsidRPr="00F44161">
        <w:rPr>
          <w:sz w:val="16"/>
        </w:rPr>
        <w:t xml:space="preserve"> the Export Administration Act ("EAA"), 16Link to the text of the note and </w:t>
      </w:r>
      <w:r w:rsidRPr="00266AC0">
        <w:rPr>
          <w:rStyle w:val="StyleUnderline"/>
          <w:highlight w:val="yellow"/>
        </w:rPr>
        <w:t xml:space="preserve">the </w:t>
      </w:r>
      <w:r w:rsidRPr="00F44161">
        <w:rPr>
          <w:rStyle w:val="Emphasis"/>
          <w:highlight w:val="yellow"/>
        </w:rPr>
        <w:t>A</w:t>
      </w:r>
      <w:r w:rsidRPr="00F44161">
        <w:rPr>
          <w:rStyle w:val="StyleUnderline"/>
        </w:rPr>
        <w:t xml:space="preserve">rms </w:t>
      </w:r>
      <w:r w:rsidRPr="00F44161">
        <w:rPr>
          <w:rStyle w:val="Emphasis"/>
          <w:highlight w:val="yellow"/>
        </w:rPr>
        <w:t>E</w:t>
      </w:r>
      <w:r w:rsidRPr="00F44161">
        <w:rPr>
          <w:rStyle w:val="StyleUnderline"/>
        </w:rPr>
        <w:t xml:space="preserve">xport </w:t>
      </w:r>
      <w:r w:rsidRPr="00F44161">
        <w:rPr>
          <w:rStyle w:val="Emphasis"/>
          <w:highlight w:val="yellow"/>
        </w:rPr>
        <w:t>C</w:t>
      </w:r>
      <w:r w:rsidRPr="00F44161">
        <w:rPr>
          <w:rStyle w:val="StyleUnderline"/>
        </w:rPr>
        <w:t xml:space="preserve">ontrol </w:t>
      </w:r>
      <w:r w:rsidRPr="00F44161">
        <w:rPr>
          <w:rStyle w:val="Emphasis"/>
          <w:highlight w:val="yellow"/>
        </w:rPr>
        <w:t>A</w:t>
      </w:r>
      <w:r w:rsidRPr="00F44161">
        <w:rPr>
          <w:rStyle w:val="StyleUnderline"/>
        </w:rPr>
        <w:t>ct</w:t>
      </w:r>
      <w:r w:rsidRPr="00F44161">
        <w:rPr>
          <w:sz w:val="16"/>
        </w:rPr>
        <w:t xml:space="preserve"> ("AEA"). 17Link to the text of the note The EAA is instructive as to the administration of defense goods and technologies. 18Link to the text of the note The focus of this article on the other hand, sits with the AEA, </w:t>
      </w:r>
      <w:r w:rsidRPr="00266AC0">
        <w:rPr>
          <w:rStyle w:val="Emphasis"/>
        </w:rPr>
        <w:t xml:space="preserve">which </w:t>
      </w:r>
      <w:r w:rsidRPr="00266AC0">
        <w:rPr>
          <w:rStyle w:val="Emphasis"/>
          <w:highlight w:val="yellow"/>
        </w:rPr>
        <w:t>has a</w:t>
      </w:r>
      <w:r w:rsidRPr="00266AC0">
        <w:rPr>
          <w:rStyle w:val="Emphasis"/>
        </w:rPr>
        <w:t xml:space="preserve"> more specific </w:t>
      </w:r>
      <w:r w:rsidRPr="00266AC0">
        <w:rPr>
          <w:rStyle w:val="Emphasis"/>
          <w:highlight w:val="yellow"/>
        </w:rPr>
        <w:t>goal of "reducing</w:t>
      </w:r>
      <w:r w:rsidRPr="00266AC0">
        <w:rPr>
          <w:rStyle w:val="Emphasis"/>
        </w:rPr>
        <w:t xml:space="preserve"> the international trade in implements of war" </w:t>
      </w:r>
      <w:r w:rsidRPr="00266AC0">
        <w:rPr>
          <w:rStyle w:val="Emphasis"/>
          <w:highlight w:val="yellow"/>
        </w:rPr>
        <w:t>by restricting which goods and tech</w:t>
      </w:r>
      <w:r w:rsidRPr="00FC746C">
        <w:rPr>
          <w:rStyle w:val="Emphasis"/>
        </w:rPr>
        <w:t xml:space="preserve">nologies </w:t>
      </w:r>
      <w:r w:rsidRPr="00266AC0">
        <w:rPr>
          <w:rStyle w:val="Emphasis"/>
          <w:highlight w:val="yellow"/>
        </w:rPr>
        <w:t>can be exported</w:t>
      </w:r>
      <w:r w:rsidRPr="00F44161">
        <w:rPr>
          <w:sz w:val="16"/>
        </w:rPr>
        <w:t xml:space="preserve">. 19Link to the text of the note The AEA is administered by the Department </w:t>
      </w:r>
      <w:proofErr w:type="gramStart"/>
      <w:r w:rsidRPr="00F44161">
        <w:rPr>
          <w:sz w:val="16"/>
        </w:rPr>
        <w:t>of  [</w:t>
      </w:r>
      <w:proofErr w:type="gramEnd"/>
      <w:r w:rsidRPr="00F44161">
        <w:rPr>
          <w:sz w:val="16"/>
        </w:rPr>
        <w:t xml:space="preserve">*155]  State and employed through the Department of Commerce via ITAR. 20Link to the text of the note </w:t>
      </w:r>
      <w:proofErr w:type="gramStart"/>
      <w:r w:rsidRPr="00F44161">
        <w:rPr>
          <w:sz w:val="16"/>
        </w:rPr>
        <w:t>The</w:t>
      </w:r>
      <w:proofErr w:type="gramEnd"/>
      <w:r w:rsidRPr="00F44161">
        <w:rPr>
          <w:sz w:val="16"/>
        </w:rPr>
        <w:t xml:space="preserve"> ultimate purpose of ITAR is to "prevent sensitive technology from reaching parties hostile to the United States." 21Link to the text of the note</w:t>
      </w:r>
    </w:p>
    <w:p w:rsidR="00F44161" w:rsidRDefault="00F44161" w:rsidP="00F0382F">
      <w:pPr>
        <w:pStyle w:val="Heading4"/>
      </w:pPr>
      <w:r>
        <w:t>Reductions under AECA can target specific countries</w:t>
      </w:r>
    </w:p>
    <w:p w:rsidR="00F0382F" w:rsidRDefault="00F0382F" w:rsidP="00F0382F">
      <w:proofErr w:type="spellStart"/>
      <w:r w:rsidRPr="0004667A">
        <w:rPr>
          <w:rStyle w:val="Style13ptBold"/>
        </w:rPr>
        <w:t>Udin</w:t>
      </w:r>
      <w:proofErr w:type="spellEnd"/>
      <w:r w:rsidRPr="0004667A">
        <w:rPr>
          <w:rStyle w:val="Style13ptBold"/>
        </w:rPr>
        <w:t xml:space="preserve"> 1</w:t>
      </w:r>
      <w:r w:rsidRPr="0004667A">
        <w:t xml:space="preserve"> (Andrew, Senior Note &amp; Comment Editor, American University Law Review, Volume 51; J.D. Candidate, May 2002, American University, Washington College of Law; B.A., 1999, Binghamton University, magna cum laude. June. COMMENT</w:t>
      </w:r>
      <w:proofErr w:type="gramStart"/>
      <w:r w:rsidRPr="0004667A">
        <w:t>:SLAYING</w:t>
      </w:r>
      <w:proofErr w:type="gramEnd"/>
      <w:r w:rsidRPr="0004667A">
        <w:t xml:space="preserve"> GOLIATH: THE EXTRATERRITORIAL APPLICATION OF U.S. ANTITRUST LAW TO OPEC, 50 Am. U.L. Rev. 1321. </w:t>
      </w:r>
      <w:proofErr w:type="gramStart"/>
      <w:r w:rsidRPr="0004667A">
        <w:t>l/</w:t>
      </w:r>
      <w:proofErr w:type="gramEnd"/>
      <w:r w:rsidRPr="0004667A">
        <w:t>n)</w:t>
      </w:r>
    </w:p>
    <w:p w:rsidR="00F0382F" w:rsidRPr="008D6C94" w:rsidRDefault="00F0382F" w:rsidP="00F0382F">
      <w:pPr>
        <w:rPr>
          <w:sz w:val="14"/>
        </w:rPr>
      </w:pPr>
      <w:r w:rsidRPr="008D6C94">
        <w:rPr>
          <w:sz w:val="14"/>
        </w:rPr>
        <w:t xml:space="preserve">Prior to introducing the FTBA and the IEFPA, Rep. Gilman proposed to introduce the Oil Price Reduction Act of 2000 ("OPRA") in the House Committee on International Relations. 293Link to the text of the note </w:t>
      </w:r>
      <w:proofErr w:type="gramStart"/>
      <w:r w:rsidRPr="008D6C94">
        <w:rPr>
          <w:sz w:val="14"/>
        </w:rPr>
        <w:t>In</w:t>
      </w:r>
      <w:proofErr w:type="gramEnd"/>
      <w:r w:rsidRPr="008D6C94">
        <w:rPr>
          <w:sz w:val="14"/>
        </w:rPr>
        <w:t xml:space="preserve"> testimony before the Committee, Clinton Administration officials asserted that OPEC has restricted oil supplies to the market, thereby swelling prices, and further maintained that OPEC's activities as a cartel are not in the national interests of the United States. 294Link to the text of the note </w:t>
      </w:r>
      <w:r w:rsidRPr="00735C4A">
        <w:rPr>
          <w:rStyle w:val="Emphasis"/>
        </w:rPr>
        <w:t>The objective of the OPRA is to</w:t>
      </w:r>
      <w:r w:rsidRPr="00B42812">
        <w:rPr>
          <w:rStyle w:val="Emphasis"/>
        </w:rPr>
        <w:t xml:space="preserve"> reduce, suspend, or terminate assistance </w:t>
      </w:r>
      <w:r w:rsidRPr="00735C4A">
        <w:rPr>
          <w:rStyle w:val="Emphasis"/>
        </w:rPr>
        <w:t xml:space="preserve">under </w:t>
      </w:r>
      <w:r w:rsidRPr="00B42812">
        <w:rPr>
          <w:rStyle w:val="Emphasis"/>
          <w:highlight w:val="yellow"/>
        </w:rPr>
        <w:t>the</w:t>
      </w:r>
      <w:r w:rsidRPr="008D6C94">
        <w:rPr>
          <w:sz w:val="14"/>
        </w:rPr>
        <w:t xml:space="preserve"> Foreign Assistance Act of 1961 295Link to the text of the note and the </w:t>
      </w:r>
      <w:r w:rsidRPr="00B42812">
        <w:rPr>
          <w:rStyle w:val="Emphasis"/>
          <w:highlight w:val="yellow"/>
        </w:rPr>
        <w:t>A</w:t>
      </w:r>
      <w:r w:rsidRPr="00F44161">
        <w:t>rms</w:t>
      </w:r>
      <w:r w:rsidRPr="00B42812">
        <w:rPr>
          <w:rStyle w:val="Emphasis"/>
          <w:highlight w:val="yellow"/>
        </w:rPr>
        <w:t xml:space="preserve"> E</w:t>
      </w:r>
      <w:r w:rsidRPr="00F44161">
        <w:t xml:space="preserve">xport </w:t>
      </w:r>
      <w:r w:rsidRPr="00B42812">
        <w:rPr>
          <w:rStyle w:val="Emphasis"/>
          <w:highlight w:val="yellow"/>
        </w:rPr>
        <w:t>C</w:t>
      </w:r>
      <w:r w:rsidRPr="00F44161">
        <w:t>ontrol</w:t>
      </w:r>
      <w:r w:rsidRPr="00B42812">
        <w:rPr>
          <w:rStyle w:val="Emphasis"/>
          <w:highlight w:val="yellow"/>
        </w:rPr>
        <w:t xml:space="preserve"> A</w:t>
      </w:r>
      <w:r w:rsidRPr="00F44161">
        <w:t>ct</w:t>
      </w:r>
      <w:r w:rsidRPr="008D6C94">
        <w:rPr>
          <w:sz w:val="14"/>
        </w:rPr>
        <w:t xml:space="preserve"> 296Link </w:t>
      </w:r>
      <w:r w:rsidRPr="00735C4A">
        <w:rPr>
          <w:rStyle w:val="StyleUnderline"/>
        </w:rPr>
        <w:t>to</w:t>
      </w:r>
      <w:r w:rsidRPr="008D6C94">
        <w:rPr>
          <w:sz w:val="14"/>
        </w:rPr>
        <w:t xml:space="preserve"> the text of the note [*1369] to any country determined by the President to be engaged in oil price-fixing to the detriment of the U.S. economy. 297Link to the text of the note If the President concludes that OPEC members or other major non-OPEC oil producers 298Link to the text of the note are involved in price-fixing, he must undertake a concerted bilateral and multilateral diplomatic campaign to bring about the termination of oil price-fixing arrangements.</w:t>
      </w:r>
    </w:p>
    <w:p w:rsidR="00F0382F" w:rsidRDefault="00F0382F" w:rsidP="00F0382F">
      <w:r w:rsidRPr="008D6C94">
        <w:rPr>
          <w:sz w:val="14"/>
        </w:rPr>
        <w:t xml:space="preserve">Note 297: See H.R. Rep. No. 106-528, at 1 (stating the purpose of the Oil Price Reduction Act of 2000). </w:t>
      </w:r>
      <w:r w:rsidRPr="00D67FCC">
        <w:rPr>
          <w:rStyle w:val="Emphasis"/>
        </w:rPr>
        <w:t>The Oil Price Reduction Act</w:t>
      </w:r>
      <w:r w:rsidRPr="008D6C94">
        <w:rPr>
          <w:sz w:val="14"/>
        </w:rPr>
        <w:t xml:space="preserve"> requires that "not later than thirty days after enactment, the President shall report on the overall relationship [of the United States] with each country that is a major oil exporter, shall describe the nature of the coordination between these countries in regard to the effect that oil pricing and production </w:t>
      </w:r>
      <w:r w:rsidRPr="00735C4A">
        <w:rPr>
          <w:rStyle w:val="StyleUnderline"/>
          <w:highlight w:val="yellow"/>
        </w:rPr>
        <w:t>has</w:t>
      </w:r>
      <w:r w:rsidRPr="008D6C94">
        <w:rPr>
          <w:sz w:val="14"/>
        </w:rPr>
        <w:t xml:space="preserve"> had on the U.S. economy," and </w:t>
      </w:r>
      <w:r w:rsidRPr="00735C4A">
        <w:rPr>
          <w:rStyle w:val="StyleUnderline"/>
        </w:rPr>
        <w:t>provide</w:t>
      </w:r>
      <w:r w:rsidRPr="008D6C94">
        <w:rPr>
          <w:sz w:val="14"/>
        </w:rPr>
        <w:t xml:space="preserve"> </w:t>
      </w:r>
      <w:r w:rsidRPr="004655C7">
        <w:rPr>
          <w:rStyle w:val="Emphasis"/>
          <w:highlight w:val="yellow"/>
        </w:rPr>
        <w:t>a comprehensive review of options available</w:t>
      </w:r>
      <w:r w:rsidRPr="008D6C94">
        <w:rPr>
          <w:sz w:val="14"/>
        </w:rPr>
        <w:t xml:space="preserve"> to the President as part of the multilateral effort </w:t>
      </w:r>
      <w:r w:rsidRPr="004655C7">
        <w:rPr>
          <w:rStyle w:val="Emphasis"/>
          <w:highlight w:val="yellow"/>
        </w:rPr>
        <w:t xml:space="preserve">including </w:t>
      </w:r>
      <w:r w:rsidRPr="00F0382F">
        <w:rPr>
          <w:rStyle w:val="Emphasis"/>
        </w:rPr>
        <w:t>the suspension, termination or</w:t>
      </w:r>
      <w:r w:rsidRPr="004655C7">
        <w:rPr>
          <w:rStyle w:val="Emphasis"/>
          <w:highlight w:val="yellow"/>
        </w:rPr>
        <w:t xml:space="preserve"> reduction of</w:t>
      </w:r>
      <w:r w:rsidRPr="008D6C94">
        <w:rPr>
          <w:sz w:val="14"/>
        </w:rPr>
        <w:t xml:space="preserve"> assistance or </w:t>
      </w:r>
      <w:r w:rsidRPr="004655C7">
        <w:rPr>
          <w:rStyle w:val="Emphasis"/>
          <w:highlight w:val="yellow"/>
        </w:rPr>
        <w:t xml:space="preserve">arms </w:t>
      </w:r>
      <w:r w:rsidRPr="00F0382F">
        <w:rPr>
          <w:rStyle w:val="Emphasis"/>
          <w:highlight w:val="yellow"/>
        </w:rPr>
        <w:t>sales to</w:t>
      </w:r>
      <w:r w:rsidRPr="008D6C94">
        <w:rPr>
          <w:sz w:val="14"/>
        </w:rPr>
        <w:t xml:space="preserve"> these same </w:t>
      </w:r>
      <w:r w:rsidRPr="00F0382F">
        <w:rPr>
          <w:rStyle w:val="Emphasis"/>
          <w:highlight w:val="yellow"/>
        </w:rPr>
        <w:t>countries</w:t>
      </w:r>
      <w:r w:rsidRPr="008D6C94">
        <w:rPr>
          <w:sz w:val="14"/>
        </w:rPr>
        <w:t xml:space="preserve">. See id. </w:t>
      </w:r>
      <w:proofErr w:type="gramStart"/>
      <w:r w:rsidRPr="008D6C94">
        <w:rPr>
          <w:sz w:val="14"/>
        </w:rPr>
        <w:t>at</w:t>
      </w:r>
      <w:proofErr w:type="gramEnd"/>
      <w:r w:rsidRPr="008D6C94">
        <w:rPr>
          <w:sz w:val="14"/>
        </w:rPr>
        <w:t xml:space="preserve"> 5-6</w:t>
      </w:r>
    </w:p>
    <w:p w:rsidR="00AA4551" w:rsidRDefault="00F0382F" w:rsidP="00F0382F">
      <w:pPr>
        <w:tabs>
          <w:tab w:val="left" w:pos="10510"/>
        </w:tabs>
      </w:pPr>
      <w:r>
        <w:t xml:space="preserve">  </w:t>
      </w:r>
    </w:p>
    <w:p w:rsidR="00AA4551" w:rsidRDefault="00AA4551" w:rsidP="00F0382F">
      <w:pPr>
        <w:tabs>
          <w:tab w:val="left" w:pos="10510"/>
        </w:tabs>
      </w:pPr>
    </w:p>
    <w:p w:rsidR="00F0382F" w:rsidRDefault="00AA4551" w:rsidP="00AA4551">
      <w:pPr>
        <w:pStyle w:val="Heading4"/>
      </w:pPr>
      <w:r>
        <w:t>Qualitative ceilings have no baseline and make debate impossible</w:t>
      </w:r>
      <w:r w:rsidR="004A69C3">
        <w:t xml:space="preserve">- their interpretation is from the era of 80s controls which had an entirely different context- </w:t>
      </w:r>
    </w:p>
    <w:p w:rsidR="00AA4551" w:rsidRDefault="00AA4551" w:rsidP="00AA4551">
      <w:proofErr w:type="spellStart"/>
      <w:proofErr w:type="gramStart"/>
      <w:r w:rsidRPr="00AA4551">
        <w:rPr>
          <w:rStyle w:val="Heading4Char"/>
        </w:rPr>
        <w:t>Kok</w:t>
      </w:r>
      <w:proofErr w:type="spellEnd"/>
      <w:r w:rsidRPr="00AA4551">
        <w:rPr>
          <w:rStyle w:val="Heading4Char"/>
        </w:rPr>
        <w:t xml:space="preserve"> &amp; </w:t>
      </w:r>
      <w:proofErr w:type="spellStart"/>
      <w:r w:rsidRPr="00AA4551">
        <w:rPr>
          <w:rStyle w:val="Heading4Char"/>
        </w:rPr>
        <w:t>Firestein</w:t>
      </w:r>
      <w:proofErr w:type="spellEnd"/>
      <w:r w:rsidRPr="00AA4551">
        <w:rPr>
          <w:rStyle w:val="Heading4Char"/>
        </w:rPr>
        <w:t xml:space="preserve"> 13</w:t>
      </w:r>
      <w:r w:rsidRPr="00AA4551">
        <w:t xml:space="preserve"> (</w:t>
      </w:r>
      <w:proofErr w:type="spellStart"/>
      <w:r w:rsidRPr="00AA4551">
        <w:t>Piin</w:t>
      </w:r>
      <w:proofErr w:type="spellEnd"/>
      <w:r w:rsidRPr="00AA4551">
        <w:t xml:space="preserve">-Fen, Director of the China, East Asia and United States Program at the </w:t>
      </w:r>
      <w:proofErr w:type="spellStart"/>
      <w:r w:rsidRPr="00AA4551">
        <w:t>EastWest</w:t>
      </w:r>
      <w:proofErr w:type="spellEnd"/>
      <w:r w:rsidRPr="00AA4551">
        <w:t xml:space="preserve"> Institute.</w:t>
      </w:r>
      <w:proofErr w:type="gramEnd"/>
      <w:r w:rsidRPr="00AA4551">
        <w:t xml:space="preserve"> David, </w:t>
      </w:r>
      <w:r>
        <w:t>Perot Fellow and V</w:t>
      </w:r>
      <w:r>
        <w:t xml:space="preserve">ice President for the Strategic </w:t>
      </w:r>
      <w:r>
        <w:t>Trust-Building Initiative and Track 2 Diplomacy</w:t>
      </w:r>
      <w:proofErr w:type="gramStart"/>
      <w:r>
        <w:t>.</w:t>
      </w:r>
      <w:r w:rsidRPr="00AA4551">
        <w:t>.</w:t>
      </w:r>
      <w:proofErr w:type="gramEnd"/>
      <w:r w:rsidRPr="00AA4551">
        <w:t xml:space="preserve"> </w:t>
      </w:r>
      <w:proofErr w:type="gramStart"/>
      <w:r w:rsidRPr="00AA4551">
        <w:t>THREADING THE NEEDLE PROPOSALS FOR U.S. AND CHINESE ACTIONS ON ARMS SALES TO TAIWAN.</w:t>
      </w:r>
      <w:proofErr w:type="gramEnd"/>
      <w:r w:rsidRPr="00AA4551">
        <w:t xml:space="preserve"> </w:t>
      </w:r>
      <w:hyperlink r:id="rId8" w:history="1">
        <w:r w:rsidRPr="00325000">
          <w:rPr>
            <w:rStyle w:val="Hyperlink"/>
          </w:rPr>
          <w:t>https://www.eastwest.ngo/sites/default/files/TAS%20Final%20%2528ISSUU%20VERSION%209_17_2013%2529.pdf</w:t>
        </w:r>
      </w:hyperlink>
      <w:r w:rsidRPr="00AA4551">
        <w:t>)</w:t>
      </w:r>
    </w:p>
    <w:p w:rsidR="00AA4551" w:rsidRPr="00FC746C" w:rsidRDefault="00AA4551" w:rsidP="00AA4551">
      <w:pPr>
        <w:rPr>
          <w:sz w:val="16"/>
        </w:rPr>
      </w:pPr>
      <w:r w:rsidRPr="004A69C3">
        <w:rPr>
          <w:rStyle w:val="Emphasis"/>
        </w:rPr>
        <w:t xml:space="preserve">The issue of </w:t>
      </w:r>
      <w:r w:rsidRPr="007C0348">
        <w:rPr>
          <w:rStyle w:val="Emphasis"/>
          <w:highlight w:val="yellow"/>
        </w:rPr>
        <w:t>the “quality” of U.S. arms sales</w:t>
      </w:r>
      <w:r w:rsidRPr="004A69C3">
        <w:rPr>
          <w:rStyle w:val="Emphasis"/>
        </w:rPr>
        <w:t xml:space="preserve"> </w:t>
      </w:r>
      <w:r w:rsidRPr="00FC746C">
        <w:rPr>
          <w:sz w:val="16"/>
        </w:rPr>
        <w:t>to Taiwan</w:t>
      </w:r>
      <w:r w:rsidRPr="004A69C3">
        <w:rPr>
          <w:rStyle w:val="Emphasis"/>
        </w:rPr>
        <w:t xml:space="preserve"> </w:t>
      </w:r>
      <w:r w:rsidRPr="007C0348">
        <w:rPr>
          <w:rStyle w:val="Emphasis"/>
          <w:highlight w:val="yellow"/>
        </w:rPr>
        <w:t>is</w:t>
      </w:r>
      <w:r w:rsidRPr="00FC746C">
        <w:rPr>
          <w:sz w:val="16"/>
        </w:rPr>
        <w:t xml:space="preserve"> more </w:t>
      </w:r>
      <w:r w:rsidRPr="007C0348">
        <w:rPr>
          <w:rStyle w:val="Emphasis"/>
          <w:highlight w:val="yellow"/>
        </w:rPr>
        <w:t>difficult to assess</w:t>
      </w:r>
      <w:r w:rsidRPr="00FC746C">
        <w:rPr>
          <w:sz w:val="16"/>
        </w:rPr>
        <w:t>. As noted above, the one rather clear-cut (if conditional) commitment the United States seemed to make in the Communique was “that its arms sales to Taiwan will not exceed, either in qualitative or in quantitative terms, the level of those supplied in recent years since the establishment of diplomatic relations between the United States and China.” It bears noting that this was a pledge not to reduce the quality or quantity of arms sold, but rather, not to exceed a stipulated level.</w:t>
      </w:r>
    </w:p>
    <w:p w:rsidR="00AA4551" w:rsidRDefault="00AA4551" w:rsidP="00AA4551">
      <w:r w:rsidRPr="004A69C3">
        <w:rPr>
          <w:rStyle w:val="StyleUnderline"/>
        </w:rPr>
        <w:t xml:space="preserve">Defining </w:t>
      </w:r>
      <w:r w:rsidRPr="007C0348">
        <w:rPr>
          <w:rStyle w:val="StyleUnderline"/>
          <w:highlight w:val="yellow"/>
        </w:rPr>
        <w:t>the baseline</w:t>
      </w:r>
      <w:r w:rsidRPr="004A69C3">
        <w:rPr>
          <w:rStyle w:val="StyleUnderline"/>
        </w:rPr>
        <w:t xml:space="preserve"> qualitative level of arms sold </w:t>
      </w:r>
      <w:r w:rsidRPr="007C0348">
        <w:rPr>
          <w:rStyle w:val="StyleUnderline"/>
          <w:highlight w:val="yellow"/>
        </w:rPr>
        <w:t>is</w:t>
      </w:r>
      <w:r w:rsidRPr="00FC746C">
        <w:rPr>
          <w:sz w:val="16"/>
        </w:rPr>
        <w:t xml:space="preserve"> inherently </w:t>
      </w:r>
      <w:r w:rsidRPr="004A69C3">
        <w:rPr>
          <w:rStyle w:val="StyleUnderline"/>
        </w:rPr>
        <w:t>a</w:t>
      </w:r>
      <w:r w:rsidRPr="00FC746C">
        <w:rPr>
          <w:sz w:val="16"/>
        </w:rPr>
        <w:t xml:space="preserve"> more </w:t>
      </w:r>
      <w:r w:rsidRPr="007C0348">
        <w:rPr>
          <w:rStyle w:val="StyleUnderline"/>
          <w:highlight w:val="yellow"/>
        </w:rPr>
        <w:t>subjective, and</w:t>
      </w:r>
      <w:r w:rsidRPr="004A69C3">
        <w:rPr>
          <w:rStyle w:val="StyleUnderline"/>
        </w:rPr>
        <w:t xml:space="preserve"> therefore </w:t>
      </w:r>
      <w:r w:rsidRPr="007C0348">
        <w:rPr>
          <w:rStyle w:val="StyleUnderline"/>
          <w:highlight w:val="yellow"/>
        </w:rPr>
        <w:t>problematic</w:t>
      </w:r>
      <w:r w:rsidRPr="004A69C3">
        <w:rPr>
          <w:rStyle w:val="StyleUnderline"/>
        </w:rPr>
        <w:t>, process for three main reasons. First, the term “</w:t>
      </w:r>
      <w:r w:rsidRPr="007C0348">
        <w:rPr>
          <w:rStyle w:val="StyleUnderline"/>
          <w:highlight w:val="yellow"/>
        </w:rPr>
        <w:t>qualitative” is not</w:t>
      </w:r>
      <w:r w:rsidRPr="004A69C3">
        <w:rPr>
          <w:rStyle w:val="StyleUnderline"/>
        </w:rPr>
        <w:t xml:space="preserve"> specifically </w:t>
      </w:r>
      <w:r w:rsidRPr="007C0348">
        <w:rPr>
          <w:rStyle w:val="StyleUnderline"/>
          <w:highlight w:val="yellow"/>
        </w:rPr>
        <w:t>defined</w:t>
      </w:r>
      <w:r w:rsidRPr="00FC746C">
        <w:rPr>
          <w:sz w:val="16"/>
        </w:rPr>
        <w:t xml:space="preserve"> in the Communique itself </w:t>
      </w:r>
      <w:r w:rsidRPr="007C0348">
        <w:rPr>
          <w:rStyle w:val="StyleUnderline"/>
          <w:highlight w:val="yellow"/>
        </w:rPr>
        <w:t>and</w:t>
      </w:r>
      <w:r w:rsidRPr="00FC746C">
        <w:rPr>
          <w:sz w:val="16"/>
        </w:rPr>
        <w:t xml:space="preserve"> it </w:t>
      </w:r>
      <w:r w:rsidRPr="007C0348">
        <w:rPr>
          <w:rStyle w:val="StyleUnderline"/>
          <w:highlight w:val="yellow"/>
        </w:rPr>
        <w:t>is</w:t>
      </w:r>
      <w:r w:rsidRPr="004A69C3">
        <w:rPr>
          <w:rStyle w:val="StyleUnderline"/>
        </w:rPr>
        <w:t xml:space="preserve"> an </w:t>
      </w:r>
      <w:r w:rsidRPr="007C0348">
        <w:rPr>
          <w:rStyle w:val="StyleUnderline"/>
          <w:highlight w:val="yellow"/>
        </w:rPr>
        <w:t>inherently</w:t>
      </w:r>
      <w:r w:rsidRPr="004A69C3">
        <w:rPr>
          <w:rStyle w:val="StyleUnderline"/>
        </w:rPr>
        <w:t xml:space="preserve"> more </w:t>
      </w:r>
      <w:r w:rsidRPr="007C0348">
        <w:rPr>
          <w:rStyle w:val="StyleUnderline"/>
          <w:highlight w:val="yellow"/>
        </w:rPr>
        <w:t>subjective</w:t>
      </w:r>
      <w:r w:rsidRPr="004A69C3">
        <w:rPr>
          <w:rStyle w:val="StyleUnderline"/>
        </w:rPr>
        <w:t xml:space="preserve"> construct</w:t>
      </w:r>
      <w:r w:rsidRPr="00FC746C">
        <w:rPr>
          <w:sz w:val="16"/>
        </w:rPr>
        <w:t xml:space="preserve"> than “quantitative.” Second, </w:t>
      </w:r>
      <w:r w:rsidRPr="004A69C3">
        <w:rPr>
          <w:rStyle w:val="StyleUnderline"/>
        </w:rPr>
        <w:t xml:space="preserve">the notion of </w:t>
      </w:r>
      <w:r w:rsidRPr="007C0348">
        <w:rPr>
          <w:rStyle w:val="StyleUnderline"/>
        </w:rPr>
        <w:t>quality</w:t>
      </w:r>
      <w:r w:rsidRPr="00FC746C">
        <w:rPr>
          <w:sz w:val="16"/>
        </w:rPr>
        <w:t xml:space="preserve">, like that of quantity, </w:t>
      </w:r>
      <w:r w:rsidRPr="004A69C3">
        <w:rPr>
          <w:rStyle w:val="StyleUnderline"/>
        </w:rPr>
        <w:t>has to be understood in relative terms</w:t>
      </w:r>
      <w:r w:rsidRPr="00FC746C">
        <w:rPr>
          <w:sz w:val="16"/>
        </w:rPr>
        <w:t xml:space="preserve">; specifically, quality has to be assessed in the context of the times and the available level of technology. For example, there was a time when a musket was the most advanced weapons technology on earth; but with time and technological developments, it was overtaken by more sophisticated arms. Third, over the last 30 years, the United States has sold different types of arms to Taiwan—from radar systems to tanks, missiles to fighter planes. </w:t>
      </w:r>
      <w:r w:rsidRPr="007C0348">
        <w:rPr>
          <w:rStyle w:val="Emphasis"/>
          <w:highlight w:val="yellow"/>
        </w:rPr>
        <w:t>There is an intrinsic difficulty in assessing</w:t>
      </w:r>
      <w:r w:rsidRPr="004A69C3">
        <w:rPr>
          <w:rStyle w:val="Emphasis"/>
        </w:rPr>
        <w:t xml:space="preserve"> the </w:t>
      </w:r>
      <w:r w:rsidRPr="007C0348">
        <w:rPr>
          <w:rStyle w:val="Emphasis"/>
          <w:highlight w:val="yellow"/>
        </w:rPr>
        <w:t>quality of</w:t>
      </w:r>
      <w:r w:rsidRPr="004A69C3">
        <w:rPr>
          <w:rStyle w:val="Emphasis"/>
        </w:rPr>
        <w:t xml:space="preserve"> a </w:t>
      </w:r>
      <w:r w:rsidRPr="007C0348">
        <w:rPr>
          <w:rStyle w:val="Emphasis"/>
          <w:highlight w:val="yellow"/>
        </w:rPr>
        <w:t>radar</w:t>
      </w:r>
      <w:r w:rsidRPr="004A69C3">
        <w:rPr>
          <w:rStyle w:val="Emphasis"/>
        </w:rPr>
        <w:t xml:space="preserve"> system </w:t>
      </w:r>
      <w:r w:rsidRPr="007C0348">
        <w:rPr>
          <w:rStyle w:val="Emphasis"/>
          <w:highlight w:val="yellow"/>
        </w:rPr>
        <w:t>relative to</w:t>
      </w:r>
      <w:r w:rsidRPr="004A69C3">
        <w:rPr>
          <w:rStyle w:val="Emphasis"/>
        </w:rPr>
        <w:t xml:space="preserve"> that of </w:t>
      </w:r>
      <w:r w:rsidRPr="007C0348">
        <w:rPr>
          <w:rStyle w:val="Emphasis"/>
          <w:highlight w:val="yellow"/>
        </w:rPr>
        <w:t>a</w:t>
      </w:r>
      <w:r w:rsidRPr="004A69C3">
        <w:rPr>
          <w:rStyle w:val="Emphasis"/>
        </w:rPr>
        <w:t xml:space="preserve"> fighter </w:t>
      </w:r>
      <w:r w:rsidRPr="007C0348">
        <w:rPr>
          <w:rStyle w:val="Emphasis"/>
          <w:highlight w:val="yellow"/>
        </w:rPr>
        <w:t>plane, as the functions are completely different.</w:t>
      </w:r>
      <w:r w:rsidRPr="004A69C3">
        <w:rPr>
          <w:rStyle w:val="Emphasis"/>
        </w:rPr>
        <w:t xml:space="preserve"> As a result, </w:t>
      </w:r>
      <w:r w:rsidRPr="007C0348">
        <w:rPr>
          <w:rStyle w:val="Emphasis"/>
          <w:highlight w:val="yellow"/>
        </w:rPr>
        <w:t>it may not</w:t>
      </w:r>
      <w:r w:rsidRPr="004A69C3">
        <w:rPr>
          <w:rStyle w:val="Emphasis"/>
        </w:rPr>
        <w:t xml:space="preserve"> always, or generally, </w:t>
      </w:r>
      <w:r w:rsidRPr="007C0348">
        <w:rPr>
          <w:rStyle w:val="Emphasis"/>
          <w:highlight w:val="yellow"/>
        </w:rPr>
        <w:t>be possible to make direct</w:t>
      </w:r>
      <w:r w:rsidRPr="004A69C3">
        <w:rPr>
          <w:rStyle w:val="Emphasis"/>
        </w:rPr>
        <w:t xml:space="preserve"> “apples-to-apples” </w:t>
      </w:r>
      <w:r w:rsidRPr="007C0348">
        <w:rPr>
          <w:rStyle w:val="Emphasis"/>
          <w:highlight w:val="yellow"/>
        </w:rPr>
        <w:t>comparisons</w:t>
      </w:r>
      <w:r w:rsidRPr="004A69C3">
        <w:rPr>
          <w:rStyle w:val="Emphasis"/>
        </w:rPr>
        <w:t xml:space="preserve"> of delivered weapons</w:t>
      </w:r>
      <w:r w:rsidRPr="00FC746C">
        <w:rPr>
          <w:sz w:val="16"/>
        </w:rPr>
        <w:t>.</w:t>
      </w:r>
    </w:p>
    <w:p w:rsidR="00AA4551" w:rsidRDefault="00AA4551" w:rsidP="00AA4551"/>
    <w:p w:rsidR="004A69C3" w:rsidRDefault="004A69C3" w:rsidP="004A69C3">
      <w:pPr>
        <w:pStyle w:val="Heading4"/>
      </w:pPr>
      <w:r>
        <w:t xml:space="preserve">Quantitative and qualitative ceilings are </w:t>
      </w:r>
      <w:r w:rsidR="007C0348">
        <w:t>a meaningless term</w:t>
      </w:r>
    </w:p>
    <w:p w:rsidR="004A69C3" w:rsidRDefault="004A69C3" w:rsidP="004A69C3">
      <w:r>
        <w:rPr>
          <w:rStyle w:val="Heading4Char"/>
        </w:rPr>
        <w:t>Department of State</w:t>
      </w:r>
      <w:r w:rsidRPr="00AA4551">
        <w:rPr>
          <w:rStyle w:val="Heading4Char"/>
        </w:rPr>
        <w:t xml:space="preserve"> 13</w:t>
      </w:r>
      <w:r w:rsidRPr="00AA4551">
        <w:t xml:space="preserve"> (</w:t>
      </w:r>
      <w:r>
        <w:t>State Department’s Responses to Questions Based on United</w:t>
      </w:r>
      <w:r>
        <w:t xml:space="preserve"> </w:t>
      </w:r>
      <w:r>
        <w:t>States-China Joint Communiqué of August 17, 1982</w:t>
      </w:r>
      <w:r>
        <w:t xml:space="preserve">. </w:t>
      </w:r>
      <w:proofErr w:type="gramStart"/>
      <w:r w:rsidRPr="00AA4551">
        <w:t>THREADING THE NEEDLE PROPOSALS FOR U.S. AND CHINESE ACTIONS ON ARMS SALES TO TAIWAN.</w:t>
      </w:r>
      <w:proofErr w:type="gramEnd"/>
      <w:r w:rsidRPr="00AA4551">
        <w:t xml:space="preserve"> </w:t>
      </w:r>
      <w:hyperlink r:id="rId9" w:history="1">
        <w:r w:rsidRPr="00325000">
          <w:rPr>
            <w:rStyle w:val="Hyperlink"/>
          </w:rPr>
          <w:t>https://www.eastwest.ngo/sites/default/files/TAS%20Final%20%2528ISSUU%20VERSION%209_17_2013%2529.pdf</w:t>
        </w:r>
      </w:hyperlink>
      <w:r w:rsidRPr="00AA4551">
        <w:t>)</w:t>
      </w:r>
    </w:p>
    <w:p w:rsidR="004A69C3" w:rsidRPr="004A69C3" w:rsidRDefault="004A69C3" w:rsidP="004A69C3">
      <w:proofErr w:type="gramStart"/>
      <w:r>
        <w:t>Question 7.</w:t>
      </w:r>
      <w:proofErr w:type="gramEnd"/>
      <w:r>
        <w:t xml:space="preserve"> In paragraph 6, </w:t>
      </w:r>
      <w:r w:rsidRPr="004A69C3">
        <w:rPr>
          <w:rStyle w:val="StyleUnderline"/>
        </w:rPr>
        <w:t>the United States agrees to</w:t>
      </w:r>
      <w:r>
        <w:t xml:space="preserve"> restrict its sale of arms to Taiwan. How do you plan to measure these “</w:t>
      </w:r>
      <w:r w:rsidRPr="004A69C3">
        <w:rPr>
          <w:rStyle w:val="StyleUnderline"/>
        </w:rPr>
        <w:t>qualitative and quantitative restrictions</w:t>
      </w:r>
      <w:r>
        <w:t xml:space="preserve">? </w:t>
      </w:r>
      <w:proofErr w:type="gramStart"/>
      <w:r>
        <w:t>In dollars, or numbers?</w:t>
      </w:r>
      <w:proofErr w:type="gramEnd"/>
      <w:r>
        <w:t xml:space="preserve"> </w:t>
      </w:r>
      <w:r w:rsidRPr="004A69C3">
        <w:rPr>
          <w:rStyle w:val="StyleUnderline"/>
        </w:rPr>
        <w:t>How will you judge in a qualitative sense</w:t>
      </w:r>
      <w:r>
        <w:t>? How does the inflating price of weaponry fit into this? Answer. The references to “</w:t>
      </w:r>
      <w:r w:rsidRPr="007C0348">
        <w:rPr>
          <w:rStyle w:val="Emphasis"/>
          <w:highlight w:val="yellow"/>
        </w:rPr>
        <w:t>quantitative and qualitative</w:t>
      </w:r>
      <w:r>
        <w:t xml:space="preserve"> terms” in the communiqué </w:t>
      </w:r>
      <w:r w:rsidRPr="007C0348">
        <w:rPr>
          <w:rStyle w:val="Emphasis"/>
          <w:highlight w:val="yellow"/>
        </w:rPr>
        <w:t>are terms of general principle, not rigid definitions</w:t>
      </w:r>
      <w:r w:rsidRPr="007C0348">
        <w:rPr>
          <w:highlight w:val="yellow"/>
        </w:rPr>
        <w:t>.</w:t>
      </w:r>
      <w:r>
        <w:t xml:space="preserve"> Inflationary factors would of course be taken into account.</w:t>
      </w:r>
    </w:p>
    <w:p w:rsidR="00AA4551" w:rsidRPr="00AA4551" w:rsidRDefault="00666003" w:rsidP="00666003">
      <w:pPr>
        <w:pStyle w:val="Heading4"/>
      </w:pPr>
      <w:r>
        <w:t xml:space="preserve">There’s no </w:t>
      </w:r>
      <w:proofErr w:type="spellStart"/>
      <w:r>
        <w:t>aff</w:t>
      </w:r>
      <w:proofErr w:type="spellEnd"/>
      <w:r>
        <w:t xml:space="preserve"> ground under their interpretation- Pearson is writing in the context of 80s arms control movements which included mechanisms like quantitative or qualitative ceilings on overall arms transfers- those mechanisms all failed which is why the literature no longer discusses them and their evidence is over 30 years old- the literature now assumes targeting specific countries or weapons systems because that kind of specificity is empirically more successful</w:t>
      </w:r>
    </w:p>
    <w:sectPr w:rsidR="00AA4551" w:rsidRPr="00AA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66AC0"/>
    <w:rsid w:val="000139A3"/>
    <w:rsid w:val="00100833"/>
    <w:rsid w:val="00104529"/>
    <w:rsid w:val="00105942"/>
    <w:rsid w:val="00107396"/>
    <w:rsid w:val="00144A4C"/>
    <w:rsid w:val="00176AB0"/>
    <w:rsid w:val="00177B7D"/>
    <w:rsid w:val="0018322D"/>
    <w:rsid w:val="001B5776"/>
    <w:rsid w:val="001E527A"/>
    <w:rsid w:val="001F78CE"/>
    <w:rsid w:val="00251FC7"/>
    <w:rsid w:val="00266AC0"/>
    <w:rsid w:val="002855A7"/>
    <w:rsid w:val="002B146A"/>
    <w:rsid w:val="002B5E17"/>
    <w:rsid w:val="00315690"/>
    <w:rsid w:val="00316B75"/>
    <w:rsid w:val="00325646"/>
    <w:rsid w:val="003460F2"/>
    <w:rsid w:val="0038158C"/>
    <w:rsid w:val="003902BA"/>
    <w:rsid w:val="003A09E2"/>
    <w:rsid w:val="003E4C77"/>
    <w:rsid w:val="00407037"/>
    <w:rsid w:val="004605D6"/>
    <w:rsid w:val="004A69C3"/>
    <w:rsid w:val="004B7C2B"/>
    <w:rsid w:val="004C60E8"/>
    <w:rsid w:val="004E23A5"/>
    <w:rsid w:val="004E3579"/>
    <w:rsid w:val="004E728B"/>
    <w:rsid w:val="004F39E0"/>
    <w:rsid w:val="00537BD5"/>
    <w:rsid w:val="0057268A"/>
    <w:rsid w:val="005D2912"/>
    <w:rsid w:val="006065BD"/>
    <w:rsid w:val="00645FA9"/>
    <w:rsid w:val="00647866"/>
    <w:rsid w:val="00665003"/>
    <w:rsid w:val="00666003"/>
    <w:rsid w:val="006A2AD0"/>
    <w:rsid w:val="006C2375"/>
    <w:rsid w:val="006D4ECC"/>
    <w:rsid w:val="00715C8F"/>
    <w:rsid w:val="00722258"/>
    <w:rsid w:val="007243E5"/>
    <w:rsid w:val="00766EA0"/>
    <w:rsid w:val="007A2226"/>
    <w:rsid w:val="007C0348"/>
    <w:rsid w:val="007F5B66"/>
    <w:rsid w:val="00823A1C"/>
    <w:rsid w:val="00830353"/>
    <w:rsid w:val="00845B9D"/>
    <w:rsid w:val="00860984"/>
    <w:rsid w:val="008B3ECB"/>
    <w:rsid w:val="008B4E85"/>
    <w:rsid w:val="008C1B2E"/>
    <w:rsid w:val="0091627E"/>
    <w:rsid w:val="00925368"/>
    <w:rsid w:val="0097032B"/>
    <w:rsid w:val="009D2EAD"/>
    <w:rsid w:val="009D54B2"/>
    <w:rsid w:val="009E1922"/>
    <w:rsid w:val="009F7ED2"/>
    <w:rsid w:val="00A43DB2"/>
    <w:rsid w:val="00A46C57"/>
    <w:rsid w:val="00A93661"/>
    <w:rsid w:val="00A95652"/>
    <w:rsid w:val="00AA4551"/>
    <w:rsid w:val="00AC0AB8"/>
    <w:rsid w:val="00B33C6D"/>
    <w:rsid w:val="00B4508F"/>
    <w:rsid w:val="00B55AD5"/>
    <w:rsid w:val="00B8057C"/>
    <w:rsid w:val="00BD6238"/>
    <w:rsid w:val="00BF593B"/>
    <w:rsid w:val="00BF773A"/>
    <w:rsid w:val="00BF7E81"/>
    <w:rsid w:val="00C13773"/>
    <w:rsid w:val="00C17CC8"/>
    <w:rsid w:val="00C83417"/>
    <w:rsid w:val="00C9604F"/>
    <w:rsid w:val="00CA135F"/>
    <w:rsid w:val="00CA19AA"/>
    <w:rsid w:val="00CC5298"/>
    <w:rsid w:val="00CD736E"/>
    <w:rsid w:val="00CD798D"/>
    <w:rsid w:val="00CE161E"/>
    <w:rsid w:val="00CF59A8"/>
    <w:rsid w:val="00D325A9"/>
    <w:rsid w:val="00D36A8A"/>
    <w:rsid w:val="00D61409"/>
    <w:rsid w:val="00D6691E"/>
    <w:rsid w:val="00D71170"/>
    <w:rsid w:val="00D7185C"/>
    <w:rsid w:val="00DA1C92"/>
    <w:rsid w:val="00DA25D4"/>
    <w:rsid w:val="00DA6538"/>
    <w:rsid w:val="00E15E75"/>
    <w:rsid w:val="00E5262C"/>
    <w:rsid w:val="00E602D3"/>
    <w:rsid w:val="00EC3660"/>
    <w:rsid w:val="00EC7DC4"/>
    <w:rsid w:val="00ED30CF"/>
    <w:rsid w:val="00F0382F"/>
    <w:rsid w:val="00F176EF"/>
    <w:rsid w:val="00F44161"/>
    <w:rsid w:val="00F45E10"/>
    <w:rsid w:val="00F6364A"/>
    <w:rsid w:val="00F9113A"/>
    <w:rsid w:val="00FC746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66AC0"/>
    <w:rPr>
      <w:rFonts w:ascii="Calibri" w:hAnsi="Calibri" w:cs="Calibri"/>
    </w:rPr>
  </w:style>
  <w:style w:type="paragraph" w:styleId="Heading1">
    <w:name w:val="heading 1"/>
    <w:aliases w:val="Pocket"/>
    <w:basedOn w:val="Normal"/>
    <w:next w:val="Normal"/>
    <w:link w:val="Heading1Char"/>
    <w:qFormat/>
    <w:rsid w:val="00266A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6A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6A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66A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6A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AC0"/>
  </w:style>
  <w:style w:type="character" w:customStyle="1" w:styleId="Heading1Char">
    <w:name w:val="Heading 1 Char"/>
    <w:aliases w:val="Pocket Char"/>
    <w:basedOn w:val="DefaultParagraphFont"/>
    <w:link w:val="Heading1"/>
    <w:rsid w:val="00266A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6A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6AC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66AC0"/>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266AC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66AC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266AC0"/>
    <w:rPr>
      <w:b w:val="0"/>
      <w:sz w:val="22"/>
      <w:u w:val="singl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
    <w:basedOn w:val="DefaultParagraphFont"/>
    <w:uiPriority w:val="99"/>
    <w:unhideWhenUsed/>
    <w:rsid w:val="00266AC0"/>
    <w:rPr>
      <w:color w:val="auto"/>
      <w:u w:val="none"/>
    </w:rPr>
  </w:style>
  <w:style w:type="character" w:styleId="FollowedHyperlink">
    <w:name w:val="FollowedHyperlink"/>
    <w:basedOn w:val="DefaultParagraphFont"/>
    <w:uiPriority w:val="99"/>
    <w:semiHidden/>
    <w:unhideWhenUsed/>
    <w:rsid w:val="00266AC0"/>
    <w:rPr>
      <w:color w:val="auto"/>
      <w:u w:val="none"/>
    </w:rPr>
  </w:style>
  <w:style w:type="paragraph" w:customStyle="1" w:styleId="textbold">
    <w:name w:val="text bold"/>
    <w:basedOn w:val="Normal"/>
    <w:link w:val="Emphasis"/>
    <w:autoRedefine/>
    <w:uiPriority w:val="7"/>
    <w:qFormat/>
    <w:rsid w:val="00F0382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Tag and Cite"/>
    <w:basedOn w:val="Normal"/>
    <w:next w:val="Normal"/>
    <w:link w:val="StyleUnderline"/>
    <w:uiPriority w:val="6"/>
    <w:qFormat/>
    <w:rsid w:val="00F0382F"/>
    <w:pPr>
      <w:ind w:left="288" w:right="288"/>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66AC0"/>
    <w:rPr>
      <w:rFonts w:ascii="Calibri" w:hAnsi="Calibri" w:cs="Calibri"/>
    </w:rPr>
  </w:style>
  <w:style w:type="paragraph" w:styleId="Heading1">
    <w:name w:val="heading 1"/>
    <w:aliases w:val="Pocket"/>
    <w:basedOn w:val="Normal"/>
    <w:next w:val="Normal"/>
    <w:link w:val="Heading1Char"/>
    <w:qFormat/>
    <w:rsid w:val="00266A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6A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6A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66A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6A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AC0"/>
  </w:style>
  <w:style w:type="character" w:customStyle="1" w:styleId="Heading1Char">
    <w:name w:val="Heading 1 Char"/>
    <w:aliases w:val="Pocket Char"/>
    <w:basedOn w:val="DefaultParagraphFont"/>
    <w:link w:val="Heading1"/>
    <w:rsid w:val="00266A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6A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6AC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66AC0"/>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266AC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66AC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266AC0"/>
    <w:rPr>
      <w:b w:val="0"/>
      <w:sz w:val="22"/>
      <w:u w:val="singl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
    <w:basedOn w:val="DefaultParagraphFont"/>
    <w:uiPriority w:val="99"/>
    <w:unhideWhenUsed/>
    <w:rsid w:val="00266AC0"/>
    <w:rPr>
      <w:color w:val="auto"/>
      <w:u w:val="none"/>
    </w:rPr>
  </w:style>
  <w:style w:type="character" w:styleId="FollowedHyperlink">
    <w:name w:val="FollowedHyperlink"/>
    <w:basedOn w:val="DefaultParagraphFont"/>
    <w:uiPriority w:val="99"/>
    <w:semiHidden/>
    <w:unhideWhenUsed/>
    <w:rsid w:val="00266AC0"/>
    <w:rPr>
      <w:color w:val="auto"/>
      <w:u w:val="none"/>
    </w:rPr>
  </w:style>
  <w:style w:type="paragraph" w:customStyle="1" w:styleId="textbold">
    <w:name w:val="text bold"/>
    <w:basedOn w:val="Normal"/>
    <w:link w:val="Emphasis"/>
    <w:autoRedefine/>
    <w:uiPriority w:val="7"/>
    <w:qFormat/>
    <w:rsid w:val="00F0382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Tag and Cite"/>
    <w:basedOn w:val="Normal"/>
    <w:next w:val="Normal"/>
    <w:link w:val="StyleUnderline"/>
    <w:uiPriority w:val="6"/>
    <w:qFormat/>
    <w:rsid w:val="00F0382F"/>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842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astwest.ngo/sites/default/files/TAS%20Final%20%2528ISSUU%20VERSION%209_17_2013%2529.pdf" TargetMode="External"/><Relationship Id="rId3" Type="http://schemas.openxmlformats.org/officeDocument/2006/relationships/styles" Target="styles.xml"/><Relationship Id="rId7" Type="http://schemas.openxmlformats.org/officeDocument/2006/relationships/hyperlink" Target="https://www.forumarmstrade.org/hspolicydebat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eastwest.ngo/sites/default/files/TAS%20Final%20%2528ISSUU%20VERSION%209_17_2013%252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09BA3-C3EE-4C95-83BC-FCD97E3E0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56</TotalTime>
  <Pages>1</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Stephen Pipkin</cp:lastModifiedBy>
  <cp:revision>12</cp:revision>
  <dcterms:created xsi:type="dcterms:W3CDTF">2019-07-23T00:13:00Z</dcterms:created>
  <dcterms:modified xsi:type="dcterms:W3CDTF">2019-07-23T01:20:00Z</dcterms:modified>
</cp:coreProperties>
</file>