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288D64" w14:textId="7ACACF9B" w:rsidR="001B1794" w:rsidRDefault="00D920F6" w:rsidP="008F7540">
      <w:pPr>
        <w:pStyle w:val="Heading1"/>
      </w:pPr>
      <w:r>
        <w:t>Arms Sales</w:t>
      </w:r>
      <w:r w:rsidR="008F7540">
        <w:t xml:space="preserve"> K </w:t>
      </w:r>
      <w:r w:rsidR="00D15AB7">
        <w:t>– GDI 19</w:t>
      </w:r>
    </w:p>
    <w:p w14:paraId="7C964D4A" w14:textId="26E69DE6" w:rsidR="00A51A8F" w:rsidRDefault="00A51A8F" w:rsidP="00A51A8F">
      <w:pPr>
        <w:pStyle w:val="Heading1"/>
      </w:pPr>
      <w:r>
        <w:lastRenderedPageBreak/>
        <w:t>Neg</w:t>
      </w:r>
    </w:p>
    <w:p w14:paraId="784437A0" w14:textId="637262AF" w:rsidR="00F30491" w:rsidRDefault="00F30491" w:rsidP="00F30491">
      <w:pPr>
        <w:pStyle w:val="Heading2"/>
      </w:pPr>
      <w:r>
        <w:lastRenderedPageBreak/>
        <w:t>1NC</w:t>
      </w:r>
    </w:p>
    <w:p w14:paraId="3640B668" w14:textId="4FB04E5F" w:rsidR="00F30491" w:rsidRDefault="00F30491" w:rsidP="00F30491">
      <w:pPr>
        <w:pStyle w:val="Heading3"/>
      </w:pPr>
      <w:r>
        <w:lastRenderedPageBreak/>
        <w:t>1NC Shell</w:t>
      </w:r>
    </w:p>
    <w:p w14:paraId="39BB7F62" w14:textId="47DD8BF8" w:rsidR="00892D4C" w:rsidRPr="00892D4C" w:rsidRDefault="002E447D" w:rsidP="002E447D">
      <w:pPr>
        <w:pStyle w:val="Heading4"/>
      </w:pPr>
      <w:r>
        <w:t>Modern international relations must be understood through its foundations in colonialism and imperialism which continuously replicate racism and genocide under the mantle of political institutions and liberal sovereignty</w:t>
      </w:r>
    </w:p>
    <w:p w14:paraId="6D9AB1CC" w14:textId="77777777" w:rsidR="00F30491" w:rsidRDefault="00F30491" w:rsidP="00F30491">
      <w:r w:rsidRPr="002448E1">
        <w:rPr>
          <w:rStyle w:val="Style13ptBold"/>
        </w:rPr>
        <w:t>Jones, University of Leeds School of Politics and International Studies Lecturer, 6</w:t>
      </w:r>
      <w:r>
        <w:t xml:space="preserve"> (</w:t>
      </w:r>
      <w:proofErr w:type="spellStart"/>
      <w:r>
        <w:t>Branwen</w:t>
      </w:r>
      <w:proofErr w:type="spellEnd"/>
      <w:r>
        <w:t xml:space="preserve"> </w:t>
      </w:r>
      <w:proofErr w:type="spellStart"/>
      <w:r>
        <w:t>Gruffydd</w:t>
      </w:r>
      <w:proofErr w:type="spellEnd"/>
      <w:r>
        <w:t xml:space="preserve">, “Introduction: International Relations, Eurocentrism, and Imperialism”, Decolonizing International Relations, Edited by </w:t>
      </w:r>
      <w:proofErr w:type="spellStart"/>
      <w:r>
        <w:t>Branwen</w:t>
      </w:r>
      <w:proofErr w:type="spellEnd"/>
      <w:r>
        <w:t xml:space="preserve"> </w:t>
      </w:r>
      <w:proofErr w:type="spellStart"/>
      <w:r>
        <w:t>Gruffydd</w:t>
      </w:r>
      <w:proofErr w:type="spellEnd"/>
      <w:r>
        <w:t xml:space="preserve"> Jones, p. 3-6</w:t>
      </w:r>
    </w:p>
    <w:p w14:paraId="62A3DBB7" w14:textId="77777777" w:rsidR="00F30491" w:rsidRDefault="00F30491" w:rsidP="00F30491">
      <w:r>
        <w:t>While a lot of writing in IR seems strangely more interested in the discipline than the world around us, even the substantive concerns that are recognized as defining IR’s field of enquiry have remained stubbornly narrow. The themes and preoccupations of IR largely reflect the history of the West (in idealized form) and the interests of the powerful. For example, theorization of the interstate system has been central to the self-definition of the discipline. The history of modem international relations is widely accepted to be rooted in the European state system, which was born at the Peace of Westphalia: “The present day structure of world international relations is a structure between Great Powers, and has come down in unbroken descent from the days when such a structure first materialized in Europe.-"” “Our present international so-</w:t>
      </w:r>
      <w:proofErr w:type="spellStart"/>
      <w:r>
        <w:t>ciety</w:t>
      </w:r>
      <w:proofErr w:type="spellEnd"/>
      <w:r>
        <w:t xml:space="preserve"> is directly descended from [the] universalized European system.”11 This in </w:t>
      </w:r>
      <w:proofErr w:type="spellStart"/>
      <w:r>
        <w:t>Siba</w:t>
      </w:r>
      <w:proofErr w:type="spellEnd"/>
      <w:r>
        <w:t xml:space="preserve"> </w:t>
      </w:r>
      <w:proofErr w:type="spellStart"/>
      <w:r>
        <w:t>Grovogui</w:t>
      </w:r>
      <w:proofErr w:type="spellEnd"/>
      <w:r>
        <w:t xml:space="preserve"> s words, is IR’s “Westphalian comtnon-sense.”12</w:t>
      </w:r>
    </w:p>
    <w:p w14:paraId="4330D804" w14:textId="77777777" w:rsidR="00F30491" w:rsidRPr="005C6C11" w:rsidRDefault="00F30491" w:rsidP="00F30491">
      <w:pPr>
        <w:rPr>
          <w:rStyle w:val="StyleUnderline"/>
        </w:rPr>
      </w:pPr>
      <w:r>
        <w:t xml:space="preserve">Yet </w:t>
      </w:r>
      <w:r w:rsidRPr="005C6C11">
        <w:rPr>
          <w:rStyle w:val="StyleUnderline"/>
        </w:rPr>
        <w:t xml:space="preserve">for most of the world, over the past few centuries and still today, the ma- </w:t>
      </w:r>
      <w:proofErr w:type="spellStart"/>
      <w:r w:rsidRPr="005C6C11">
        <w:rPr>
          <w:rStyle w:val="StyleUnderline"/>
        </w:rPr>
        <w:t>jor</w:t>
      </w:r>
      <w:proofErr w:type="spellEnd"/>
      <w:r w:rsidRPr="005C6C11">
        <w:rPr>
          <w:rStyle w:val="StyleUnderline"/>
        </w:rPr>
        <w:t xml:space="preserve"> defining forms of international relation, structure, and historical experience were and are colonialism and imperialism</w:t>
      </w:r>
      <w:r>
        <w:t xml:space="preserve">. The long history of imperialism— in its economic, political, institutional, cultural, and legal dimensions—is </w:t>
      </w:r>
      <w:proofErr w:type="spellStart"/>
      <w:r>
        <w:t>ar</w:t>
      </w:r>
      <w:proofErr w:type="spellEnd"/>
      <w:r>
        <w:t xml:space="preserve">- </w:t>
      </w:r>
      <w:proofErr w:type="spellStart"/>
      <w:r>
        <w:t>guably</w:t>
      </w:r>
      <w:proofErr w:type="spellEnd"/>
      <w:r>
        <w:t xml:space="preserve"> more significant to the form of the current international system and the states that make it up than Europe’s internal political developments. </w:t>
      </w:r>
      <w:r w:rsidRPr="005C6C11">
        <w:rPr>
          <w:rStyle w:val="StyleUnderline"/>
        </w:rPr>
        <w:t>Imperial- ism is foundational to the origins, form, and normative basis of international organizations and international law</w:t>
      </w:r>
      <w:r>
        <w:t xml:space="preserve">,13 </w:t>
      </w:r>
      <w:r w:rsidRPr="005C6C11">
        <w:rPr>
          <w:rStyle w:val="StyleUnderline"/>
        </w:rPr>
        <w:t>to the prevailing inequalities in power relations between states and the position of states in the highly uneven and exploitative international system,</w:t>
      </w:r>
      <w:r>
        <w:t xml:space="preserve"> as well as to national and regional structures and relations, cultures, and languages, in all regions, formerly colonized and metropolitan. It appears then that imperialism is </w:t>
      </w:r>
      <w:r w:rsidRPr="005C6C11">
        <w:rPr>
          <w:rStyle w:val="StyleUnderline"/>
        </w:rPr>
        <w:t>inextricable from the very foundations of modem international relations and world order.</w:t>
      </w:r>
    </w:p>
    <w:p w14:paraId="43DBF7CE" w14:textId="77777777" w:rsidR="00F30491" w:rsidRDefault="00F30491" w:rsidP="00F30491">
      <w:r w:rsidRPr="005C6C11">
        <w:rPr>
          <w:rStyle w:val="StyleUnderline"/>
        </w:rPr>
        <w:t>IR is largely silent on the imperial foundations and constitution of modem international relations, however</w:t>
      </w:r>
      <w:r>
        <w:t xml:space="preserve">. </w:t>
      </w:r>
      <w:r w:rsidRPr="005C6C11">
        <w:rPr>
          <w:rStyle w:val="StyleUnderline"/>
        </w:rPr>
        <w:t>According to IR common sense, the “</w:t>
      </w:r>
      <w:proofErr w:type="spellStart"/>
      <w:r w:rsidRPr="005C6C11">
        <w:rPr>
          <w:rStyle w:val="StyleUnderline"/>
        </w:rPr>
        <w:t>expan</w:t>
      </w:r>
      <w:proofErr w:type="spellEnd"/>
      <w:r w:rsidRPr="005C6C11">
        <w:rPr>
          <w:rStyle w:val="StyleUnderline"/>
        </w:rPr>
        <w:t xml:space="preserve">- </w:t>
      </w:r>
      <w:proofErr w:type="spellStart"/>
      <w:r w:rsidRPr="005C6C11">
        <w:rPr>
          <w:rStyle w:val="StyleUnderline"/>
        </w:rPr>
        <w:t>sion</w:t>
      </w:r>
      <w:proofErr w:type="spellEnd"/>
      <w:r w:rsidRPr="005C6C11">
        <w:rPr>
          <w:rStyle w:val="StyleUnderline"/>
        </w:rPr>
        <w:t xml:space="preserve"> of international society” has entailed the spread of European forms of state, sovereignty, democracy, law, and rights to non-European areas and peoples</w:t>
      </w:r>
      <w:r w:rsidRPr="005C6C11">
        <w:rPr>
          <w:rStyle w:val="Emphasis"/>
        </w:rPr>
        <w:t xml:space="preserve">. But Europe’s legacy to most of the rest of the world has been one of </w:t>
      </w:r>
      <w:proofErr w:type="spellStart"/>
      <w:r w:rsidRPr="005C6C11">
        <w:rPr>
          <w:rStyle w:val="Emphasis"/>
        </w:rPr>
        <w:t>authoritari</w:t>
      </w:r>
      <w:proofErr w:type="spellEnd"/>
      <w:r w:rsidRPr="005C6C11">
        <w:rPr>
          <w:rStyle w:val="Emphasis"/>
        </w:rPr>
        <w:t xml:space="preserve">- </w:t>
      </w:r>
      <w:proofErr w:type="spellStart"/>
      <w:r w:rsidRPr="005C6C11">
        <w:rPr>
          <w:rStyle w:val="Emphasis"/>
        </w:rPr>
        <w:t>anism</w:t>
      </w:r>
      <w:proofErr w:type="spellEnd"/>
      <w:r w:rsidRPr="005C6C11">
        <w:rPr>
          <w:rStyle w:val="Emphasis"/>
        </w:rPr>
        <w:t>, theft, racism, and, in significant cases, massacre and genocide.</w:t>
      </w:r>
      <w:r>
        <w:t xml:space="preserve"> For most of the world, </w:t>
      </w:r>
      <w:r w:rsidRPr="005C6C11">
        <w:rPr>
          <w:rStyle w:val="StyleUnderline"/>
        </w:rPr>
        <w:t>it is</w:t>
      </w:r>
      <w:r>
        <w:t xml:space="preserve"> arguably </w:t>
      </w:r>
      <w:r w:rsidRPr="005C6C11">
        <w:rPr>
          <w:rStyle w:val="StyleUnderline"/>
        </w:rPr>
        <w:t xml:space="preserve">the history of the colonial state and political econ- </w:t>
      </w:r>
      <w:proofErr w:type="spellStart"/>
      <w:r w:rsidRPr="005C6C11">
        <w:rPr>
          <w:rStyle w:val="StyleUnderline"/>
        </w:rPr>
        <w:t>omy</w:t>
      </w:r>
      <w:proofErr w:type="spellEnd"/>
      <w:r w:rsidRPr="005C6C11">
        <w:rPr>
          <w:rStyle w:val="StyleUnderline"/>
        </w:rPr>
        <w:t xml:space="preserve"> rather than European sovereignty and liberal democracy that is central to understanding modem international relations</w:t>
      </w:r>
      <w:r>
        <w:t xml:space="preserve">. </w:t>
      </w:r>
      <w:r w:rsidRPr="00873690">
        <w:rPr>
          <w:rStyle w:val="StyleUnderline"/>
        </w:rPr>
        <w:t>To diminish the significance of colonialism to the study of international relations</w:t>
      </w:r>
      <w:r>
        <w:t xml:space="preserve">—for understanding in- </w:t>
      </w:r>
      <w:proofErr w:type="spellStart"/>
      <w:r>
        <w:t>ternational</w:t>
      </w:r>
      <w:proofErr w:type="spellEnd"/>
      <w:r>
        <w:t xml:space="preserve"> relations both past and present—</w:t>
      </w:r>
      <w:r w:rsidRPr="00873690">
        <w:rPr>
          <w:rStyle w:val="StyleUnderline"/>
        </w:rPr>
        <w:t>is nothing less than to diminish the significance and worth of all peoples who have suffered colonialism</w:t>
      </w:r>
      <w:r>
        <w:t xml:space="preserve">. </w:t>
      </w:r>
      <w:r w:rsidRPr="00873690">
        <w:rPr>
          <w:rStyle w:val="StyleUnderline"/>
        </w:rPr>
        <w:t>This</w:t>
      </w:r>
      <w:r>
        <w:t>, truly,</w:t>
      </w:r>
      <w:r w:rsidRPr="00873690">
        <w:rPr>
          <w:rStyle w:val="StyleUnderline"/>
        </w:rPr>
        <w:t xml:space="preserve"> is the massive “collateral damage” of modern IR.</w:t>
      </w:r>
    </w:p>
    <w:p w14:paraId="68BE7851" w14:textId="77777777" w:rsidR="00F30491" w:rsidRDefault="00F30491" w:rsidP="00F30491">
      <w:r w:rsidRPr="00873690">
        <w:rPr>
          <w:rStyle w:val="StyleUnderline"/>
        </w:rPr>
        <w:t>To the extent that political institutions and norms of liberal democracy and sovereignty did emerge</w:t>
      </w:r>
      <w:r>
        <w:t xml:space="preserve">, slowly and partially, in Western Europe in the </w:t>
      </w:r>
      <w:proofErr w:type="spellStart"/>
      <w:r>
        <w:t>cen</w:t>
      </w:r>
      <w:proofErr w:type="spellEnd"/>
      <w:r>
        <w:t xml:space="preserve">- </w:t>
      </w:r>
      <w:proofErr w:type="spellStart"/>
      <w:r>
        <w:t>turies</w:t>
      </w:r>
      <w:proofErr w:type="spellEnd"/>
      <w:r>
        <w:t xml:space="preserve"> after Westphalia, </w:t>
      </w:r>
      <w:r w:rsidRPr="00873690">
        <w:rPr>
          <w:rStyle w:val="StyleUnderline"/>
        </w:rPr>
        <w:t xml:space="preserve">these developments unfolded during the same </w:t>
      </w:r>
      <w:proofErr w:type="spellStart"/>
      <w:r w:rsidRPr="00873690">
        <w:rPr>
          <w:rStyle w:val="StyleUnderline"/>
        </w:rPr>
        <w:t>cen</w:t>
      </w:r>
      <w:proofErr w:type="spellEnd"/>
      <w:r w:rsidRPr="00873690">
        <w:rPr>
          <w:rStyle w:val="StyleUnderline"/>
        </w:rPr>
        <w:t xml:space="preserve">- </w:t>
      </w:r>
      <w:proofErr w:type="spellStart"/>
      <w:r w:rsidRPr="00873690">
        <w:rPr>
          <w:rStyle w:val="StyleUnderline"/>
        </w:rPr>
        <w:t>turies</w:t>
      </w:r>
      <w:proofErr w:type="spellEnd"/>
      <w:r w:rsidRPr="00873690">
        <w:rPr>
          <w:rStyle w:val="StyleUnderline"/>
        </w:rPr>
        <w:t xml:space="preserve"> as European expansion, slave trade, and formal colonial occupation and rule of most of the world</w:t>
      </w:r>
      <w:r>
        <w:t xml:space="preserve">. </w:t>
      </w:r>
      <w:r w:rsidRPr="00873690">
        <w:rPr>
          <w:rStyle w:val="StyleUnderline"/>
        </w:rPr>
        <w:t>That</w:t>
      </w:r>
      <w:r>
        <w:t xml:space="preserve"> such very different forms of </w:t>
      </w:r>
      <w:proofErr w:type="spellStart"/>
      <w:r>
        <w:t>politi</w:t>
      </w:r>
      <w:proofErr w:type="spellEnd"/>
      <w:r>
        <w:t xml:space="preserve">- </w:t>
      </w:r>
      <w:proofErr w:type="spellStart"/>
      <w:r>
        <w:t>cal</w:t>
      </w:r>
      <w:proofErr w:type="spellEnd"/>
      <w:r>
        <w:t xml:space="preserve"> and international </w:t>
      </w:r>
      <w:r>
        <w:lastRenderedPageBreak/>
        <w:t xml:space="preserve">interaction took place during the same </w:t>
      </w:r>
      <w:proofErr w:type="gramStart"/>
      <w:r>
        <w:t>period in time</w:t>
      </w:r>
      <w:proofErr w:type="gramEnd"/>
      <w:r>
        <w:t xml:space="preserve"> </w:t>
      </w:r>
      <w:r w:rsidRPr="00873690">
        <w:rPr>
          <w:rStyle w:val="StyleUnderline"/>
        </w:rPr>
        <w:t>is not a coincidence, and they cannot be understood in isolation.</w:t>
      </w:r>
      <w:r>
        <w:t xml:space="preserve"> However, the modern intellectual division of labor conveniently separates these pro- </w:t>
      </w:r>
      <w:proofErr w:type="spellStart"/>
      <w:r>
        <w:t>cesses</w:t>
      </w:r>
      <w:proofErr w:type="spellEnd"/>
      <w:r>
        <w:t xml:space="preserve">. Europe’s internal history is treated as pristine and the source of </w:t>
      </w:r>
      <w:proofErr w:type="spellStart"/>
      <w:r>
        <w:t>En</w:t>
      </w:r>
      <w:proofErr w:type="spellEnd"/>
      <w:r>
        <w:t xml:space="preserve">- </w:t>
      </w:r>
      <w:proofErr w:type="spellStart"/>
      <w:r>
        <w:t>lightenment</w:t>
      </w:r>
      <w:proofErr w:type="spellEnd"/>
      <w:r>
        <w:t xml:space="preserve">, modernity, democracy, sovereignty and rights, and taken as the basis for theorizing modem international relations. Meanwhile, it is more specialized scholars of history or area studies who might focus on topics such as slavery and colonialism, combined with a regional specialism in, say, West Africa, South Asia, or the Caribbean. </w:t>
      </w:r>
      <w:r w:rsidRPr="00873690">
        <w:rPr>
          <w:rStyle w:val="StyleUnderline"/>
        </w:rPr>
        <w:t xml:space="preserve">This habitual bracketing through the institutionalized division of intellectual labor does not merely allocate contemporaneous developments as a matter of convenience, but also </w:t>
      </w:r>
      <w:proofErr w:type="spellStart"/>
      <w:r w:rsidRPr="00873690">
        <w:rPr>
          <w:rStyle w:val="StyleUnderline"/>
        </w:rPr>
        <w:t>sev</w:t>
      </w:r>
      <w:proofErr w:type="spellEnd"/>
      <w:r w:rsidRPr="00873690">
        <w:rPr>
          <w:rStyle w:val="StyleUnderline"/>
        </w:rPr>
        <w:t xml:space="preserve">- </w:t>
      </w:r>
      <w:proofErr w:type="spellStart"/>
      <w:r w:rsidRPr="00873690">
        <w:rPr>
          <w:rStyle w:val="StyleUnderline"/>
        </w:rPr>
        <w:t>ers</w:t>
      </w:r>
      <w:proofErr w:type="spellEnd"/>
      <w:r w:rsidRPr="00873690">
        <w:rPr>
          <w:rStyle w:val="StyleUnderline"/>
        </w:rPr>
        <w:t xml:space="preserve"> relations of cause and conditions of possibility that are central to both</w:t>
      </w:r>
      <w:r>
        <w:t xml:space="preserve">. This severing through division of labor </w:t>
      </w:r>
      <w:r w:rsidRPr="00873690">
        <w:rPr>
          <w:rStyle w:val="StyleUnderline"/>
        </w:rPr>
        <w:t>prevents social inquiry from ever asking</w:t>
      </w:r>
      <w:r>
        <w:t xml:space="preserve">, for example, </w:t>
      </w:r>
      <w:r w:rsidRPr="00873690">
        <w:rPr>
          <w:rStyle w:val="StyleUnderline"/>
        </w:rPr>
        <w:t>what the historical and causal relationship is between the rise and form of liberalism in Europe and the structures and practices of colonialism</w:t>
      </w:r>
      <w:r>
        <w:t>. Few treatments of liberal democracy care to unravel its internal relationship with imperialism.</w:t>
      </w:r>
    </w:p>
    <w:p w14:paraId="6E1ABD80" w14:textId="77777777" w:rsidR="00F30491" w:rsidRDefault="00F30491" w:rsidP="00F30491">
      <w:r w:rsidRPr="00B92379">
        <w:rPr>
          <w:rStyle w:val="StyleUnderline"/>
        </w:rPr>
        <w:t>In any social context where relations of unequal power prevail, knowledge and ideas can serve either to mystify or reveal those unequal relations</w:t>
      </w:r>
      <w:r>
        <w:t>. For many centuries, t</w:t>
      </w:r>
      <w:r w:rsidRPr="00B92379">
        <w:rPr>
          <w:rStyle w:val="StyleUnderline"/>
        </w:rPr>
        <w:t xml:space="preserve">he international order has been characterized by profoundly unequal power relations. There </w:t>
      </w:r>
      <w:proofErr w:type="gramStart"/>
      <w:r w:rsidRPr="00B92379">
        <w:rPr>
          <w:rStyle w:val="StyleUnderline"/>
        </w:rPr>
        <w:t>are</w:t>
      </w:r>
      <w:proofErr w:type="gramEnd"/>
      <w:r w:rsidRPr="00B92379">
        <w:rPr>
          <w:rStyle w:val="StyleUnderline"/>
        </w:rPr>
        <w:t xml:space="preserve"> a myriad of ways in which such power is mystified</w:t>
      </w:r>
      <w:r>
        <w:t xml:space="preserve"> in everyday life, </w:t>
      </w:r>
      <w:r w:rsidRPr="00B92379">
        <w:rPr>
          <w:rStyle w:val="StyleUnderline"/>
        </w:rPr>
        <w:t>and the Eurocentric form of the modem discipline of IR is one</w:t>
      </w:r>
      <w:r>
        <w:t xml:space="preserve"> of these. </w:t>
      </w:r>
      <w:r w:rsidRPr="00B92379">
        <w:rPr>
          <w:rStyle w:val="StyleUnderline"/>
        </w:rPr>
        <w:t>This</w:t>
      </w:r>
      <w:r>
        <w:t xml:space="preserve"> volume rests ultimately on a belief in the importance and </w:t>
      </w:r>
      <w:proofErr w:type="spellStart"/>
      <w:r>
        <w:t>neces</w:t>
      </w:r>
      <w:proofErr w:type="spellEnd"/>
      <w:r>
        <w:t xml:space="preserve">- </w:t>
      </w:r>
      <w:proofErr w:type="spellStart"/>
      <w:r>
        <w:t>sity</w:t>
      </w:r>
      <w:proofErr w:type="spellEnd"/>
      <w:r>
        <w:t xml:space="preserve"> of </w:t>
      </w:r>
      <w:r w:rsidRPr="00B92379">
        <w:rPr>
          <w:rStyle w:val="StyleUnderline"/>
        </w:rPr>
        <w:t>critical social inquiry</w:t>
      </w:r>
      <w:r>
        <w:t xml:space="preserve"> as one means of better understanding the world. It </w:t>
      </w:r>
      <w:r w:rsidRPr="00B92379">
        <w:rPr>
          <w:rStyle w:val="StyleUnderline"/>
        </w:rPr>
        <w:t>seeks to contribute to a better understanding of international relations, history, and world order by confronting the colonial heritage that modem IR has failed to shed</w:t>
      </w:r>
      <w:r>
        <w:t xml:space="preserve">. In this regard, the project joins others who have sought to expose and overcome the many omissions and biases of mainstream IR. Feminist scholar- ship has worked hard over three decades to expose and overcome the entrenched gender biases inscribed in the core of IR that define and limit what can be said and thought. Much work has been done to insist that the environment is not sim- ply one among many topics or issues within IR but integral to the very practice, structures, and reproduction of international relations. This volume confronts the Eurocentric nature of IR and its status as effectively a form of modem </w:t>
      </w:r>
      <w:proofErr w:type="spellStart"/>
      <w:r>
        <w:t>im</w:t>
      </w:r>
      <w:proofErr w:type="spellEnd"/>
      <w:r>
        <w:t xml:space="preserve">- </w:t>
      </w:r>
      <w:proofErr w:type="spellStart"/>
      <w:r>
        <w:t>perial</w:t>
      </w:r>
      <w:proofErr w:type="spellEnd"/>
      <w:r>
        <w:t xml:space="preserve"> ideology. In doing so, it joins effort with an emerging strand of critical literature that is gradually enlarging the scope for such discussions within the formal settings—the journals and conferences—of the discipline.14 There has been a welcome advance from earlier observations regarding the dominance of Anglo-American scholarship in IR15—which was met, for example, by re- </w:t>
      </w:r>
      <w:proofErr w:type="spellStart"/>
      <w:r>
        <w:t>sponses</w:t>
      </w:r>
      <w:proofErr w:type="spellEnd"/>
      <w:r>
        <w:t xml:space="preserve"> from continental Europe and Australia16—-to critical explorations of the relationship between IR, Eurocentrism, colonialism, and imperialism.17</w:t>
      </w:r>
    </w:p>
    <w:p w14:paraId="12E4BDEE" w14:textId="77777777" w:rsidR="00F30491" w:rsidRDefault="00F30491" w:rsidP="00F30491">
      <w:r>
        <w:t xml:space="preserve">What has been termed the “self-images” of </w:t>
      </w:r>
      <w:r w:rsidRPr="00B92379">
        <w:rPr>
          <w:rStyle w:val="StyleUnderline"/>
        </w:rPr>
        <w:t>the discipline, its</w:t>
      </w:r>
      <w:r>
        <w:t xml:space="preserve"> self- consciousness or s</w:t>
      </w:r>
      <w:r w:rsidRPr="00B92379">
        <w:rPr>
          <w:rStyle w:val="StyleUnderline"/>
        </w:rPr>
        <w:t>elf-construction, take shape and are reproduced</w:t>
      </w:r>
      <w:r>
        <w:t xml:space="preserve"> in part </w:t>
      </w:r>
      <w:r w:rsidRPr="00B92379">
        <w:rPr>
          <w:rStyle w:val="StyleUnderline"/>
        </w:rPr>
        <w:t>through</w:t>
      </w:r>
      <w:r>
        <w:t xml:space="preserve"> the imperatives of teaching.18 </w:t>
      </w:r>
      <w:r w:rsidRPr="005C6C11">
        <w:rPr>
          <w:rStyle w:val="StyleUnderline"/>
        </w:rPr>
        <w:t>Communicating</w:t>
      </w:r>
      <w:r>
        <w:t xml:space="preserve"> to large numbers of newcomers produces a need for textbooks, increasingly so as student numbers and student-to-staff ratios rise. Introducing an area of inquiry to newcomers leads inevitably </w:t>
      </w:r>
      <w:r w:rsidRPr="00BE7484">
        <w:t>to</w:t>
      </w:r>
      <w:r w:rsidRPr="005C6C11">
        <w:rPr>
          <w:rStyle w:val="StyleUnderline"/>
        </w:rPr>
        <w:t xml:space="preserve"> packaging and summarizing</w:t>
      </w:r>
      <w:r>
        <w:t xml:space="preserve"> and, with the help of textbooks, a level of standardization. </w:t>
      </w:r>
      <w:r w:rsidRPr="005C6C11">
        <w:rPr>
          <w:rStyle w:val="StyleUnderline"/>
        </w:rPr>
        <w:t xml:space="preserve">The Western or Eurocentric bias of IR is thus repro- </w:t>
      </w:r>
      <w:proofErr w:type="spellStart"/>
      <w:r w:rsidRPr="005C6C11">
        <w:rPr>
          <w:rStyle w:val="StyleUnderline"/>
        </w:rPr>
        <w:t>duced</w:t>
      </w:r>
      <w:proofErr w:type="spellEnd"/>
      <w:r w:rsidRPr="005C6C11">
        <w:rPr>
          <w:rStyle w:val="StyleUnderline"/>
        </w:rPr>
        <w:t xml:space="preserve"> as the discipline is repeatedly packaged and presented.</w:t>
      </w:r>
      <w:r>
        <w:t xml:space="preserve"> </w:t>
      </w:r>
      <w:r w:rsidRPr="005C6C11">
        <w:rPr>
          <w:rStyle w:val="StyleUnderline"/>
        </w:rPr>
        <w:t>Eurocentrism</w:t>
      </w:r>
      <w:r>
        <w:t xml:space="preserve"> is not the product of such dynamics, however. It </w:t>
      </w:r>
      <w:r w:rsidRPr="005C6C11">
        <w:rPr>
          <w:rStyle w:val="StyleUnderline"/>
        </w:rPr>
        <w:t xml:space="preserve">is rooted far deeper in the consciousness of the discipline and the scholarship that dominates and is </w:t>
      </w:r>
      <w:proofErr w:type="spellStart"/>
      <w:r w:rsidRPr="005C6C11">
        <w:rPr>
          <w:rStyle w:val="StyleUnderline"/>
        </w:rPr>
        <w:t>em</w:t>
      </w:r>
      <w:proofErr w:type="spellEnd"/>
      <w:r w:rsidRPr="005C6C11">
        <w:rPr>
          <w:rStyle w:val="StyleUnderline"/>
        </w:rPr>
        <w:t>- bedded in the very structures of international order</w:t>
      </w:r>
      <w:r>
        <w:t xml:space="preserve">. The </w:t>
      </w:r>
      <w:r w:rsidRPr="005C6C11">
        <w:rPr>
          <w:rStyle w:val="StyleUnderline"/>
        </w:rPr>
        <w:t xml:space="preserve">routine reproduction of Eurocentric forms of social inquiry is parasitic on widespread ignorance of world history, including the histories of colonialism and imperialism and, even more so, the histories of non-European peoples. These structures of ideology and ignorance are deeply embedded in historical process, in actual </w:t>
      </w:r>
      <w:proofErr w:type="spellStart"/>
      <w:r w:rsidRPr="005C6C11">
        <w:rPr>
          <w:rStyle w:val="StyleUnderline"/>
        </w:rPr>
        <w:t>interna</w:t>
      </w:r>
      <w:proofErr w:type="spellEnd"/>
      <w:r w:rsidRPr="005C6C11">
        <w:rPr>
          <w:rStyle w:val="StyleUnderline"/>
        </w:rPr>
        <w:t xml:space="preserve">- </w:t>
      </w:r>
      <w:proofErr w:type="spellStart"/>
      <w:r w:rsidRPr="005C6C11">
        <w:rPr>
          <w:rStyle w:val="StyleUnderline"/>
        </w:rPr>
        <w:t>tional</w:t>
      </w:r>
      <w:proofErr w:type="spellEnd"/>
      <w:r w:rsidRPr="005C6C11">
        <w:rPr>
          <w:rStyle w:val="StyleUnderline"/>
        </w:rPr>
        <w:t xml:space="preserve"> relations</w:t>
      </w:r>
      <w:r>
        <w:t xml:space="preserve">. </w:t>
      </w:r>
      <w:r w:rsidRPr="005C6C11">
        <w:rPr>
          <w:rStyle w:val="StyleUnderline"/>
        </w:rPr>
        <w:t>This</w:t>
      </w:r>
      <w:r>
        <w:t xml:space="preserve"> </w:t>
      </w:r>
      <w:r w:rsidRPr="00BE7484">
        <w:rPr>
          <w:rStyle w:val="StyleUnderline"/>
        </w:rPr>
        <w:t>volume</w:t>
      </w:r>
      <w:r>
        <w:t xml:space="preserve">, then, is not simply yet another book about the </w:t>
      </w:r>
      <w:r>
        <w:lastRenderedPageBreak/>
        <w:t xml:space="preserve">discipline of IR. It </w:t>
      </w:r>
      <w:r w:rsidRPr="005C6C11">
        <w:rPr>
          <w:rStyle w:val="StyleUnderline"/>
        </w:rPr>
        <w:t>explores what forms of knowledge have come to dominate the field and why, what problems arise, and what can be done to escape and move beyond Eurocentrism or the imperial imagination.</w:t>
      </w:r>
      <w:r>
        <w:t xml:space="preserve"> It </w:t>
      </w:r>
      <w:r w:rsidRPr="005C6C11">
        <w:rPr>
          <w:rStyle w:val="StyleUnderline"/>
        </w:rPr>
        <w:t xml:space="preserve">is motivated </w:t>
      </w:r>
      <w:r w:rsidRPr="005C6C11">
        <w:t>more</w:t>
      </w:r>
      <w:r w:rsidRPr="005C6C11">
        <w:rPr>
          <w:rStyle w:val="StyleUnderline"/>
        </w:rPr>
        <w:t xml:space="preserve"> by a concern to consider how to research and produce knowledge about the international—</w:t>
      </w:r>
      <w:r w:rsidRPr="005C6C11">
        <w:t>how we can and should study international relations</w:t>
      </w:r>
      <w:r>
        <w:t>—than by a wish to produce a comprehensive if critical survey of recognized IR.</w:t>
      </w:r>
    </w:p>
    <w:p w14:paraId="6C5712A0" w14:textId="77777777" w:rsidR="00F30491" w:rsidRDefault="00F30491" w:rsidP="00F30491">
      <w:r>
        <w:t xml:space="preserve">As such, this volume could be situated within postcolonial literature in a broad sense in that certain themes and concerns are shared. However, this vol- </w:t>
      </w:r>
      <w:proofErr w:type="spellStart"/>
      <w:r>
        <w:t>ume</w:t>
      </w:r>
      <w:proofErr w:type="spellEnd"/>
      <w:r>
        <w:t xml:space="preserve"> does not set out specifically to elaborate a postcolonial approach to or the- </w:t>
      </w:r>
      <w:proofErr w:type="spellStart"/>
      <w:r>
        <w:t>ory</w:t>
      </w:r>
      <w:proofErr w:type="spellEnd"/>
      <w:r>
        <w:t xml:space="preserve"> of IR, with specific reference to existing frameworks of postcolonial theory. It does not begin with postcolonial theory as such, nor does it seek to improve on selected existing approaches in IR by adding postcolonial theory, as some others have.19 Much postcolonial theory seems to operate with or be framed by unhelpful dichotomies between political economy and materialism on the one hand and </w:t>
      </w:r>
      <w:proofErr w:type="spellStart"/>
      <w:r>
        <w:t>poststructural</w:t>
      </w:r>
      <w:proofErr w:type="spellEnd"/>
      <w:r>
        <w:t xml:space="preserve"> inflections of power/identity/culture/knowledge on the other. Such dichotomies suggest an inaccurate or artificial distance be- tween positions and approaches that have </w:t>
      </w:r>
      <w:proofErr w:type="gramStart"/>
      <w:r>
        <w:t>actually been</w:t>
      </w:r>
      <w:proofErr w:type="gramEnd"/>
      <w:r>
        <w:t xml:space="preserve"> far richer in concerns and method. For example, much contemporary postcolonial theory distances itself from historical materialism and political economy while in the process misappropriating iconic figures such as Fanon into a cultural studies shorn of political economy.20 So </w:t>
      </w:r>
      <w:r w:rsidRPr="005C6C11">
        <w:rPr>
          <w:rStyle w:val="StyleUnderline"/>
        </w:rPr>
        <w:t>the aim here is not to develop a new postcolonial perspective in IR that can slot in among existing critical perspectives,</w:t>
      </w:r>
      <w:r>
        <w:t xml:space="preserve"> a new “-ism” alongside feminism, environmentalism, and poststructuralism on the one hand and against liberalism, Marxism, and realism on the other</w:t>
      </w:r>
      <w:r w:rsidRPr="005C6C11">
        <w:rPr>
          <w:rStyle w:val="StyleUnderline"/>
        </w:rPr>
        <w:t>. What is needed is a broader and deeper form of critique that encompasses</w:t>
      </w:r>
      <w:r>
        <w:t xml:space="preserve"> the discipline as a whole—its </w:t>
      </w:r>
      <w:r w:rsidRPr="005C6C11">
        <w:rPr>
          <w:rStyle w:val="StyleUnderline"/>
        </w:rPr>
        <w:t>underlying assumptions, modes of thought and analysis, and its consciousness</w:t>
      </w:r>
      <w:r>
        <w:t xml:space="preserve"> and very attitude—and that, moreover, is committed not only to critique but also to elaboration of more adequate accounts and explanations of international relations. </w:t>
      </w:r>
      <w:r w:rsidRPr="005C6C11">
        <w:rPr>
          <w:rStyle w:val="StyleUnderline"/>
        </w:rPr>
        <w:t xml:space="preserve">Only by doing so can we hope to free the </w:t>
      </w:r>
      <w:proofErr w:type="spellStart"/>
      <w:r w:rsidRPr="005C6C11">
        <w:rPr>
          <w:rStyle w:val="StyleUnderline"/>
        </w:rPr>
        <w:t>imagina</w:t>
      </w:r>
      <w:proofErr w:type="spellEnd"/>
      <w:r w:rsidRPr="005C6C11">
        <w:rPr>
          <w:rStyle w:val="StyleUnderline"/>
        </w:rPr>
        <w:t xml:space="preserve">- </w:t>
      </w:r>
      <w:proofErr w:type="spellStart"/>
      <w:r w:rsidRPr="005C6C11">
        <w:rPr>
          <w:rStyle w:val="StyleUnderline"/>
        </w:rPr>
        <w:t>tion</w:t>
      </w:r>
      <w:proofErr w:type="spellEnd"/>
      <w:r w:rsidRPr="005C6C11">
        <w:rPr>
          <w:rStyle w:val="StyleUnderline"/>
        </w:rPr>
        <w:t xml:space="preserve"> of social inquiry from </w:t>
      </w:r>
      <w:r w:rsidRPr="0034640C">
        <w:t>the</w:t>
      </w:r>
      <w:r w:rsidRPr="005C6C11">
        <w:rPr>
          <w:rStyle w:val="StyleUnderline"/>
        </w:rPr>
        <w:t xml:space="preserve"> narrow </w:t>
      </w:r>
      <w:r w:rsidRPr="0034640C">
        <w:t>blinkers of</w:t>
      </w:r>
      <w:r w:rsidRPr="005C6C11">
        <w:rPr>
          <w:rStyle w:val="StyleUnderline"/>
        </w:rPr>
        <w:t xml:space="preserve"> Eurocentrism and enable the study of international relations “from the perspective of the world</w:t>
      </w:r>
      <w:r>
        <w:t>.”21</w:t>
      </w:r>
    </w:p>
    <w:p w14:paraId="39F4B38E" w14:textId="0EA4A39E" w:rsidR="00F30491" w:rsidRDefault="00F30491" w:rsidP="00F30491">
      <w:pPr>
        <w:pStyle w:val="Heading4"/>
      </w:pPr>
      <w:r>
        <w:t>The prohibition of arms is not a one-off, humanitarian incident, but actively relies on the expansion of the sovereign to designate</w:t>
      </w:r>
      <w:bookmarkStart w:id="0" w:name="_GoBack"/>
      <w:bookmarkEnd w:id="0"/>
      <w:r>
        <w:t xml:space="preserve"> the difference between legitimate and illegitimate recipients of arms, based off racist paternalism and fear of ‘barbarism’</w:t>
      </w:r>
    </w:p>
    <w:p w14:paraId="7B9916F7" w14:textId="77777777" w:rsidR="00F30491" w:rsidRPr="006E6FA3" w:rsidRDefault="00F30491" w:rsidP="00F30491">
      <w:pPr>
        <w:rPr>
          <w:rStyle w:val="Style13ptBold"/>
        </w:rPr>
      </w:pPr>
      <w:r w:rsidRPr="006E6FA3">
        <w:rPr>
          <w:rStyle w:val="Style13ptBold"/>
        </w:rPr>
        <w:t xml:space="preserve">Cooper, Bradford University International Relations and Security Studies Professor and Peace Studies &amp; International Development Head, 18 </w:t>
      </w:r>
    </w:p>
    <w:p w14:paraId="3B12ED67" w14:textId="77777777" w:rsidR="00F30491" w:rsidRDefault="00F30491" w:rsidP="00F30491">
      <w:r>
        <w:t xml:space="preserve">[Neil, 2018, Journal of Global Security Studies 3(4), “Race, Sovereignty, and Free Trade: Arms Trade Regulation and Humanitarian Arms Control in the Age of Empire”, 444-462, accessed 6/30 </w:t>
      </w:r>
      <w:proofErr w:type="spellStart"/>
      <w:r>
        <w:t>dwrs</w:t>
      </w:r>
      <w:proofErr w:type="spellEnd"/>
      <w:r>
        <w:t>]</w:t>
      </w:r>
    </w:p>
    <w:p w14:paraId="602A6301" w14:textId="77777777" w:rsidR="00F30491" w:rsidRDefault="00F30491" w:rsidP="00F30491">
      <w:pPr>
        <w:pStyle w:val="ListParagraph"/>
        <w:numPr>
          <w:ilvl w:val="0"/>
          <w:numId w:val="12"/>
        </w:numPr>
      </w:pPr>
      <w:r>
        <w:t>control of arms is always done out of a racist (securitizing) paranoia about people deemed as lesser</w:t>
      </w:r>
    </w:p>
    <w:p w14:paraId="55250E5B" w14:textId="77777777" w:rsidR="00F30491" w:rsidRDefault="00F30491" w:rsidP="00F30491">
      <w:pPr>
        <w:pStyle w:val="ListParagraph"/>
        <w:numPr>
          <w:ilvl w:val="0"/>
          <w:numId w:val="12"/>
        </w:numPr>
      </w:pPr>
      <w:r>
        <w:t>the idea that we the government can control the spread of arms in a colonialist sort of way – it’s legitimized by the notion of “better or worse”, obscuring the unsustainability of military liberalism</w:t>
      </w:r>
    </w:p>
    <w:p w14:paraId="09A48F9B" w14:textId="77777777" w:rsidR="00F30491" w:rsidRDefault="00F30491" w:rsidP="00F30491">
      <w:pPr>
        <w:pStyle w:val="ListParagraph"/>
        <w:numPr>
          <w:ilvl w:val="0"/>
          <w:numId w:val="12"/>
        </w:numPr>
      </w:pPr>
      <w:r>
        <w:t xml:space="preserve">at: negative state action – our cooper evidence says that arms are a form of </w:t>
      </w:r>
      <w:proofErr w:type="spellStart"/>
      <w:r>
        <w:t>govermentality</w:t>
      </w:r>
      <w:proofErr w:type="spellEnd"/>
      <w:r>
        <w:t xml:space="preserve"> in which we expand our power (“whereby we denote what is legitimate and not” and suppress or empower different groups) viewed in that context, obviously </w:t>
      </w:r>
    </w:p>
    <w:p w14:paraId="0925D8EC" w14:textId="77777777" w:rsidR="00F30491" w:rsidRDefault="00F30491" w:rsidP="00F30491">
      <w:r>
        <w:lastRenderedPageBreak/>
        <w:t xml:space="preserve">The Third Matryoshka Doll: The Devil's Bargain, Constitutive Norms, and Arms Control as </w:t>
      </w:r>
      <w:proofErr w:type="spellStart"/>
      <w:r>
        <w:t>Govemmentality</w:t>
      </w:r>
      <w:proofErr w:type="spellEnd"/>
      <w:r>
        <w:t xml:space="preserve"> </w:t>
      </w:r>
    </w:p>
    <w:p w14:paraId="0BFF7E46" w14:textId="77777777" w:rsidR="00F30491" w:rsidRDefault="00F30491" w:rsidP="00F30491">
      <w:r w:rsidRPr="00C20265">
        <w:rPr>
          <w:rStyle w:val="Emphasis"/>
        </w:rPr>
        <w:t>Calls for arms trade regulation in the spaces of empire were rarely located in broader critiques of militarism</w:t>
      </w:r>
      <w:r w:rsidRPr="00C20265">
        <w:t xml:space="preserve"> in Europe. </w:t>
      </w:r>
      <w:r w:rsidRPr="00C20265">
        <w:rPr>
          <w:rStyle w:val="StyleUnderline"/>
        </w:rPr>
        <w:t>For policymakers</w:t>
      </w:r>
      <w:r>
        <w:t xml:space="preserve">, small </w:t>
      </w:r>
      <w:r w:rsidRPr="00C20265">
        <w:rPr>
          <w:rStyle w:val="StyleUnderline"/>
        </w:rPr>
        <w:t>arms control</w:t>
      </w:r>
      <w:r>
        <w:t xml:space="preserve"> in Africa and elsewhere </w:t>
      </w:r>
      <w:r w:rsidRPr="00C20265">
        <w:rPr>
          <w:rStyle w:val="Emphasis"/>
        </w:rPr>
        <w:t xml:space="preserve">was necessitated by the threat to colonial order and therefore distinct from discussions about </w:t>
      </w:r>
      <w:proofErr w:type="spellStart"/>
      <w:r w:rsidRPr="00C20265">
        <w:rPr>
          <w:rStyle w:val="Emphasis"/>
        </w:rPr>
        <w:t>ar-maments</w:t>
      </w:r>
      <w:proofErr w:type="spellEnd"/>
      <w:r w:rsidRPr="00C20265">
        <w:rPr>
          <w:rStyle w:val="Emphasis"/>
        </w:rPr>
        <w:t xml:space="preserve"> policy and armaments competition amongst the so-called civilized powers</w:t>
      </w:r>
      <w:r>
        <w:t xml:space="preserve">. Even for the campaigners at Brussels, small arms proliferation was an issue </w:t>
      </w:r>
      <w:proofErr w:type="spellStart"/>
      <w:r>
        <w:t>umbili-cally</w:t>
      </w:r>
      <w:proofErr w:type="spellEnd"/>
      <w:r>
        <w:t xml:space="preserve"> linked to the questions of slavery, arms, and liquor control abroad rather than questions about domestic pol-icy. The Brussels Act was equally </w:t>
      </w:r>
      <w:r w:rsidRPr="00C20265">
        <w:rPr>
          <w:rStyle w:val="StyleUnderline"/>
        </w:rPr>
        <w:t>distinct from late nine-</w:t>
      </w:r>
      <w:proofErr w:type="spellStart"/>
      <w:r w:rsidRPr="00C20265">
        <w:rPr>
          <w:rStyle w:val="StyleUnderline"/>
        </w:rPr>
        <w:t>teenth</w:t>
      </w:r>
      <w:proofErr w:type="spellEnd"/>
      <w:r w:rsidRPr="00C20265">
        <w:rPr>
          <w:rStyle w:val="StyleUnderline"/>
        </w:rPr>
        <w:t xml:space="preserve"> century attempts to curtail the excesses of war amongst civilized powers</w:t>
      </w:r>
      <w:r>
        <w:t xml:space="preserve">. Some campaigners had </w:t>
      </w:r>
      <w:proofErr w:type="spellStart"/>
      <w:r>
        <w:t>cer</w:t>
      </w:r>
      <w:proofErr w:type="spellEnd"/>
      <w:r>
        <w:t xml:space="preserve"> </w:t>
      </w:r>
      <w:proofErr w:type="spellStart"/>
      <w:r>
        <w:t>tainly</w:t>
      </w:r>
      <w:proofErr w:type="spellEnd"/>
      <w:r>
        <w:t xml:space="preserve"> called for the disarmament of Arab traders; the act itself cited the need to 'diminish intestine wars be-tween tribes" (Article 11(</w:t>
      </w:r>
      <w:proofErr w:type="spellStart"/>
      <w:r>
        <w:t>i</w:t>
      </w:r>
      <w:proofErr w:type="spellEnd"/>
      <w:r>
        <w:t xml:space="preserve">)), but such calls were very much rooted in a humanitarian anti-slavery tradition rather than any emerging humanitarian law of war tradition. For example, neither activists nor officials actively sought to frame the Brussels Act in relation to earlier initiatives such as the 1868 Declaration of St. Petersburg banning the use of explosive and fulminating bullets or the 1874 Brussels Declaration on the laws and Customs of War. The genealogical heritage of the Brussels arms </w:t>
      </w:r>
      <w:proofErr w:type="spellStart"/>
      <w:r>
        <w:t>regula-tions</w:t>
      </w:r>
      <w:proofErr w:type="spellEnd"/>
      <w:r>
        <w:t xml:space="preserve"> ran through an anti-slavery tradition rather than a HAC one. </w:t>
      </w:r>
    </w:p>
    <w:p w14:paraId="639C012B" w14:textId="77777777" w:rsidR="00F30491" w:rsidRDefault="00F30491" w:rsidP="00F30491">
      <w:r>
        <w:t xml:space="preserve">This is not to deny there were expressions of </w:t>
      </w:r>
      <w:proofErr w:type="spellStart"/>
      <w:r>
        <w:t>discon</w:t>
      </w:r>
      <w:proofErr w:type="spellEnd"/>
      <w:r>
        <w:t xml:space="preserve">-tent from gun manufacturers about the impact of </w:t>
      </w:r>
      <w:proofErr w:type="spellStart"/>
      <w:r>
        <w:t>colo-nial</w:t>
      </w:r>
      <w:proofErr w:type="spellEnd"/>
      <w:r>
        <w:t xml:space="preserve"> restrictions upon their business 18 But, both domes-tic arms production and the dynamics of arms rivalry in Europe remained largely untroubled by efforts at small arms control in the peripheries. Indeed, in 1889, the British government launched a new program of military shipbuilding and both France and Russia followed suit. According to Laity (2001, 114) "a new arms race was underway"—and at the very name moment, diplomats were concluding the Brussels restrictions on small arms proliferation. </w:t>
      </w:r>
    </w:p>
    <w:p w14:paraId="72E5C23C" w14:textId="77777777" w:rsidR="00F30491" w:rsidRDefault="00F30491" w:rsidP="00F30491">
      <w:r>
        <w:t>Of course, a decade after the Brussels Conference, the Tsar called the first Hague Peace Conference to ex-</w:t>
      </w:r>
      <w:proofErr w:type="spellStart"/>
      <w:r>
        <w:t>plore</w:t>
      </w:r>
      <w:proofErr w:type="spellEnd"/>
      <w:r>
        <w:t xml:space="preserve"> a 'possible reduction of the excessive armaments which weigh upon all nations" (Keefer 200(., 7). In the end, though, the Hague Conference achieved little on this front. Salisbury, who had been so eloquent about the Brussels Conference, observed that the expense and de-</w:t>
      </w:r>
      <w:proofErr w:type="spellStart"/>
      <w:r>
        <w:t>structiveness</w:t>
      </w:r>
      <w:proofErr w:type="spellEnd"/>
      <w:r>
        <w:t xml:space="preserve"> of war had worked as a deterrent in </w:t>
      </w:r>
      <w:proofErr w:type="spellStart"/>
      <w:r>
        <w:t>solv-ing</w:t>
      </w:r>
      <w:proofErr w:type="spellEnd"/>
      <w:r>
        <w:t xml:space="preserve"> conflicts (ibid., 10)—</w:t>
      </w:r>
      <w:r w:rsidRPr="00C20265">
        <w:rPr>
          <w:rStyle w:val="Emphasis"/>
        </w:rPr>
        <w:t>disarmament, humanitarian or otherwise, was for savages,</w:t>
      </w:r>
      <w:r w:rsidRPr="00C20265">
        <w:rPr>
          <w:rStyle w:val="StyleUnderline"/>
        </w:rPr>
        <w:t xml:space="preserve"> not for civilized powers</w:t>
      </w:r>
      <w:r>
        <w:t xml:space="preserve">. In-deed, British </w:t>
      </w:r>
      <w:r w:rsidRPr="00C20265">
        <w:rPr>
          <w:rStyle w:val="StyleUnderline"/>
        </w:rPr>
        <w:t xml:space="preserve">military experts also argued any attempt to </w:t>
      </w:r>
      <w:r w:rsidRPr="00C20265">
        <w:rPr>
          <w:rStyle w:val="Emphasis"/>
        </w:rPr>
        <w:t>freeze armament levels risked favoring "the interests of savage nations"</w:t>
      </w:r>
      <w:r>
        <w:t xml:space="preserve"> (Cooper 1991,125). At the Hague Con-</w:t>
      </w:r>
      <w:proofErr w:type="spellStart"/>
      <w:r>
        <w:t>ference</w:t>
      </w:r>
      <w:proofErr w:type="spellEnd"/>
      <w:r>
        <w:t xml:space="preserve"> itself, even a call for a ceiling on the growth of armaments met with failure (Keefer 2006, 14), and the best the delegates could agree on was a nonbinding res-</w:t>
      </w:r>
      <w:proofErr w:type="spellStart"/>
      <w:r>
        <w:t>olution</w:t>
      </w:r>
      <w:proofErr w:type="spellEnd"/>
      <w:r>
        <w:t xml:space="preserve"> noting the restriction of military budgets was de-</w:t>
      </w:r>
      <w:proofErr w:type="spellStart"/>
      <w:r>
        <w:t>sirable</w:t>
      </w:r>
      <w:proofErr w:type="spellEnd"/>
      <w:r>
        <w:t xml:space="preserve"> (Best 1999, 631; Keefer 2006, 15). Modest calls for limitations on the development of rifles, </w:t>
      </w:r>
      <w:proofErr w:type="spellStart"/>
      <w:r>
        <w:t>gunpow</w:t>
      </w:r>
      <w:proofErr w:type="spellEnd"/>
      <w:r>
        <w:t xml:space="preserve">-der, and explosives were rebuffed, although restrictions were imposed on dum-dum bullets and some </w:t>
      </w:r>
      <w:proofErr w:type="spellStart"/>
      <w:r>
        <w:t>technolo-gies</w:t>
      </w:r>
      <w:proofErr w:type="spellEnd"/>
      <w:r>
        <w:t xml:space="preserve"> still in their infancy. The second I </w:t>
      </w:r>
      <w:proofErr w:type="spellStart"/>
      <w:r>
        <w:t>lague</w:t>
      </w:r>
      <w:proofErr w:type="spellEnd"/>
      <w:r>
        <w:t xml:space="preserve"> Conference of 1907 achieved even less (</w:t>
      </w:r>
      <w:proofErr w:type="spellStart"/>
      <w:r>
        <w:t>Sidorowicz</w:t>
      </w:r>
      <w:proofErr w:type="spellEnd"/>
      <w:r>
        <w:t xml:space="preserve"> 1992,15). As Sandi Cooper (1991,132) has noted, "arms reduction had been entombed again." </w:t>
      </w:r>
    </w:p>
    <w:p w14:paraId="73595C0C" w14:textId="77777777" w:rsidR="00F30491" w:rsidRDefault="00F30491" w:rsidP="00F30491">
      <w:pPr>
        <w:rPr>
          <w:rStyle w:val="StyleUnderline"/>
        </w:rPr>
      </w:pPr>
      <w:r>
        <w:t>Even more instructively, the first Hague Conference was convened in the very same year as the 1899 agree-</w:t>
      </w:r>
      <w:proofErr w:type="spellStart"/>
      <w:r>
        <w:t>ment</w:t>
      </w:r>
      <w:proofErr w:type="spellEnd"/>
      <w:r>
        <w:t xml:space="preserve"> between Britain and Egypt establishing a joint con-dominium over the </w:t>
      </w:r>
      <w:proofErr w:type="spellStart"/>
      <w:r>
        <w:t>Sudan.This</w:t>
      </w:r>
      <w:proofErr w:type="spellEnd"/>
      <w:r>
        <w:t xml:space="preserve"> had been preceded by the battle of Omdurman in which five hours of fighting had left 11,000 </w:t>
      </w:r>
      <w:proofErr w:type="spellStart"/>
      <w:r>
        <w:t>Mandists</w:t>
      </w:r>
      <w:proofErr w:type="spellEnd"/>
      <w:r>
        <w:t xml:space="preserve"> dead in comparison to just 40 on the British side (Headrick 1981, 118). Back </w:t>
      </w:r>
      <w:r w:rsidRPr="008B11B9">
        <w:rPr>
          <w:rStyle w:val="StyleUnderline"/>
        </w:rPr>
        <w:t>in Britain, The Morning Post</w:t>
      </w:r>
      <w:r>
        <w:t xml:space="preserve"> (September 29, 1898) </w:t>
      </w:r>
      <w:r w:rsidRPr="008B11B9">
        <w:rPr>
          <w:rStyle w:val="StyleUnderline"/>
        </w:rPr>
        <w:t xml:space="preserve">highlighted the role played by 'the powerful weapons of civilization—the shrapnel </w:t>
      </w:r>
      <w:r w:rsidRPr="008B11B9">
        <w:rPr>
          <w:rStyle w:val="StyleUnderline"/>
        </w:rPr>
        <w:lastRenderedPageBreak/>
        <w:t>shell, the magazine rifle and the Maxim gun."</w:t>
      </w:r>
      <w:r>
        <w:t xml:space="preserve"> Winston </w:t>
      </w:r>
      <w:r w:rsidRPr="008B11B9">
        <w:rPr>
          <w:rStyle w:val="StyleUnderline"/>
        </w:rPr>
        <w:t>Churchill</w:t>
      </w:r>
      <w:r>
        <w:t xml:space="preserve"> (1902, 300) </w:t>
      </w:r>
      <w:r w:rsidRPr="008B11B9">
        <w:rPr>
          <w:rStyle w:val="StyleUnderline"/>
        </w:rPr>
        <w:t xml:space="preserve">recorded "the most signal triumph </w:t>
      </w:r>
      <w:r w:rsidRPr="008B11B9">
        <w:rPr>
          <w:rStyle w:val="Emphasis"/>
        </w:rPr>
        <w:t>ever gained by the arms of science over barbarians</w:t>
      </w:r>
      <w:r w:rsidRPr="008B11B9">
        <w:rPr>
          <w:rStyle w:val="StyleUnderline"/>
        </w:rPr>
        <w:t xml:space="preserve">." Unsurprisingly perhaps, </w:t>
      </w:r>
      <w:r w:rsidRPr="008B11B9">
        <w:rPr>
          <w:rStyle w:val="Emphasis"/>
        </w:rPr>
        <w:t xml:space="preserve">the advantage provided by the "weapons of </w:t>
      </w:r>
      <w:proofErr w:type="spellStart"/>
      <w:r w:rsidRPr="008B11B9">
        <w:rPr>
          <w:rStyle w:val="Emphasis"/>
        </w:rPr>
        <w:t>civilisation</w:t>
      </w:r>
      <w:proofErr w:type="spellEnd"/>
      <w:r w:rsidRPr="008B11B9">
        <w:rPr>
          <w:rStyle w:val="Emphasis"/>
        </w:rPr>
        <w:t>" was duly rec-</w:t>
      </w:r>
      <w:proofErr w:type="spellStart"/>
      <w:r w:rsidRPr="008B11B9">
        <w:rPr>
          <w:rStyle w:val="Emphasis"/>
        </w:rPr>
        <w:t>ognized</w:t>
      </w:r>
      <w:proofErr w:type="spellEnd"/>
      <w:r>
        <w:t xml:space="preserve"> in the Sudan Agreement Ankle 12 </w:t>
      </w:r>
      <w:r w:rsidRPr="008B11B9">
        <w:rPr>
          <w:rStyle w:val="StyleUnderline"/>
        </w:rPr>
        <w:t xml:space="preserve">noted that "special attention </w:t>
      </w:r>
      <w:r w:rsidRPr="008B11B9">
        <w:rPr>
          <w:rStyle w:val="Emphasis"/>
        </w:rPr>
        <w:t>shall be paid to the enforcement</w:t>
      </w:r>
      <w:r>
        <w:t xml:space="preserve"> of the Brussels Act of the </w:t>
      </w:r>
      <w:proofErr w:type="spellStart"/>
      <w:r>
        <w:t>rd</w:t>
      </w:r>
      <w:proofErr w:type="spellEnd"/>
      <w:r>
        <w:t xml:space="preserve"> July, 1890, in respect to the </w:t>
      </w:r>
      <w:proofErr w:type="spellStart"/>
      <w:r>
        <w:t>im</w:t>
      </w:r>
      <w:proofErr w:type="spellEnd"/>
      <w:r>
        <w:t>-port, sale and manufacture of firearms and their muni-</w:t>
      </w:r>
      <w:proofErr w:type="spellStart"/>
      <w:r>
        <w:t>tions</w:t>
      </w:r>
      <w:proofErr w:type="spellEnd"/>
      <w:r>
        <w:t xml:space="preserve">" (ibid., 373). As this example illustrated, </w:t>
      </w:r>
      <w:proofErr w:type="spellStart"/>
      <w:r w:rsidRPr="00AE1337">
        <w:rPr>
          <w:rStyle w:val="Emphasis"/>
        </w:rPr>
        <w:t>qualita-tive</w:t>
      </w:r>
      <w:proofErr w:type="spellEnd"/>
      <w:r w:rsidRPr="00AE1337">
        <w:rPr>
          <w:rStyle w:val="Emphasis"/>
        </w:rPr>
        <w:t xml:space="preserve"> arms control functioned to underpin the capacity to deploy violence in the service of empire, not constrain it.</w:t>
      </w:r>
      <w:r>
        <w:t xml:space="preserve"> </w:t>
      </w:r>
      <w:r w:rsidRPr="00AE1337">
        <w:rPr>
          <w:rStyle w:val="StyleUnderline"/>
        </w:rPr>
        <w:t>The Brussels Act therefore represented an early version of the "devil's bargain" highlighted by Krause</w:t>
      </w:r>
      <w:r>
        <w:t xml:space="preserve"> (see above, </w:t>
      </w:r>
      <w:proofErr w:type="spellStart"/>
      <w:r>
        <w:t>pX</w:t>
      </w:r>
      <w:proofErr w:type="spellEnd"/>
      <w:r>
        <w:t xml:space="preserve">), </w:t>
      </w:r>
      <w:r w:rsidRPr="00AE1337">
        <w:rPr>
          <w:rStyle w:val="StyleUnderline"/>
        </w:rPr>
        <w:t>in which a prohibitory HAC norm is promoted at the cost of legitimizing the logics and practices of liberal militarism both at home and abroad.</w:t>
      </w:r>
    </w:p>
    <w:p w14:paraId="462D3A0F" w14:textId="77777777" w:rsidR="00F30491" w:rsidRPr="00AE1337" w:rsidRDefault="00F30491" w:rsidP="00F30491">
      <w:pPr>
        <w:rPr>
          <w:rStyle w:val="StyleUnderline"/>
        </w:rPr>
      </w:pPr>
      <w:r w:rsidRPr="00AE1337">
        <w:rPr>
          <w:rStyle w:val="StyleUnderline"/>
        </w:rPr>
        <w:t xml:space="preserve"> However, </w:t>
      </w:r>
      <w:r w:rsidRPr="00AE1337">
        <w:rPr>
          <w:rStyle w:val="Emphasis"/>
        </w:rPr>
        <w:t>focusing only on the operation of pro-</w:t>
      </w:r>
      <w:proofErr w:type="spellStart"/>
      <w:r w:rsidRPr="00AE1337">
        <w:rPr>
          <w:rStyle w:val="Emphasis"/>
        </w:rPr>
        <w:t>hibitory</w:t>
      </w:r>
      <w:proofErr w:type="spellEnd"/>
      <w:r w:rsidRPr="00AE1337">
        <w:rPr>
          <w:rStyle w:val="Emphasis"/>
        </w:rPr>
        <w:t xml:space="preserve"> regulatory norms obscures the way arms trade regulation also constituted a specific colonial form of arms control as governmentality</w:t>
      </w:r>
      <w:r w:rsidRPr="00AE1337">
        <w:rPr>
          <w:rStyle w:val="StyleUnderline"/>
        </w:rPr>
        <w:t xml:space="preserve">, whereby mechanisms of prohibition and prescription were both put to the service of governing which peoples could legitimately use what kinds of arms. Of course, </w:t>
      </w:r>
      <w:r w:rsidRPr="00AE1337">
        <w:rPr>
          <w:rStyle w:val="Emphasis"/>
        </w:rPr>
        <w:t>efforts to manage arms flows to potentially unruly colonial subjects</w:t>
      </w:r>
      <w:r w:rsidRPr="00AE1337">
        <w:rPr>
          <w:rStyle w:val="StyleUnderline"/>
        </w:rPr>
        <w:t xml:space="preserve"> by </w:t>
      </w:r>
      <w:r w:rsidRPr="00AE1337">
        <w:rPr>
          <w:rStyle w:val="Emphasis"/>
        </w:rPr>
        <w:t>constantly seek-</w:t>
      </w:r>
      <w:proofErr w:type="spellStart"/>
      <w:r w:rsidRPr="00AE1337">
        <w:rPr>
          <w:rStyle w:val="Emphasis"/>
        </w:rPr>
        <w:t>ing</w:t>
      </w:r>
      <w:proofErr w:type="spellEnd"/>
      <w:r w:rsidRPr="00AE1337">
        <w:rPr>
          <w:rStyle w:val="Emphasis"/>
        </w:rPr>
        <w:t xml:space="preserve"> to balance permission and proscription were neither completely effective nor ever effectively complete</w:t>
      </w:r>
      <w:r w:rsidRPr="00AE1337">
        <w:rPr>
          <w:rStyle w:val="StyleUnderline"/>
        </w:rPr>
        <w:t>.</w:t>
      </w:r>
      <w:r>
        <w:t xml:space="preserve"> First, </w:t>
      </w:r>
      <w:r w:rsidRPr="00AE1337">
        <w:rPr>
          <w:rStyle w:val="StyleUnderline"/>
        </w:rPr>
        <w:t>efforts at restraint were perennially subject to strategies of evasion undertaken by local actors operating with their own normative and autographic understandings</w:t>
      </w:r>
      <w:r>
        <w:t xml:space="preserve"> (</w:t>
      </w:r>
      <w:proofErr w:type="spellStart"/>
      <w:r>
        <w:t>Tagliacorco</w:t>
      </w:r>
      <w:proofErr w:type="spellEnd"/>
      <w:r>
        <w:t xml:space="preserve"> 2005; Mathew 2016). Second, </w:t>
      </w:r>
      <w:r w:rsidRPr="00AE1337">
        <w:rPr>
          <w:rStyle w:val="Emphasis"/>
        </w:rPr>
        <w:t>arms trade regulation was a contested terrain over which advocates of permission and advocates of restraint often clashed.</w:t>
      </w:r>
      <w:r>
        <w:t xml:space="preserve"> For example, pressures for restraint were offset by </w:t>
      </w:r>
      <w:proofErr w:type="spellStart"/>
      <w:r>
        <w:t>pres-sures</w:t>
      </w:r>
      <w:proofErr w:type="spellEnd"/>
      <w:r>
        <w:t xml:space="preserve"> to use the provision of arms to secure access to markets and the loyalty or security of allies in a con-text of intra-European competition to maintain and ex-</w:t>
      </w:r>
      <w:proofErr w:type="spellStart"/>
      <w:r>
        <w:t>pand</w:t>
      </w:r>
      <w:proofErr w:type="spellEnd"/>
      <w:r>
        <w:t xml:space="preserve"> formal and informal empires (Grant 2007; Chew 2012). </w:t>
      </w:r>
      <w:r w:rsidRPr="00AE1337">
        <w:rPr>
          <w:rStyle w:val="Emphasis"/>
        </w:rPr>
        <w:t>Policy on the ground, therefore, often appeared contradictory. Nevertheless, proponents of permission and proscription generally agreed on the broad goals of policy—to maintain imperial influence and imperial or-der.</w:t>
      </w:r>
      <w:r w:rsidRPr="00AE1337">
        <w:t xml:space="preserve"> </w:t>
      </w:r>
      <w:r>
        <w:t>As will be illustrated below</w:t>
      </w:r>
      <w:r w:rsidRPr="00AE1337">
        <w:t xml:space="preserve">, </w:t>
      </w:r>
      <w:r w:rsidRPr="00AE1337">
        <w:rPr>
          <w:rStyle w:val="StyleUnderline"/>
        </w:rPr>
        <w:t xml:space="preserve">they agreed even more on the broader logics in which arguments for permission and proscription were to be located—those governing sovereignty, free trade, development, and the standard of civilization. </w:t>
      </w:r>
    </w:p>
    <w:p w14:paraId="50193B79" w14:textId="77777777" w:rsidR="00F30491" w:rsidRDefault="00F30491" w:rsidP="00F30491">
      <w:r>
        <w:t>For example, the Brussels Act certainly failed to pre-vent a substantial arms trade into Abyssinia and So-</w:t>
      </w:r>
      <w:proofErr w:type="spellStart"/>
      <w:r>
        <w:t>malia</w:t>
      </w:r>
      <w:proofErr w:type="spellEnd"/>
      <w:r>
        <w:t xml:space="preserve"> where, by 1908, British officials considered the act had `completely broken down"29 largely as a result of French support for a profitable arms trade through French-controlled Djibouti. In this case, </w:t>
      </w:r>
      <w:r w:rsidRPr="00281B60">
        <w:rPr>
          <w:rStyle w:val="Emphasis"/>
        </w:rPr>
        <w:t xml:space="preserve">colonial norms of sovereignty provided the regulatory space for </w:t>
      </w:r>
      <w:proofErr w:type="spellStart"/>
      <w:r w:rsidRPr="00281B60">
        <w:rPr>
          <w:rStyle w:val="Emphasis"/>
        </w:rPr>
        <w:t>prolif-eration</w:t>
      </w:r>
      <w:proofErr w:type="spellEnd"/>
      <w:r w:rsidRPr="00281B60">
        <w:rPr>
          <w:rStyle w:val="Emphasis"/>
        </w:rPr>
        <w:t xml:space="preserve">. </w:t>
      </w:r>
      <w:r>
        <w:t xml:space="preserve">The legal legitimacy of this transit trade was </w:t>
      </w:r>
      <w:proofErr w:type="spellStart"/>
      <w:r>
        <w:t>en</w:t>
      </w:r>
      <w:proofErr w:type="spellEnd"/>
      <w:r>
        <w:t xml:space="preserve">-shrined by Article Ten of the Brussels Act, which, some-what ironically, had been vigorously promoted by the British. </w:t>
      </w:r>
      <w:r w:rsidRPr="00281B60">
        <w:rPr>
          <w:rStyle w:val="StyleUnderline"/>
        </w:rPr>
        <w:t xml:space="preserve">This affirmed the right of inland territories "un-der the sovereignty or protectorate" of </w:t>
      </w:r>
      <w:r w:rsidRPr="00281B60">
        <w:rPr>
          <w:rStyle w:val="Emphasis"/>
        </w:rPr>
        <w:t>another signatory power to acquire arms via the territory of a coastal power,</w:t>
      </w:r>
      <w:r>
        <w:t xml:space="preserve"> and Italy had previously announced Abyssinia's adhesion to the agreement. Compounding the irony, at one point in the negotiations the French had suggested the confer-</w:t>
      </w:r>
      <w:proofErr w:type="spellStart"/>
      <w:r>
        <w:t>ence</w:t>
      </w:r>
      <w:proofErr w:type="spellEnd"/>
      <w:r>
        <w:t xml:space="preserve"> had "no power to impose a right of transit on any Sovereign state."3° </w:t>
      </w:r>
    </w:p>
    <w:p w14:paraId="730B6B9E" w14:textId="7F296592" w:rsidR="00F30491" w:rsidRDefault="00F30491" w:rsidP="00F30491">
      <w:pPr>
        <w:rPr>
          <w:rStyle w:val="StyleUnderline"/>
        </w:rPr>
      </w:pPr>
      <w:r w:rsidRPr="00281B60">
        <w:t xml:space="preserve">Enforcement of both the arms and slave trade </w:t>
      </w:r>
      <w:proofErr w:type="spellStart"/>
      <w:r w:rsidRPr="00281B60">
        <w:t>regu-lations</w:t>
      </w:r>
      <w:proofErr w:type="spellEnd"/>
      <w:r w:rsidRPr="00281B60">
        <w:t xml:space="preserve"> of Brussels was also hampered by French refusal to permit searches of sea vessels flying the French flag. Arms smuggling dhow owners operating in both the Red Sea and the Persian Gulf quickly realized the French flag represented "a license to traffic" (Mathew 2014 35), as it made</w:t>
      </w:r>
      <w:r>
        <w:t xml:space="preserve"> each dhow an "island of colonial sovereignty" (ibid., 34) and therefore immune to search. This is not to imply sovereignty norms offered an unfettered license to trade</w:t>
      </w:r>
      <w:r w:rsidRPr="00281B60">
        <w:rPr>
          <w:rStyle w:val="StyleUnderline"/>
        </w:rPr>
        <w:t xml:space="preserve">. The arms provisions of the Brussels Act were ultimately predicated on the fact that European powers exercised "rights of sovereignty" (Article Nine) in their colonial possessions. Thus, the act and its </w:t>
      </w:r>
      <w:proofErr w:type="spellStart"/>
      <w:r w:rsidRPr="00281B60">
        <w:rPr>
          <w:rStyle w:val="StyleUnderline"/>
        </w:rPr>
        <w:lastRenderedPageBreak/>
        <w:t>implementa-tion</w:t>
      </w:r>
      <w:proofErr w:type="spellEnd"/>
      <w:r w:rsidRPr="00281B60">
        <w:rPr>
          <w:rStyle w:val="StyleUnderline"/>
        </w:rPr>
        <w:t xml:space="preserve"> was suffused with norms of sovereignty that both underpinned restrictions on the arms trade and provided the regulatory spaces permitting their circumvention. </w:t>
      </w:r>
    </w:p>
    <w:p w14:paraId="71BC4F46" w14:textId="77777777" w:rsidR="00655324" w:rsidRPr="00220AC4" w:rsidRDefault="00655324" w:rsidP="00655324">
      <w:pPr>
        <w:pStyle w:val="Heading4"/>
      </w:pPr>
      <w:r w:rsidRPr="00220AC4">
        <w:t xml:space="preserve">Coloniality makes war and genocide inevitable </w:t>
      </w:r>
    </w:p>
    <w:p w14:paraId="30CDA69A" w14:textId="4902280E" w:rsidR="00655324" w:rsidRPr="00220AC4" w:rsidRDefault="00655324" w:rsidP="00655324">
      <w:pPr>
        <w:rPr>
          <w:rStyle w:val="Style13ptBold"/>
        </w:rPr>
      </w:pPr>
      <w:proofErr w:type="spellStart"/>
      <w:r w:rsidRPr="00220AC4">
        <w:rPr>
          <w:rStyle w:val="Style13ptBold"/>
        </w:rPr>
        <w:t>Mignolo</w:t>
      </w:r>
      <w:proofErr w:type="spellEnd"/>
      <w:r w:rsidRPr="00220AC4">
        <w:rPr>
          <w:rStyle w:val="Style13ptBold"/>
        </w:rPr>
        <w:t>, 5</w:t>
      </w:r>
      <w:r>
        <w:rPr>
          <w:rStyle w:val="Style13ptBold"/>
        </w:rPr>
        <w:t xml:space="preserve"> </w:t>
      </w:r>
      <w:r w:rsidRPr="00220AC4">
        <w:t>(Professor of Romance Languages at Duke University) (Walter, “The Idea of Latin America,” pg. 11)</w:t>
      </w:r>
      <w:r w:rsidRPr="00220AC4">
        <w:rPr>
          <w:sz w:val="24"/>
        </w:rPr>
        <w:t xml:space="preserve"> </w:t>
      </w:r>
    </w:p>
    <w:p w14:paraId="4BF2799D" w14:textId="77777777" w:rsidR="00655324" w:rsidRPr="00220AC4" w:rsidRDefault="00655324" w:rsidP="00655324">
      <w:r w:rsidRPr="00220AC4">
        <w:t xml:space="preserve">The logic of coloniality can be understood as working through four wide domains of human experience: (1) the economic: appropriation of land, exploitation of labor, and control of finance; (2) the political: control of authority; (3) the civic: control of gender and sexuality; (4) the epistemic and the subjective/personal: control of knowledge and subjectivity. </w:t>
      </w:r>
      <w:r w:rsidRPr="00220AC4">
        <w:rPr>
          <w:rStyle w:val="StyleUnderline"/>
        </w:rPr>
        <w:t>The logic of coloniality has been in place from the conquest and colonization of Mexico and Peru until and beyond the war in Iraq, despite superficial changes in the scale and agents of exploitation/control in the past five hundred years of history</w:t>
      </w:r>
      <w:r w:rsidRPr="00220AC4">
        <w:t xml:space="preserve">. Each domain is interwoven with the others, since </w:t>
      </w:r>
      <w:r w:rsidRPr="00220AC4">
        <w:rPr>
          <w:rStyle w:val="StyleUnderline"/>
        </w:rPr>
        <w:t>appropriation of land or exploitation of labor also involves the control of finance, of authority, of gender, and of knowledge and subjectivity</w:t>
      </w:r>
      <w:r w:rsidRPr="00220AC4">
        <w:t>.</w:t>
      </w:r>
      <w:r w:rsidRPr="00220AC4">
        <w:rPr>
          <w:rStyle w:val="StyleUnderline"/>
        </w:rPr>
        <w:t>8 The operation of the colonial matrix is invisible to distracted eyes, and even when it surfaces, it is explained through the rhetoric of modernity that the situation can be “corrected” with “development,” “democracy,” a “strong economy</w:t>
      </w:r>
      <w:r w:rsidRPr="00220AC4">
        <w:t xml:space="preserve">,” etc. What some will see as “lies” from the US presidential administration are not so much lies as part </w:t>
      </w:r>
      <w:r w:rsidRPr="00220AC4">
        <w:rPr>
          <w:rStyle w:val="StyleUnderline"/>
        </w:rPr>
        <w:t>of a very well-codified “rhetoric of modernity,” promising salvation for everybody in order to divert attention from the increasingly oppressive consequences of the logic of coloniality.</w:t>
      </w:r>
      <w:r w:rsidRPr="00220AC4">
        <w:t xml:space="preserve"> T</w:t>
      </w:r>
      <w:r w:rsidRPr="00220AC4">
        <w:rPr>
          <w:rStyle w:val="StyleUnderline"/>
        </w:rPr>
        <w:t xml:space="preserve">o implement the logic of coloniality requires the celebratory rhetoric of modernity, as the case of Iraq has illustrated from day one. </w:t>
      </w:r>
      <w:r w:rsidRPr="00220AC4">
        <w:t xml:space="preserve">As capital and power concentrate in fewer and fewer hands and poverty increases all over the word, </w:t>
      </w:r>
      <w:r w:rsidRPr="00220AC4">
        <w:rPr>
          <w:rStyle w:val="StyleUnderline"/>
        </w:rPr>
        <w:t xml:space="preserve">the logic of coloniality becomes ever more oppressive and merciless. </w:t>
      </w:r>
      <w:r w:rsidRPr="00220AC4">
        <w:t xml:space="preserve">Since the sixteenth century, </w:t>
      </w:r>
      <w:r w:rsidRPr="00220AC4">
        <w:rPr>
          <w:rStyle w:val="StyleUnderline"/>
        </w:rPr>
        <w:t xml:space="preserve">the rhetoric of modernity has relied on the vocabulary of salvation, which was accompanied by the massive appropriation of land in the New World and the </w:t>
      </w:r>
      <w:proofErr w:type="gramStart"/>
      <w:r w:rsidRPr="00220AC4">
        <w:rPr>
          <w:rStyle w:val="StyleUnderline"/>
        </w:rPr>
        <w:t>massive exploitation of Indian and African slave labor,</w:t>
      </w:r>
      <w:proofErr w:type="gramEnd"/>
      <w:r w:rsidRPr="00220AC4">
        <w:rPr>
          <w:rStyle w:val="StyleUnderline"/>
        </w:rPr>
        <w:t xml:space="preserve"> justified by a belief in the dispensability of human life – the lives of the slaves</w:t>
      </w:r>
      <w:r w:rsidRPr="00220AC4">
        <w:t xml:space="preserve">. Thus, while some </w:t>
      </w:r>
      <w:r w:rsidRPr="00220AC4">
        <w:rPr>
          <w:rStyle w:val="StyleUnderline"/>
        </w:rPr>
        <w:t>Christians today</w:t>
      </w:r>
      <w:r w:rsidRPr="00220AC4">
        <w:t xml:space="preserve">, for example, beat the drum of “pro-life values,” they </w:t>
      </w:r>
      <w:r w:rsidRPr="00220AC4">
        <w:rPr>
          <w:rStyle w:val="StyleUnderline"/>
        </w:rPr>
        <w:t xml:space="preserve">reproduce a rhetoric that diverts attention from the increasing “devaluation of human life” that the </w:t>
      </w:r>
      <w:proofErr w:type="gramStart"/>
      <w:r w:rsidRPr="00220AC4">
        <w:rPr>
          <w:rStyle w:val="StyleUnderline"/>
        </w:rPr>
        <w:t>thousands</w:t>
      </w:r>
      <w:proofErr w:type="gramEnd"/>
      <w:r w:rsidRPr="00220AC4">
        <w:rPr>
          <w:rStyle w:val="StyleUnderline"/>
        </w:rPr>
        <w:t xml:space="preserve"> dead in Iraq demonstrate</w:t>
      </w:r>
      <w:r w:rsidRPr="00220AC4">
        <w:t xml:space="preserve">. Thus, </w:t>
      </w:r>
      <w:r w:rsidRPr="00220AC4">
        <w:rPr>
          <w:rStyle w:val="StyleUnderline"/>
        </w:rPr>
        <w:t>it is not modernity that will overcome coloniality, because it is precisely modernity that needs and produces coloniality</w:t>
      </w:r>
      <w:r w:rsidRPr="00220AC4">
        <w:t>.</w:t>
      </w:r>
    </w:p>
    <w:p w14:paraId="10A26183" w14:textId="77777777" w:rsidR="00381FEC" w:rsidRPr="00381FEC" w:rsidRDefault="00381FEC" w:rsidP="00381FEC"/>
    <w:p w14:paraId="114DD8DB" w14:textId="2056ADAE" w:rsidR="00B84949" w:rsidRPr="00B84949" w:rsidRDefault="00DC730B" w:rsidP="00B84949">
      <w:pPr>
        <w:pStyle w:val="Heading4"/>
      </w:pPr>
      <w:r>
        <w:t>Vote Negative – our situated historical criticism of arms sales poses a decolonial and anti-imperial challenge to the sovereign world ordering project of the affirmative</w:t>
      </w:r>
    </w:p>
    <w:p w14:paraId="7E147797" w14:textId="77777777" w:rsidR="00B84949" w:rsidRDefault="00B84949" w:rsidP="00B84949">
      <w:r w:rsidRPr="002448E1">
        <w:rPr>
          <w:rStyle w:val="Style13ptBold"/>
        </w:rPr>
        <w:t>Jones, University of Leeds School of Politics and International Studies Lecturer, 6</w:t>
      </w:r>
      <w:r>
        <w:t xml:space="preserve"> (</w:t>
      </w:r>
      <w:proofErr w:type="spellStart"/>
      <w:r>
        <w:t>Branwen</w:t>
      </w:r>
      <w:proofErr w:type="spellEnd"/>
      <w:r>
        <w:t xml:space="preserve"> </w:t>
      </w:r>
      <w:proofErr w:type="spellStart"/>
      <w:r>
        <w:t>Gruffydd</w:t>
      </w:r>
      <w:proofErr w:type="spellEnd"/>
      <w:r>
        <w:t xml:space="preserve">, “Imperatives, Possibilities, and Limitations”, Decolonizing International Relations, Edited by </w:t>
      </w:r>
      <w:proofErr w:type="spellStart"/>
      <w:r>
        <w:t>Branwen</w:t>
      </w:r>
      <w:proofErr w:type="spellEnd"/>
      <w:r>
        <w:t xml:space="preserve"> </w:t>
      </w:r>
      <w:proofErr w:type="spellStart"/>
      <w:r>
        <w:t>Gruffydd</w:t>
      </w:r>
      <w:proofErr w:type="spellEnd"/>
      <w:r>
        <w:t xml:space="preserve"> Jones, p.220-24)</w:t>
      </w:r>
    </w:p>
    <w:p w14:paraId="723CCCFF" w14:textId="77777777" w:rsidR="00B84949" w:rsidRPr="0034783F" w:rsidRDefault="00B84949" w:rsidP="00B84949">
      <w:pPr>
        <w:rPr>
          <w:rStyle w:val="StyleUnderline"/>
        </w:rPr>
      </w:pPr>
      <w:r>
        <w:t xml:space="preserve">Central to </w:t>
      </w:r>
      <w:proofErr w:type="spellStart"/>
      <w:r>
        <w:t>Saurin’s</w:t>
      </w:r>
      <w:proofErr w:type="spellEnd"/>
      <w:r>
        <w:t xml:space="preserve"> argument is that </w:t>
      </w:r>
      <w:r w:rsidRPr="0034783F">
        <w:rPr>
          <w:rStyle w:val="StyleUnderline"/>
        </w:rPr>
        <w:t>we live</w:t>
      </w:r>
      <w:r>
        <w:t xml:space="preserve"> not in a postcolonial but </w:t>
      </w:r>
      <w:r w:rsidRPr="0034783F">
        <w:rPr>
          <w:rStyle w:val="StyleUnderline"/>
        </w:rPr>
        <w:t>in an imperial world order, where</w:t>
      </w:r>
      <w:r>
        <w:t xml:space="preserve">as </w:t>
      </w:r>
      <w:r w:rsidRPr="0034783F">
        <w:rPr>
          <w:rStyle w:val="StyleUnderline"/>
        </w:rPr>
        <w:t>IR is falsely premised on the narrative of a decolonized world order of sovereign nation-states. To decolonize IR there- fore requires “the active production of a different international social order</w:t>
      </w:r>
      <w:r>
        <w:t xml:space="preserve">.” It might seem that </w:t>
      </w:r>
      <w:proofErr w:type="spellStart"/>
      <w:r>
        <w:t>Saurin</w:t>
      </w:r>
      <w:proofErr w:type="spellEnd"/>
      <w:r>
        <w:t xml:space="preserve"> is ultimately dismissing the battle of ideas as futile, given the superior organized violence of imperialism. However, he defends the need, in </w:t>
      </w:r>
      <w:r w:rsidRPr="0034783F">
        <w:rPr>
          <w:rStyle w:val="StyleUnderline"/>
        </w:rPr>
        <w:t>decolonizing knowledge, to “better explain the production of particular world orders</w:t>
      </w:r>
      <w:r>
        <w:t xml:space="preserve"> and world organization.” Here his emphasis on </w:t>
      </w:r>
      <w:r w:rsidRPr="0034783F">
        <w:rPr>
          <w:rStyle w:val="StyleUnderline"/>
        </w:rPr>
        <w:t>method</w:t>
      </w:r>
      <w:r>
        <w:t xml:space="preserve">, following Marx, </w:t>
      </w:r>
      <w:r w:rsidRPr="0034783F">
        <w:rPr>
          <w:rStyle w:val="StyleUnderline"/>
        </w:rPr>
        <w:t>becomes crucial</w:t>
      </w:r>
      <w:r>
        <w:t xml:space="preserve">. Marx criticized a contemplation that can offer only interpretations of </w:t>
      </w:r>
      <w:r>
        <w:lastRenderedPageBreak/>
        <w:t xml:space="preserve">the given world; rather, he pursued a </w:t>
      </w:r>
      <w:r w:rsidRPr="0034783F">
        <w:rPr>
          <w:rStyle w:val="StyleUnderline"/>
        </w:rPr>
        <w:t>form of understanding and explanation that can help in changing the world</w:t>
      </w:r>
      <w:r>
        <w:t xml:space="preserve">. He did not abandon in- </w:t>
      </w:r>
      <w:proofErr w:type="spellStart"/>
      <w:r>
        <w:t>quiry</w:t>
      </w:r>
      <w:proofErr w:type="spellEnd"/>
      <w:r>
        <w:t xml:space="preserve"> m order instead to try to change the world. </w:t>
      </w:r>
      <w:r w:rsidRPr="0034783F">
        <w:rPr>
          <w:rStyle w:val="StyleUnderline"/>
        </w:rPr>
        <w:t>Thus</w:t>
      </w:r>
      <w:r>
        <w:t xml:space="preserve">, </w:t>
      </w:r>
      <w:proofErr w:type="spellStart"/>
      <w:r>
        <w:t>Saurin</w:t>
      </w:r>
      <w:proofErr w:type="spellEnd"/>
      <w:r>
        <w:t xml:space="preserve"> defends </w:t>
      </w:r>
      <w:r w:rsidRPr="0034783F">
        <w:rPr>
          <w:rStyle w:val="StyleUnderline"/>
        </w:rPr>
        <w:t>the need to decolonize knowledge in order to reveal the political economy of power the imperial production of world order, because IR obscures and misrecognizes the basis o</w:t>
      </w:r>
      <w:r>
        <w:t xml:space="preserve">f international order. This is the crux of his argument that </w:t>
      </w:r>
      <w:r w:rsidRPr="0034783F">
        <w:rPr>
          <w:rStyle w:val="StyleUnderline"/>
        </w:rPr>
        <w:t>decolonizing IR requires not a pale postcolonialism but an anti-imperialism.</w:t>
      </w:r>
    </w:p>
    <w:p w14:paraId="21913745" w14:textId="77777777" w:rsidR="00B84949" w:rsidRPr="0034783F" w:rsidRDefault="00B84949" w:rsidP="00B84949">
      <w:pPr>
        <w:rPr>
          <w:rStyle w:val="StyleUnderline"/>
        </w:rPr>
      </w:pPr>
      <w:r>
        <w:t xml:space="preserve">Eurocentrism and the features of IR’s colonial or imperial mentality are man- </w:t>
      </w:r>
      <w:proofErr w:type="spellStart"/>
      <w:r>
        <w:t>ifest</w:t>
      </w:r>
      <w:proofErr w:type="spellEnd"/>
      <w:r>
        <w:t xml:space="preserve"> in various forms requiring different strategies of critique. As the chapters in this volume have variously drawn attention to, the </w:t>
      </w:r>
      <w:r w:rsidRPr="0034783F">
        <w:rPr>
          <w:rStyle w:val="StyleUnderline"/>
        </w:rPr>
        <w:t>manifestations of Euro- centrism and imperial mentality include the assumption of a “useful past,” an idealized narrative of Western progress and modernity that is silent on race, slavery, centuries of wars and dispossession against non-European peoples. IR scholarship is dominated by Western academics</w:t>
      </w:r>
      <w:r>
        <w:t xml:space="preserve">, turns to the European canon as a matter of instinct, and consistently ignores both earlier and current non-European scholarship. </w:t>
      </w:r>
      <w:r w:rsidRPr="0034783F">
        <w:rPr>
          <w:rStyle w:val="StyleUnderline"/>
        </w:rPr>
        <w:t>Central analytical categories such as sovereignty, democracy, governance, and the state are informed exclusively by a sanitized European ideal that systematically ignores forms, struggles, and discourses of social and political organization from the non-Weste</w:t>
      </w:r>
      <w:r>
        <w:rPr>
          <w:rStyle w:val="StyleUnderline"/>
        </w:rPr>
        <w:t>rn</w:t>
      </w:r>
      <w:r w:rsidRPr="0034783F">
        <w:rPr>
          <w:rStyle w:val="StyleUnderline"/>
        </w:rPr>
        <w:t xml:space="preserve"> world.</w:t>
      </w:r>
    </w:p>
    <w:p w14:paraId="5B020371" w14:textId="77777777" w:rsidR="00B84949" w:rsidRPr="0034783F" w:rsidRDefault="00B84949" w:rsidP="00B84949">
      <w:pPr>
        <w:rPr>
          <w:rStyle w:val="StyleUnderline"/>
        </w:rPr>
      </w:pPr>
      <w:r w:rsidRPr="0034783F">
        <w:rPr>
          <w:rStyle w:val="StyleUnderline"/>
        </w:rPr>
        <w:t xml:space="preserve">Escaping from this Western imperial imagination requires </w:t>
      </w:r>
      <w:proofErr w:type="gramStart"/>
      <w:r w:rsidRPr="0034783F">
        <w:rPr>
          <w:rStyle w:val="StyleUnderline"/>
        </w:rPr>
        <w:t>first of all</w:t>
      </w:r>
      <w:proofErr w:type="gramEnd"/>
      <w:r w:rsidRPr="0034783F">
        <w:rPr>
          <w:rStyle w:val="StyleUnderline"/>
        </w:rPr>
        <w:t xml:space="preserve"> that IR discourse is situated historically.</w:t>
      </w:r>
      <w:r>
        <w:t xml:space="preserve"> As Pasha argues, the current form or </w:t>
      </w:r>
      <w:proofErr w:type="spellStart"/>
      <w:r>
        <w:t>foun</w:t>
      </w:r>
      <w:proofErr w:type="spellEnd"/>
      <w:r>
        <w:t xml:space="preserve">- dation of IR discourse arises from deep historical currents and tendencies. The current Western imagination has crystallized over centuries as the </w:t>
      </w:r>
      <w:proofErr w:type="spellStart"/>
      <w:r>
        <w:t>nec</w:t>
      </w:r>
      <w:proofErr w:type="spellEnd"/>
      <w:r>
        <w:t xml:space="preserve">- </w:t>
      </w:r>
      <w:proofErr w:type="spellStart"/>
      <w:r>
        <w:t>essary</w:t>
      </w:r>
      <w:proofErr w:type="spellEnd"/>
      <w:r>
        <w:t xml:space="preserve"> surface of Europe’s hegemonic imperial project and encounters with non-European peoples, cultures, religions, and ways of life. For five centuries, world history has been deeply fractured by practices of conquest and </w:t>
      </w:r>
      <w:proofErr w:type="spellStart"/>
      <w:r>
        <w:t>dispos</w:t>
      </w:r>
      <w:proofErr w:type="spellEnd"/>
      <w:r>
        <w:t xml:space="preserve">- session and the corresponding assumption of racial, cultural, religious, and civilizational hierarchy. Thus, as Krishna argues, the symbolic date of inter- national relations is not 1648 but 1492, the historical origin of the modem global condition of alienation. </w:t>
      </w:r>
      <w:r w:rsidRPr="0034783F">
        <w:rPr>
          <w:rStyle w:val="StyleUnderline"/>
        </w:rPr>
        <w:t>The failure of IR as a modem discipline to at- tend to this fractured world history and its necessary ideological forms reveals its constitution as the modem continuation of that very hegemonic discourse and expression of alienation.</w:t>
      </w:r>
    </w:p>
    <w:p w14:paraId="774AFAC9" w14:textId="77777777" w:rsidR="00B84949" w:rsidRDefault="00B84949" w:rsidP="00B84949">
      <w:r w:rsidRPr="0034783F">
        <w:rPr>
          <w:rStyle w:val="StyleUnderline"/>
        </w:rPr>
        <w:t xml:space="preserve">How can this deeply entrenched, alienated, and alienating mode of </w:t>
      </w:r>
      <w:proofErr w:type="spellStart"/>
      <w:r w:rsidRPr="0034783F">
        <w:rPr>
          <w:rStyle w:val="StyleUnderline"/>
        </w:rPr>
        <w:t>appre</w:t>
      </w:r>
      <w:proofErr w:type="spellEnd"/>
      <w:r w:rsidRPr="0034783F">
        <w:rPr>
          <w:rStyle w:val="StyleUnderline"/>
        </w:rPr>
        <w:t xml:space="preserve">- </w:t>
      </w:r>
      <w:proofErr w:type="spellStart"/>
      <w:r w:rsidRPr="0034783F">
        <w:rPr>
          <w:rStyle w:val="StyleUnderline"/>
        </w:rPr>
        <w:t>hending</w:t>
      </w:r>
      <w:proofErr w:type="spellEnd"/>
      <w:r w:rsidRPr="0034783F">
        <w:rPr>
          <w:rStyle w:val="StyleUnderline"/>
        </w:rPr>
        <w:t xml:space="preserve"> the world be transcended?</w:t>
      </w:r>
      <w:r>
        <w:t xml:space="preserve"> The contributions to this volume have provided various examples of how to proceed in the quest for decolonized knowledge. </w:t>
      </w:r>
      <w:r w:rsidRPr="0034783F">
        <w:rPr>
          <w:rStyle w:val="StyleUnderline"/>
        </w:rPr>
        <w:t xml:space="preserve">First, it is necessary to reject the underlying social ontology as- </w:t>
      </w:r>
      <w:proofErr w:type="spellStart"/>
      <w:r w:rsidRPr="0034783F">
        <w:rPr>
          <w:rStyle w:val="StyleUnderline"/>
        </w:rPr>
        <w:t>sumed</w:t>
      </w:r>
      <w:proofErr w:type="spellEnd"/>
      <w:r w:rsidRPr="0034783F">
        <w:rPr>
          <w:rStyle w:val="StyleUnderline"/>
        </w:rPr>
        <w:t xml:space="preserve"> by the mainstream</w:t>
      </w:r>
      <w:r>
        <w:t xml:space="preserve">. </w:t>
      </w:r>
      <w:r w:rsidRPr="0034783F">
        <w:rPr>
          <w:rStyle w:val="StyleUnderline"/>
        </w:rPr>
        <w:t xml:space="preserve">IR’s strategies of containment operate </w:t>
      </w:r>
      <w:proofErr w:type="gramStart"/>
      <w:r w:rsidRPr="0034783F">
        <w:rPr>
          <w:rStyle w:val="StyleUnderline"/>
        </w:rPr>
        <w:t>on the basis of</w:t>
      </w:r>
      <w:proofErr w:type="gramEnd"/>
      <w:r w:rsidRPr="0034783F">
        <w:rPr>
          <w:rStyle w:val="StyleUnderline"/>
        </w:rPr>
        <w:t xml:space="preserve"> an underlying ontology</w:t>
      </w:r>
      <w:r>
        <w:t xml:space="preserve"> or model </w:t>
      </w:r>
      <w:r w:rsidRPr="0034783F">
        <w:rPr>
          <w:rStyle w:val="StyleUnderline"/>
        </w:rPr>
        <w:t>of the basic constitution of social life, time, history, and the international</w:t>
      </w:r>
      <w:r>
        <w:t xml:space="preserve">. The mainstream model is </w:t>
      </w:r>
      <w:r w:rsidRPr="0034783F">
        <w:rPr>
          <w:rStyle w:val="StyleUnderline"/>
        </w:rPr>
        <w:t>atomized, along various dimensions in time and space, issuing in the self-contained histories of regions and states that sever real historical relations of extended cause and conditions of possibility</w:t>
      </w:r>
      <w:r>
        <w:t xml:space="preserve">. </w:t>
      </w:r>
      <w:r w:rsidRPr="0034783F">
        <w:rPr>
          <w:rStyle w:val="StyleUnderline"/>
        </w:rPr>
        <w:t>It is therefore necessary to self-consciously identify a different model of social ontology, one that is more adequate and capable of revealing rather than concealing actual historical connections</w:t>
      </w:r>
      <w:r>
        <w:t>, revealing, in Said’s words, t</w:t>
      </w:r>
      <w:r w:rsidRPr="0034783F">
        <w:rPr>
          <w:rStyle w:val="StyleUnderline"/>
        </w:rPr>
        <w:t>he intertwined nature of spatially distant forms and processes of historical change and social reproduction</w:t>
      </w:r>
      <w:r>
        <w:t xml:space="preserve">. </w:t>
      </w:r>
      <w:r w:rsidRPr="0034783F">
        <w:rPr>
          <w:rStyle w:val="StyleUnderline"/>
        </w:rPr>
        <w:t>Only by refusing the mainstream ontology is it possible to meet</w:t>
      </w:r>
      <w:r>
        <w:t xml:space="preserve"> Halperin’s </w:t>
      </w:r>
      <w:r w:rsidRPr="0034783F">
        <w:rPr>
          <w:rStyle w:val="StyleUnderline"/>
        </w:rPr>
        <w:t>challenge of producing alternative accounts</w:t>
      </w:r>
      <w:r>
        <w:t xml:space="preserve"> that are unassimilable by the mainstream</w:t>
      </w:r>
      <w:r w:rsidRPr="0034783F">
        <w:t xml:space="preserve">. IR discourse, </w:t>
      </w:r>
      <w:proofErr w:type="spellStart"/>
      <w:r w:rsidRPr="0034783F">
        <w:t>Saurin</w:t>
      </w:r>
      <w:proofErr w:type="spellEnd"/>
      <w:r w:rsidRPr="0034783F">
        <w:t xml:space="preserve"> </w:t>
      </w:r>
      <w:proofErr w:type="spellStart"/>
      <w:r w:rsidRPr="0034783F">
        <w:t>ar</w:t>
      </w:r>
      <w:proofErr w:type="spellEnd"/>
      <w:r w:rsidRPr="0034783F">
        <w:t xml:space="preserve">- </w:t>
      </w:r>
      <w:proofErr w:type="spellStart"/>
      <w:r w:rsidRPr="0034783F">
        <w:t>gues</w:t>
      </w:r>
      <w:proofErr w:type="spellEnd"/>
      <w:r w:rsidRPr="0034783F">
        <w:t>, reproduces the “illusion of the epoch”</w:t>
      </w:r>
      <w:proofErr w:type="gramStart"/>
      <w:r w:rsidRPr="0034783F">
        <w:t>—“</w:t>
      </w:r>
      <w:proofErr w:type="gramEnd"/>
      <w:r w:rsidRPr="0034783F">
        <w:t>the mistake that the explanation of international order and organization of the world remains to be found in the examination of the nation-state</w:t>
      </w:r>
      <w:r>
        <w:t xml:space="preserve"> and international </w:t>
      </w:r>
      <w:proofErr w:type="spellStart"/>
      <w:r>
        <w:t>organisation</w:t>
      </w:r>
      <w:proofErr w:type="spellEnd"/>
      <w:r>
        <w:t>.” Halperin re- fuses this illusion, instead directing attention to historically extended networks of relations that connect not whole countries or societies but distinct regions and classes across vast spatial distance and over time.</w:t>
      </w:r>
    </w:p>
    <w:p w14:paraId="1283F113" w14:textId="77777777" w:rsidR="00B84949" w:rsidRDefault="00B84949" w:rsidP="00B84949">
      <w:r w:rsidRPr="0034783F">
        <w:rPr>
          <w:rStyle w:val="StyleUnderline"/>
        </w:rPr>
        <w:lastRenderedPageBreak/>
        <w:t xml:space="preserve">The need for a more adequate ontology is not an abstract analytical problem and cannot be resolved through any “purely” theoretical move. Thus, sec- </w:t>
      </w:r>
      <w:proofErr w:type="spellStart"/>
      <w:r w:rsidRPr="0034783F">
        <w:rPr>
          <w:rStyle w:val="StyleUnderline"/>
        </w:rPr>
        <w:t>ond</w:t>
      </w:r>
      <w:proofErr w:type="spellEnd"/>
      <w:r w:rsidRPr="0034783F">
        <w:rPr>
          <w:rStyle w:val="StyleUnderline"/>
        </w:rPr>
        <w:t xml:space="preserve"> and relatedly, decolonizing knowledge demands attention to questions of history.</w:t>
      </w:r>
      <w:r>
        <w:t xml:space="preserve"> </w:t>
      </w:r>
      <w:r w:rsidRPr="0034783F">
        <w:rPr>
          <w:rStyle w:val="StyleUnderline"/>
        </w:rPr>
        <w:t>What kind of historical method can help reveal the actual historical connections and causal relations that constitute the international</w:t>
      </w:r>
      <w:r>
        <w:t xml:space="preserve">? Krishna </w:t>
      </w:r>
      <w:proofErr w:type="spellStart"/>
      <w:r>
        <w:t>em</w:t>
      </w:r>
      <w:proofErr w:type="spellEnd"/>
      <w:r>
        <w:t xml:space="preserve">- ploys what Said has described as </w:t>
      </w:r>
      <w:r w:rsidRPr="0034783F">
        <w:rPr>
          <w:rStyle w:val="StyleUnderline"/>
        </w:rPr>
        <w:t>contrapuntal analysis</w:t>
      </w:r>
      <w:r>
        <w:t xml:space="preserve">, which </w:t>
      </w:r>
      <w:r w:rsidRPr="0034783F">
        <w:rPr>
          <w:rStyle w:val="StyleUnderline"/>
        </w:rPr>
        <w:t xml:space="preserve">places standard themes and concepts of the mainstream in their wider historical context, thus exposing crucial flaws in the usually isolated rendering of such themes. </w:t>
      </w:r>
      <w:r>
        <w:t xml:space="preserve">This does not issue in a multiplicity of alternative and inherently contested “read- </w:t>
      </w:r>
      <w:proofErr w:type="spellStart"/>
      <w:r>
        <w:t>ings</w:t>
      </w:r>
      <w:proofErr w:type="spellEnd"/>
      <w:r>
        <w:t xml:space="preserve">” that can only ever be ordered in priority according to </w:t>
      </w:r>
      <w:proofErr w:type="gramStart"/>
      <w:r>
        <w:t>one’s particular, shifting</w:t>
      </w:r>
      <w:proofErr w:type="gramEnd"/>
      <w:r>
        <w:t xml:space="preserve"> perspective or standpoint. Rather, </w:t>
      </w:r>
      <w:r w:rsidRPr="0034783F">
        <w:rPr>
          <w:rStyle w:val="StyleUnderline"/>
        </w:rPr>
        <w:t>contrapuntal analysis exposes very specific forms of causal connection between spatially distant but temporally coincident processes, social forms, and conditions</w:t>
      </w:r>
      <w:r>
        <w:t xml:space="preserve">. </w:t>
      </w:r>
      <w:r w:rsidRPr="0034783F">
        <w:rPr>
          <w:rStyle w:val="StyleUnderline"/>
        </w:rPr>
        <w:t>It is the necessity of such connections that are systematically</w:t>
      </w:r>
      <w:r>
        <w:t xml:space="preserve"> overlooked—or rather, as Du </w:t>
      </w:r>
      <w:proofErr w:type="spellStart"/>
      <w:r>
        <w:t>Bois</w:t>
      </w:r>
      <w:proofErr w:type="spellEnd"/>
      <w:r>
        <w:t xml:space="preserve"> said, </w:t>
      </w:r>
      <w:r w:rsidRPr="0034783F">
        <w:rPr>
          <w:rStyle w:val="StyleUnderline"/>
        </w:rPr>
        <w:t>suppressed—by the mainstream</w:t>
      </w:r>
      <w:r>
        <w:t xml:space="preserve">. In doing so, half or parts of a history are presented as complete and whole. </w:t>
      </w:r>
      <w:r w:rsidRPr="0034783F">
        <w:rPr>
          <w:rStyle w:val="StyleUnderline"/>
        </w:rPr>
        <w:t xml:space="preserve">This constitutes not one perspective among others but a false historical account. The broader history revealed through con- </w:t>
      </w:r>
      <w:proofErr w:type="spellStart"/>
      <w:r w:rsidRPr="0034783F">
        <w:rPr>
          <w:rStyle w:val="StyleUnderline"/>
        </w:rPr>
        <w:t>trapuntal</w:t>
      </w:r>
      <w:proofErr w:type="spellEnd"/>
      <w:r w:rsidRPr="0034783F">
        <w:rPr>
          <w:rStyle w:val="StyleUnderline"/>
        </w:rPr>
        <w:t xml:space="preserve"> method both is more adequate and exposes the falsity of the sanitized dominant account</w:t>
      </w:r>
      <w:r>
        <w:t xml:space="preserve">. </w:t>
      </w:r>
      <w:r w:rsidRPr="0034783F">
        <w:rPr>
          <w:rStyle w:val="StyleUnderline"/>
        </w:rPr>
        <w:t>The power of contrapuntal method lies not only in revealing historical relations of cause and conditions of possibility ignored by analysis informed by the state-centric ontology of the mainstream but also in resituating the intellectual canon in the context of imperialism</w:t>
      </w:r>
      <w:r>
        <w:t xml:space="preserve">. </w:t>
      </w:r>
      <w:proofErr w:type="spellStart"/>
      <w:r>
        <w:t>Here</w:t>
      </w:r>
      <w:proofErr w:type="spellEnd"/>
      <w:r>
        <w:t xml:space="preserve"> Krishna foregrounds </w:t>
      </w:r>
      <w:proofErr w:type="spellStart"/>
      <w:r>
        <w:t>Grovogui’s</w:t>
      </w:r>
      <w:proofErr w:type="spellEnd"/>
      <w:r>
        <w:t xml:space="preserve"> discussion of the intimate relationship between Grotius’s scholar- ship and imperial practice and Mehta’s examination of the integral relationship between nineteenth-century liberal thought and colonial practice. Others have produced important accounts of a similar form </w:t>
      </w:r>
      <w:proofErr w:type="gramStart"/>
      <w:r>
        <w:t>with regard to</w:t>
      </w:r>
      <w:proofErr w:type="gramEnd"/>
      <w:r>
        <w:t xml:space="preserve"> other figures of the Western canon of IR and international law, including Francisco de Vitoria, Hegel, Kant, and John Stuart Mill.3</w:t>
      </w:r>
    </w:p>
    <w:p w14:paraId="6AC429B6" w14:textId="77777777" w:rsidR="00B84949" w:rsidRDefault="00B84949" w:rsidP="00B84949">
      <w:r w:rsidRPr="0034783F">
        <w:rPr>
          <w:rStyle w:val="StyleUnderline"/>
        </w:rPr>
        <w:t>A third strategy,</w:t>
      </w:r>
      <w:r>
        <w:t xml:space="preserve"> employed by </w:t>
      </w:r>
      <w:proofErr w:type="spellStart"/>
      <w:r>
        <w:t>Anghie</w:t>
      </w:r>
      <w:proofErr w:type="spellEnd"/>
      <w:r>
        <w:t xml:space="preserve">, </w:t>
      </w:r>
      <w:proofErr w:type="spellStart"/>
      <w:r>
        <w:t>Gathii</w:t>
      </w:r>
      <w:proofErr w:type="spellEnd"/>
      <w:r>
        <w:t xml:space="preserve">, </w:t>
      </w:r>
      <w:proofErr w:type="spellStart"/>
      <w:r>
        <w:t>Grovogui</w:t>
      </w:r>
      <w:proofErr w:type="spellEnd"/>
      <w:r>
        <w:t xml:space="preserve">, and Ayers, </w:t>
      </w:r>
      <w:r w:rsidRPr="0034783F">
        <w:rPr>
          <w:rStyle w:val="StyleUnderline"/>
        </w:rPr>
        <w:t>is to refuse the disciplining taboos of dominant forms of inquiry</w:t>
      </w:r>
      <w:r>
        <w:t xml:space="preserve">. As Krishna dis- cusses, </w:t>
      </w:r>
      <w:r w:rsidRPr="0034783F">
        <w:rPr>
          <w:rStyle w:val="StyleUnderline"/>
        </w:rPr>
        <w:t xml:space="preserve">the continuity of the imperial imagination is secured in part by dis- </w:t>
      </w:r>
      <w:proofErr w:type="spellStart"/>
      <w:r w:rsidRPr="0034783F">
        <w:rPr>
          <w:rStyle w:val="StyleUnderline"/>
        </w:rPr>
        <w:t>ciplining</w:t>
      </w:r>
      <w:proofErr w:type="spellEnd"/>
      <w:r w:rsidRPr="0034783F">
        <w:rPr>
          <w:rStyle w:val="StyleUnderline"/>
        </w:rPr>
        <w:t xml:space="preserve"> maneuvers that relegate attention to historical and empirical detail to secondary or “specialist” forms of inquiry, maintaining the heights of the- </w:t>
      </w:r>
      <w:proofErr w:type="spellStart"/>
      <w:r w:rsidRPr="0034783F">
        <w:rPr>
          <w:rStyle w:val="StyleUnderline"/>
        </w:rPr>
        <w:t>oretical</w:t>
      </w:r>
      <w:proofErr w:type="spellEnd"/>
      <w:r w:rsidRPr="0034783F">
        <w:rPr>
          <w:rStyle w:val="StyleUnderline"/>
        </w:rPr>
        <w:t xml:space="preserve"> abstraction as the proper form of IR.</w:t>
      </w:r>
      <w:r>
        <w:t xml:space="preserve"> This is precisely both legacy and continuation of what </w:t>
      </w:r>
      <w:proofErr w:type="spellStart"/>
      <w:r>
        <w:t>Saurin</w:t>
      </w:r>
      <w:proofErr w:type="spellEnd"/>
      <w:r>
        <w:t xml:space="preserve"> has termed imperialism’s habitual “refusal to translate or interpret” but only impose meaning. </w:t>
      </w:r>
      <w:r w:rsidRPr="0034783F">
        <w:rPr>
          <w:rStyle w:val="StyleUnderline"/>
        </w:rPr>
        <w:t>It is the same in international law</w:t>
      </w:r>
      <w:r>
        <w:t xml:space="preserve">, as </w:t>
      </w:r>
      <w:proofErr w:type="spellStart"/>
      <w:r>
        <w:t>Anghie</w:t>
      </w:r>
      <w:proofErr w:type="spellEnd"/>
      <w:r>
        <w:t xml:space="preserve"> argues: </w:t>
      </w:r>
      <w:r w:rsidRPr="0034783F">
        <w:rPr>
          <w:rStyle w:val="StyleUnderline"/>
        </w:rPr>
        <w:t xml:space="preserve">knowledge is governed by a set of conceptual categories centered on Europe, and it is these categories that are routinely reaffirmed by conventional histories of the discipline as well as by the very doctrines of in- </w:t>
      </w:r>
      <w:proofErr w:type="spellStart"/>
      <w:r w:rsidRPr="0034783F">
        <w:rPr>
          <w:rStyle w:val="StyleUnderline"/>
        </w:rPr>
        <w:t>ternational</w:t>
      </w:r>
      <w:proofErr w:type="spellEnd"/>
      <w:r w:rsidRPr="0034783F">
        <w:rPr>
          <w:rStyle w:val="StyleUnderline"/>
        </w:rPr>
        <w:t xml:space="preserve"> law</w:t>
      </w:r>
      <w:r>
        <w:t>. In this way, the theoretical apparatus and approved modes of inquiry m both IR and international law suggest that imperialism and the detail of non-European history more broadly are “somehow incidental” to the proper disciplinary concerns.</w:t>
      </w:r>
    </w:p>
    <w:p w14:paraId="028113B9" w14:textId="77777777" w:rsidR="00B84949" w:rsidRDefault="00B84949" w:rsidP="00B84949">
      <w:r w:rsidRPr="0034783F">
        <w:rPr>
          <w:rStyle w:val="StyleUnderline"/>
        </w:rPr>
        <w:t xml:space="preserve">The adequate response </w:t>
      </w:r>
      <w:proofErr w:type="gramStart"/>
      <w:r w:rsidRPr="0034783F">
        <w:rPr>
          <w:rStyle w:val="StyleUnderline"/>
        </w:rPr>
        <w:t>has to</w:t>
      </w:r>
      <w:proofErr w:type="gramEnd"/>
      <w:r w:rsidRPr="0034783F">
        <w:rPr>
          <w:rStyle w:val="StyleUnderline"/>
        </w:rPr>
        <w:t xml:space="preserve"> be to provide different accounts, different forms of historical knowledge, that reveal the exercise of power and</w:t>
      </w:r>
      <w:r>
        <w:t xml:space="preserve">, as </w:t>
      </w:r>
      <w:proofErr w:type="spellStart"/>
      <w:r>
        <w:t>Saurin</w:t>
      </w:r>
      <w:proofErr w:type="spellEnd"/>
      <w:r>
        <w:t xml:space="preserve"> urges, the </w:t>
      </w:r>
      <w:r w:rsidRPr="0034783F">
        <w:rPr>
          <w:rStyle w:val="StyleUnderline"/>
        </w:rPr>
        <w:t>production of world order.</w:t>
      </w:r>
      <w:r>
        <w:t xml:space="preserve"> As </w:t>
      </w:r>
      <w:proofErr w:type="spellStart"/>
      <w:r>
        <w:t>Ranajit</w:t>
      </w:r>
      <w:proofErr w:type="spellEnd"/>
      <w:r>
        <w:t xml:space="preserve"> Guha has argued, such </w:t>
      </w:r>
      <w:proofErr w:type="spellStart"/>
      <w:r>
        <w:t>ef</w:t>
      </w:r>
      <w:proofErr w:type="spellEnd"/>
      <w:r>
        <w:t xml:space="preserve">- forts cannot be framed by the same coordinates as dominant forms of </w:t>
      </w:r>
      <w:proofErr w:type="spellStart"/>
      <w:r>
        <w:t>knowl</w:t>
      </w:r>
      <w:proofErr w:type="spellEnd"/>
      <w:r>
        <w:t xml:space="preserve">- e </w:t>
      </w:r>
      <w:proofErr w:type="spellStart"/>
      <w:r>
        <w:t>ge</w:t>
      </w:r>
      <w:proofErr w:type="spellEnd"/>
      <w:r>
        <w:t xml:space="preserve">. </w:t>
      </w:r>
      <w:r w:rsidRPr="0034783F">
        <w:rPr>
          <w:rStyle w:val="StyleUnderline"/>
        </w:rPr>
        <w:t>no discourse can oppose a genuinely uncompromising critique</w:t>
      </w:r>
      <w:r>
        <w:t xml:space="preserve"> to a </w:t>
      </w:r>
      <w:proofErr w:type="spellStart"/>
      <w:r>
        <w:t>niling</w:t>
      </w:r>
      <w:proofErr w:type="spellEnd"/>
      <w:r>
        <w:t xml:space="preserve"> culture </w:t>
      </w:r>
      <w:r w:rsidRPr="0034783F">
        <w:rPr>
          <w:rStyle w:val="StyleUnderline"/>
        </w:rPr>
        <w:t>so long as its ideological parameters are the same as those of that very culture</w:t>
      </w:r>
      <w:r>
        <w:t xml:space="preserve">.’ </w:t>
      </w:r>
      <w:r w:rsidRPr="0034783F">
        <w:rPr>
          <w:rStyle w:val="StyleUnderline"/>
        </w:rPr>
        <w:t>Any effort to counter the dominant forms of knowledge that legitimize international power must be separated from those forms by a paradigmatic distance</w:t>
      </w:r>
      <w:r>
        <w:t xml:space="preserve">.”5 That is why the content of this volume has not been determined by the theoretical or substantive coordinates of the IR discipline as such. </w:t>
      </w:r>
      <w:r w:rsidRPr="0034783F">
        <w:rPr>
          <w:rStyle w:val="StyleUnderline"/>
        </w:rPr>
        <w:t>The quest to decolonize knowledge cannot be pursued by revisiting the endless interactions and iterations of IR’s so-called great debates or by surveying once again the sins of realism, neorealism, structuralism, liberal institutionalism, constructivism, and so on.</w:t>
      </w:r>
    </w:p>
    <w:p w14:paraId="2CDE4333" w14:textId="77777777" w:rsidR="00B84949" w:rsidRPr="0034783F" w:rsidRDefault="00B84949" w:rsidP="00B84949">
      <w:pPr>
        <w:rPr>
          <w:rStyle w:val="StyleUnderline"/>
        </w:rPr>
      </w:pPr>
      <w:r>
        <w:lastRenderedPageBreak/>
        <w:t xml:space="preserve">Only by examining “other” and much longer histories—by refusing the taboos against history, context, and empirical detail, by insisting on </w:t>
      </w:r>
      <w:proofErr w:type="spellStart"/>
      <w:r>
        <w:t>negotia</w:t>
      </w:r>
      <w:proofErr w:type="spellEnd"/>
      <w:r>
        <w:t xml:space="preserve">- </w:t>
      </w:r>
      <w:proofErr w:type="spellStart"/>
      <w:r>
        <w:t>tion</w:t>
      </w:r>
      <w:proofErr w:type="spellEnd"/>
      <w:r>
        <w:t xml:space="preserve">, on two-way translation—can the constant reaffirmation of the idealized European as universal be overturned. </w:t>
      </w:r>
      <w:proofErr w:type="spellStart"/>
      <w:r>
        <w:t>Anghie’s</w:t>
      </w:r>
      <w:proofErr w:type="spellEnd"/>
      <w:r>
        <w:t xml:space="preserve"> argument that the study of his- tory is a central means of facilitating and furthering the reconstructive project is confirmed throughout this volume. It is precisely the widespread ignorance of world history, histories of imperialism, histories of anti-imperial struggles, and histories of nonimperial non-European social forms that enables the persistent blindness to more recent forms of imperialism and racial discourse</w:t>
      </w:r>
      <w:r w:rsidRPr="0034783F">
        <w:rPr>
          <w:rStyle w:val="StyleUnderline"/>
        </w:rPr>
        <w:t>. With a knowledge of history, the current humanitarian, apparently benign and well- intentioned international discourses and techniques of governance,</w:t>
      </w:r>
      <w:r>
        <w:t xml:space="preserve"> develop- </w:t>
      </w:r>
      <w:proofErr w:type="spellStart"/>
      <w:r>
        <w:t>ment</w:t>
      </w:r>
      <w:proofErr w:type="spellEnd"/>
      <w:r>
        <w:t xml:space="preserve">, </w:t>
      </w:r>
      <w:r w:rsidRPr="0019405C">
        <w:t>democratization, or security</w:t>
      </w:r>
      <w:r w:rsidRPr="0034783F">
        <w:rPr>
          <w:rStyle w:val="StyleUnderline"/>
        </w:rPr>
        <w:t xml:space="preserve"> are revealed as mode</w:t>
      </w:r>
      <w:r>
        <w:rPr>
          <w:rStyle w:val="StyleUnderline"/>
        </w:rPr>
        <w:t>rn</w:t>
      </w:r>
      <w:r w:rsidRPr="0034783F">
        <w:rPr>
          <w:rStyle w:val="StyleUnderline"/>
        </w:rPr>
        <w:t xml:space="preserve"> cloaks legitimizing imperialism’</w:t>
      </w:r>
      <w:r w:rsidRPr="0019405C">
        <w:t>s recurring “dual mandate” of civilization and commerce, freedom and the market, and human rights and property.</w:t>
      </w:r>
    </w:p>
    <w:p w14:paraId="651A0F7E" w14:textId="64AC3DD4" w:rsidR="008F7540" w:rsidRDefault="008F7540" w:rsidP="008F7540">
      <w:pPr>
        <w:pStyle w:val="Heading2"/>
      </w:pPr>
      <w:r>
        <w:lastRenderedPageBreak/>
        <w:t>Links</w:t>
      </w:r>
    </w:p>
    <w:p w14:paraId="181AC206" w14:textId="77777777" w:rsidR="004B1251" w:rsidRDefault="004B1251" w:rsidP="004B1251">
      <w:pPr>
        <w:pStyle w:val="Heading3"/>
      </w:pPr>
      <w:r>
        <w:lastRenderedPageBreak/>
        <w:t>Arms Control</w:t>
      </w:r>
    </w:p>
    <w:p w14:paraId="559221E4" w14:textId="36DECAF7" w:rsidR="004B1251" w:rsidRPr="00AA22CE" w:rsidRDefault="004B1251" w:rsidP="004B1251">
      <w:pPr>
        <w:pStyle w:val="Heading4"/>
      </w:pPr>
      <w:r w:rsidRPr="00AA22CE">
        <w:t xml:space="preserve">Arms control is imperialism. </w:t>
      </w:r>
    </w:p>
    <w:p w14:paraId="622B0D21" w14:textId="77777777" w:rsidR="004B1251" w:rsidRPr="00E54457" w:rsidRDefault="004B1251" w:rsidP="004B1251">
      <w:pPr>
        <w:tabs>
          <w:tab w:val="left" w:pos="9860"/>
        </w:tabs>
        <w:rPr>
          <w:color w:val="000000" w:themeColor="text1"/>
        </w:rPr>
      </w:pPr>
      <w:r w:rsidRPr="00AA22CE">
        <w:rPr>
          <w:rStyle w:val="Style13ptBold"/>
        </w:rPr>
        <w:t>Stavrianakis, University Sussex Senior Lecturer in International Relations, 2018</w:t>
      </w:r>
      <w:r w:rsidRPr="00371FCC">
        <w:rPr>
          <w:color w:val="000000" w:themeColor="text1"/>
        </w:rPr>
        <w:t xml:space="preserve"> </w:t>
      </w:r>
      <w:proofErr w:type="gramStart"/>
      <w:r w:rsidRPr="00371FCC">
        <w:rPr>
          <w:color w:val="000000" w:themeColor="text1"/>
        </w:rPr>
        <w:t>( Anna</w:t>
      </w:r>
      <w:proofErr w:type="gramEnd"/>
      <w:r w:rsidRPr="00371FCC">
        <w:rPr>
          <w:color w:val="000000" w:themeColor="text1"/>
        </w:rPr>
        <w:t xml:space="preserve">, 5-21-18, </w:t>
      </w:r>
      <w:r>
        <w:rPr>
          <w:color w:val="000000" w:themeColor="text1"/>
        </w:rPr>
        <w:t xml:space="preserve">Review of International Studies, </w:t>
      </w:r>
      <w:r w:rsidRPr="00371FCC">
        <w:rPr>
          <w:color w:val="000000" w:themeColor="text1"/>
        </w:rPr>
        <w:t xml:space="preserve">“Controlling Weapons Circulation in a Postcolonial Militarized World” </w:t>
      </w:r>
      <w:r>
        <w:rPr>
          <w:color w:val="000000" w:themeColor="text1"/>
        </w:rPr>
        <w:t>, Volume 45, pg. 57-76,</w:t>
      </w:r>
      <w:r w:rsidRPr="00371FCC">
        <w:rPr>
          <w:color w:val="000000" w:themeColor="text1"/>
        </w:rPr>
        <w:t xml:space="preserve"> MK )</w:t>
      </w:r>
    </w:p>
    <w:p w14:paraId="28A39B02" w14:textId="77777777" w:rsidR="004B1251" w:rsidRPr="003A71CA" w:rsidRDefault="004B1251" w:rsidP="004B1251">
      <w:pPr>
        <w:ind w:firstLine="720"/>
        <w:rPr>
          <w:rStyle w:val="StyleUnderline"/>
        </w:rPr>
      </w:pPr>
      <w:r w:rsidRPr="003B5404">
        <w:t xml:space="preserve">Ostensibly new or transformed challenges of the post-Cold War era, such as Somali piracy, new wars in Africa, or insurgency and counter-insurgency in Afghanistan, are thus better understood in postcolonial terms, with </w:t>
      </w:r>
      <w:proofErr w:type="spellStart"/>
      <w:r w:rsidRPr="003B5404">
        <w:t>militarised</w:t>
      </w:r>
      <w:proofErr w:type="spellEnd"/>
      <w:r w:rsidRPr="003B5404">
        <w:t xml:space="preserve"> transnational continuities as well as changes associated with the end of superpower rivalry.49 Mama and </w:t>
      </w:r>
      <w:proofErr w:type="spellStart"/>
      <w:r w:rsidRPr="003B5404">
        <w:t>Okazawa</w:t>
      </w:r>
      <w:proofErr w:type="spellEnd"/>
      <w:r w:rsidRPr="003B5404">
        <w:t xml:space="preserve">-Rey </w:t>
      </w:r>
      <w:proofErr w:type="spellStart"/>
      <w:r w:rsidRPr="003B5404">
        <w:t>emphasise</w:t>
      </w:r>
      <w:proofErr w:type="spellEnd"/>
      <w:r w:rsidRPr="003B5404">
        <w:t xml:space="preserve"> the continuities between colonial and contemporary militarism that not only lead them to prefer the terminology of postcolonial conflicts over that of new wars, but also </w:t>
      </w:r>
      <w:proofErr w:type="spellStart"/>
      <w:r w:rsidRPr="003B5404">
        <w:t>emphasise</w:t>
      </w:r>
      <w:proofErr w:type="spellEnd"/>
      <w:r w:rsidRPr="003B5404">
        <w:t xml:space="preserve"> the fundamentally gendered characteristics of the physical and structural violence at stake.50 And as Cooper argues</w:t>
      </w:r>
      <w:r w:rsidRPr="00E15FEE">
        <w:rPr>
          <w:rFonts w:cs="Calibri"/>
        </w:rPr>
        <w:t xml:space="preserve">, </w:t>
      </w:r>
      <w:r w:rsidRPr="003A71CA">
        <w:rPr>
          <w:rStyle w:val="StyleUnderline"/>
        </w:rPr>
        <w:t xml:space="preserve">arms control regimes have long featured both “proscription and permission” </w:t>
      </w:r>
      <w:r w:rsidRPr="003B5404">
        <w:t xml:space="preserve">51 </w:t>
      </w:r>
      <w:r w:rsidRPr="003A71CA">
        <w:rPr>
          <w:rStyle w:val="StyleUnderline"/>
        </w:rPr>
        <w:t xml:space="preserve">operating in tandem, challenging the optimism of accounts premised on the end of the Cold War as the changed permissive factor that allows humanitarian concerns to be the core objective of weapons control. This emphasis on history and power generates </w:t>
      </w:r>
      <w:proofErr w:type="spellStart"/>
      <w:r w:rsidRPr="003A71CA">
        <w:rPr>
          <w:rStyle w:val="StyleUnderline"/>
        </w:rPr>
        <w:t>scepticism</w:t>
      </w:r>
      <w:proofErr w:type="spellEnd"/>
      <w:r w:rsidRPr="003A71CA">
        <w:rPr>
          <w:rStyle w:val="StyleUnderline"/>
        </w:rPr>
        <w:t xml:space="preserve"> about the optimism and presentism of most accounts </w:t>
      </w:r>
      <w:r w:rsidRPr="003B5404">
        <w:t>of the emergence of the ATT, and</w:t>
      </w:r>
      <w:r w:rsidRPr="003A71CA">
        <w:rPr>
          <w:rStyle w:val="StyleUnderline"/>
        </w:rPr>
        <w:t xml:space="preserve"> the linear, benevolent account of history </w:t>
      </w:r>
      <w:r w:rsidRPr="003B5404">
        <w:t>found therein.52</w:t>
      </w:r>
      <w:r w:rsidRPr="003A71CA">
        <w:rPr>
          <w:rStyle w:val="StyleUnderline"/>
        </w:rPr>
        <w:t xml:space="preserve"> A longer historical perspective allows us to see how state security (whether national or imperial) and (what is today called) human security have long been two sides of the same coin.</w:t>
      </w:r>
    </w:p>
    <w:p w14:paraId="277E6469" w14:textId="77777777" w:rsidR="004B1251" w:rsidRDefault="004B1251" w:rsidP="004B1251">
      <w:pPr>
        <w:ind w:firstLine="720"/>
        <w:rPr>
          <w:rStyle w:val="StyleUnderline"/>
        </w:rPr>
      </w:pPr>
      <w:r w:rsidRPr="003A71CA">
        <w:rPr>
          <w:rStyle w:val="StyleUnderline"/>
        </w:rPr>
        <w:t xml:space="preserve">There are thus continuities of imperial forms of practice despite the turn to formal sovereignty. A focus on the systematic </w:t>
      </w:r>
      <w:r w:rsidRPr="00D84D76">
        <w:t xml:space="preserve">or </w:t>
      </w:r>
      <w:proofErr w:type="spellStart"/>
      <w:r w:rsidRPr="00D84D76">
        <w:t>organised</w:t>
      </w:r>
      <w:proofErr w:type="spellEnd"/>
      <w:r w:rsidRPr="00D84D76">
        <w:t xml:space="preserve"> and</w:t>
      </w:r>
      <w:r w:rsidRPr="003A71CA">
        <w:rPr>
          <w:rStyle w:val="StyleUnderline"/>
        </w:rPr>
        <w:t xml:space="preserve"> North-South character of much armed violence is not to return to Cold War politics </w:t>
      </w:r>
      <w:r w:rsidRPr="00D84D76">
        <w:t>or the “sterile polemic” of past debates about weapons issues mentioned earlier</w:t>
      </w:r>
      <w:r w:rsidRPr="003A71CA">
        <w:rPr>
          <w:rStyle w:val="StyleUnderline"/>
        </w:rPr>
        <w:t xml:space="preserve">. Rather, it is to </w:t>
      </w:r>
      <w:proofErr w:type="spellStart"/>
      <w:r w:rsidRPr="003A71CA">
        <w:rPr>
          <w:rStyle w:val="StyleUnderline"/>
        </w:rPr>
        <w:t>emphasise</w:t>
      </w:r>
      <w:proofErr w:type="spellEnd"/>
      <w:r w:rsidRPr="003A71CA">
        <w:rPr>
          <w:rStyle w:val="StyleUnderline"/>
        </w:rPr>
        <w:t xml:space="preserve"> that historical weapons supply routes and power relations continue to resonate; that massive and uneven levels of global military spending and proxy wars continue to matter; and that clients continue to use weapons in ways that are often unanticipated by patrons. Ostensibly civil or internal wars are enmeshed in wider regional and international projects</w:t>
      </w:r>
      <w:r w:rsidRPr="00D84D76">
        <w:t>.53</w:t>
      </w:r>
      <w:r w:rsidRPr="003A71CA">
        <w:rPr>
          <w:rStyle w:val="StyleUnderline"/>
        </w:rPr>
        <w:t xml:space="preserve"> There are </w:t>
      </w:r>
      <w:proofErr w:type="spellStart"/>
      <w:r w:rsidRPr="003A71CA">
        <w:rPr>
          <w:rStyle w:val="StyleUnderline"/>
        </w:rPr>
        <w:t>internationalised</w:t>
      </w:r>
      <w:proofErr w:type="spellEnd"/>
      <w:r w:rsidRPr="003A71CA">
        <w:rPr>
          <w:rStyle w:val="StyleUnderline"/>
        </w:rPr>
        <w:t xml:space="preserve"> sources of much of what counts as domestic, civil or intra-state, including colonial legacies and </w:t>
      </w:r>
      <w:proofErr w:type="spellStart"/>
      <w:r w:rsidRPr="003A71CA">
        <w:rPr>
          <w:rStyle w:val="StyleUnderline"/>
        </w:rPr>
        <w:t>internationalised</w:t>
      </w:r>
      <w:proofErr w:type="spellEnd"/>
      <w:r w:rsidRPr="003A71CA">
        <w:rPr>
          <w:rStyle w:val="StyleUnderline"/>
        </w:rPr>
        <w:t xml:space="preserve"> weapons supply chains. </w:t>
      </w:r>
      <w:r w:rsidRPr="00D84D76">
        <w:t xml:space="preserve">In many accounts, human security has been </w:t>
      </w:r>
      <w:proofErr w:type="spellStart"/>
      <w:r w:rsidRPr="00D84D76">
        <w:t>mobilised</w:t>
      </w:r>
      <w:proofErr w:type="spellEnd"/>
      <w:r w:rsidRPr="00D84D76">
        <w:t xml:space="preserve"> as an attempt to “cope with [the] pathological results” of how security has been defined in post-colonial states in the South.54 Yet this encourages internalist analysis that sees the problems of armed violence as having their sources primarily within the global South</w:t>
      </w:r>
      <w:r w:rsidRPr="003A71CA">
        <w:rPr>
          <w:rStyle w:val="StyleUnderline"/>
        </w:rPr>
        <w:t>. In conceding the terms of debate to “traditional” security studies, and seeking to shift inwards from the state to the individuals living within it, rather than critiquing the conception of the international system, the human security agenda continues to “occlude and distort imperial relations” in the way that more traditional “Westphalian terms of reference” do.</w:t>
      </w:r>
      <w:r w:rsidRPr="00D84D76">
        <w:t>55</w:t>
      </w:r>
    </w:p>
    <w:p w14:paraId="33D13043" w14:textId="1F7CB9B5" w:rsidR="008F7540" w:rsidRDefault="008F7540" w:rsidP="008F7540">
      <w:pPr>
        <w:pStyle w:val="Heading3"/>
      </w:pPr>
      <w:r>
        <w:lastRenderedPageBreak/>
        <w:t>Small Arms</w:t>
      </w:r>
      <w:r w:rsidR="005A4F64">
        <w:t xml:space="preserve"> and Light Weapons</w:t>
      </w:r>
    </w:p>
    <w:p w14:paraId="7B354BDC" w14:textId="77777777" w:rsidR="008F7540" w:rsidRDefault="008F7540" w:rsidP="008F7540">
      <w:pPr>
        <w:pStyle w:val="Heading4"/>
      </w:pPr>
      <w:r>
        <w:t>Small arms reinforce unequal power relations – this reinforces colonialism</w:t>
      </w:r>
    </w:p>
    <w:p w14:paraId="46AC28BD" w14:textId="77777777" w:rsidR="008F7540" w:rsidRDefault="008F7540" w:rsidP="008F7540">
      <w:pPr>
        <w:rPr>
          <w:rStyle w:val="Style13ptBold"/>
        </w:rPr>
      </w:pPr>
      <w:r>
        <w:rPr>
          <w:rStyle w:val="Style13ptBold"/>
        </w:rPr>
        <w:t>Stavrianakis</w:t>
      </w:r>
      <w:r w:rsidRPr="00AE26D4">
        <w:rPr>
          <w:rStyle w:val="Style13ptBold"/>
        </w:rPr>
        <w:t xml:space="preserve">, </w:t>
      </w:r>
      <w:r>
        <w:rPr>
          <w:rStyle w:val="Style13ptBold"/>
        </w:rPr>
        <w:t>University of Sussex Department of International Relations</w:t>
      </w:r>
      <w:r w:rsidRPr="00AE26D4">
        <w:rPr>
          <w:rStyle w:val="Style13ptBold"/>
        </w:rPr>
        <w:t xml:space="preserve">, </w:t>
      </w:r>
      <w:r>
        <w:rPr>
          <w:rStyle w:val="Style13ptBold"/>
        </w:rPr>
        <w:t>2011</w:t>
      </w:r>
    </w:p>
    <w:p w14:paraId="55A3B134" w14:textId="77777777" w:rsidR="008F7540" w:rsidRPr="00911CB6" w:rsidRDefault="008F7540" w:rsidP="008F7540">
      <w:pPr>
        <w:rPr>
          <w:rStyle w:val="Style13ptBold"/>
        </w:rPr>
      </w:pPr>
      <w:r>
        <w:rPr>
          <w:color w:val="000000"/>
        </w:rPr>
        <w:t>[Anna</w:t>
      </w:r>
      <w:r w:rsidRPr="001F2FF8">
        <w:rPr>
          <w:color w:val="000000"/>
        </w:rPr>
        <w:t xml:space="preserve">, </w:t>
      </w:r>
      <w:r>
        <w:rPr>
          <w:color w:val="000000"/>
        </w:rPr>
        <w:t>5/24/2011</w:t>
      </w:r>
      <w:r w:rsidRPr="001F2FF8">
        <w:rPr>
          <w:color w:val="000000"/>
        </w:rPr>
        <w:t>, “</w:t>
      </w:r>
      <w:r w:rsidRPr="00B3094B">
        <w:rPr>
          <w:color w:val="000000"/>
        </w:rPr>
        <w:t>Small Arms Control and the Reproduction of Imperial Relations</w:t>
      </w:r>
      <w:r w:rsidRPr="001F2FF8">
        <w:rPr>
          <w:color w:val="000000"/>
        </w:rPr>
        <w:t>,”</w:t>
      </w:r>
      <w:r>
        <w:rPr>
          <w:color w:val="000000"/>
        </w:rPr>
        <w:t xml:space="preserve">, Contemporary Security Policy, </w:t>
      </w:r>
      <w:r w:rsidRPr="001F2FF8">
        <w:rPr>
          <w:color w:val="000000"/>
        </w:rPr>
        <w:t>Volume:</w:t>
      </w:r>
      <w:r>
        <w:rPr>
          <w:color w:val="000000"/>
        </w:rPr>
        <w:t xml:space="preserve"> 32,</w:t>
      </w:r>
      <w:r w:rsidRPr="001F2FF8">
        <w:rPr>
          <w:color w:val="000000"/>
        </w:rPr>
        <w:t xml:space="preserve"> Number</w:t>
      </w:r>
      <w:r>
        <w:rPr>
          <w:color w:val="000000"/>
        </w:rPr>
        <w:t xml:space="preserve"> 1</w:t>
      </w:r>
      <w:r w:rsidRPr="001F2FF8">
        <w:rPr>
          <w:color w:val="000000"/>
        </w:rPr>
        <w:t>, page</w:t>
      </w:r>
      <w:r>
        <w:rPr>
          <w:color w:val="000000"/>
        </w:rPr>
        <w:t>s 193-194</w:t>
      </w:r>
      <w:r w:rsidRPr="001F2FF8">
        <w:rPr>
          <w:color w:val="000000"/>
        </w:rPr>
        <w:t xml:space="preserve">, </w:t>
      </w:r>
      <w:hyperlink r:id="rId5" w:history="1">
        <w:r w:rsidRPr="00657441">
          <w:rPr>
            <w:rStyle w:val="Hyperlink"/>
          </w:rPr>
          <w:t>https://www.tandfonline.com/doi/abs/10.1080/13523260.2011.556861</w:t>
        </w:r>
      </w:hyperlink>
      <w:r>
        <w:rPr>
          <w:color w:val="000000"/>
        </w:rPr>
        <w:t>, AKS]</w:t>
      </w:r>
    </w:p>
    <w:p w14:paraId="03D1E9DE" w14:textId="77777777" w:rsidR="008F7540" w:rsidRDefault="008F7540" w:rsidP="008F7540">
      <w:r>
        <w:t xml:space="preserve">Small arms control has become a poster child of the post-Cold War international security agenda. </w:t>
      </w:r>
      <w:r w:rsidRPr="008205E0">
        <w:rPr>
          <w:rStyle w:val="StyleUnderline"/>
        </w:rPr>
        <w:t>Small arms and light weapons</w:t>
      </w:r>
      <w:r>
        <w:t xml:space="preserve"> (SALW)1 are now thought of as practically synonymous with the problem of the conventional arms trade: their </w:t>
      </w:r>
      <w:r w:rsidRPr="00F6569C">
        <w:rPr>
          <w:u w:val="single"/>
        </w:rPr>
        <w:t xml:space="preserve">proliferation is widely understood as a key indicator of the transformation in the nature of conflict </w:t>
      </w:r>
      <w:r>
        <w:t xml:space="preserve">brought about by the end of superpower confrontation and the rise of the dark side of globalization. Academic and policy </w:t>
      </w:r>
      <w:r w:rsidRPr="00F6569C">
        <w:rPr>
          <w:u w:val="single"/>
        </w:rPr>
        <w:t xml:space="preserve">debates emphasize their easy availability and use, low cost, and durability, features that render them increasingly dangerous </w:t>
      </w:r>
      <w:r>
        <w:t xml:space="preserve">in the post-Cold War environment.2 In 1995, then-UN Secretary General Boutros Boutros-Ghali called for ‘micro-disarmament’ of small arms as they facilitate the ‘new breed of intra-state conflicts’ occurring in newly independent post-communist states and across Africa in particular.3 Since the </w:t>
      </w:r>
      <w:proofErr w:type="spellStart"/>
      <w:r>
        <w:t>mid 1990s</w:t>
      </w:r>
      <w:proofErr w:type="spellEnd"/>
      <w:r>
        <w:t xml:space="preserve">, </w:t>
      </w:r>
      <w:r w:rsidRPr="00F6569C">
        <w:rPr>
          <w:u w:val="single"/>
        </w:rPr>
        <w:t>small arms</w:t>
      </w:r>
      <w:r>
        <w:t xml:space="preserve"> have risen up the international agenda alongside civil wars, drug trafficking, and organized crime as key security threats.4 Concern about them has endured into the 21st century as they </w:t>
      </w:r>
      <w:r w:rsidRPr="00F6569C">
        <w:rPr>
          <w:u w:val="single"/>
        </w:rPr>
        <w:t>are the ‘common ingredient’ in forms of violence as diverse as crime, terrorism, conflict, and state repression</w:t>
      </w:r>
      <w:r>
        <w:t xml:space="preserve">.5 Since the late 1990s an internationalizing policy drive </w:t>
      </w:r>
      <w:proofErr w:type="spellStart"/>
      <w:r>
        <w:t>focussed</w:t>
      </w:r>
      <w:proofErr w:type="spellEnd"/>
      <w:r>
        <w:t xml:space="preserve"> predominantly on the South has emerged to tackle the illicit trade in small arms, remove weapons from societies, and improve states’ controls over weaponry.</w:t>
      </w:r>
    </w:p>
    <w:p w14:paraId="27059230" w14:textId="77777777" w:rsidR="008F7540" w:rsidRPr="008205E0" w:rsidRDefault="008F7540" w:rsidP="008F7540">
      <w:pPr>
        <w:ind w:firstLine="720"/>
        <w:rPr>
          <w:rStyle w:val="StyleUnderline"/>
        </w:rPr>
      </w:pPr>
      <w:r>
        <w:t xml:space="preserve">This article seeks to contribute to the small arms debate through an engagement with the conceptual assumptions that underpin it. </w:t>
      </w:r>
      <w:r w:rsidRPr="008205E0">
        <w:rPr>
          <w:rStyle w:val="StyleUnderline"/>
        </w:rPr>
        <w:t>While there have been significant developments in terms of broadening the security agenda beyond state-centric concerns to incorporate human security, and the articulation of a spectrum of armed violence</w:t>
      </w:r>
      <w:r>
        <w:t xml:space="preserve">, I argue that </w:t>
      </w:r>
      <w:r w:rsidRPr="008205E0">
        <w:rPr>
          <w:rStyle w:val="StyleUnderline"/>
        </w:rPr>
        <w:t>small arms control remains based on Eurocentric categories</w:t>
      </w:r>
      <w:r>
        <w:t xml:space="preserve">. International action is marked by four analytical themes: the blurring of the distinction between state, non-state, and civilian actors; the fuzzy line between conflict and crime; the pacific nature of development; and the desirability of a Weberian monopoly on violence. </w:t>
      </w:r>
      <w:r w:rsidRPr="008205E0">
        <w:rPr>
          <w:rStyle w:val="StyleUnderline"/>
        </w:rPr>
        <w:t>Whilst often pitched as a progressive attempt to prevent and ameliorate the harm caused by the spread of small arms, these claims seek to replicate Northern categories in the contemporary South and are based on an idealized understanding of the European historical experience</w:t>
      </w:r>
      <w:r>
        <w:t xml:space="preserve">. </w:t>
      </w:r>
      <w:r w:rsidRPr="008205E0">
        <w:rPr>
          <w:rStyle w:val="StyleUnderline"/>
        </w:rPr>
        <w:t xml:space="preserve">The practices that result from this conceptual framing include bottom-up attempts to demilitarize Southern societies and promulgate liberal social </w:t>
      </w:r>
      <w:proofErr w:type="gramStart"/>
      <w:r w:rsidRPr="008205E0">
        <w:rPr>
          <w:rStyle w:val="StyleUnderline"/>
        </w:rPr>
        <w:t>relations, and</w:t>
      </w:r>
      <w:proofErr w:type="gramEnd"/>
      <w:r w:rsidRPr="008205E0">
        <w:rPr>
          <w:rStyle w:val="StyleUnderline"/>
        </w:rPr>
        <w:t xml:space="preserve"> top-down efforts to create or shore up modern nation-states with a central monopoly on violence</w:t>
      </w:r>
      <w:r>
        <w:t xml:space="preserve">. However, </w:t>
      </w:r>
      <w:r w:rsidRPr="008205E0">
        <w:rPr>
          <w:rStyle w:val="StyleUnderline"/>
        </w:rPr>
        <w:t>the fact that these practices are often ineffective on their own terms tells us as much, if not more, about the way international actors understand organized violence as it does about realities in the South</w:t>
      </w:r>
      <w:r>
        <w:t xml:space="preserve">. </w:t>
      </w:r>
      <w:r w:rsidRPr="008205E0">
        <w:rPr>
          <w:rStyle w:val="StyleUnderline"/>
        </w:rPr>
        <w:t xml:space="preserve">In addition, these practices are largely restricted to particular regions of the South: small arms control has considerably less purchase in the Middle East compared to Sub-Saharan Africa, Latin America, and the Balkans, for example, while Northern societies are excluded from the policy impulse of the internationalizing small arms control agenda. </w:t>
      </w:r>
    </w:p>
    <w:p w14:paraId="1BC5F92E" w14:textId="77777777" w:rsidR="008F7540" w:rsidRDefault="008F7540" w:rsidP="008F7540">
      <w:pPr>
        <w:ind w:firstLine="720"/>
      </w:pPr>
      <w:r>
        <w:t xml:space="preserve">I go on to argue that </w:t>
      </w:r>
      <w:r w:rsidRPr="003814E1">
        <w:rPr>
          <w:u w:val="single"/>
        </w:rPr>
        <w:t>small arms</w:t>
      </w:r>
      <w:r>
        <w:t xml:space="preserve"> control </w:t>
      </w:r>
      <w:r w:rsidRPr="003814E1">
        <w:rPr>
          <w:u w:val="single"/>
        </w:rPr>
        <w:t xml:space="preserve">contributes to the reproduction of imperial </w:t>
      </w:r>
      <w:r w:rsidRPr="008205E0">
        <w:rPr>
          <w:rStyle w:val="StyleUnderline"/>
        </w:rPr>
        <w:t xml:space="preserve">relations as it constitutes (parts of) the South as a site of intervention and serves as a contemporary means of </w:t>
      </w:r>
      <w:r w:rsidRPr="008205E0">
        <w:rPr>
          <w:rStyle w:val="StyleUnderline"/>
        </w:rPr>
        <w:lastRenderedPageBreak/>
        <w:t>European engagement with the non-European world, contributing to the mutual constitution of both</w:t>
      </w:r>
      <w:r>
        <w:t xml:space="preserve">. </w:t>
      </w:r>
      <w:r w:rsidRPr="008205E0">
        <w:rPr>
          <w:rStyle w:val="StyleUnderline"/>
        </w:rPr>
        <w:t>In addition to the Eurocentrism of its categories, there is a silence regarding the wider world military order and a lack of a common analytical frame, as well as an institutional formation that reproduces hierarchy.</w:t>
      </w:r>
      <w:r>
        <w:t xml:space="preserve"> Overall, </w:t>
      </w:r>
      <w:r w:rsidRPr="00E31CA8">
        <w:rPr>
          <w:u w:val="single"/>
        </w:rPr>
        <w:t xml:space="preserve">the asymmetry of small arms control, and its role in the reproduction of unequal power </w:t>
      </w:r>
      <w:r w:rsidRPr="008205E0">
        <w:rPr>
          <w:rStyle w:val="StyleUnderline"/>
        </w:rPr>
        <w:t>relations through the representation of (certain parts of) the South as unable to exercise control over the means of violence, and the resultant requirement for guidance, support, and other forms of intervention by a coalition of actors led by Northern agencies, is what makes this an imperial relation</w:t>
      </w:r>
      <w:r>
        <w:t xml:space="preserve">. In this understanding, ‘the international appears as a “thick” set of social relations, consisting of social and cultural flows as well as political-military and economic interactions in a context of hierarchy’, as argued by </w:t>
      </w:r>
      <w:proofErr w:type="spellStart"/>
      <w:r>
        <w:t>Barkawi</w:t>
      </w:r>
      <w:proofErr w:type="spellEnd"/>
      <w:r>
        <w:t xml:space="preserve"> and Laffey. The concepts of empire and imperialism capture ‘the context of international relations of hierarchy, especially but not only in the case of North-South relations’.6</w:t>
      </w:r>
    </w:p>
    <w:p w14:paraId="14F526F7" w14:textId="3BE1F1E4" w:rsidR="008F7540" w:rsidRDefault="008F7540" w:rsidP="008F7540">
      <w:pPr>
        <w:pStyle w:val="Heading3"/>
      </w:pPr>
      <w:r>
        <w:lastRenderedPageBreak/>
        <w:t>Small Arms</w:t>
      </w:r>
      <w:r w:rsidR="005A4F64">
        <w:t xml:space="preserve"> Violence Advantages</w:t>
      </w:r>
    </w:p>
    <w:p w14:paraId="1BE48FA0" w14:textId="1D723B47" w:rsidR="008F7540" w:rsidRDefault="005A4F64" w:rsidP="008F7540">
      <w:pPr>
        <w:pStyle w:val="Heading4"/>
      </w:pPr>
      <w:r>
        <w:t>1ac advantage focus obscures Eurocentric states claims to legitimate violence set against small arms violence</w:t>
      </w:r>
      <w:r w:rsidR="00361A85">
        <w:t xml:space="preserve"> seen as disconnected from colonial histories</w:t>
      </w:r>
    </w:p>
    <w:p w14:paraId="2A66A1F3" w14:textId="77777777" w:rsidR="008F7540" w:rsidRDefault="008F7540" w:rsidP="008F7540">
      <w:pPr>
        <w:rPr>
          <w:rStyle w:val="Style13ptBold"/>
        </w:rPr>
      </w:pPr>
      <w:r>
        <w:rPr>
          <w:rStyle w:val="Style13ptBold"/>
        </w:rPr>
        <w:t>Stavrianakis</w:t>
      </w:r>
      <w:r w:rsidRPr="00AE26D4">
        <w:rPr>
          <w:rStyle w:val="Style13ptBold"/>
        </w:rPr>
        <w:t xml:space="preserve">, </w:t>
      </w:r>
      <w:r>
        <w:rPr>
          <w:rStyle w:val="Style13ptBold"/>
        </w:rPr>
        <w:t>University of Sussex Department of International Relations</w:t>
      </w:r>
      <w:r w:rsidRPr="00AE26D4">
        <w:rPr>
          <w:rStyle w:val="Style13ptBold"/>
        </w:rPr>
        <w:t xml:space="preserve">, </w:t>
      </w:r>
      <w:r>
        <w:rPr>
          <w:rStyle w:val="Style13ptBold"/>
        </w:rPr>
        <w:t>2011</w:t>
      </w:r>
    </w:p>
    <w:p w14:paraId="3E5FC34A" w14:textId="77777777" w:rsidR="008F7540" w:rsidRPr="00911CB6" w:rsidRDefault="008F7540" w:rsidP="008F7540">
      <w:pPr>
        <w:rPr>
          <w:rStyle w:val="Style13ptBold"/>
        </w:rPr>
      </w:pPr>
      <w:r>
        <w:rPr>
          <w:color w:val="000000"/>
        </w:rPr>
        <w:t>[Anna</w:t>
      </w:r>
      <w:r w:rsidRPr="001F2FF8">
        <w:rPr>
          <w:color w:val="000000"/>
        </w:rPr>
        <w:t xml:space="preserve">, </w:t>
      </w:r>
      <w:r>
        <w:rPr>
          <w:color w:val="000000"/>
        </w:rPr>
        <w:t>5/24/2011</w:t>
      </w:r>
      <w:r w:rsidRPr="001F2FF8">
        <w:rPr>
          <w:color w:val="000000"/>
        </w:rPr>
        <w:t>, “</w:t>
      </w:r>
      <w:r w:rsidRPr="00B3094B">
        <w:rPr>
          <w:color w:val="000000"/>
        </w:rPr>
        <w:t>Small Arms Control and the Reproduction of Imperial Relations</w:t>
      </w:r>
      <w:r w:rsidRPr="001F2FF8">
        <w:rPr>
          <w:color w:val="000000"/>
        </w:rPr>
        <w:t>,”</w:t>
      </w:r>
      <w:r>
        <w:rPr>
          <w:color w:val="000000"/>
        </w:rPr>
        <w:t xml:space="preserve">, Contemporary Security Policy, </w:t>
      </w:r>
      <w:r w:rsidRPr="001F2FF8">
        <w:rPr>
          <w:color w:val="000000"/>
        </w:rPr>
        <w:t>Volume:</w:t>
      </w:r>
      <w:r>
        <w:rPr>
          <w:color w:val="000000"/>
        </w:rPr>
        <w:t xml:space="preserve"> 32,</w:t>
      </w:r>
      <w:r w:rsidRPr="001F2FF8">
        <w:rPr>
          <w:color w:val="000000"/>
        </w:rPr>
        <w:t xml:space="preserve"> Number</w:t>
      </w:r>
      <w:r>
        <w:rPr>
          <w:color w:val="000000"/>
        </w:rPr>
        <w:t xml:space="preserve"> 1</w:t>
      </w:r>
      <w:r w:rsidRPr="001F2FF8">
        <w:rPr>
          <w:color w:val="000000"/>
        </w:rPr>
        <w:t>, page</w:t>
      </w:r>
      <w:r>
        <w:rPr>
          <w:color w:val="000000"/>
        </w:rPr>
        <w:t>s 193-194</w:t>
      </w:r>
      <w:r w:rsidRPr="001F2FF8">
        <w:rPr>
          <w:color w:val="000000"/>
        </w:rPr>
        <w:t xml:space="preserve">, </w:t>
      </w:r>
      <w:hyperlink r:id="rId6" w:history="1">
        <w:r w:rsidRPr="00657441">
          <w:rPr>
            <w:rStyle w:val="Hyperlink"/>
          </w:rPr>
          <w:t>https://www.tandfonline.com/doi/abs/10.1080/13523260.2011.556861</w:t>
        </w:r>
      </w:hyperlink>
      <w:r>
        <w:rPr>
          <w:color w:val="000000"/>
        </w:rPr>
        <w:t>, AKS]</w:t>
      </w:r>
    </w:p>
    <w:p w14:paraId="29F25242" w14:textId="77777777" w:rsidR="008F7540" w:rsidRDefault="008F7540" w:rsidP="008F7540">
      <w:pPr>
        <w:ind w:firstLine="720"/>
      </w:pPr>
      <w:r>
        <w:t xml:space="preserve">The purchase </w:t>
      </w:r>
      <w:r w:rsidRPr="005A4F64">
        <w:rPr>
          <w:rStyle w:val="StyleUnderline"/>
        </w:rPr>
        <w:t>of this approach</w:t>
      </w:r>
      <w:r>
        <w:t xml:space="preserve"> is that it </w:t>
      </w:r>
      <w:r w:rsidRPr="002C291C">
        <w:rPr>
          <w:u w:val="single"/>
        </w:rPr>
        <w:t>challenges the distinction between war and peace</w:t>
      </w:r>
      <w:r>
        <w:t xml:space="preserve">,48 </w:t>
      </w:r>
      <w:r w:rsidRPr="002C291C">
        <w:rPr>
          <w:u w:val="single"/>
        </w:rPr>
        <w:t xml:space="preserve">and the assumption prevalent amongst donors that safety, security and normality will reign when wars formally end – </w:t>
      </w:r>
      <w:r w:rsidRPr="005A4F64">
        <w:t>expectations that are routinely dashed by increases in violent killings and the incidence of excess mortality</w:t>
      </w:r>
      <w:r w:rsidRPr="002C291C">
        <w:rPr>
          <w:u w:val="single"/>
        </w:rPr>
        <w:t>.</w:t>
      </w:r>
      <w:r>
        <w:t xml:space="preserve">49 </w:t>
      </w:r>
      <w:r w:rsidRPr="002C291C">
        <w:rPr>
          <w:u w:val="single"/>
        </w:rPr>
        <w:t>There are a range of post-conflict scenarios featuring different types of violence such as ‘political violence, routine state-led violence, economic and crime-related violence, community and informal justice, and post-war property-related disputes</w:t>
      </w:r>
      <w:r>
        <w:t xml:space="preserve">’.50 the United Nations Development </w:t>
      </w:r>
      <w:proofErr w:type="spellStart"/>
      <w:r>
        <w:t>Programme</w:t>
      </w:r>
      <w:proofErr w:type="spellEnd"/>
      <w:r>
        <w:t xml:space="preserve"> (UNDP), for example, differentiates between violent crime, violent conflict, and violent criminal conflict. What is common to these</w:t>
      </w:r>
      <w:r w:rsidRPr="00B3094B">
        <w:t xml:space="preserve"> </w:t>
      </w:r>
      <w:r>
        <w:t xml:space="preserve">overlapping and intersecting phenomena is the use of armed force.51 Post-conflict environments may continue to feature the government-supported militias, </w:t>
      </w:r>
      <w:proofErr w:type="spellStart"/>
      <w:r>
        <w:t>quasiinsurgent</w:t>
      </w:r>
      <w:proofErr w:type="spellEnd"/>
      <w:r>
        <w:t xml:space="preserve"> groups, and organized crime networks of the armed conflict that preceded them.52 </w:t>
      </w:r>
      <w:r w:rsidRPr="005A4F64">
        <w:rPr>
          <w:rStyle w:val="StyleUnderline"/>
        </w:rPr>
        <w:t>In all this, unregulated small arms availability is a ‘proximate risk factor’ for increased armed violence.</w:t>
      </w:r>
      <w:r>
        <w:t xml:space="preserve">53 </w:t>
      </w:r>
    </w:p>
    <w:p w14:paraId="504A8737" w14:textId="77777777" w:rsidR="008F7540" w:rsidRPr="005A4F64" w:rsidRDefault="008F7540" w:rsidP="005A4F64">
      <w:r w:rsidRPr="005A4F64">
        <w:t xml:space="preserve">In recent years scholars have begun to argue for a reconceptualization of the categories used to understand armed violence, as traditional classifications of peace, crime and conflict ‘only imperfectly capture the real and perceived transnational, municipal and household dynamics and impacts of armed violence’.54 For example, Brazil is not, by definition, a country suffering from civil war, yet the scale and political character of violence, and the involvement of state actors, suggest that it is worth studying under the rubric of that category.55 According to the Small Arms Survey, civilian weapons are most likely to be used in acts of often urban violence in the ‘social chaos’ of countries like Brazil, Haiti, and South Africa.56 Armed violence is structured along class, race, and gender lines: in Brazil, for example, social inequality, rather than poverty per se, is correlated with firearm violence; and black and mixed race people are more likely to be victims of homicide than whites, while whites are more likely to commit suicide than black or people of mixed race.57 And worldwide, while most direct casualties of gun violence are (young) men, women suffer disproportionately from gun violence, directly and indirectly, as they suffer the effects of guns whilst rarely being the buyers, owners, or users of them. They may be at risk because of their gender, from violence in the home and rape; and they suffer indirect or secondary effects in the aftermath of gun violence.58 </w:t>
      </w:r>
    </w:p>
    <w:p w14:paraId="56322FA2" w14:textId="77777777" w:rsidR="008F7540" w:rsidRPr="000811C1" w:rsidRDefault="008F7540" w:rsidP="008F7540">
      <w:pPr>
        <w:ind w:firstLine="720"/>
        <w:rPr>
          <w:u w:val="single"/>
        </w:rPr>
      </w:pPr>
      <w:r>
        <w:t xml:space="preserve">Such analyses allow us to think in terms of a spectrum of violence, and to heed Cramer’s call for different types of violence that have different social logics and different effects to be ‘studied together’.59 This is a significant improvement on previous attempts to understand and respond to violence as it seeks to escape the straitjacket of state-centric categories. </w:t>
      </w:r>
      <w:r w:rsidRPr="005A4F64">
        <w:rPr>
          <w:rStyle w:val="StyleUnderline"/>
        </w:rPr>
        <w:t>However, the spectrum as currently imagined only extends so far: it remains internal to the South, excluding both the large-scale international wars</w:t>
      </w:r>
      <w:r w:rsidRPr="000811C1">
        <w:rPr>
          <w:u w:val="single"/>
        </w:rPr>
        <w:t xml:space="preserve"> </w:t>
      </w:r>
      <w:r>
        <w:t xml:space="preserve">that Cramer includes in his spectrum60 </w:t>
      </w:r>
      <w:r w:rsidRPr="000811C1">
        <w:rPr>
          <w:u w:val="single"/>
        </w:rPr>
        <w:t>and the high-technology end of the arms dynamic and wider world military order of which small arms proliferation is a part.</w:t>
      </w:r>
      <w:r>
        <w:t xml:space="preserve">61 </w:t>
      </w:r>
      <w:r w:rsidRPr="005A4F64">
        <w:rPr>
          <w:rStyle w:val="StyleUnderline"/>
        </w:rPr>
        <w:t>Two analytical moves are thus exercised: first, one end of the</w:t>
      </w:r>
      <w:r w:rsidRPr="000811C1">
        <w:rPr>
          <w:u w:val="single"/>
        </w:rPr>
        <w:t xml:space="preserve"> technological spectrum is hived off through a focus on </w:t>
      </w:r>
      <w:r w:rsidRPr="000811C1">
        <w:rPr>
          <w:u w:val="single"/>
        </w:rPr>
        <w:lastRenderedPageBreak/>
        <w:t xml:space="preserve">violence conducted with small </w:t>
      </w:r>
      <w:r w:rsidRPr="005A4F64">
        <w:rPr>
          <w:rStyle w:val="StyleUnderline"/>
        </w:rPr>
        <w:t>arms in the South</w:t>
      </w:r>
      <w:r>
        <w:t xml:space="preserve">. Second, </w:t>
      </w:r>
      <w:r w:rsidRPr="005A4F64">
        <w:rPr>
          <w:rStyle w:val="StyleUnderline"/>
        </w:rPr>
        <w:t>within this truncated spectrum, a Eurocentric</w:t>
      </w:r>
      <w:r w:rsidRPr="000811C1">
        <w:rPr>
          <w:u w:val="single"/>
        </w:rPr>
        <w:t xml:space="preserve"> understanding fails to account for the different historical experiences of state formation and inter-personal relations that generate such forms of violence. </w:t>
      </w:r>
    </w:p>
    <w:p w14:paraId="5E5A2DD8" w14:textId="77777777" w:rsidR="008F7540" w:rsidRDefault="008F7540" w:rsidP="008F7540">
      <w:pPr>
        <w:ind w:firstLine="720"/>
      </w:pPr>
      <w:r>
        <w:t xml:space="preserve">In these accounts, </w:t>
      </w:r>
      <w:r w:rsidRPr="005A4F64">
        <w:rPr>
          <w:rStyle w:val="StyleUnderline"/>
        </w:rPr>
        <w:t>Southern forms of armed violence are disconnected from Northern forms, and from historical processes of state and subject formation.</w:t>
      </w:r>
      <w:r>
        <w:t xml:space="preserve"> As Mann argues, ‘capitalism has contained an </w:t>
      </w:r>
      <w:proofErr w:type="spellStart"/>
      <w:r>
        <w:t>institutionalised</w:t>
      </w:r>
      <w:proofErr w:type="spellEnd"/>
      <w:r>
        <w:t xml:space="preserve">, relatively non-coercive core and an expropriated, militaristic periphery’,62 both in terms of the character of the state and the turbulence of social life within the state. </w:t>
      </w:r>
      <w:r w:rsidRPr="005A4F64">
        <w:rPr>
          <w:rStyle w:val="StyleUnderline"/>
        </w:rPr>
        <w:t>The internally pacific, outwar</w:t>
      </w:r>
      <w:r w:rsidRPr="000811C1">
        <w:rPr>
          <w:u w:val="single"/>
        </w:rPr>
        <w:t xml:space="preserve">dly violent form of state is based on the European historical experience and is only partially </w:t>
      </w:r>
      <w:r w:rsidRPr="005A4F64">
        <w:t>or weakly</w:t>
      </w:r>
      <w:r w:rsidRPr="000811C1">
        <w:rPr>
          <w:u w:val="single"/>
        </w:rPr>
        <w:t xml:space="preserve"> </w:t>
      </w:r>
      <w:r w:rsidRPr="005A4F64">
        <w:rPr>
          <w:rStyle w:val="StyleUnderline"/>
        </w:rPr>
        <w:t>instantiated in the South due to dependent processes of state formation</w:t>
      </w:r>
      <w:r>
        <w:t>.63 And the pacification of social relations within the state has historically gone hand in hand with the development of wider social structures. As Elias puts</w:t>
      </w:r>
      <w:r w:rsidRPr="00B3094B">
        <w:t xml:space="preserve"> </w:t>
      </w:r>
      <w:r>
        <w:t xml:space="preserve">it, </w:t>
      </w:r>
      <w:r w:rsidRPr="000811C1">
        <w:rPr>
          <w:u w:val="single"/>
        </w:rPr>
        <w:t xml:space="preserve">‘the structure of civilized </w:t>
      </w:r>
      <w:proofErr w:type="spellStart"/>
      <w:r w:rsidRPr="000811C1">
        <w:rPr>
          <w:u w:val="single"/>
        </w:rPr>
        <w:t>behaviour</w:t>
      </w:r>
      <w:proofErr w:type="spellEnd"/>
      <w:r w:rsidRPr="000811C1">
        <w:rPr>
          <w:u w:val="single"/>
        </w:rPr>
        <w:t xml:space="preserve"> is closely interrelated with the organization of Western societies in the form of states’</w:t>
      </w:r>
      <w:r>
        <w:t xml:space="preserve">.64 </w:t>
      </w:r>
      <w:r w:rsidRPr="005A4F64">
        <w:rPr>
          <w:rStyle w:val="StyleUnderline"/>
        </w:rPr>
        <w:t>With the gradual monopolization of force by the state and centralization of control, ‘</w:t>
      </w:r>
      <w:r w:rsidRPr="000811C1">
        <w:rPr>
          <w:u w:val="single"/>
        </w:rPr>
        <w:t xml:space="preserve">the whole apparatus which shapes the individual, the mode of operation of the social demands and prohibitions </w:t>
      </w:r>
      <w:r w:rsidRPr="005A4F64">
        <w:t>which mold his [sic] social make-up</w:t>
      </w:r>
      <w:r w:rsidRPr="000811C1">
        <w:rPr>
          <w:u w:val="single"/>
        </w:rPr>
        <w:t xml:space="preserve">, and above all the kinds of fear </w:t>
      </w:r>
      <w:r w:rsidRPr="005A4F64">
        <w:t>that play a part in his life</w:t>
      </w:r>
      <w:r w:rsidRPr="000811C1">
        <w:rPr>
          <w:u w:val="single"/>
        </w:rPr>
        <w:t xml:space="preserve"> are decisively changed</w:t>
      </w:r>
      <w:r w:rsidRPr="000811C1">
        <w:t>’</w:t>
      </w:r>
      <w:r>
        <w:t xml:space="preserve">.65 </w:t>
      </w:r>
      <w:r w:rsidRPr="005A4F64">
        <w:rPr>
          <w:rStyle w:val="StyleUnderline"/>
        </w:rPr>
        <w:t>So forms of subjectivity and of social structure are interdependent and historically contingent, and shaped by the wider international context in which they occur</w:t>
      </w:r>
      <w:r>
        <w:t xml:space="preserve">. </w:t>
      </w:r>
      <w:r w:rsidRPr="005A4F64">
        <w:rPr>
          <w:rStyle w:val="StyleUnderline"/>
        </w:rPr>
        <w:t>This requires us</w:t>
      </w:r>
      <w:r w:rsidRPr="000811C1">
        <w:t xml:space="preserve"> both </w:t>
      </w:r>
      <w:r w:rsidRPr="005A4F64">
        <w:rPr>
          <w:rStyle w:val="StyleUnderline"/>
        </w:rPr>
        <w:t>to appreciate the historically and geographically inflected forms that violence takes, and to avoid an orientalist reading of Southern forms of violence that sees them as particularly barbaric or cruel, and / or historically anomalous</w:t>
      </w:r>
      <w:r>
        <w:t>.66</w:t>
      </w:r>
    </w:p>
    <w:p w14:paraId="449DA90F" w14:textId="77777777" w:rsidR="008F7540" w:rsidRDefault="008F7540" w:rsidP="008F7540">
      <w:pPr>
        <w:pStyle w:val="Heading3"/>
      </w:pPr>
      <w:r>
        <w:lastRenderedPageBreak/>
        <w:t>Humanitarian Arms Control</w:t>
      </w:r>
    </w:p>
    <w:p w14:paraId="6F6B8C5F" w14:textId="77777777" w:rsidR="008F7540" w:rsidRDefault="008F7540" w:rsidP="008F7540">
      <w:pPr>
        <w:pStyle w:val="Heading4"/>
      </w:pPr>
      <w:r>
        <w:t>Humanitarian framing Is an excuse for human security and militarism</w:t>
      </w:r>
    </w:p>
    <w:p w14:paraId="0BF5163F" w14:textId="77777777" w:rsidR="008F7540" w:rsidRPr="00E54457" w:rsidRDefault="008F7540" w:rsidP="008F7540">
      <w:pPr>
        <w:tabs>
          <w:tab w:val="left" w:pos="9860"/>
        </w:tabs>
        <w:rPr>
          <w:color w:val="000000" w:themeColor="text1"/>
        </w:rPr>
      </w:pPr>
      <w:r w:rsidRPr="00AA22CE">
        <w:rPr>
          <w:rStyle w:val="Style13ptBold"/>
        </w:rPr>
        <w:t>Stavrianakis, University Sussex Senior Lecturer in International Relations, 2018</w:t>
      </w:r>
      <w:r w:rsidRPr="00371FCC">
        <w:rPr>
          <w:color w:val="000000" w:themeColor="text1"/>
        </w:rPr>
        <w:t xml:space="preserve"> </w:t>
      </w:r>
      <w:proofErr w:type="gramStart"/>
      <w:r w:rsidRPr="00371FCC">
        <w:rPr>
          <w:color w:val="000000" w:themeColor="text1"/>
        </w:rPr>
        <w:t>( Anna</w:t>
      </w:r>
      <w:proofErr w:type="gramEnd"/>
      <w:r w:rsidRPr="00371FCC">
        <w:rPr>
          <w:color w:val="000000" w:themeColor="text1"/>
        </w:rPr>
        <w:t xml:space="preserve">, 5-21-18, </w:t>
      </w:r>
      <w:r>
        <w:rPr>
          <w:color w:val="000000" w:themeColor="text1"/>
        </w:rPr>
        <w:t xml:space="preserve">Review of International Studies, </w:t>
      </w:r>
      <w:r w:rsidRPr="00371FCC">
        <w:rPr>
          <w:color w:val="000000" w:themeColor="text1"/>
        </w:rPr>
        <w:t xml:space="preserve">“Controlling Weapons Circulation in a Postcolonial Militarized World” </w:t>
      </w:r>
      <w:r>
        <w:rPr>
          <w:color w:val="000000" w:themeColor="text1"/>
        </w:rPr>
        <w:t>, Volume 45, pg. 57-76,</w:t>
      </w:r>
      <w:r w:rsidRPr="00371FCC">
        <w:rPr>
          <w:color w:val="000000" w:themeColor="text1"/>
        </w:rPr>
        <w:t xml:space="preserve"> MK )</w:t>
      </w:r>
    </w:p>
    <w:p w14:paraId="54631A92" w14:textId="77777777" w:rsidR="008F7540" w:rsidRPr="00746066" w:rsidRDefault="008F7540" w:rsidP="008F7540">
      <w:r w:rsidRPr="00746066">
        <w:rPr>
          <w:rStyle w:val="StyleUnderline"/>
        </w:rPr>
        <w:t>Activists and scholars have attempted to elevate human rights and humanitarian concerns for the broad swathe of the world’s population above the political economy and security interests of states and arms-producing companies. Weapons-specific initiatives</w:t>
      </w:r>
      <w:r w:rsidRPr="00746066">
        <w:t xml:space="preserve"> such as the 1997 Mine Ban Treaty and 2008 Convention on Cluster Munitions </w:t>
      </w:r>
      <w:r w:rsidRPr="00746066">
        <w:rPr>
          <w:rStyle w:val="StyleUnderline"/>
        </w:rPr>
        <w:t xml:space="preserve">had </w:t>
      </w:r>
      <w:proofErr w:type="spellStart"/>
      <w:proofErr w:type="gramStart"/>
      <w:r w:rsidRPr="00746066">
        <w:rPr>
          <w:rStyle w:val="StyleUnderline"/>
        </w:rPr>
        <w:t>show</w:t>
      </w:r>
      <w:proofErr w:type="spellEnd"/>
      <w:proofErr w:type="gramEnd"/>
      <w:r w:rsidRPr="00746066">
        <w:rPr>
          <w:rStyle w:val="StyleUnderline"/>
        </w:rPr>
        <w:t xml:space="preserve"> the impact that a humanitarian framing can have in relation to particular technologies</w:t>
      </w:r>
      <w:r w:rsidRPr="00746066">
        <w:t xml:space="preserve">. The negotiation of the 2001 </w:t>
      </w:r>
      <w:proofErr w:type="spellStart"/>
      <w:r w:rsidRPr="00746066">
        <w:t>Programme</w:t>
      </w:r>
      <w:proofErr w:type="spellEnd"/>
      <w:r w:rsidRPr="00746066">
        <w:t xml:space="preserve"> of Action to Prevent, Combat and Eradicate the Illicit Trade in Small Arms and Light Weapons in All Its Aspects showed the challenge of applying human security principles to weapons with legitimate military and security uses– a challenge that was to resurface during the ATT negotiations. </w:t>
      </w:r>
      <w:r w:rsidRPr="00746066">
        <w:rPr>
          <w:rStyle w:val="StyleUnderline"/>
        </w:rPr>
        <w:t xml:space="preserve">Regulating the conventional arms trade </w:t>
      </w:r>
      <w:proofErr w:type="gramStart"/>
      <w:r w:rsidRPr="00746066">
        <w:rPr>
          <w:rStyle w:val="StyleUnderline"/>
        </w:rPr>
        <w:t>as a whole cannot</w:t>
      </w:r>
      <w:proofErr w:type="gramEnd"/>
      <w:r w:rsidRPr="00746066">
        <w:rPr>
          <w:rStyle w:val="StyleUnderline"/>
        </w:rPr>
        <w:t xml:space="preserve"> take a purely disarmament or humanitarian frame, given its deeply entrenched legitimacy.</w:t>
      </w:r>
      <w:r w:rsidRPr="00746066">
        <w:t xml:space="preserve"> </w:t>
      </w:r>
      <w:r w:rsidRPr="00AA22CE">
        <w:t>This makes the ATT a human security initiative rather than a primarily humanitarian arms control or disarmament one 8 –whilst it has the reduction of human suffering as a n</w:t>
      </w:r>
      <w:r w:rsidRPr="00746066">
        <w:t xml:space="preserve">amed purpose, this sits </w:t>
      </w:r>
      <w:proofErr w:type="spellStart"/>
      <w:proofErr w:type="gramStart"/>
      <w:r w:rsidRPr="00746066">
        <w:t>alongside“</w:t>
      </w:r>
      <w:proofErr w:type="gramEnd"/>
      <w:r w:rsidRPr="00746066">
        <w:t>international</w:t>
      </w:r>
      <w:proofErr w:type="spellEnd"/>
      <w:r w:rsidRPr="00746066">
        <w:t xml:space="preserve"> and regional peace, security and stability” in Article 1 of the text. As </w:t>
      </w:r>
      <w:proofErr w:type="spellStart"/>
      <w:r w:rsidRPr="00746066">
        <w:t>Martinand</w:t>
      </w:r>
      <w:proofErr w:type="spellEnd"/>
      <w:r w:rsidRPr="00746066">
        <w:t xml:space="preserve"> Owen put it, “</w:t>
      </w:r>
      <w:r w:rsidRPr="00746066">
        <w:rPr>
          <w:rStyle w:val="StyleUnderline"/>
        </w:rPr>
        <w:t>The idea of arms control is appealing to proponents of human security because it sets out to control tools of violence, as well as seeking to curb the dominance of the state in determining the forms of insecurity to which policy solutions must befound.”</w:t>
      </w:r>
      <w:r w:rsidRPr="00746066">
        <w:t>9 Jody Williams, founding coordinator of the ICBL, calls on governments and civil society to work together, including on initiatives like the ATT, “to advance human security as a viable alternative to militarism and violence and war.”10</w:t>
      </w:r>
    </w:p>
    <w:p w14:paraId="78FF28E7" w14:textId="7371033B" w:rsidR="008F7540" w:rsidRDefault="008F7540" w:rsidP="008F7540">
      <w:r w:rsidRPr="00746066">
        <w:t xml:space="preserve">Sympathetic </w:t>
      </w:r>
      <w:r w:rsidRPr="00746066">
        <w:rPr>
          <w:rStyle w:val="StyleUnderline"/>
        </w:rPr>
        <w:t xml:space="preserve">criticism </w:t>
      </w:r>
      <w:r w:rsidRPr="00AA22CE">
        <w:t>of the ATT has been aired from within the academic and scholar-practitioner community. Bolton and James</w:t>
      </w:r>
      <w:r w:rsidRPr="00746066">
        <w:rPr>
          <w:rStyle w:val="StyleUnderline"/>
        </w:rPr>
        <w:t xml:space="preserve"> argue that the treaty represents a “melding” of a “‘maximalist’ human security–civil society approach with concerns of developing countries and the ‘minimalist’ strategic and commercial interests of the major arms exporters.”</w:t>
      </w:r>
      <w:r w:rsidRPr="00746066">
        <w:t xml:space="preserve">11 </w:t>
      </w:r>
      <w:proofErr w:type="spellStart"/>
      <w:r w:rsidRPr="00746066">
        <w:t>Chinkin</w:t>
      </w:r>
      <w:proofErr w:type="spellEnd"/>
      <w:r w:rsidRPr="00746066">
        <w:t xml:space="preserve"> and Kaldor argue that </w:t>
      </w:r>
      <w:r w:rsidRPr="00746066">
        <w:rPr>
          <w:rStyle w:val="StyleUnderline"/>
        </w:rPr>
        <w:t>“the humanitarian achievements” of post-Cold War weapons control “need to be complemented by disarmament.</w:t>
      </w:r>
      <w:r w:rsidRPr="00746066">
        <w:t xml:space="preserve">” </w:t>
      </w:r>
      <w:r w:rsidRPr="00746066">
        <w:rPr>
          <w:rStyle w:val="StyleUnderline"/>
        </w:rPr>
        <w:t>That is, as  well as “bringing states’ human rights obligations into the heart of weapons control,” human security requires “the reduction of existing weapon stocks and prohibition of the development, production and stockpiling of further weapons.”</w:t>
      </w:r>
      <w:r w:rsidRPr="00746066">
        <w:t xml:space="preserve">12 Such a call </w:t>
      </w:r>
      <w:r w:rsidRPr="00746066">
        <w:rPr>
          <w:rStyle w:val="StyleUnderline"/>
        </w:rPr>
        <w:t>echoes the demand of the Women’s International League for Peace and Freedom</w:t>
      </w:r>
      <w:r w:rsidRPr="00746066">
        <w:t xml:space="preserve"> (WILPF), one of the civil society </w:t>
      </w:r>
      <w:proofErr w:type="spellStart"/>
      <w:r w:rsidRPr="00746066">
        <w:t>organisations</w:t>
      </w:r>
      <w:proofErr w:type="spellEnd"/>
      <w:r w:rsidRPr="00746066">
        <w:t xml:space="preserve"> active on the ATT, for disarmament as a long-standing, yet </w:t>
      </w:r>
      <w:proofErr w:type="spellStart"/>
      <w:r w:rsidRPr="00746066">
        <w:t>marginalised</w:t>
      </w:r>
      <w:proofErr w:type="spellEnd"/>
      <w:r w:rsidRPr="00746066">
        <w:t xml:space="preserve"> feminist concern.13 Others have been less sympathetically critical. </w:t>
      </w:r>
      <w:r w:rsidRPr="00746066">
        <w:rPr>
          <w:rStyle w:val="StyleUnderline"/>
        </w:rPr>
        <w:t>For Cooper, initiatives like the ATT “do not represent a novel post-Cold War development that symbolizes progress on an emancipatory human security agenda.”1</w:t>
      </w:r>
      <w:r w:rsidRPr="00746066">
        <w:t>4</w:t>
      </w:r>
      <w:r w:rsidRPr="00746066">
        <w:rPr>
          <w:rStyle w:val="StyleUnderline"/>
        </w:rPr>
        <w:t xml:space="preserve"> Post-Cold War arms trade regulation has been based on a “discourse around humanitarianism, human security and weapons precision” that has served to legitimize high-tech military technologies</w:t>
      </w:r>
      <w:r w:rsidRPr="00746066">
        <w:t xml:space="preserve">. </w:t>
      </w:r>
      <w:r w:rsidRPr="009F2214">
        <w:rPr>
          <w:rStyle w:val="StyleUnderline"/>
        </w:rPr>
        <w:t xml:space="preserve">15 Cooper and others </w:t>
      </w:r>
      <w:proofErr w:type="spellStart"/>
      <w:r w:rsidRPr="009F2214">
        <w:rPr>
          <w:rStyle w:val="StyleUnderline"/>
        </w:rPr>
        <w:t>emphasise</w:t>
      </w:r>
      <w:proofErr w:type="spellEnd"/>
      <w:r w:rsidRPr="009F2214">
        <w:rPr>
          <w:rStyle w:val="StyleUnderline"/>
        </w:rPr>
        <w:t xml:space="preserve"> the deep historical roots of the way humanitarian impulses intersect with economic and security ones, including in late nineteenth century efforts to regulate the supply and circulation of weapons in the imperial peripheries that are remarkably resonant with contemporary efforts. </w:t>
      </w:r>
      <w:r w:rsidRPr="00AA22CE">
        <w:t xml:space="preserve">16 </w:t>
      </w:r>
      <w:r w:rsidRPr="009F2214">
        <w:rPr>
          <w:rStyle w:val="StyleUnderline"/>
        </w:rPr>
        <w:t>Historically minded scholars remind us that surplus and obsolete weapons have long circulated in the peripheries of empire, and new weapons tested there; and political authorities were licensing weapons exports as early as the 16th century – in part to avoid blowback.1</w:t>
      </w:r>
      <w:r w:rsidRPr="00746066">
        <w:t xml:space="preserve">7 </w:t>
      </w:r>
      <w:r w:rsidRPr="009F2214">
        <w:rPr>
          <w:rStyle w:val="StyleUnderline"/>
        </w:rPr>
        <w:t xml:space="preserve">Arms trade regulation, then, has a </w:t>
      </w:r>
      <w:r w:rsidRPr="009F2214">
        <w:rPr>
          <w:rStyle w:val="StyleUnderline"/>
        </w:rPr>
        <w:lastRenderedPageBreak/>
        <w:t>“historically contingent” character, marked by the ongoing importance of “power, interest, economy, security.”</w:t>
      </w:r>
      <w:r w:rsidRPr="00AA22CE">
        <w:t>18</w:t>
      </w:r>
    </w:p>
    <w:p w14:paraId="00E22A1A" w14:textId="77777777" w:rsidR="00C87F6F" w:rsidRDefault="00C87F6F" w:rsidP="00C87F6F">
      <w:pPr>
        <w:pStyle w:val="Heading4"/>
      </w:pPr>
      <w:r>
        <w:t>Even humanitarian policy is just militarism inoculating itself wherein rarified policy details are used to obscure a larger narrative</w:t>
      </w:r>
    </w:p>
    <w:p w14:paraId="7F75E08A" w14:textId="77777777" w:rsidR="00C87F6F" w:rsidRPr="006E6FA3" w:rsidRDefault="00C87F6F" w:rsidP="00C87F6F">
      <w:pPr>
        <w:rPr>
          <w:rStyle w:val="Style13ptBold"/>
        </w:rPr>
      </w:pPr>
      <w:r w:rsidRPr="006E6FA3">
        <w:rPr>
          <w:rStyle w:val="Style13ptBold"/>
        </w:rPr>
        <w:t xml:space="preserve">Cooper, Bradford University International Relations and Security Studies Professor and Peace Studies &amp; International Development Head, 18 </w:t>
      </w:r>
    </w:p>
    <w:p w14:paraId="6833F7B5" w14:textId="77777777" w:rsidR="00C87F6F" w:rsidRDefault="00C87F6F" w:rsidP="00C87F6F">
      <w:r>
        <w:t xml:space="preserve">[Neil, 2018, Journal of Global Security Studies 3(4), “Race, Sovereignty, and Free Trade: Arms Trade Regulation and Humanitarian Arms Control in the Age of Empire”, 444-462, accessed 6/30 </w:t>
      </w:r>
      <w:proofErr w:type="spellStart"/>
      <w:r>
        <w:t>dwrs</w:t>
      </w:r>
      <w:proofErr w:type="spellEnd"/>
      <w:r>
        <w:t>]</w:t>
      </w:r>
    </w:p>
    <w:p w14:paraId="2CB2BD96" w14:textId="77777777" w:rsidR="00C87F6F" w:rsidRDefault="00C87F6F" w:rsidP="00C87F6F">
      <w:pPr>
        <w:pStyle w:val="ListParagraph"/>
        <w:numPr>
          <w:ilvl w:val="0"/>
          <w:numId w:val="12"/>
        </w:numPr>
      </w:pPr>
      <w:r>
        <w:t xml:space="preserve">they can win a “link turn” without engaging with the aff – that is, they can say theirs is a humanitarian mission – doesn’t no link our sovereignty arguments </w:t>
      </w:r>
    </w:p>
    <w:p w14:paraId="601FED5F" w14:textId="77777777" w:rsidR="00C87F6F" w:rsidRDefault="00C87F6F" w:rsidP="00C87F6F">
      <w:pPr>
        <w:pStyle w:val="ListParagraph"/>
        <w:numPr>
          <w:ilvl w:val="0"/>
          <w:numId w:val="12"/>
        </w:numPr>
      </w:pPr>
      <w:r>
        <w:t xml:space="preserve">but obviously, plan in a vacuum is myopic – “I don’t see what the value of agreeing on a narrowly determined set of facts is when the only relevant question is making a better world” – indeed, that sort of begs the question of what the point of all these specific  arguments are when the internet and experts exist – the only thing is debate as political orientations – especially when tech means that most of what we win on isn’t true anyway – we can still argue and research under our </w:t>
      </w:r>
      <w:proofErr w:type="spellStart"/>
      <w:r>
        <w:t>interp</w:t>
      </w:r>
      <w:proofErr w:type="spellEnd"/>
      <w:r>
        <w:t xml:space="preserve">, but it’s a question of the things we learn being things that </w:t>
      </w:r>
      <w:proofErr w:type="spellStart"/>
      <w:r>
        <w:t>digitlized</w:t>
      </w:r>
      <w:proofErr w:type="spellEnd"/>
      <w:r>
        <w:t xml:space="preserve"> archives solve versus those that are necessary for emancipatory change  </w:t>
      </w:r>
    </w:p>
    <w:p w14:paraId="43E23319" w14:textId="77777777" w:rsidR="00C87F6F" w:rsidRPr="00C049E8" w:rsidRDefault="00C87F6F" w:rsidP="00C87F6F">
      <w:pPr>
        <w:rPr>
          <w:rStyle w:val="StyleUnderline"/>
        </w:rPr>
      </w:pPr>
    </w:p>
    <w:p w14:paraId="57CF1AE6" w14:textId="77777777" w:rsidR="00C87F6F" w:rsidRDefault="00C87F6F" w:rsidP="00C87F6F">
      <w:r>
        <w:t xml:space="preserve">Conclusion </w:t>
      </w:r>
    </w:p>
    <w:p w14:paraId="3F47DB12" w14:textId="77777777" w:rsidR="00C87F6F" w:rsidRDefault="00C87F6F" w:rsidP="00C87F6F">
      <w:r>
        <w:t>This article has offered a more complete understanding of the dynamics of arms trade regulation in the late nine-</w:t>
      </w:r>
      <w:proofErr w:type="spellStart"/>
      <w:r>
        <w:t>teenth</w:t>
      </w:r>
      <w:proofErr w:type="spellEnd"/>
      <w:r>
        <w:t xml:space="preserve"> century. In this concluding section, I also draw on this understanding to provide insights into current debates about norms, arms regulation, and arms con-</w:t>
      </w:r>
      <w:proofErr w:type="spellStart"/>
      <w:r>
        <w:t>trol</w:t>
      </w:r>
      <w:proofErr w:type="spellEnd"/>
      <w:r>
        <w:t xml:space="preserve"> as </w:t>
      </w:r>
      <w:proofErr w:type="spellStart"/>
      <w:r>
        <w:t>govemmentality</w:t>
      </w:r>
      <w:proofErr w:type="spellEnd"/>
      <w:r>
        <w:t xml:space="preserve">. The 1890 Brussels Act can be understood as the first </w:t>
      </w:r>
      <w:proofErr w:type="spellStart"/>
      <w:r>
        <w:t>matryrshka</w:t>
      </w:r>
      <w:proofErr w:type="spellEnd"/>
      <w:r>
        <w:t xml:space="preserve"> doll of arms trade governance—a discrete initiative that, in this case, aimed to regulate the import of a specified class of weapons into a specified area of Africa. </w:t>
      </w:r>
      <w:r w:rsidRPr="00C049E8">
        <w:rPr>
          <w:rStyle w:val="StyleUnderline"/>
        </w:rPr>
        <w:t>From the perspective of proponents, the act was the outcome of a grand hu-</w:t>
      </w:r>
      <w:proofErr w:type="spellStart"/>
      <w:r w:rsidRPr="00C049E8">
        <w:rPr>
          <w:rStyle w:val="StyleUnderline"/>
        </w:rPr>
        <w:t>manitarian</w:t>
      </w:r>
      <w:proofErr w:type="spellEnd"/>
      <w:r w:rsidRPr="00C049E8">
        <w:rPr>
          <w:rStyle w:val="StyleUnderline"/>
        </w:rPr>
        <w:t xml:space="preserve"> campaign to restrict the arms (and liquor) trade to Africa.</w:t>
      </w:r>
      <w:r>
        <w:t xml:space="preserve"> </w:t>
      </w:r>
      <w:r w:rsidRPr="00C049E8">
        <w:rPr>
          <w:rStyle w:val="Emphasis"/>
        </w:rPr>
        <w:t>Indeed, it can be understood, in part, as an effort to graft a regulatory arms trade norm onto an establishe</w:t>
      </w:r>
      <w:r>
        <w:t xml:space="preserve">d and constitutive anti-slavery </w:t>
      </w:r>
      <w:r w:rsidRPr="00C049E8">
        <w:rPr>
          <w:rStyle w:val="Emphasis"/>
        </w:rPr>
        <w:t>norm</w:t>
      </w:r>
      <w:r>
        <w:t xml:space="preserve">. At the same time, </w:t>
      </w:r>
      <w:r w:rsidRPr="00C049E8">
        <w:rPr>
          <w:rStyle w:val="Emphasis"/>
        </w:rPr>
        <w:t>policymakers were also motivated by a more prosaic concern to maintain qualitative military superiority over colonial subjects in Africa</w:t>
      </w:r>
      <w:r>
        <w:t xml:space="preserve">. </w:t>
      </w:r>
      <w:proofErr w:type="spellStart"/>
      <w:r>
        <w:t>Neverthe</w:t>
      </w:r>
      <w:proofErr w:type="spellEnd"/>
      <w:r>
        <w:t xml:space="preserve">-less, </w:t>
      </w:r>
      <w:r w:rsidRPr="00BF60FD">
        <w:rPr>
          <w:rStyle w:val="Emphasis"/>
        </w:rPr>
        <w:t>judged in isolation</w:t>
      </w:r>
      <w:r>
        <w:t xml:space="preserve">, the campaign for </w:t>
      </w:r>
      <w:r w:rsidRPr="00BF60FD">
        <w:rPr>
          <w:rStyle w:val="StyleUnderline"/>
        </w:rPr>
        <w:t>the</w:t>
      </w:r>
      <w:r>
        <w:t xml:space="preserve"> Brussels </w:t>
      </w:r>
      <w:r w:rsidRPr="00BF60FD">
        <w:rPr>
          <w:rStyle w:val="StyleUnderline"/>
        </w:rPr>
        <w:t xml:space="preserve">Act can be understood as a relatively successful </w:t>
      </w:r>
      <w:proofErr w:type="spellStart"/>
      <w:r w:rsidRPr="00BF60FD">
        <w:rPr>
          <w:rStyle w:val="StyleUnderline"/>
        </w:rPr>
        <w:t>initia-tive</w:t>
      </w:r>
      <w:proofErr w:type="spellEnd"/>
      <w:r w:rsidRPr="00BF60FD">
        <w:rPr>
          <w:rStyle w:val="StyleUnderline"/>
        </w:rPr>
        <w:t xml:space="preserve"> that managed to merge the requirements of </w:t>
      </w:r>
      <w:proofErr w:type="spellStart"/>
      <w:r w:rsidRPr="00BF60FD">
        <w:rPr>
          <w:rStyle w:val="StyleUnderline"/>
        </w:rPr>
        <w:t>colo-nial</w:t>
      </w:r>
      <w:proofErr w:type="spellEnd"/>
      <w:r w:rsidRPr="00BF60FD">
        <w:rPr>
          <w:rStyle w:val="StyleUnderline"/>
        </w:rPr>
        <w:t xml:space="preserve"> order with a </w:t>
      </w:r>
      <w:proofErr w:type="gramStart"/>
      <w:r w:rsidRPr="00BF60FD">
        <w:rPr>
          <w:rStyle w:val="StyleUnderline"/>
        </w:rPr>
        <w:t>particularly</w:t>
      </w:r>
      <w:proofErr w:type="gramEnd"/>
      <w:r w:rsidRPr="00BF60FD">
        <w:rPr>
          <w:rStyle w:val="StyleUnderline"/>
        </w:rPr>
        <w:t xml:space="preserve"> paternalist and orientalist humanitarianism.</w:t>
      </w:r>
      <w:r>
        <w:t xml:space="preserve"> Moreover, </w:t>
      </w:r>
      <w:proofErr w:type="gramStart"/>
      <w:r>
        <w:t>with the exception of</w:t>
      </w:r>
      <w:proofErr w:type="gramEnd"/>
      <w:r>
        <w:t xml:space="preserve"> the arms traffic to Abyssinia and Somalia, implementation of the act was more extensive than has generally been acknowledged.</w:t>
      </w:r>
    </w:p>
    <w:p w14:paraId="42AC227F" w14:textId="77777777" w:rsidR="00C87F6F" w:rsidRPr="00BF60FD" w:rsidRDefault="00C87F6F" w:rsidP="00C87F6F">
      <w:pPr>
        <w:rPr>
          <w:rStyle w:val="Emphasis"/>
        </w:rPr>
      </w:pPr>
      <w:r>
        <w:t xml:space="preserve"> </w:t>
      </w:r>
      <w:r w:rsidRPr="00BF60FD">
        <w:rPr>
          <w:rStyle w:val="Emphasis"/>
        </w:rPr>
        <w:t>However</w:t>
      </w:r>
      <w:r>
        <w:t xml:space="preserve">, </w:t>
      </w:r>
      <w:r w:rsidRPr="00BF60FD">
        <w:rPr>
          <w:rStyle w:val="Emphasis"/>
        </w:rPr>
        <w:t>the</w:t>
      </w:r>
      <w:r>
        <w:t xml:space="preserve"> Brussels </w:t>
      </w:r>
      <w:r w:rsidRPr="00BF60FD">
        <w:rPr>
          <w:rStyle w:val="Emphasis"/>
        </w:rPr>
        <w:t xml:space="preserve">Act represented just one </w:t>
      </w:r>
      <w:proofErr w:type="spellStart"/>
      <w:r w:rsidRPr="00BF60FD">
        <w:rPr>
          <w:rStyle w:val="Emphasis"/>
        </w:rPr>
        <w:t>ele-ment</w:t>
      </w:r>
      <w:proofErr w:type="spellEnd"/>
      <w:r w:rsidRPr="00BF60FD">
        <w:rPr>
          <w:rStyle w:val="Emphasis"/>
        </w:rPr>
        <w:t xml:space="preserve"> in a larger network of regulation aimed at restrict-</w:t>
      </w:r>
      <w:proofErr w:type="spellStart"/>
      <w:r w:rsidRPr="00BF60FD">
        <w:rPr>
          <w:rStyle w:val="Emphasis"/>
        </w:rPr>
        <w:t>ing</w:t>
      </w:r>
      <w:proofErr w:type="spellEnd"/>
      <w:r w:rsidRPr="00BF60FD">
        <w:rPr>
          <w:rStyle w:val="Emphasis"/>
        </w:rPr>
        <w:t xml:space="preserve"> the supply of arms to colonial subjects in all the spaces of empire</w:t>
      </w:r>
      <w:r>
        <w:t xml:space="preserve">. This constituted the second Matryoshka doll of arms trade governance. Thus, </w:t>
      </w:r>
      <w:r w:rsidRPr="00BF60FD">
        <w:rPr>
          <w:rStyle w:val="Emphasis"/>
        </w:rPr>
        <w:t>rather than being an era of free trade in arms</w:t>
      </w:r>
      <w:r w:rsidRPr="00BF60FD">
        <w:rPr>
          <w:rStyle w:val="StyleUnderline"/>
        </w:rPr>
        <w:t>, the period was actually character-</w:t>
      </w:r>
      <w:proofErr w:type="spellStart"/>
      <w:r w:rsidRPr="00BF60FD">
        <w:rPr>
          <w:rStyle w:val="StyleUnderline"/>
        </w:rPr>
        <w:t>ized</w:t>
      </w:r>
      <w:proofErr w:type="spellEnd"/>
      <w:r w:rsidRPr="00BF60FD">
        <w:rPr>
          <w:rStyle w:val="StyleUnderline"/>
        </w:rPr>
        <w:t xml:space="preserve"> by </w:t>
      </w:r>
      <w:r w:rsidRPr="00BF60FD">
        <w:rPr>
          <w:rStyle w:val="Emphasis"/>
        </w:rPr>
        <w:t xml:space="preserve">a dual regime of regulation: the operation of a peacetime liberal export norm for transfers from imperial metropoles combined with widespread efforts to manage arms </w:t>
      </w:r>
      <w:r w:rsidRPr="00BF60FD">
        <w:rPr>
          <w:rStyle w:val="StyleUnderline"/>
        </w:rPr>
        <w:t>flows</w:t>
      </w:r>
      <w:r w:rsidRPr="00BF60FD">
        <w:t xml:space="preserve"> </w:t>
      </w:r>
      <w:proofErr w:type="spellStart"/>
      <w:r w:rsidRPr="00BF60FD">
        <w:t>into,saitlyin,and</w:t>
      </w:r>
      <w:proofErr w:type="spellEnd"/>
      <w:r w:rsidRPr="00BF60FD">
        <w:rPr>
          <w:rStyle w:val="StyleUnderline"/>
        </w:rPr>
        <w:t xml:space="preserve"> between the spaces of empire (using post-export blockades, import controls, internal regulations, and restrictions on transfers between </w:t>
      </w:r>
      <w:proofErr w:type="spellStart"/>
      <w:r w:rsidRPr="00BF60FD">
        <w:rPr>
          <w:rStyle w:val="StyleUnderline"/>
        </w:rPr>
        <w:t>colo-nial</w:t>
      </w:r>
      <w:proofErr w:type="spellEnd"/>
      <w:r w:rsidRPr="00BF60FD">
        <w:rPr>
          <w:rStyle w:val="StyleUnderline"/>
        </w:rPr>
        <w:t xml:space="preserve"> spaces).</w:t>
      </w:r>
      <w:r>
        <w:t xml:space="preserve"> This contrasts </w:t>
      </w:r>
      <w:r>
        <w:lastRenderedPageBreak/>
        <w:t xml:space="preserve">with the contemporary </w:t>
      </w:r>
      <w:proofErr w:type="spellStart"/>
      <w:r>
        <w:t>em-phasis</w:t>
      </w:r>
      <w:proofErr w:type="spellEnd"/>
      <w:r>
        <w:t xml:space="preserve"> on producer export controls as a primary (if not exclusive) vehicle for managing the global trade in con-</w:t>
      </w:r>
      <w:proofErr w:type="spellStart"/>
      <w:r>
        <w:t>ventional</w:t>
      </w:r>
      <w:proofErr w:type="spellEnd"/>
      <w:r>
        <w:t xml:space="preserve"> arms. </w:t>
      </w:r>
      <w:r w:rsidRPr="00BF60FD">
        <w:rPr>
          <w:rStyle w:val="Emphasis"/>
        </w:rPr>
        <w:t>When located in this broader network of prohibitory regulation, the humanitarian underpinnings</w:t>
      </w:r>
      <w:r>
        <w:t xml:space="preserve"> of the Brussels Act </w:t>
      </w:r>
      <w:r w:rsidRPr="00BF60FD">
        <w:rPr>
          <w:rStyle w:val="Emphasis"/>
        </w:rPr>
        <w:t xml:space="preserve">are revealed to </w:t>
      </w:r>
      <w:proofErr w:type="spellStart"/>
      <w:proofErr w:type="gramStart"/>
      <w:r w:rsidRPr="00BF60FD">
        <w:rPr>
          <w:rStyle w:val="Emphasis"/>
        </w:rPr>
        <w:t>he</w:t>
      </w:r>
      <w:proofErr w:type="spellEnd"/>
      <w:proofErr w:type="gramEnd"/>
      <w:r w:rsidRPr="00BF60FD">
        <w:rPr>
          <w:rStyle w:val="Emphasis"/>
        </w:rPr>
        <w:t xml:space="preserve"> far less significant than the concerns about the maintenance of colonial or-der and qualitative military advantage for imperial pow-</w:t>
      </w:r>
      <w:proofErr w:type="spellStart"/>
      <w:r w:rsidRPr="00BF60FD">
        <w:rPr>
          <w:rStyle w:val="Emphasis"/>
        </w:rPr>
        <w:t>ers</w:t>
      </w:r>
      <w:proofErr w:type="spellEnd"/>
      <w:r w:rsidRPr="00BF60FD">
        <w:rPr>
          <w:rStyle w:val="Emphasis"/>
        </w:rPr>
        <w:t xml:space="preserve">. </w:t>
      </w:r>
    </w:p>
    <w:p w14:paraId="60B43D9F" w14:textId="77777777" w:rsidR="00C87F6F" w:rsidRDefault="00C87F6F" w:rsidP="00C87F6F">
      <w:r>
        <w:t>Of course, the operation of a free trade in arms phi-</w:t>
      </w:r>
      <w:proofErr w:type="spellStart"/>
      <w:r>
        <w:t>losophy</w:t>
      </w:r>
      <w:proofErr w:type="spellEnd"/>
      <w:r>
        <w:t xml:space="preserve"> combined with competition for colonies, mar-</w:t>
      </w:r>
      <w:proofErr w:type="spellStart"/>
      <w:r>
        <w:t>kets</w:t>
      </w:r>
      <w:proofErr w:type="spellEnd"/>
      <w:r>
        <w:t xml:space="preserve">, and influence amongst imperial powers is </w:t>
      </w:r>
      <w:proofErr w:type="spellStart"/>
      <w:r>
        <w:t>gener</w:t>
      </w:r>
      <w:proofErr w:type="spellEnd"/>
      <w:r>
        <w:t>-ally deemed to have trumped substantive efforts at limit-</w:t>
      </w:r>
      <w:proofErr w:type="spellStart"/>
      <w:r>
        <w:t>ing</w:t>
      </w:r>
      <w:proofErr w:type="spellEnd"/>
      <w:r>
        <w:t xml:space="preserve"> arms flows. However</w:t>
      </w:r>
      <w:r w:rsidRPr="00BF60FD">
        <w:rPr>
          <w:rStyle w:val="Emphasis"/>
        </w:rPr>
        <w:t xml:space="preserve">, practices of proscription and permission were both part of the attempt to delineate who could legitimately use which gradations of weapons according to where they </w:t>
      </w:r>
      <w:proofErr w:type="gramStart"/>
      <w:r w:rsidRPr="00BF60FD">
        <w:rPr>
          <w:rStyle w:val="Emphasis"/>
        </w:rPr>
        <w:t>were located in</w:t>
      </w:r>
      <w:proofErr w:type="gramEnd"/>
      <w:r w:rsidRPr="00BF60FD">
        <w:rPr>
          <w:rStyle w:val="Emphasis"/>
        </w:rPr>
        <w:t xml:space="preserve"> the triple hi-</w:t>
      </w:r>
      <w:proofErr w:type="spellStart"/>
      <w:r w:rsidRPr="00BF60FD">
        <w:rPr>
          <w:rStyle w:val="Emphasis"/>
        </w:rPr>
        <w:t>erarchies</w:t>
      </w:r>
      <w:proofErr w:type="spellEnd"/>
      <w:r w:rsidRPr="00BF60FD">
        <w:rPr>
          <w:rStyle w:val="Emphasis"/>
        </w:rPr>
        <w:t xml:space="preserve"> of civilization, loyalty, and utility to empire</w:t>
      </w:r>
      <w:r>
        <w:t xml:space="preserve">. This is not to deny that local actors constantly engaged in </w:t>
      </w:r>
      <w:proofErr w:type="spellStart"/>
      <w:r>
        <w:t>strategics</w:t>
      </w:r>
      <w:proofErr w:type="spellEnd"/>
      <w:r>
        <w:t xml:space="preserve"> of evasion or that imperial policies were perennially reversed or amended. Indeed, </w:t>
      </w:r>
      <w:r w:rsidRPr="00005522">
        <w:rPr>
          <w:rStyle w:val="Emphasis"/>
        </w:rPr>
        <w:t xml:space="preserve">both </w:t>
      </w:r>
      <w:proofErr w:type="spellStart"/>
      <w:r w:rsidRPr="00005522">
        <w:rPr>
          <w:rStyle w:val="Emphasis"/>
        </w:rPr>
        <w:t>permis-sive</w:t>
      </w:r>
      <w:proofErr w:type="spellEnd"/>
      <w:r w:rsidRPr="00005522">
        <w:rPr>
          <w:rStyle w:val="Emphasis"/>
        </w:rPr>
        <w:t xml:space="preserve"> and proscriptive arms trade norms were the site of recurring contestation that played out in the form of competing appeals to transnational constitutive norms such as sovereignty, free trade, colonialism, and the stan-</w:t>
      </w:r>
      <w:proofErr w:type="spellStart"/>
      <w:r w:rsidRPr="00005522">
        <w:rPr>
          <w:rStyle w:val="Emphasis"/>
        </w:rPr>
        <w:t>dard</w:t>
      </w:r>
      <w:proofErr w:type="spellEnd"/>
      <w:r w:rsidRPr="00005522">
        <w:rPr>
          <w:rStyle w:val="Emphasis"/>
        </w:rPr>
        <w:t xml:space="preserve"> of civilization. Nevertheless, the oscillations in pol-icy this produced are better understood less as a failure of prohibition and more as constituting the fluid </w:t>
      </w:r>
      <w:proofErr w:type="spellStart"/>
      <w:r w:rsidRPr="00005522">
        <w:rPr>
          <w:rStyle w:val="Emphasis"/>
        </w:rPr>
        <w:t>cartog-raphy</w:t>
      </w:r>
      <w:proofErr w:type="spellEnd"/>
      <w:r w:rsidRPr="00005522">
        <w:rPr>
          <w:rStyle w:val="Emphasis"/>
        </w:rPr>
        <w:t xml:space="preserve"> of regulation that was (and is) a defining feature of arms control as </w:t>
      </w:r>
      <w:proofErr w:type="spellStart"/>
      <w:r w:rsidRPr="00005522">
        <w:rPr>
          <w:rStyle w:val="Emphasis"/>
        </w:rPr>
        <w:t>govemnsentality</w:t>
      </w:r>
      <w:proofErr w:type="spellEnd"/>
      <w:r w:rsidRPr="00005522">
        <w:rPr>
          <w:rStyle w:val="Emphasis"/>
        </w:rPr>
        <w:t>. Moreover, the pro-</w:t>
      </w:r>
      <w:proofErr w:type="spellStart"/>
      <w:r w:rsidRPr="00005522">
        <w:rPr>
          <w:rStyle w:val="Emphasis"/>
        </w:rPr>
        <w:t>cess</w:t>
      </w:r>
      <w:proofErr w:type="spellEnd"/>
      <w:r w:rsidRPr="00005522">
        <w:rPr>
          <w:rStyle w:val="Emphasis"/>
        </w:rPr>
        <w:t xml:space="preserve"> of serially reinventing the border between legitimate and illegitimate ownership of, and trade in, the means of violence represented an important political </w:t>
      </w:r>
      <w:proofErr w:type="gramStart"/>
      <w:r w:rsidRPr="00005522">
        <w:rPr>
          <w:rStyle w:val="Emphasis"/>
        </w:rPr>
        <w:t>project in its own right, irrespective</w:t>
      </w:r>
      <w:proofErr w:type="gramEnd"/>
      <w:r w:rsidRPr="00005522">
        <w:rPr>
          <w:rStyle w:val="Emphasis"/>
        </w:rPr>
        <w:t xml:space="preserve"> of the </w:t>
      </w:r>
      <w:proofErr w:type="spellStart"/>
      <w:r w:rsidRPr="00005522">
        <w:rPr>
          <w:rStyle w:val="Emphasis"/>
        </w:rPr>
        <w:t>auual</w:t>
      </w:r>
      <w:proofErr w:type="spellEnd"/>
      <w:r w:rsidRPr="00005522">
        <w:rPr>
          <w:rStyle w:val="Emphasis"/>
        </w:rPr>
        <w:t xml:space="preserve"> material impact on arms flows. Indeed, the understanding of arms trade governance as a Sisyphean endeavor was (and remains) central to the legitimizing politics of arms control as gov-</w:t>
      </w:r>
      <w:proofErr w:type="spellStart"/>
      <w:r w:rsidRPr="00005522">
        <w:rPr>
          <w:rStyle w:val="Emphasis"/>
        </w:rPr>
        <w:t>enuentality</w:t>
      </w:r>
      <w:proofErr w:type="spellEnd"/>
      <w:r w:rsidRPr="00005522">
        <w:rPr>
          <w:rStyle w:val="Emphasis"/>
        </w:rPr>
        <w:t>; sanctifying the performative of regulatory and institutional refinement, an a la carte approach to normative frameworks (e.g. humanitarianism, free trade, military necessity) and their application to specific arms trade policy questions.</w:t>
      </w:r>
      <w:r>
        <w:t xml:space="preserve"> Nevertheless, by the early 1900s colonial powers had developed </w:t>
      </w:r>
      <w:proofErr w:type="gramStart"/>
      <w:r>
        <w:t>fairly extensive</w:t>
      </w:r>
      <w:proofErr w:type="gramEnd"/>
      <w:r>
        <w:t xml:space="preserve"> </w:t>
      </w:r>
      <w:proofErr w:type="spellStart"/>
      <w:r>
        <w:t>mecha-nisms</w:t>
      </w:r>
      <w:proofErr w:type="spellEnd"/>
      <w:r>
        <w:t xml:space="preserve"> of regulation that, in general, were probably as </w:t>
      </w:r>
      <w:proofErr w:type="spellStart"/>
      <w:r>
        <w:t>ef-fective</w:t>
      </w:r>
      <w:proofErr w:type="spellEnd"/>
      <w:r>
        <w:t xml:space="preserve"> as the mechanisms of contemporary arms trade regulation heralded by optimists as signaling a shift to a novel form of global arms governance.</w:t>
      </w:r>
    </w:p>
    <w:p w14:paraId="5CE29D5B" w14:textId="78782077" w:rsidR="00D41CDC" w:rsidRPr="00D41CDC" w:rsidRDefault="004D7BF4" w:rsidP="00D41CDC">
      <w:pPr>
        <w:pStyle w:val="Heading3"/>
      </w:pPr>
      <w:r>
        <w:lastRenderedPageBreak/>
        <w:t>Human Rights Advantages</w:t>
      </w:r>
    </w:p>
    <w:p w14:paraId="7CBB999A" w14:textId="77777777" w:rsidR="00D41CDC" w:rsidRPr="00356E3B" w:rsidRDefault="00D41CDC" w:rsidP="00D41CDC">
      <w:pPr>
        <w:pStyle w:val="Heading4"/>
      </w:pPr>
      <w:r>
        <w:t xml:space="preserve">Moralizing politics are a move toward redemption which posits Evil as passed over, depoliticizing it; this empathic connection with the past renders it unreal in a ritualistic purification which simultaneous leaves indigeneity an abject corpse </w:t>
      </w:r>
    </w:p>
    <w:p w14:paraId="4E6DCE4A" w14:textId="338274C2" w:rsidR="00D41CDC" w:rsidRDefault="00D41CDC" w:rsidP="00D41CDC">
      <w:pPr>
        <w:rPr>
          <w:rStyle w:val="Style13ptBold"/>
        </w:rPr>
      </w:pPr>
      <w:r w:rsidRPr="00A04709">
        <w:rPr>
          <w:rStyle w:val="Style13ptBold"/>
        </w:rPr>
        <w:t>Temin, U. of Michigan assistant prof. of political theory, 1</w:t>
      </w:r>
      <w:r>
        <w:rPr>
          <w:rStyle w:val="Style13ptBold"/>
        </w:rPr>
        <w:t>7</w:t>
      </w:r>
    </w:p>
    <w:p w14:paraId="658FD568" w14:textId="77777777" w:rsidR="00D41CDC" w:rsidRPr="004D7BF4" w:rsidRDefault="00D41CDC" w:rsidP="004D7BF4">
      <w:r w:rsidRPr="004D7BF4">
        <w:t xml:space="preserve">[David Myer, Political Theory, “Custer’s Sins: Vine Deloria Jr. and the Settler-Colonial Politics of Civic Inclusion”, 5-29-17, DOI: </w:t>
      </w:r>
      <w:hyperlink r:id="rId7" w:history="1">
        <w:r w:rsidRPr="004D7BF4">
          <w:rPr>
            <w:rStyle w:val="Hyperlink"/>
          </w:rPr>
          <w:t>https://doi.org/10.1177/0090591717712151</w:t>
        </w:r>
      </w:hyperlink>
      <w:r w:rsidRPr="004D7BF4">
        <w:t xml:space="preserve">, </w:t>
      </w:r>
      <w:proofErr w:type="spellStart"/>
      <w:r w:rsidRPr="004D7BF4">
        <w:t>dwrs</w:t>
      </w:r>
      <w:proofErr w:type="spellEnd"/>
      <w:r w:rsidRPr="004D7BF4">
        <w:t xml:space="preserve"> 6/21]</w:t>
      </w:r>
    </w:p>
    <w:p w14:paraId="59FADF88" w14:textId="1B147CEA" w:rsidR="00D41CDC" w:rsidRDefault="00D41CDC" w:rsidP="00D41CDC">
      <w:r>
        <w:t xml:space="preserve">Deloria reminded his audience recently awakening to the horrors of the Vietnam War that </w:t>
      </w:r>
      <w:r w:rsidRPr="0044447E">
        <w:rPr>
          <w:rStyle w:val="StyleUnderline"/>
        </w:rPr>
        <w:t>“there has not been a time since the founding of the republic when the motives of this country were innocen</w:t>
      </w:r>
      <w:r>
        <w:t xml:space="preserve">t” (51). </w:t>
      </w:r>
      <w:r w:rsidRPr="0044447E">
        <w:rPr>
          <w:rStyle w:val="StyleUnderline"/>
        </w:rPr>
        <w:t>“When one considers American history in its imperialistic light,” Deloria contended, “it becomes apparent that if morality is to be achieved in this country’s relations with other nations a return to basic principles is in order</w:t>
      </w:r>
      <w:r>
        <w:t xml:space="preserve">” (51). From this vantage point of </w:t>
      </w:r>
      <w:r w:rsidRPr="0044447E">
        <w:rPr>
          <w:rStyle w:val="StyleUnderline"/>
        </w:rPr>
        <w:t>a “return,” an anti</w:t>
      </w:r>
      <w:r w:rsidRPr="005F4C3D">
        <w:rPr>
          <w:rStyle w:val="StyleUnderline"/>
        </w:rPr>
        <w:t>-colonial practice explicitly rejects the notion that an implicit universalism of constitutional principles need only be “achieved.</w:t>
      </w:r>
      <w:r>
        <w:t xml:space="preserve">”41 </w:t>
      </w:r>
      <w:r w:rsidRPr="005F4C3D">
        <w:rPr>
          <w:rStyle w:val="Emphasis"/>
        </w:rPr>
        <w:t>These “basic principles” are not located in a redemption of the constitutional order but in its potential reconstruction on different terms,</w:t>
      </w:r>
      <w:r>
        <w:t xml:space="preserve"> since “</w:t>
      </w:r>
      <w:r w:rsidRPr="005F4C3D">
        <w:rPr>
          <w:rStyle w:val="StyleUnderline"/>
        </w:rPr>
        <w:t>America got sick when the first Indian treaty was broken” and it “has never recovered</w:t>
      </w:r>
      <w:r>
        <w:t xml:space="preserve">” (76). </w:t>
      </w:r>
      <w:r w:rsidRPr="005F4C3D">
        <w:rPr>
          <w:rStyle w:val="Emphasis"/>
        </w:rPr>
        <w:t>This demand is less a return to any previous or original condition of an impossible “innocence” in a mythical past prior to this sickness than an imagined possibility of what could have been had the United States not “abruptly change[d] from treaties to a program of cultural destruction”</w:t>
      </w:r>
      <w:r>
        <w:t xml:space="preserve">—a reference to the 1819 Civilization Bill (49).42 He argued that </w:t>
      </w:r>
      <w:r w:rsidRPr="005F4C3D">
        <w:rPr>
          <w:rStyle w:val="StyleUnderline"/>
        </w:rPr>
        <w:t>relinquishing “cultural and economic imperialism” and respect for treaties are the indispensable condition of coexistence but one to which there is no untainted past to return because treaties everywhere have been an irreducibly colonial instrument of power and possession in the United States</w:t>
      </w:r>
      <w:r>
        <w:t xml:space="preserve"> (53).</w:t>
      </w:r>
    </w:p>
    <w:p w14:paraId="085E3BB4" w14:textId="77777777" w:rsidR="00D41CDC" w:rsidRDefault="00D41CDC" w:rsidP="00D41CDC">
      <w:r w:rsidRPr="005F4C3D">
        <w:rPr>
          <w:rStyle w:val="StyleUnderline"/>
        </w:rPr>
        <w:t>Acknowledging the paradoxical character of treaties as both instruments of dispossession and of lasting association, Deloria argued that “in looking back at the centuries of broken treaties, it is clear that the United States never intended to keep any of its promises</w:t>
      </w:r>
      <w:r>
        <w:t>” (48). Still</w:t>
      </w:r>
      <w:r w:rsidRPr="0044447E">
        <w:t>, in acknowledging the “promises” embedded in those treaties that established an ongoing relation between nations, Deloria argued that present-day disavowal of treaty promises caused Indians to “burn with resentment”</w:t>
      </w:r>
      <w:r>
        <w:t xml:space="preserve"> (35). </w:t>
      </w:r>
      <w:r w:rsidRPr="00420DD7">
        <w:rPr>
          <w:rStyle w:val="StyleUnderline"/>
        </w:rPr>
        <w:t>Deloria promoted “tribal sovereignty” and “self-determination” while nonetheless demanding a “general policy of restitution for the past”: “definite commitments to fulfill extant treaty obligations,” land restitution, and recognition of non-recognized tribes</w:t>
      </w:r>
      <w:r>
        <w:t xml:space="preserve"> (52). </w:t>
      </w:r>
      <w:r w:rsidRPr="00420DD7">
        <w:rPr>
          <w:rStyle w:val="StyleUnderline"/>
        </w:rPr>
        <w:t xml:space="preserve">Deloria thus planted </w:t>
      </w:r>
      <w:r w:rsidRPr="00744017">
        <w:rPr>
          <w:rStyle w:val="Emphasis"/>
        </w:rPr>
        <w:t>the seeds not of a redemptive politics of “equality” or “inclusion” insofar as these were understood within the terms of civic inclusion but one focused on situated acts of restitution aimed at undoing a colonial war compounded by the “additional moral claims” raised by contemporary abandonment</w:t>
      </w:r>
      <w:r>
        <w:t xml:space="preserve"> (52).43 </w:t>
      </w:r>
      <w:r w:rsidRPr="00744017">
        <w:rPr>
          <w:rStyle w:val="Emphasis"/>
        </w:rPr>
        <w:t>Treaties might function as a “pledge of faith between groups” embedded in ongoing entanglements, but only by shifting away from a politics premised on disavowal</w:t>
      </w:r>
      <w:r>
        <w:t>.44</w:t>
      </w:r>
    </w:p>
    <w:p w14:paraId="22250CF5" w14:textId="77777777" w:rsidR="00D41CDC" w:rsidRDefault="00D41CDC" w:rsidP="00D41CDC">
      <w:r w:rsidRPr="00E844A4">
        <w:rPr>
          <w:rStyle w:val="StyleUnderline"/>
        </w:rPr>
        <w:t xml:space="preserve">Consonant with this insistence on balancing a desire for separation and still confronting settler people with the terms of disavowal they had accepted, Deloria traced the ways in which </w:t>
      </w:r>
      <w:r w:rsidRPr="005C4087">
        <w:rPr>
          <w:rStyle w:val="Emphasis"/>
        </w:rPr>
        <w:t xml:space="preserve">the civic inclusion narrative configures these colonial dynamics as past aberrations. </w:t>
      </w:r>
      <w:r w:rsidRPr="00527005">
        <w:t>Deloria pointed out that</w:t>
      </w:r>
      <w:r w:rsidRPr="005C4087">
        <w:rPr>
          <w:rStyle w:val="Emphasis"/>
        </w:rPr>
        <w:t xml:space="preserve"> “people often feel guilty about their ancestors killing all those Indian years ago,” which motivated a sympathy that figured Indians entirely in the past tense or as passive rights-</w:t>
      </w:r>
      <w:r w:rsidRPr="00744017">
        <w:rPr>
          <w:rStyle w:val="Emphasis"/>
        </w:rPr>
        <w:t>recipients with a “plight.”</w:t>
      </w:r>
      <w:r w:rsidRPr="00527005">
        <w:t xml:space="preserve"> </w:t>
      </w:r>
      <w:r w:rsidRPr="00744017">
        <w:rPr>
          <w:rStyle w:val="StyleUnderline"/>
        </w:rPr>
        <w:t>Non-Indigenous peoples</w:t>
      </w:r>
      <w:r w:rsidRPr="00527005">
        <w:t xml:space="preserve">, Deloria argued, </w:t>
      </w:r>
      <w:r w:rsidRPr="00744017">
        <w:rPr>
          <w:rStyle w:val="StyleUnderline"/>
        </w:rPr>
        <w:t>“</w:t>
      </w:r>
      <w:r w:rsidRPr="00744017">
        <w:rPr>
          <w:rStyle w:val="Emphasis"/>
        </w:rPr>
        <w:t>shouldn’t feel guilty</w:t>
      </w:r>
      <w:r w:rsidRPr="00744017">
        <w:rPr>
          <w:rStyle w:val="StyleUnderline"/>
        </w:rPr>
        <w:t xml:space="preserve"> about the distant past” </w:t>
      </w:r>
      <w:r w:rsidRPr="00744017">
        <w:rPr>
          <w:rStyle w:val="Emphasis"/>
        </w:rPr>
        <w:t xml:space="preserve">with Termination </w:t>
      </w:r>
      <w:r w:rsidRPr="00744017">
        <w:rPr>
          <w:rStyle w:val="Emphasis"/>
        </w:rPr>
        <w:lastRenderedPageBreak/>
        <w:t>ongoing</w:t>
      </w:r>
      <w:r w:rsidRPr="00527005">
        <w:t xml:space="preserve"> (54). </w:t>
      </w:r>
      <w:r w:rsidRPr="00744017">
        <w:rPr>
          <w:rStyle w:val="StyleUnderline"/>
        </w:rPr>
        <w:t>As police, the judiciary, wardens, and state officials violated treaty rights</w:t>
      </w:r>
      <w:r w:rsidRPr="00744017">
        <w:rPr>
          <w:rStyle w:val="Emphasis"/>
        </w:rPr>
        <w:t>, “the general public has sat back, shed tears over the treatment of Indians a century ago, and bemoaned the plight of the Indian”</w:t>
      </w:r>
      <w:r w:rsidRPr="00527005">
        <w:t xml:space="preserve"> (41</w:t>
      </w:r>
      <w:r>
        <w:t xml:space="preserve">). </w:t>
      </w:r>
      <w:r w:rsidRPr="00DE7966">
        <w:rPr>
          <w:rStyle w:val="Emphasis"/>
        </w:rPr>
        <w:t>By displacing colonial war onto distant ancestors, the settler audience could be brought to such “tears” in “feel[</w:t>
      </w:r>
      <w:proofErr w:type="spellStart"/>
      <w:r w:rsidRPr="00DE7966">
        <w:rPr>
          <w:rStyle w:val="Emphasis"/>
        </w:rPr>
        <w:t>ing</w:t>
      </w:r>
      <w:proofErr w:type="spellEnd"/>
      <w:r w:rsidRPr="00DE7966">
        <w:rPr>
          <w:rStyle w:val="Emphasis"/>
        </w:rPr>
        <w:t>] sorry for us without taking responsibility for present arbitrary harassment”</w:t>
      </w:r>
      <w:r>
        <w:t xml:space="preserve"> (27). </w:t>
      </w:r>
      <w:r w:rsidRPr="00DE7966">
        <w:rPr>
          <w:rStyle w:val="Emphasis"/>
        </w:rPr>
        <w:t>Such tearful responses acknowledged past violence of a mythic past made “unreal”</w:t>
      </w:r>
      <w:r>
        <w:t xml:space="preserve"> (2). </w:t>
      </w:r>
      <w:r w:rsidRPr="00DE7966">
        <w:rPr>
          <w:rStyle w:val="Emphasis"/>
        </w:rPr>
        <w:t>Yet by directing this guilt at “Custer’s sins” toward the past and “turn[</w:t>
      </w:r>
      <w:proofErr w:type="spellStart"/>
      <w:r w:rsidRPr="00DE7966">
        <w:rPr>
          <w:rStyle w:val="Emphasis"/>
        </w:rPr>
        <w:t>ing</w:t>
      </w:r>
      <w:proofErr w:type="spellEnd"/>
      <w:r w:rsidRPr="00DE7966">
        <w:rPr>
          <w:rStyle w:val="Emphasis"/>
        </w:rPr>
        <w:t>] a deaf ear” to colonial violence in the present, such reactions conveyed a willful confusion at the Native view that situated distinct peoples in a fraught, contemporary struggle in relation to lands</w:t>
      </w:r>
      <w:r>
        <w:t xml:space="preserve"> (41).</w:t>
      </w:r>
    </w:p>
    <w:p w14:paraId="026EDF0F" w14:textId="77777777" w:rsidR="00D41CDC" w:rsidRDefault="00D41CDC" w:rsidP="00D41CDC">
      <w:r w:rsidRPr="001957EC">
        <w:rPr>
          <w:rStyle w:val="StyleUnderline"/>
        </w:rPr>
        <w:t>Countering these responses to the desire to start over unmarked by the past, Deloria reversed this temporal script of disappeared/passive Indians: “</w:t>
      </w:r>
      <w:r w:rsidRPr="001957EC">
        <w:rPr>
          <w:rStyle w:val="Emphasis"/>
        </w:rPr>
        <w:t>The tragedy of the past is that it sets precedents for land theft today</w:t>
      </w:r>
      <w:r>
        <w:t>” (30). In this vein, the title—Custer Died for Your Sins—</w:t>
      </w:r>
      <w:r w:rsidRPr="001957EC">
        <w:rPr>
          <w:rStyle w:val="StyleUnderline"/>
        </w:rPr>
        <w:t>provocatively raised this tendency to make past episodes of “exclusion” aberrational to the progressive expansion of rights, and thus to encourage dispositions that substitute guilt for the acknowledgment of ongoing colonial injustice that might conjure political action based not on misplaced sympathy but on the real solidarity of a “cultural leave-us-alone agreement, in spirit and fact</w:t>
      </w:r>
      <w:r>
        <w:t xml:space="preserve">” (27). </w:t>
      </w:r>
      <w:r w:rsidRPr="001957EC">
        <w:rPr>
          <w:rStyle w:val="Emphasis"/>
        </w:rPr>
        <w:t>Deloria thus turned to the language of sin to lampoon the structure of narratives of redemption, including the civic inclusion narrative.</w:t>
      </w:r>
      <w:r>
        <w:t xml:space="preserve"> By inserting Custer—whom he mockingly labeled the “‘Adolph Eichmann’ of the nineteenth century”—for Christ (24), </w:t>
      </w:r>
      <w:r w:rsidRPr="001957EC">
        <w:rPr>
          <w:rStyle w:val="Emphasis"/>
        </w:rPr>
        <w:t xml:space="preserve">Deloria reframed the Christian moment of redemption from the past as a comically inadequate response to practices of colonization and erasure. </w:t>
      </w:r>
      <w:r>
        <w:t>Deloria equated two figures who both represented the pitiful banality of differently constituted genocides. That Custer could at once be Eichmann and Jesus—both functionary and messiah—alerted readers to the impossibility of narrating settler political development on redemptive terms and called them to reflect on the everyday violence of ongoing colonization.</w:t>
      </w:r>
    </w:p>
    <w:p w14:paraId="727003EF" w14:textId="77777777" w:rsidR="00D41CDC" w:rsidRDefault="00D41CDC" w:rsidP="00D41CDC">
      <w:r w:rsidRPr="001957EC">
        <w:rPr>
          <w:rStyle w:val="StyleUnderline"/>
        </w:rPr>
        <w:t xml:space="preserve">Deloria’s upbraiding of this dominant narrative form spoke to the role of redemption, then, as an idiom that both seems to promise the reconstitution of political community and yet is itself driven by nationalist concerns. </w:t>
      </w:r>
      <w:r w:rsidRPr="001957EC">
        <w:rPr>
          <w:rStyle w:val="Emphasis"/>
        </w:rPr>
        <w:t>Prophecy did play a role in critical languages specific to different Indigenous communities</w:t>
      </w:r>
      <w:r>
        <w:t xml:space="preserve">: Deloria cites the Hopi prophet Thomas </w:t>
      </w:r>
      <w:proofErr w:type="spellStart"/>
      <w:r>
        <w:t>Banyaca</w:t>
      </w:r>
      <w:proofErr w:type="spellEnd"/>
      <w:r>
        <w:t xml:space="preserve"> (114). But </w:t>
      </w:r>
      <w:r w:rsidRPr="001957EC">
        <w:rPr>
          <w:rStyle w:val="StyleUnderline"/>
        </w:rPr>
        <w:t>prophecy was not deployed in an ambivalent relation to the narrative of a “redeemer nation</w:t>
      </w:r>
      <w:r>
        <w:t xml:space="preserve">,” in George Shulman’s terms.45 Rather, Deloria pointed out that </w:t>
      </w:r>
      <w:r w:rsidRPr="001957EC">
        <w:rPr>
          <w:rStyle w:val="StyleUnderline"/>
        </w:rPr>
        <w:t>the very narrative form inherent in prophecy tended to privilege time as a redemptive force moving away from a past from which there is no true escape because “the country was founded in violence</w:t>
      </w:r>
      <w:r>
        <w:t>” (255). Custer enjoined its readers to take up their “real” connections to this foundational violence that is sedimented in and lived out through the current terms of struggles over land.</w:t>
      </w:r>
    </w:p>
    <w:p w14:paraId="2AF011CE" w14:textId="056FB4B7" w:rsidR="001B0910" w:rsidRPr="0058580C" w:rsidRDefault="001B0910" w:rsidP="001B0910">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International Law</w:t>
      </w:r>
    </w:p>
    <w:p w14:paraId="56E7DFAE" w14:textId="77777777" w:rsidR="001B0910" w:rsidRPr="0058580C" w:rsidRDefault="001B0910" w:rsidP="001B0910">
      <w:pPr>
        <w:keepNext/>
        <w:keepLines/>
        <w:spacing w:before="40" w:after="0"/>
        <w:outlineLvl w:val="3"/>
        <w:rPr>
          <w:rFonts w:eastAsia="Times New Roman" w:cs="Times New Roman"/>
          <w:b/>
          <w:iCs/>
          <w:sz w:val="26"/>
        </w:rPr>
      </w:pPr>
      <w:r w:rsidRPr="0058580C">
        <w:rPr>
          <w:rFonts w:eastAsia="Times New Roman" w:cs="Times New Roman"/>
          <w:b/>
          <w:iCs/>
          <w:sz w:val="26"/>
        </w:rPr>
        <w:t>International human rights law doesn’t work but it does justify the existences of settler states and supports their construction</w:t>
      </w:r>
    </w:p>
    <w:p w14:paraId="187CF9DE" w14:textId="77777777" w:rsidR="001B0910" w:rsidRPr="0058580C" w:rsidRDefault="001B0910" w:rsidP="001B0910">
      <w:pPr>
        <w:spacing w:before="60" w:after="60"/>
        <w:rPr>
          <w:rFonts w:eastAsia="Calibri" w:cs="Calibri"/>
        </w:rPr>
      </w:pPr>
      <w:r w:rsidRPr="0058580C">
        <w:rPr>
          <w:rFonts w:eastAsia="Calibri" w:cs="Calibri"/>
          <w:b/>
          <w:bCs/>
          <w:sz w:val="26"/>
        </w:rPr>
        <w:t>Wyman-McCarthy, M.A. Candidate of HR studies at Columbia, 16</w:t>
      </w:r>
      <w:r w:rsidRPr="0058580C">
        <w:rPr>
          <w:rFonts w:eastAsia="Calibri" w:cs="Calibri"/>
        </w:rPr>
        <w:t xml:space="preserve"> (Tim, “(Ref)Using Human Rights: Indigenous Activism and the Politics of Refusal in Settler Colonial Contexts,” M.A. thesis, January 2016, </w:t>
      </w:r>
      <w:hyperlink r:id="rId8" w:history="1">
        <w:r w:rsidRPr="0058580C">
          <w:rPr>
            <w:rFonts w:eastAsia="Calibri" w:cs="Calibri"/>
          </w:rPr>
          <w:t>https://www.academia.edu/20793881/_Ref_Using_Human_Rights_Indigenous_Activism_and_the_Politics_of_Refusal_in_Settler_Colonial_Contexts</w:t>
        </w:r>
      </w:hyperlink>
      <w:r w:rsidRPr="0058580C">
        <w:rPr>
          <w:rFonts w:eastAsia="Calibri" w:cs="Calibri"/>
        </w:rPr>
        <w:t>, TR)</w:t>
      </w:r>
    </w:p>
    <w:p w14:paraId="0D8A8375" w14:textId="77777777" w:rsidR="001B0910" w:rsidRPr="0058580C" w:rsidRDefault="001B0910" w:rsidP="001B0910">
      <w:pPr>
        <w:rPr>
          <w:rFonts w:eastAsia="Calibri" w:cs="Calibri"/>
          <w:sz w:val="14"/>
        </w:rPr>
      </w:pPr>
      <w:r w:rsidRPr="0058580C">
        <w:rPr>
          <w:rFonts w:eastAsia="Calibri" w:cs="Calibri"/>
          <w:u w:val="single"/>
        </w:rPr>
        <w:t>The ‘complicit, but…’ thesis is somewhat more sophisticated, acknowledging the complicated history of international law and the state system, but ultimately concluding that these are still effective sites for contestation and change</w:t>
      </w:r>
      <w:r w:rsidRPr="0058580C">
        <w:rPr>
          <w:rFonts w:eastAsia="Calibri" w:cs="Calibri"/>
          <w:sz w:val="14"/>
        </w:rPr>
        <w:t xml:space="preserve">. James Anaya, former UN Special Rapporteur on the Rights of Indigenous Peoples, thus </w:t>
      </w:r>
      <w:r w:rsidRPr="0058580C">
        <w:rPr>
          <w:rFonts w:eastAsia="Calibri" w:cs="Calibri"/>
          <w:u w:val="single"/>
        </w:rPr>
        <w:t>concedes that, “[h]</w:t>
      </w:r>
      <w:proofErr w:type="spellStart"/>
      <w:r w:rsidRPr="0058580C">
        <w:rPr>
          <w:rFonts w:eastAsia="Calibri" w:cs="Calibri"/>
          <w:u w:val="single"/>
        </w:rPr>
        <w:t>istorically</w:t>
      </w:r>
      <w:proofErr w:type="spellEnd"/>
      <w:r w:rsidRPr="0058580C">
        <w:rPr>
          <w:rFonts w:eastAsia="Calibri" w:cs="Calibri"/>
          <w:u w:val="single"/>
        </w:rPr>
        <w:t>, international law developed to facilitate empire building and colonization,” but thinks that “today it promotes a very different model of human encounter and provides grounds for remedying the contemporary manifestations of the oppressive past</w:t>
      </w:r>
      <w:r w:rsidRPr="0058580C">
        <w:rPr>
          <w:rFonts w:eastAsia="Calibri" w:cs="Calibri"/>
          <w:sz w:val="14"/>
        </w:rPr>
        <w:t xml:space="preserve">” (2004: 289). For Mary Lawlor, although the UN has overtly and inadvertently helped to sustain the inherited order of neglect of indigenous rights, it has also created openings in the dense fabric of international state politics, such that indigenous peoples have been able to assert their claims to human rights with increasing effectiveness. (2006: 164-165) </w:t>
      </w:r>
      <w:r w:rsidRPr="0058580C">
        <w:rPr>
          <w:rFonts w:eastAsia="Calibri" w:cs="Calibri"/>
          <w:u w:val="single"/>
        </w:rPr>
        <w:t>These accounts often make a distinction between the international system—historically compromised and mired in asymmetrical power relations—and human rights—normatively positive, theoretically effective, and desired by all</w:t>
      </w:r>
      <w:r w:rsidRPr="0058580C">
        <w:rPr>
          <w:rFonts w:eastAsia="Calibri" w:cs="Calibri"/>
          <w:sz w:val="14"/>
        </w:rPr>
        <w:t xml:space="preserve">. Finally, the ‘transformational’ thesis takes the ‘complicit, but…’ thesis a step further, </w:t>
      </w:r>
      <w:r w:rsidRPr="0058580C">
        <w:rPr>
          <w:rFonts w:eastAsia="Calibri" w:cs="Calibri"/>
          <w:u w:val="single"/>
        </w:rPr>
        <w:t>suggesting that the system’s complicity in oppression might be coming to an end</w:t>
      </w:r>
      <w:r w:rsidRPr="0058580C">
        <w:rPr>
          <w:rFonts w:eastAsia="Calibri" w:cs="Calibri"/>
          <w:sz w:val="14"/>
        </w:rPr>
        <w:t xml:space="preserve">. Elvira </w:t>
      </w:r>
      <w:proofErr w:type="spellStart"/>
      <w:r w:rsidRPr="0058580C">
        <w:rPr>
          <w:rFonts w:eastAsia="Calibri" w:cs="Calibri"/>
          <w:sz w:val="14"/>
        </w:rPr>
        <w:t>Pulitano</w:t>
      </w:r>
      <w:proofErr w:type="spellEnd"/>
      <w:r w:rsidRPr="0058580C">
        <w:rPr>
          <w:rFonts w:eastAsia="Calibri" w:cs="Calibri"/>
          <w:sz w:val="14"/>
        </w:rPr>
        <w:t xml:space="preserve"> argues that the Indigenous presence at the UN has changed the institution, in spite of history: while there is “a certain irony” in framing the UNDRIP “in the language of international human rights law, the same law that legitimized the superiority of imperial colonial powers and the destruction of indigenous cultures,” we must remember that “international law is not immune to change any more than any other system of legal norms” (2012: 6). Similarly, as a “space for reciprocity” (2002: 428), Indigenous rights mechanisms, for Thornberry, have been “capable of engendering important systemic modifications to international law” (10). And perhaps most dramatically, Alexandra </w:t>
      </w:r>
      <w:proofErr w:type="spellStart"/>
      <w:r w:rsidRPr="0058580C">
        <w:rPr>
          <w:rFonts w:eastAsia="Calibri" w:cs="Calibri"/>
          <w:sz w:val="14"/>
        </w:rPr>
        <w:t>Xanthaki</w:t>
      </w:r>
      <w:proofErr w:type="spellEnd"/>
      <w:r w:rsidRPr="0058580C">
        <w:rPr>
          <w:rFonts w:eastAsia="Calibri" w:cs="Calibri"/>
          <w:sz w:val="14"/>
        </w:rPr>
        <w:t xml:space="preserve"> cites the transformative effect of indigenous rights for international law and international organizations, as [Indigenous rights] have changed the very ground rules of the Westphalian order that had privileged state actors over non-state actors, and privileged state sovereignty over principles of justice and democratic inclusion. (2014: 69) </w:t>
      </w:r>
      <w:r w:rsidRPr="0058580C">
        <w:rPr>
          <w:rFonts w:eastAsia="Calibri" w:cs="Calibri"/>
          <w:u w:val="single"/>
        </w:rPr>
        <w:t xml:space="preserve">From the relatively modest claim that the exceptional UN Indigenous space allows for argument and rebuttal, we have come to a point where it is this space (rather than forces like neoliberal </w:t>
      </w:r>
      <w:proofErr w:type="spellStart"/>
      <w:r w:rsidRPr="0058580C">
        <w:rPr>
          <w:rFonts w:eastAsia="Calibri" w:cs="Calibri"/>
          <w:u w:val="single"/>
        </w:rPr>
        <w:t>globalisation</w:t>
      </w:r>
      <w:proofErr w:type="spellEnd"/>
      <w:r w:rsidRPr="0058580C">
        <w:rPr>
          <w:rFonts w:eastAsia="Calibri" w:cs="Calibri"/>
          <w:u w:val="single"/>
        </w:rPr>
        <w:t>, migration, or war) that is actually changing the most fundamental precepts of the Westphalian order</w:t>
      </w:r>
      <w:r w:rsidRPr="0058580C">
        <w:rPr>
          <w:rFonts w:eastAsia="Calibri" w:cs="Calibri"/>
          <w:sz w:val="14"/>
        </w:rPr>
        <w:t xml:space="preserve">. What are the dangers of this move to </w:t>
      </w:r>
      <w:proofErr w:type="spellStart"/>
      <w:r w:rsidRPr="0058580C">
        <w:rPr>
          <w:rFonts w:eastAsia="Calibri" w:cs="Calibri"/>
          <w:sz w:val="14"/>
        </w:rPr>
        <w:t>exceptionalize</w:t>
      </w:r>
      <w:proofErr w:type="spellEnd"/>
      <w:r w:rsidRPr="0058580C">
        <w:rPr>
          <w:rFonts w:eastAsia="Calibri" w:cs="Calibri"/>
          <w:sz w:val="14"/>
        </w:rPr>
        <w:t xml:space="preserve"> the UNDRIP and its attendant Indigenous rights mechanisms as exceeding the normative structure of the UN’s liberal human rights framework? Why do we think of the UN as a space of self-articulation that does not itself pre-determine the boundaries or contours of what might be articulated? Or one that can change the international system itself? After all, as </w:t>
      </w:r>
      <w:proofErr w:type="spellStart"/>
      <w:r w:rsidRPr="0058580C">
        <w:rPr>
          <w:rFonts w:eastAsia="Calibri" w:cs="Calibri"/>
          <w:sz w:val="14"/>
        </w:rPr>
        <w:t>Illan</w:t>
      </w:r>
      <w:proofErr w:type="spellEnd"/>
      <w:r w:rsidRPr="0058580C">
        <w:rPr>
          <w:rFonts w:eastAsia="Calibri" w:cs="Calibri"/>
          <w:sz w:val="14"/>
        </w:rPr>
        <w:t xml:space="preserve"> </w:t>
      </w:r>
      <w:proofErr w:type="spellStart"/>
      <w:r w:rsidRPr="0058580C">
        <w:rPr>
          <w:rFonts w:eastAsia="Calibri" w:cs="Calibri"/>
          <w:sz w:val="14"/>
        </w:rPr>
        <w:t>Rua</w:t>
      </w:r>
      <w:proofErr w:type="spellEnd"/>
      <w:r w:rsidRPr="0058580C">
        <w:rPr>
          <w:rFonts w:eastAsia="Calibri" w:cs="Calibri"/>
          <w:sz w:val="14"/>
        </w:rPr>
        <w:t xml:space="preserve"> Wall argues, “</w:t>
      </w:r>
      <w:r w:rsidRPr="0058580C">
        <w:rPr>
          <w:rFonts w:eastAsia="Calibri" w:cs="Calibri"/>
          <w:b/>
          <w:iCs/>
          <w:u w:val="single"/>
        </w:rPr>
        <w:t>[l]aw is more likely to crush the attempt to open the existing order, than to remain responsive to it</w:t>
      </w:r>
      <w:r w:rsidRPr="0058580C">
        <w:rPr>
          <w:rFonts w:eastAsia="Calibri" w:cs="Calibri"/>
          <w:sz w:val="14"/>
        </w:rPr>
        <w:t xml:space="preserve">” (2014: 109). </w:t>
      </w:r>
      <w:proofErr w:type="gramStart"/>
      <w:r w:rsidRPr="0058580C">
        <w:rPr>
          <w:rFonts w:eastAsia="Calibri" w:cs="Calibri"/>
          <w:sz w:val="14"/>
        </w:rPr>
        <w:t>A number of</w:t>
      </w:r>
      <w:proofErr w:type="gramEnd"/>
      <w:r w:rsidRPr="0058580C">
        <w:rPr>
          <w:rFonts w:eastAsia="Calibri" w:cs="Calibri"/>
          <w:sz w:val="14"/>
        </w:rPr>
        <w:t xml:space="preserve"> recent commentators have challenged the ‘exceptionalism narrative’ by unveiling the tactics used by states to retain power. Political scientists Jeff </w:t>
      </w:r>
      <w:proofErr w:type="spellStart"/>
      <w:r w:rsidRPr="0058580C">
        <w:rPr>
          <w:rFonts w:eastAsia="Calibri" w:cs="Calibri"/>
          <w:sz w:val="14"/>
        </w:rPr>
        <w:t>Corntassel</w:t>
      </w:r>
      <w:proofErr w:type="spellEnd"/>
      <w:r w:rsidRPr="0058580C">
        <w:rPr>
          <w:rFonts w:eastAsia="Calibri" w:cs="Calibri"/>
          <w:sz w:val="14"/>
        </w:rPr>
        <w:t xml:space="preserve"> and Sheryl Lightfoot, for instance, highlight the dangerous sense of accomplishment resulting from “illusions of inclusion” (</w:t>
      </w:r>
      <w:proofErr w:type="spellStart"/>
      <w:r w:rsidRPr="0058580C">
        <w:rPr>
          <w:rFonts w:eastAsia="Calibri" w:cs="Calibri"/>
          <w:sz w:val="14"/>
        </w:rPr>
        <w:t>Corntassel</w:t>
      </w:r>
      <w:proofErr w:type="spellEnd"/>
      <w:r w:rsidRPr="0058580C">
        <w:rPr>
          <w:rFonts w:eastAsia="Calibri" w:cs="Calibri"/>
          <w:sz w:val="14"/>
        </w:rPr>
        <w:t xml:space="preserve"> 2008: 109). In this account, </w:t>
      </w:r>
      <w:r w:rsidRPr="0058580C">
        <w:rPr>
          <w:rFonts w:eastAsia="Calibri" w:cs="Calibri"/>
          <w:b/>
          <w:iCs/>
          <w:u w:val="single"/>
        </w:rPr>
        <w:t>rights-based discourse has fostered a sense of accomplishment that elides and supports more subtle structures of power</w:t>
      </w:r>
      <w:r w:rsidRPr="0058580C">
        <w:rPr>
          <w:rFonts w:eastAsia="Calibri" w:cs="Calibri"/>
          <w:sz w:val="14"/>
        </w:rPr>
        <w:t xml:space="preserve">. Thus </w:t>
      </w:r>
      <w:proofErr w:type="spellStart"/>
      <w:r w:rsidRPr="0058580C">
        <w:rPr>
          <w:rFonts w:eastAsia="Calibri" w:cs="Calibri"/>
          <w:sz w:val="14"/>
        </w:rPr>
        <w:t>Corntassel</w:t>
      </w:r>
      <w:proofErr w:type="spellEnd"/>
      <w:r w:rsidRPr="0058580C">
        <w:rPr>
          <w:rFonts w:eastAsia="Calibri" w:cs="Calibri"/>
          <w:sz w:val="14"/>
        </w:rPr>
        <w:t xml:space="preserve"> notes how states and INGOs, through rights-based discourses, have framed self-determination claims in a way that separates “political/legal recognition of a limited indigenous autonomy within the existing framework of the host state(s)” from crucial questions of natural resources and lands (107). The material accouterments necessary to live meaningful self-determination is divorced from the abstracted “political/legal entitlements” offered benevolently by the government (107- 108). </w:t>
      </w:r>
      <w:proofErr w:type="spellStart"/>
      <w:r w:rsidRPr="0058580C">
        <w:rPr>
          <w:rFonts w:eastAsia="Calibri" w:cs="Calibri"/>
          <w:sz w:val="14"/>
        </w:rPr>
        <w:t>Corntassel</w:t>
      </w:r>
      <w:proofErr w:type="spellEnd"/>
      <w:r w:rsidRPr="0058580C">
        <w:rPr>
          <w:rFonts w:eastAsia="Calibri" w:cs="Calibri"/>
          <w:sz w:val="14"/>
        </w:rPr>
        <w:t xml:space="preserve"> also worries that energy spent appealing to the global Indigenous rights regime is energy diverted from the hard work of sustainable community regeneration (113): “</w:t>
      </w:r>
      <w:r w:rsidRPr="0058580C">
        <w:rPr>
          <w:rFonts w:eastAsia="Calibri" w:cs="Calibri"/>
          <w:u w:val="single"/>
        </w:rPr>
        <w:t xml:space="preserve">[t]he pursuit of </w:t>
      </w:r>
      <w:r w:rsidRPr="0058580C">
        <w:rPr>
          <w:rFonts w:eastAsia="Calibri" w:cs="Calibri"/>
          <w:b/>
          <w:iCs/>
          <w:u w:val="single"/>
        </w:rPr>
        <w:t>a political/legal rights-based discourse leads indigenous peoples to frame their goals/issues in a state-centered</w:t>
      </w:r>
      <w:r w:rsidRPr="0058580C">
        <w:rPr>
          <w:rFonts w:eastAsia="Calibri" w:cs="Calibri"/>
          <w:u w:val="single"/>
        </w:rPr>
        <w:t xml:space="preserve"> (rather than a community-centered) </w:t>
      </w:r>
      <w:r w:rsidRPr="0058580C">
        <w:rPr>
          <w:rFonts w:eastAsia="Calibri" w:cs="Calibri"/>
          <w:b/>
          <w:iCs/>
          <w:u w:val="single"/>
        </w:rPr>
        <w:t>way</w:t>
      </w:r>
      <w:r w:rsidRPr="0058580C">
        <w:rPr>
          <w:rFonts w:eastAsia="Calibri" w:cs="Calibri"/>
          <w:sz w:val="14"/>
        </w:rPr>
        <w:t xml:space="preserve">” (115), which is precisely what states have tried to do year after year at the PFII in an attempt “to reinforce an agenda of Indigenous rights ‘domestication’” (2007: 142). </w:t>
      </w:r>
      <w:r w:rsidRPr="0058580C">
        <w:rPr>
          <w:rFonts w:eastAsia="Calibri" w:cs="Calibri"/>
          <w:u w:val="single"/>
        </w:rPr>
        <w:t xml:space="preserve">This domestication is </w:t>
      </w:r>
      <w:r w:rsidRPr="0058580C">
        <w:rPr>
          <w:rFonts w:eastAsia="Calibri" w:cs="Calibri"/>
          <w:b/>
          <w:iCs/>
          <w:u w:val="single"/>
        </w:rPr>
        <w:t>supported by a process of ‘cooptation’</w:t>
      </w:r>
      <w:r w:rsidRPr="0058580C">
        <w:rPr>
          <w:rFonts w:eastAsia="Calibri" w:cs="Calibri"/>
          <w:u w:val="single"/>
        </w:rPr>
        <w:t>: when, “in a system of power, the power holder intentionally extends some form of political participation to actors who pose a threat</w:t>
      </w:r>
      <w:r w:rsidRPr="0058580C">
        <w:rPr>
          <w:rFonts w:eastAsia="Calibri" w:cs="Calibri"/>
          <w:sz w:val="14"/>
        </w:rPr>
        <w:t xml:space="preserve">” (139). </w:t>
      </w:r>
      <w:r w:rsidRPr="0058580C">
        <w:rPr>
          <w:rFonts w:eastAsia="Calibri" w:cs="Calibri"/>
          <w:u w:val="single"/>
        </w:rPr>
        <w:t xml:space="preserve">In the case of the UN system, this occurs primarily through two tactics: blunting and </w:t>
      </w:r>
      <w:proofErr w:type="spellStart"/>
      <w:r w:rsidRPr="0058580C">
        <w:rPr>
          <w:rFonts w:eastAsia="Calibri" w:cs="Calibri"/>
          <w:u w:val="single"/>
        </w:rPr>
        <w:t>channelling</w:t>
      </w:r>
      <w:proofErr w:type="spellEnd"/>
      <w:r w:rsidRPr="0058580C">
        <w:rPr>
          <w:rFonts w:eastAsia="Calibri" w:cs="Calibri"/>
          <w:u w:val="single"/>
        </w:rPr>
        <w:t xml:space="preserve">. Through blunting, “an Indigenous political agenda is shifted and altered to fit the dominant norms of existing institutional structures,” and </w:t>
      </w:r>
      <w:proofErr w:type="spellStart"/>
      <w:r w:rsidRPr="0058580C">
        <w:rPr>
          <w:rFonts w:eastAsia="Calibri" w:cs="Calibri"/>
          <w:u w:val="single"/>
        </w:rPr>
        <w:t>channelling</w:t>
      </w:r>
      <w:proofErr w:type="spellEnd"/>
      <w:r w:rsidRPr="0058580C">
        <w:rPr>
          <w:rFonts w:eastAsia="Calibri" w:cs="Calibri"/>
          <w:u w:val="single"/>
        </w:rPr>
        <w:t xml:space="preserve"> refers to when “members of </w:t>
      </w:r>
      <w:r w:rsidRPr="0058580C">
        <w:rPr>
          <w:rFonts w:eastAsia="Calibri" w:cs="Calibri"/>
          <w:b/>
          <w:iCs/>
          <w:u w:val="single"/>
        </w:rPr>
        <w:t xml:space="preserve">Indigenous groups, having </w:t>
      </w:r>
      <w:r w:rsidRPr="0058580C">
        <w:rPr>
          <w:rFonts w:eastAsia="Calibri" w:cs="Calibri"/>
          <w:b/>
          <w:iCs/>
          <w:u w:val="single"/>
        </w:rPr>
        <w:lastRenderedPageBreak/>
        <w:t>accepted representation via global forums, confine their activities solely within these official structures and cease other forms of political mobilization</w:t>
      </w:r>
      <w:r w:rsidRPr="0058580C">
        <w:rPr>
          <w:rFonts w:eastAsia="Calibri" w:cs="Calibri"/>
          <w:u w:val="single"/>
        </w:rPr>
        <w:t xml:space="preserve"> outside of the UN system</w:t>
      </w:r>
      <w:r w:rsidRPr="0058580C">
        <w:rPr>
          <w:rFonts w:eastAsia="Calibri" w:cs="Calibri"/>
          <w:sz w:val="14"/>
        </w:rPr>
        <w:t xml:space="preserve">” (140).5 </w:t>
      </w:r>
      <w:r w:rsidRPr="0058580C">
        <w:rPr>
          <w:rFonts w:eastAsia="Calibri" w:cs="Calibri"/>
          <w:u w:val="single"/>
        </w:rPr>
        <w:t>What results</w:t>
      </w:r>
      <w:r w:rsidRPr="0058580C">
        <w:rPr>
          <w:rFonts w:eastAsia="Calibri" w:cs="Calibri"/>
          <w:sz w:val="14"/>
        </w:rPr>
        <w:t>, he concludes, “</w:t>
      </w:r>
      <w:r w:rsidRPr="0058580C">
        <w:rPr>
          <w:rFonts w:eastAsia="Calibri" w:cs="Calibri"/>
          <w:u w:val="single"/>
        </w:rPr>
        <w:t>is a cadre of professionalized Indigenous delegates who demonstrate more allegiance to the UN system than to their own communities</w:t>
      </w:r>
      <w:r w:rsidRPr="0058580C">
        <w:rPr>
          <w:rFonts w:eastAsia="Calibri" w:cs="Calibri"/>
          <w:sz w:val="14"/>
        </w:rPr>
        <w:t xml:space="preserve">” (161). </w:t>
      </w:r>
      <w:r w:rsidRPr="0058580C">
        <w:rPr>
          <w:rFonts w:eastAsia="Calibri" w:cs="Calibri"/>
          <w:u w:val="single"/>
        </w:rPr>
        <w:t xml:space="preserve">Beyond this, those </w:t>
      </w:r>
      <w:r w:rsidRPr="0058580C">
        <w:rPr>
          <w:rFonts w:eastAsia="Calibri" w:cs="Calibri"/>
          <w:b/>
          <w:iCs/>
          <w:u w:val="single"/>
        </w:rPr>
        <w:t>rights that are successfully claimed have no robust enforcement mechanism</w:t>
      </w:r>
      <w:r w:rsidRPr="0058580C">
        <w:rPr>
          <w:rFonts w:eastAsia="Calibri" w:cs="Calibri"/>
          <w:sz w:val="14"/>
        </w:rPr>
        <w:t xml:space="preserve">. The PFII can only respond to human rights abuses through “reporting, standard-setting, and occasionally making recommendations to other UN agencies” rather than through strong remedial or preventative action (141). </w:t>
      </w:r>
      <w:proofErr w:type="spellStart"/>
      <w:r w:rsidRPr="0058580C">
        <w:rPr>
          <w:rFonts w:eastAsia="Calibri" w:cs="Calibri"/>
          <w:sz w:val="14"/>
        </w:rPr>
        <w:t>Corntassel</w:t>
      </w:r>
      <w:proofErr w:type="spellEnd"/>
      <w:r w:rsidRPr="0058580C">
        <w:rPr>
          <w:rFonts w:eastAsia="Calibri" w:cs="Calibri"/>
          <w:sz w:val="14"/>
        </w:rPr>
        <w:t xml:space="preserve"> concludes that </w:t>
      </w:r>
      <w:r w:rsidRPr="0058580C">
        <w:rPr>
          <w:rFonts w:eastAsia="Calibri" w:cs="Calibri"/>
          <w:u w:val="single"/>
        </w:rPr>
        <w:t xml:space="preserve">Indigenous </w:t>
      </w:r>
      <w:r w:rsidRPr="0058580C">
        <w:rPr>
          <w:rFonts w:eastAsia="Calibri" w:cs="Calibri"/>
          <w:b/>
          <w:iCs/>
          <w:u w:val="single"/>
        </w:rPr>
        <w:t>political mobilization needs to shift from accepting state-given rights to</w:t>
      </w:r>
      <w:r w:rsidRPr="0058580C">
        <w:rPr>
          <w:rFonts w:eastAsia="Calibri" w:cs="Calibri"/>
          <w:u w:val="single"/>
        </w:rPr>
        <w:t xml:space="preserve"> investing in community responsibilities as one way to “</w:t>
      </w:r>
      <w:r w:rsidRPr="0058580C">
        <w:rPr>
          <w:rFonts w:eastAsia="Calibri" w:cs="Calibri"/>
          <w:b/>
          <w:iCs/>
          <w:u w:val="single"/>
        </w:rPr>
        <w:t>de-center the state</w:t>
      </w:r>
      <w:r w:rsidRPr="0058580C">
        <w:rPr>
          <w:rFonts w:eastAsia="Calibri" w:cs="Calibri"/>
          <w:sz w:val="14"/>
        </w:rPr>
        <w:t xml:space="preserve">” (2008: 123) </w:t>
      </w:r>
      <w:r w:rsidRPr="0058580C">
        <w:rPr>
          <w:rFonts w:eastAsia="Calibri" w:cs="Calibri"/>
          <w:u w:val="single"/>
        </w:rPr>
        <w:t xml:space="preserve">and the cooptation, blunting, and </w:t>
      </w:r>
      <w:proofErr w:type="spellStart"/>
      <w:r w:rsidRPr="0058580C">
        <w:rPr>
          <w:rFonts w:eastAsia="Calibri" w:cs="Calibri"/>
          <w:u w:val="single"/>
        </w:rPr>
        <w:t>channelling</w:t>
      </w:r>
      <w:proofErr w:type="spellEnd"/>
      <w:r w:rsidRPr="0058580C">
        <w:rPr>
          <w:rFonts w:eastAsia="Calibri" w:cs="Calibri"/>
          <w:u w:val="single"/>
        </w:rPr>
        <w:t xml:space="preserve"> that protects it</w:t>
      </w:r>
      <w:r w:rsidRPr="0058580C">
        <w:rPr>
          <w:rFonts w:eastAsia="Calibri" w:cs="Calibri"/>
          <w:sz w:val="14"/>
        </w:rPr>
        <w:t xml:space="preserve">. However, in arguing that current rights discourse “can take indigenous peoples only so far” (2008: 105), </w:t>
      </w:r>
      <w:proofErr w:type="spellStart"/>
      <w:r w:rsidRPr="0058580C">
        <w:rPr>
          <w:rFonts w:eastAsia="Calibri" w:cs="Calibri"/>
          <w:sz w:val="14"/>
        </w:rPr>
        <w:t>Corntassel</w:t>
      </w:r>
      <w:proofErr w:type="spellEnd"/>
      <w:r w:rsidRPr="0058580C">
        <w:rPr>
          <w:rFonts w:eastAsia="Calibri" w:cs="Calibri"/>
          <w:sz w:val="14"/>
        </w:rPr>
        <w:t xml:space="preserve"> nevertheless invests in the idea that this rights discourse has taken Indigenous peoples somewhere: “I am not advocating a complete abandonment of a rights-based discourse, as it can be a useful tool for facilitating political maneuverability and opening new indigenous spaces within the </w:t>
      </w:r>
      <w:proofErr w:type="spellStart"/>
      <w:r w:rsidRPr="0058580C">
        <w:rPr>
          <w:rFonts w:eastAsia="Calibri" w:cs="Calibri"/>
          <w:sz w:val="14"/>
        </w:rPr>
        <w:t>statecentric</w:t>
      </w:r>
      <w:proofErr w:type="spellEnd"/>
      <w:r w:rsidRPr="0058580C">
        <w:rPr>
          <w:rFonts w:eastAsia="Calibri" w:cs="Calibri"/>
          <w:sz w:val="14"/>
        </w:rPr>
        <w:t xml:space="preserve"> system…” (121, emphasis added). Despite his critique, </w:t>
      </w:r>
      <w:proofErr w:type="spellStart"/>
      <w:r w:rsidRPr="0058580C">
        <w:rPr>
          <w:rFonts w:eastAsia="Calibri" w:cs="Calibri"/>
          <w:sz w:val="14"/>
        </w:rPr>
        <w:t>Corntassel</w:t>
      </w:r>
      <w:proofErr w:type="spellEnd"/>
      <w:r w:rsidRPr="0058580C">
        <w:rPr>
          <w:rFonts w:eastAsia="Calibri" w:cs="Calibri"/>
          <w:sz w:val="14"/>
        </w:rPr>
        <w:t xml:space="preserve"> does not resist the idea that international human rights discourse offers a space for the articulation and activation of Indigenous demands. The creation of an entirely new space within a global hegemonic structure goes well beyond the claim that human rights might be a tactical tool, which </w:t>
      </w:r>
      <w:proofErr w:type="spellStart"/>
      <w:r w:rsidRPr="0058580C">
        <w:rPr>
          <w:rFonts w:eastAsia="Calibri" w:cs="Calibri"/>
          <w:sz w:val="14"/>
        </w:rPr>
        <w:t>Corntassel</w:t>
      </w:r>
      <w:proofErr w:type="spellEnd"/>
      <w:r w:rsidRPr="0058580C">
        <w:rPr>
          <w:rFonts w:eastAsia="Calibri" w:cs="Calibri"/>
          <w:sz w:val="14"/>
        </w:rPr>
        <w:t xml:space="preserve"> makes at the beginning of his statement. Sheryl Lightfoot’s work, however, </w:t>
      </w:r>
      <w:r w:rsidRPr="0058580C">
        <w:rPr>
          <w:rFonts w:eastAsia="Calibri" w:cs="Calibri"/>
          <w:u w:val="single"/>
        </w:rPr>
        <w:t>should give pause to any thought that this state-centric system will easily provide such a space</w:t>
      </w:r>
      <w:r w:rsidRPr="0058580C">
        <w:rPr>
          <w:rFonts w:eastAsia="Calibri" w:cs="Calibri"/>
          <w:sz w:val="14"/>
        </w:rPr>
        <w:t xml:space="preserve">. Lightfoot seeks to understand the “paradoxical and puzzling compliance behavior in the area of indigenous rights” (2012: 85); that is, why some states actually go beyond the standards of international norms in domestic legislation (are ‘over-compliant’) while refusing to assent to (sign or ratify) those standards in international legal documents. “[W]hat type of commitment behavior,” Lightfoot asks, “can occur when an international human rights regime emerges that directly conflicts with the interests of liberal, democratic, human rights-advocating states?” (101). Lightfoot identifies three such states: Canada, New Zealand, and Australia. These are all common law countries, “founded on the Doctrine of Discovery” and caught in a tension between nurturing their national identities as ‘strong human rights supporters’ (which would require a renunciation of the Doctrine and its sordid history), and the need to protect state borders and sovereignty (which would preclude any renunciation of the Doctrine) (2010: 92). To reconcile this tension, Canada is encouraged to make ‘positive changes’ vis-à-vis indigenous peoples, which within its tradition of multiculturalism leads to a framework “that emphasizes equality and correcting socio-economic disparities as an end goal” (101). This approach then both provides absolution for Canada’s past while also “creating certainty for the future by securing land tenure and state sovereignty” (102). Thus over-compliance, like </w:t>
      </w:r>
      <w:proofErr w:type="spellStart"/>
      <w:r w:rsidRPr="0058580C">
        <w:rPr>
          <w:rFonts w:eastAsia="Calibri" w:cs="Calibri"/>
          <w:sz w:val="14"/>
        </w:rPr>
        <w:t>Corntassel’s</w:t>
      </w:r>
      <w:proofErr w:type="spellEnd"/>
      <w:r w:rsidRPr="0058580C">
        <w:rPr>
          <w:rFonts w:eastAsia="Calibri" w:cs="Calibri"/>
          <w:sz w:val="14"/>
        </w:rPr>
        <w:t xml:space="preserve"> ‘cooptation’, is a form of resistance to the norms of international Indigenous rights discourse which could pose a challenge to the liberal state, suggesting that states like Canada will happily implement ‘soft rights’ “in order to resist developments in ‘hard rights’ areas that would threaten the liberal framework and the sovereignty status quo” (103).6 This scholarship challenges </w:t>
      </w:r>
      <w:proofErr w:type="spellStart"/>
      <w:r w:rsidRPr="0058580C">
        <w:rPr>
          <w:rFonts w:eastAsia="Calibri" w:cs="Calibri"/>
          <w:sz w:val="14"/>
        </w:rPr>
        <w:t>Niezen’s</w:t>
      </w:r>
      <w:proofErr w:type="spellEnd"/>
      <w:r w:rsidRPr="0058580C">
        <w:rPr>
          <w:rFonts w:eastAsia="Calibri" w:cs="Calibri"/>
          <w:sz w:val="14"/>
        </w:rPr>
        <w:t xml:space="preserve"> claim that groups “subscribe to human rights for their effectiveness in resisting the abuses of states” (2003: 216), a tactic which seems, after Lightfoot and </w:t>
      </w:r>
      <w:proofErr w:type="spellStart"/>
      <w:r w:rsidRPr="0058580C">
        <w:rPr>
          <w:rFonts w:eastAsia="Calibri" w:cs="Calibri"/>
          <w:sz w:val="14"/>
        </w:rPr>
        <w:t>Corntassel</w:t>
      </w:r>
      <w:proofErr w:type="spellEnd"/>
      <w:r w:rsidRPr="0058580C">
        <w:rPr>
          <w:rFonts w:eastAsia="Calibri" w:cs="Calibri"/>
          <w:sz w:val="14"/>
        </w:rPr>
        <w:t xml:space="preserve">, to be anything but effective. Lightfoot, however, recognizes that Indigenous peoples are in a bind: by 2010 there was a backlog of some 800-1000 land claims cases in Canada to be litigated on a case-by-case basis, and so it is understandable that First Nations communities would turn to the international sphere to exert external pressure on the Canadian government (2010: 100-101). Yet, despite diagnosing the practices of over-compliance and selective endorsement as indicative of a “colonial ambivalence” in liberal settler-states’ approach to Indigenous rights (2010: 104; 2012: 103), Lightfoot fails to explore what this ‘ambivalence’ indicates about the viability of the human rights normative project in such settler contexts. Rather, like </w:t>
      </w:r>
      <w:proofErr w:type="spellStart"/>
      <w:r w:rsidRPr="0058580C">
        <w:rPr>
          <w:rFonts w:eastAsia="Calibri" w:cs="Calibri"/>
          <w:sz w:val="14"/>
        </w:rPr>
        <w:t>Corntassel</w:t>
      </w:r>
      <w:proofErr w:type="spellEnd"/>
      <w:r w:rsidRPr="0058580C">
        <w:rPr>
          <w:rFonts w:eastAsia="Calibri" w:cs="Calibri"/>
          <w:sz w:val="14"/>
        </w:rPr>
        <w:t>, Lightfoot ultimately focuses on the problems of implementation: “[</w:t>
      </w:r>
      <w:proofErr w:type="spellStart"/>
      <w:r w:rsidRPr="0058580C">
        <w:rPr>
          <w:rFonts w:eastAsia="Calibri" w:cs="Calibri"/>
          <w:sz w:val="14"/>
        </w:rPr>
        <w:t>i</w:t>
      </w:r>
      <w:proofErr w:type="spellEnd"/>
      <w:r w:rsidRPr="0058580C">
        <w:rPr>
          <w:rFonts w:eastAsia="Calibri" w:cs="Calibri"/>
          <w:sz w:val="14"/>
        </w:rPr>
        <w:t>]n order to advance Indigenous rights in practice, the moral and political campaign should look beyond issues of state endorsement and concentrate squarely on the status of state implementation of Indigenous rights norms as articulated in the [UNDRIP]” (2012: 119). This perspective not only falls in line with the dominant trend in “existing literature on the Declaration to date,” which mostly seeks to “[draw] attention to the necessity of implementing its provisions” (</w:t>
      </w:r>
      <w:proofErr w:type="spellStart"/>
      <w:r w:rsidRPr="0058580C">
        <w:rPr>
          <w:rFonts w:eastAsia="Calibri" w:cs="Calibri"/>
          <w:sz w:val="14"/>
        </w:rPr>
        <w:t>Pulitano</w:t>
      </w:r>
      <w:proofErr w:type="spellEnd"/>
      <w:r w:rsidRPr="0058580C">
        <w:rPr>
          <w:rFonts w:eastAsia="Calibri" w:cs="Calibri"/>
          <w:sz w:val="14"/>
        </w:rPr>
        <w:t xml:space="preserve"> 2012: 10), but also fails to consider the dangers of ‘successfully’ implementing these norms, which both scholars seem to take as self-evidently good. 7 Karen Engle, differently, is less willing to invest in either Indigenous rights discourse as </w:t>
      </w:r>
      <w:proofErr w:type="gramStart"/>
      <w:r w:rsidRPr="0058580C">
        <w:rPr>
          <w:rFonts w:eastAsia="Calibri" w:cs="Calibri"/>
          <w:sz w:val="14"/>
        </w:rPr>
        <w:t>opening up</w:t>
      </w:r>
      <w:proofErr w:type="gramEnd"/>
      <w:r w:rsidRPr="0058580C">
        <w:rPr>
          <w:rFonts w:eastAsia="Calibri" w:cs="Calibri"/>
          <w:sz w:val="14"/>
        </w:rPr>
        <w:t xml:space="preserve"> space for political mobilization (</w:t>
      </w:r>
      <w:proofErr w:type="spellStart"/>
      <w:r w:rsidRPr="0058580C">
        <w:rPr>
          <w:rFonts w:eastAsia="Calibri" w:cs="Calibri"/>
          <w:sz w:val="14"/>
        </w:rPr>
        <w:t>Corntassel</w:t>
      </w:r>
      <w:proofErr w:type="spellEnd"/>
      <w:r w:rsidRPr="0058580C">
        <w:rPr>
          <w:rFonts w:eastAsia="Calibri" w:cs="Calibri"/>
          <w:sz w:val="14"/>
        </w:rPr>
        <w:t xml:space="preserve">) or the UNDRIP as articulating an effective set of norms that need only be properly implemented (Lightfoot). She sees the UNDRIP instead as representing “the continued power and persistence of an international human rights paradigm that eschews strong forms of indigenous </w:t>
      </w:r>
      <w:proofErr w:type="spellStart"/>
      <w:r w:rsidRPr="0058580C">
        <w:rPr>
          <w:rFonts w:eastAsia="Calibri" w:cs="Calibri"/>
          <w:sz w:val="14"/>
        </w:rPr>
        <w:t>selfdetermination</w:t>
      </w:r>
      <w:proofErr w:type="spellEnd"/>
      <w:r w:rsidRPr="0058580C">
        <w:rPr>
          <w:rFonts w:eastAsia="Calibri" w:cs="Calibri"/>
          <w:sz w:val="14"/>
        </w:rPr>
        <w:t xml:space="preserve"> and privileges individual civil and political rights” (2011: 141). In Engle’s reading, the victories won so far, and the further implementation of UNDRIP, have and would result in “the reification of indigenous culture, alongside the rejection of self-determination claims and the acceptance of a cultural rights framework by international institutions” that “fits quite comfortably with…neoliberal development models” (141).8 Further, Engle is careful to note that it was only in the late 1980s and early 1990s that “indigenous rights advocates began to turn to human rights law as a site for legal and political struggle” (152), thus offering a corrective to the </w:t>
      </w:r>
      <w:proofErr w:type="spellStart"/>
      <w:r w:rsidRPr="0058580C">
        <w:rPr>
          <w:rFonts w:eastAsia="Calibri" w:cs="Calibri"/>
          <w:sz w:val="14"/>
        </w:rPr>
        <w:t>Deskaheh</w:t>
      </w:r>
      <w:proofErr w:type="spellEnd"/>
      <w:r w:rsidRPr="0058580C">
        <w:rPr>
          <w:rFonts w:eastAsia="Calibri" w:cs="Calibri"/>
          <w:sz w:val="14"/>
        </w:rPr>
        <w:t xml:space="preserve"> narrative cited above: his action at the League of Nations can only very awkwardly be linked to today’s human rights-based Indigenous rights movement, because for much of the history of (international) Indigenous activism the claims made were not ones easily legible within the human rights legal framework that defines contemporary UN human rights culture.9 For the contemporary international Indigenous rights movement to claim </w:t>
      </w:r>
      <w:proofErr w:type="spellStart"/>
      <w:r w:rsidRPr="0058580C">
        <w:rPr>
          <w:rFonts w:eastAsia="Calibri" w:cs="Calibri"/>
          <w:sz w:val="14"/>
        </w:rPr>
        <w:t>Deskaheh</w:t>
      </w:r>
      <w:proofErr w:type="spellEnd"/>
      <w:r w:rsidRPr="0058580C">
        <w:rPr>
          <w:rFonts w:eastAsia="Calibri" w:cs="Calibri"/>
          <w:sz w:val="14"/>
        </w:rPr>
        <w:t xml:space="preserve"> as a forefather is to tell a very partial story, one which reads ‘human rights’ claims into the past, in the process making alternative political claims and actions at earlier periods and in the present less easy to discern. 10 Such </w:t>
      </w:r>
      <w:r w:rsidRPr="0058580C">
        <w:rPr>
          <w:rFonts w:eastAsia="Calibri" w:cs="Calibri"/>
          <w:u w:val="single"/>
        </w:rPr>
        <w:t>‘human rights’-washing of Indigenous activism</w:t>
      </w:r>
      <w:r w:rsidRPr="0058580C">
        <w:rPr>
          <w:rFonts w:eastAsia="Calibri" w:cs="Calibri"/>
          <w:sz w:val="14"/>
        </w:rPr>
        <w:t xml:space="preserve">, combined with the limited and limiting provisions of the UNDRIP, </w:t>
      </w:r>
      <w:r w:rsidRPr="0058580C">
        <w:rPr>
          <w:rFonts w:eastAsia="Calibri" w:cs="Calibri"/>
          <w:u w:val="single"/>
        </w:rPr>
        <w:t>make the effective implementation of international Indigenous rights norms politically dangerous—because investing in international norms that exist by way of the assent of (settler) states makes less visible/audible political challenges to the constitutive claims of that system, challenges that exist in long histories of Indigenous action and politics</w:t>
      </w:r>
      <w:r w:rsidRPr="0058580C">
        <w:rPr>
          <w:rFonts w:eastAsia="Calibri" w:cs="Calibri"/>
          <w:sz w:val="14"/>
        </w:rPr>
        <w:t xml:space="preserve">. In this sense, Engle comes closest to developing a critique of international Indigenous rights consonant with the more general ideological critique of human rights explored in the next section. However, like these other general critiques, Engle’s also tends to homogenize the ideological effects of the human rights regime, assuming that the relationship between the reification of Indigenous culture, neoliberal development models, and international human rights law is manifest everywhere the same, without adequate attention to context—notably, that of settler colonialism, which will be introduced in section III of this chapter. II. Critiquing and Defending Human Rights “In Southeast Asia and North Africa, anger was building against Britain, France, the Netherlands, and other powers loath to relinquish their overseas empires. Over 250 million people were still living under colonial rule, and millions more belonged to disadvantaged minorities in the United States, Latin America, and the Soviet Union. A new chapter in the history of human rights was about to unfold.” — Mary Ann Glendon, A World Made New, 10 This passage from Mary Ann Glendon’s A World Made New: Eleanor Roosevelt and the Universal Declaration of Human Rights (2001)—a widely read history of the UDHR—is typical in the way it claims decolonization for the human rights project.11 However, as a broad and growing literature has demonstrated, human rights bear anything but an uncomplicated relationship to </w:t>
      </w:r>
      <w:r w:rsidRPr="0058580C">
        <w:rPr>
          <w:rFonts w:eastAsia="Calibri" w:cs="Calibri"/>
          <w:sz w:val="14"/>
        </w:rPr>
        <w:lastRenderedPageBreak/>
        <w:t xml:space="preserve">(de)colonization. As </w:t>
      </w:r>
      <w:proofErr w:type="spellStart"/>
      <w:r w:rsidRPr="0058580C">
        <w:rPr>
          <w:rFonts w:eastAsia="Calibri" w:cs="Calibri"/>
          <w:sz w:val="14"/>
        </w:rPr>
        <w:t>Makau</w:t>
      </w:r>
      <w:proofErr w:type="spellEnd"/>
      <w:r w:rsidRPr="0058580C">
        <w:rPr>
          <w:rFonts w:eastAsia="Calibri" w:cs="Calibri"/>
          <w:sz w:val="14"/>
        </w:rPr>
        <w:t xml:space="preserve"> Mutua says in a classic essay, the human rights corpus “falls within the historical continuum of the Eurocentric colonial project, in which actors are cast into superior and subordinate positions” (2001: 204). This is the case because “[t]he grand narrative of human rights contains a subtext that depicts an epochal contest pitting savages, on the one hand, against victims and saviors, on the other,” (201), thus rendering the whole “normative edifice of the human rights corpus” (207) and its discourse “unidirectional and predictable” (202), “arrogant and biased” (206), and marked by “a troubling abundance of zealotry” (207). Mutua goes on to analyze </w:t>
      </w:r>
      <w:r w:rsidRPr="0058580C">
        <w:rPr>
          <w:rFonts w:eastAsia="Calibri" w:cs="Calibri"/>
          <w:u w:val="single"/>
        </w:rPr>
        <w:t xml:space="preserve">the SVS—savage, victim, </w:t>
      </w:r>
      <w:proofErr w:type="spellStart"/>
      <w:r w:rsidRPr="0058580C">
        <w:rPr>
          <w:rFonts w:eastAsia="Calibri" w:cs="Calibri"/>
          <w:u w:val="single"/>
        </w:rPr>
        <w:t>saviour</w:t>
      </w:r>
      <w:proofErr w:type="spellEnd"/>
      <w:r w:rsidRPr="0058580C">
        <w:rPr>
          <w:rFonts w:eastAsia="Calibri" w:cs="Calibri"/>
          <w:u w:val="single"/>
        </w:rPr>
        <w:t>—metaphor</w:t>
      </w:r>
      <w:r w:rsidRPr="0058580C">
        <w:rPr>
          <w:rFonts w:eastAsia="Calibri" w:cs="Calibri"/>
          <w:sz w:val="14"/>
        </w:rPr>
        <w:t xml:space="preserve"> to </w:t>
      </w:r>
      <w:r w:rsidRPr="0058580C">
        <w:rPr>
          <w:rFonts w:eastAsia="Calibri" w:cs="Calibri"/>
          <w:u w:val="single"/>
        </w:rPr>
        <w:t>demonstrate how through the grand narrative of human rights “the Third World is asked to follow a particular script of history”</w:t>
      </w:r>
      <w:r w:rsidRPr="0058580C">
        <w:rPr>
          <w:rFonts w:eastAsia="Calibri" w:cs="Calibri"/>
          <w:sz w:val="14"/>
        </w:rPr>
        <w:t xml:space="preserve"> (243), </w:t>
      </w:r>
      <w:r w:rsidRPr="0058580C">
        <w:rPr>
          <w:rFonts w:eastAsia="Calibri" w:cs="Calibri"/>
          <w:u w:val="single"/>
        </w:rPr>
        <w:t>belying the human rights regime’s claim to universality</w:t>
      </w:r>
      <w:r w:rsidRPr="0058580C">
        <w:rPr>
          <w:rFonts w:eastAsia="Calibri" w:cs="Calibri"/>
          <w:sz w:val="14"/>
        </w:rPr>
        <w:t xml:space="preserve">.12 Glendon responds to Mutua’s indictment of the universality of the human rights project by arguing that, “[w]here basic human values are concerned, cultural diversity has been exaggerated” (2001: 222). She notes that the UNESCO philosophers charged with mining ancient traditions for fundamental human values during the drafting of the UDHR found, after consulting with Confucian, Hindu, Muslim, and European thinkers, that a core of fundamental principles was widely shared in countries that had not yet adopted rights instruments and in cultures that had not embraced the language of rights…The philosophers concluded that even people who seem to be far apart in theory can agree that certain things are so terrible in practice that no one will publicly approve them... (222) This response is inadequate for three reasons. First, Glendon does not take seriously the fact that </w:t>
      </w:r>
      <w:r w:rsidRPr="0058580C">
        <w:rPr>
          <w:rFonts w:eastAsia="Calibri" w:cs="Calibri"/>
          <w:u w:val="single"/>
        </w:rPr>
        <w:t xml:space="preserve">the </w:t>
      </w:r>
      <w:r w:rsidRPr="0058580C">
        <w:rPr>
          <w:rFonts w:eastAsia="Calibri" w:cs="Calibri"/>
          <w:b/>
          <w:iCs/>
          <w:u w:val="single"/>
        </w:rPr>
        <w:t>institutional structure</w:t>
      </w:r>
      <w:r w:rsidRPr="0058580C">
        <w:rPr>
          <w:rFonts w:eastAsia="Calibri" w:cs="Calibri"/>
          <w:u w:val="single"/>
        </w:rPr>
        <w:t xml:space="preserve"> in which such a basic human understanding was to be </w:t>
      </w:r>
      <w:r w:rsidRPr="0058580C">
        <w:rPr>
          <w:rFonts w:eastAsia="Calibri" w:cs="Calibri"/>
          <w:b/>
          <w:iCs/>
          <w:u w:val="single"/>
        </w:rPr>
        <w:t>instantiated and enforced</w:t>
      </w:r>
      <w:r w:rsidRPr="0058580C">
        <w:rPr>
          <w:rFonts w:eastAsia="Calibri" w:cs="Calibri"/>
          <w:u w:val="single"/>
        </w:rPr>
        <w:t xml:space="preserve"> was </w:t>
      </w:r>
      <w:r w:rsidRPr="0058580C">
        <w:rPr>
          <w:rFonts w:eastAsia="Calibri" w:cs="Calibri"/>
          <w:b/>
          <w:iCs/>
          <w:u w:val="single"/>
        </w:rPr>
        <w:t>not universal</w:t>
      </w:r>
      <w:r w:rsidRPr="0058580C">
        <w:rPr>
          <w:rFonts w:eastAsia="Calibri" w:cs="Calibri"/>
          <w:u w:val="single"/>
        </w:rPr>
        <w:t xml:space="preserve">, and would instead </w:t>
      </w:r>
      <w:r w:rsidRPr="0058580C">
        <w:rPr>
          <w:rFonts w:eastAsia="Calibri" w:cs="Calibri"/>
          <w:b/>
          <w:iCs/>
          <w:u w:val="single"/>
        </w:rPr>
        <w:t>rely on Western power and coercion</w:t>
      </w:r>
      <w:r w:rsidRPr="0058580C">
        <w:rPr>
          <w:rFonts w:eastAsia="Calibri" w:cs="Calibri"/>
          <w:sz w:val="14"/>
        </w:rPr>
        <w:t xml:space="preserve">.13 In her own words, “while it is hard to stick the label ‘Western’ on the Declaration itself, that description can fairly be applied to the membership and finances of the most influential human rights organizations” (229). This fact cannot easily be discarded. Second, </w:t>
      </w:r>
      <w:r w:rsidRPr="0058580C">
        <w:rPr>
          <w:rFonts w:eastAsia="Calibri" w:cs="Calibri"/>
          <w:b/>
          <w:iCs/>
          <w:u w:val="single"/>
        </w:rPr>
        <w:t>even if certain values seem universal, the ways in which they are codified, lived, expressed, or enforced across different cultures will almost certainly not be</w:t>
      </w:r>
      <w:r w:rsidRPr="0058580C">
        <w:rPr>
          <w:rFonts w:eastAsia="Calibri" w:cs="Calibri"/>
          <w:sz w:val="14"/>
        </w:rPr>
        <w:t xml:space="preserve">. Finally, Mutua’s critique is less about the normative project of human rights—he in fact agrees that “the quest to craft a universal bundle of attributes with which all societies must endow all human beings…is a noble one” (2001: 209)—but rather is aimed at showing how </w:t>
      </w:r>
      <w:r w:rsidRPr="0058580C">
        <w:rPr>
          <w:rFonts w:eastAsia="Calibri" w:cs="Calibri"/>
          <w:u w:val="single"/>
        </w:rPr>
        <w:t>the human rights regime, despite this noble quest, has come to rely on a colonial construction (the SVS metaphor) and take part in a civilizing mission</w:t>
      </w:r>
      <w:r w:rsidRPr="0058580C">
        <w:rPr>
          <w:rFonts w:eastAsia="Calibri" w:cs="Calibri"/>
          <w:sz w:val="14"/>
        </w:rPr>
        <w:t xml:space="preserve">. Mutua, then, is making an argument about the success of human rights in achieving its aims, rather than a fault in the aims themselves.14 The Mutua-Glendon exchange flirts with a deeper debate about the foundations of the human rights project. The foundationalism debate has essentially sought to interrogate the status of human rights as ‘universal’—whether this is the case, whether it is possible, and whether it is desirable.15 While this has been productive insofar as it combats harmful habits of thought that too easily accept the basis of the human rights project, it has come to something of a standstill. Cultural relativists, though they often go too far towards moral relativism, have revealed universalism to be a wolf in sheep’s clothing by showing the ways the discursive construction of the Enlightenment individual was built on a series of exclusions and assumptions, and enforced through a reign of epistemic violence that led to scientific racism and eugenics, among other iniquities. The ‘truth’ and ‘reason’ that it used to (supposedly) found the modern world have been accused of attempting to win “a universal validity and legitimacy for accounts of the world which are partial and particular,” which is how Stuart Hall defines ideology (1994: 61). 16 Succinctly, any partial and </w:t>
      </w:r>
      <w:proofErr w:type="gramStart"/>
      <w:r w:rsidRPr="0058580C">
        <w:rPr>
          <w:rFonts w:eastAsia="Calibri" w:cs="Calibri"/>
          <w:sz w:val="14"/>
        </w:rPr>
        <w:t>particular worldview</w:t>
      </w:r>
      <w:proofErr w:type="gramEnd"/>
      <w:r w:rsidRPr="0058580C">
        <w:rPr>
          <w:rFonts w:eastAsia="Calibri" w:cs="Calibri"/>
          <w:sz w:val="14"/>
        </w:rPr>
        <w:t xml:space="preserve"> that is taken to be universal is an example of ideology, and ideology is an apparatus by which those who seek power sustain and further their agendas. While foundationalists will often object that recourse to a transcendental value outside the human mind is a necessary check on the whims of politicking (a number of scholars choose God or a vague public theology as this value, including Stackhouse 1999 and Perry 2000), those who attack this position say that foundations are equally contingent (and partial) but far deadlier because they claim not to be.17 This ideological critique of human rights comes from multiple corners: Those in the Marxian tradition have diagnosed [human rights] as nothing more than an ideological revision of nineteenth-century bourgeois rights that re-entrenches class exploitation and oppression…Postcolonial theorists have shown that human rights often function as tools of Western cultural imperialism and as means to implement neocolonialist economic policies and justify military interventions. Critical legal scholars have…analyzed the limitations of appeals to both human rights and constitutional rights as a means of gaining power for minority groups in liberal constitutional states. Meanwhile, feminist theorists have noted the limitations human rights impose by naturalizing a masculinist notion of an unencumbered and self-sufficient subject as the model rights-holder. Perhaps most infamously, Giorgio Agamben…argued that [human rights] corroborated a biopolitical regime of domination in which…life itself became the subject of state-based mechanisms of juridical power. (Manfredi 2013: 5-6)18 What these critiques show is that any substantive foundation for human rights will present a vision of the world—in the dominant genre, it will be a masculinist, Western, bourgeoisie one— that excludes a vast portion of the globe’s population in practice, while claiming to be universal.19 International Humanitarian Law (IHL) and International Human Rights Law (IHRL) not only see their mission as rescuing this liberal individualist subject, but also presuppose state sovereignty as regulative of their respective bodies of law. </w:t>
      </w:r>
      <w:proofErr w:type="gramStart"/>
      <w:r w:rsidRPr="0058580C">
        <w:rPr>
          <w:rFonts w:eastAsia="Calibri" w:cs="Calibri"/>
          <w:sz w:val="14"/>
        </w:rPr>
        <w:t>A number of</w:t>
      </w:r>
      <w:proofErr w:type="gramEnd"/>
      <w:r w:rsidRPr="0058580C">
        <w:rPr>
          <w:rFonts w:eastAsia="Calibri" w:cs="Calibri"/>
          <w:sz w:val="14"/>
        </w:rPr>
        <w:t xml:space="preserve"> prominent thinkers position themselves against maximalist foundationalists and this ideal of universalism. The human subject, they understand, is a complex conglomeration of ever-changing assemblages that does not fit any sort of universal </w:t>
      </w:r>
      <w:proofErr w:type="spellStart"/>
      <w:r w:rsidRPr="0058580C">
        <w:rPr>
          <w:rFonts w:eastAsia="Calibri" w:cs="Calibri"/>
          <w:sz w:val="14"/>
        </w:rPr>
        <w:t>mould</w:t>
      </w:r>
      <w:proofErr w:type="spellEnd"/>
      <w:r w:rsidRPr="0058580C">
        <w:rPr>
          <w:rFonts w:eastAsia="Calibri" w:cs="Calibri"/>
          <w:sz w:val="14"/>
        </w:rPr>
        <w:t xml:space="preserve">; shaped by unique histories, places, and encounters, this subject cannot be spoken for by anyone but him/her/itself/themselves. How could we possibly still support human rights as a project with this amorphous post-structuralist subject at its center? While it might seem counterintuitive, </w:t>
      </w:r>
      <w:proofErr w:type="gramStart"/>
      <w:r w:rsidRPr="0058580C">
        <w:rPr>
          <w:rFonts w:eastAsia="Calibri" w:cs="Calibri"/>
          <w:sz w:val="14"/>
        </w:rPr>
        <w:t>a number of</w:t>
      </w:r>
      <w:proofErr w:type="gramEnd"/>
      <w:r w:rsidRPr="0058580C">
        <w:rPr>
          <w:rFonts w:eastAsia="Calibri" w:cs="Calibri"/>
          <w:sz w:val="14"/>
        </w:rPr>
        <w:t xml:space="preserve"> thinkers have shown that anti-foundationalism is by no means incompatible with a commitment to human rights. Richard </w:t>
      </w:r>
      <w:proofErr w:type="spellStart"/>
      <w:r w:rsidRPr="0058580C">
        <w:rPr>
          <w:rFonts w:eastAsia="Calibri" w:cs="Calibri"/>
          <w:sz w:val="14"/>
        </w:rPr>
        <w:t>Rorty</w:t>
      </w:r>
      <w:proofErr w:type="spellEnd"/>
      <w:r w:rsidRPr="0058580C">
        <w:rPr>
          <w:rFonts w:eastAsia="Calibri" w:cs="Calibri"/>
          <w:sz w:val="14"/>
        </w:rPr>
        <w:t xml:space="preserve">, in “Human Rights, Rationality, and Sentimentality” (1993), aims to move thinking about human rights from a Platonist argument to a Pragmatist argument. He sees the Platonist (or foundationalist) paradigm as a practical dead end, and the Pragmatist (or anti-foundationalist) paradigm as offering a more viable future for human rights. </w:t>
      </w:r>
      <w:proofErr w:type="spellStart"/>
      <w:r w:rsidRPr="0058580C">
        <w:rPr>
          <w:rFonts w:eastAsia="Calibri" w:cs="Calibri"/>
          <w:sz w:val="14"/>
        </w:rPr>
        <w:t>Rorty’s</w:t>
      </w:r>
      <w:proofErr w:type="spellEnd"/>
      <w:r w:rsidRPr="0058580C">
        <w:rPr>
          <w:rFonts w:eastAsia="Calibri" w:cs="Calibri"/>
          <w:sz w:val="14"/>
        </w:rPr>
        <w:t xml:space="preserve"> problem with foundationalist arguments is that he cannot locate transcultural facts that are morally relevant (116</w:t>
      </w:r>
      <w:proofErr w:type="gramStart"/>
      <w:r w:rsidRPr="0058580C">
        <w:rPr>
          <w:rFonts w:eastAsia="Calibri" w:cs="Calibri"/>
          <w:sz w:val="14"/>
        </w:rPr>
        <w:t>), and</w:t>
      </w:r>
      <w:proofErr w:type="gramEnd"/>
      <w:r w:rsidRPr="0058580C">
        <w:rPr>
          <w:rFonts w:eastAsia="Calibri" w:cs="Calibri"/>
          <w:sz w:val="14"/>
        </w:rPr>
        <w:t xml:space="preserve"> does not think that the philosophical tradition before him has been able to do so either. Philosophers, thinks </w:t>
      </w:r>
      <w:proofErr w:type="spellStart"/>
      <w:r w:rsidRPr="0058580C">
        <w:rPr>
          <w:rFonts w:eastAsia="Calibri" w:cs="Calibri"/>
          <w:sz w:val="14"/>
        </w:rPr>
        <w:t>Rorty</w:t>
      </w:r>
      <w:proofErr w:type="spellEnd"/>
      <w:r w:rsidRPr="0058580C">
        <w:rPr>
          <w:rFonts w:eastAsia="Calibri" w:cs="Calibri"/>
          <w:sz w:val="14"/>
        </w:rPr>
        <w:t xml:space="preserve">, have failed in their attempts to discover the ontological, essential nature of human beings. Instead of searching for these facts, we ought to look at what </w:t>
      </w:r>
      <w:proofErr w:type="gramStart"/>
      <w:r w:rsidRPr="0058580C">
        <w:rPr>
          <w:rFonts w:eastAsia="Calibri" w:cs="Calibri"/>
          <w:sz w:val="14"/>
        </w:rPr>
        <w:t>actually works</w:t>
      </w:r>
      <w:proofErr w:type="gramEnd"/>
      <w:r w:rsidRPr="0058580C">
        <w:rPr>
          <w:rFonts w:eastAsia="Calibri" w:cs="Calibri"/>
          <w:sz w:val="14"/>
        </w:rPr>
        <w:t xml:space="preserve"> to reduce human suffering—and this, he thinks, is “hearing sad and sentimental stories” (119). As a pragmatist wary of metaphysical propositions, he says out with ‘reason’ and in with the affective, emotive, and sentimental. The conclusion he arrives at is that ‘respecting dignity’ does not presuppose knowledge of a distinct human nature. Dignity, rather, can be respected on an affective basis and can be located in a shared experience of humanness rather than the ontological definition of humanness.20 Like </w:t>
      </w:r>
      <w:proofErr w:type="spellStart"/>
      <w:r w:rsidRPr="0058580C">
        <w:rPr>
          <w:rFonts w:eastAsia="Calibri" w:cs="Calibri"/>
          <w:sz w:val="14"/>
        </w:rPr>
        <w:t>Rorty</w:t>
      </w:r>
      <w:proofErr w:type="spellEnd"/>
      <w:r w:rsidRPr="0058580C">
        <w:rPr>
          <w:rFonts w:eastAsia="Calibri" w:cs="Calibri"/>
          <w:sz w:val="14"/>
        </w:rPr>
        <w:t xml:space="preserve">, Michael Ignatieff wants to discard most foundations in </w:t>
      </w:r>
      <w:proofErr w:type="spellStart"/>
      <w:r w:rsidRPr="0058580C">
        <w:rPr>
          <w:rFonts w:eastAsia="Calibri" w:cs="Calibri"/>
          <w:sz w:val="14"/>
        </w:rPr>
        <w:t>favour</w:t>
      </w:r>
      <w:proofErr w:type="spellEnd"/>
      <w:r w:rsidRPr="0058580C">
        <w:rPr>
          <w:rFonts w:eastAsia="Calibri" w:cs="Calibri"/>
          <w:sz w:val="14"/>
        </w:rPr>
        <w:t xml:space="preserve"> of ‘what works’, which involves protecting the agency of individuals to live the life they choose; for him, “human rights is only a systematic agenda of ‘negative liberty,’ a tool kit against oppression” (2001: 57). Ignatieff’s vision accommodates the cultural relativist critique of Western foundationalism by arguing that human rights should not prescribe the ways of life that are good, but merely protect “the minimum conditions for any kind of life at all” (56). This is an attempt to reclaim the value of moral individualism, insisting that individualism is both at the heart of rights, and that it is not necessarily a carrier of Western ideological imperialism (67). </w:t>
      </w:r>
      <w:proofErr w:type="gramStart"/>
      <w:r w:rsidRPr="0058580C">
        <w:rPr>
          <w:rFonts w:eastAsia="Calibri" w:cs="Calibri"/>
          <w:sz w:val="14"/>
        </w:rPr>
        <w:t>Thus</w:t>
      </w:r>
      <w:proofErr w:type="gramEnd"/>
      <w:r w:rsidRPr="0058580C">
        <w:rPr>
          <w:rFonts w:eastAsia="Calibri" w:cs="Calibri"/>
          <w:sz w:val="14"/>
        </w:rPr>
        <w:t xml:space="preserve"> Ignatieff is not unaware that foundations secret within them theories of human nature, histories of global development, understandings of power, and visions of ideal futures. This is one of the reasons why </w:t>
      </w:r>
      <w:proofErr w:type="gramStart"/>
      <w:r w:rsidRPr="0058580C">
        <w:rPr>
          <w:rFonts w:eastAsia="Calibri" w:cs="Calibri"/>
          <w:sz w:val="14"/>
        </w:rPr>
        <w:t>anything</w:t>
      </w:r>
      <w:proofErr w:type="gramEnd"/>
      <w:r w:rsidRPr="0058580C">
        <w:rPr>
          <w:rFonts w:eastAsia="Calibri" w:cs="Calibri"/>
          <w:sz w:val="14"/>
        </w:rPr>
        <w:t xml:space="preserve"> but a ‘thin’ or ‘minimalist’ foundation appears overloaded with ideological baggage and susceptible to corruption. Any one of these associated theories, histories, understandings, or visions can be a </w:t>
      </w:r>
      <w:proofErr w:type="gramStart"/>
      <w:r w:rsidRPr="0058580C">
        <w:rPr>
          <w:rFonts w:eastAsia="Calibri" w:cs="Calibri"/>
          <w:sz w:val="14"/>
        </w:rPr>
        <w:t>life-line</w:t>
      </w:r>
      <w:proofErr w:type="gramEnd"/>
      <w:r w:rsidRPr="0058580C">
        <w:rPr>
          <w:rFonts w:eastAsia="Calibri" w:cs="Calibri"/>
          <w:sz w:val="14"/>
        </w:rPr>
        <w:t xml:space="preserve"> as well as a noose for those individuals and cultures that organize their experience of the world under different terms. Thus, a minimalist human rights discourse “is the only universally available moral vernacular” (68) because it places the story of human history against theories of human nature (80). Ignatieff’s emphasis on the language of deliberation—the story of human history leading to a shared minimalist moral vernacular—makes his vision flexible, for it focuses on a </w:t>
      </w:r>
      <w:r w:rsidRPr="0058580C">
        <w:rPr>
          <w:rFonts w:eastAsia="Calibri" w:cs="Calibri"/>
          <w:sz w:val="14"/>
        </w:rPr>
        <w:lastRenderedPageBreak/>
        <w:t xml:space="preserve">method rather than a rule. Consequently, both </w:t>
      </w:r>
      <w:proofErr w:type="spellStart"/>
      <w:r w:rsidRPr="0058580C">
        <w:rPr>
          <w:rFonts w:eastAsia="Calibri" w:cs="Calibri"/>
          <w:sz w:val="14"/>
        </w:rPr>
        <w:t>Rorty</w:t>
      </w:r>
      <w:proofErr w:type="spellEnd"/>
      <w:r w:rsidRPr="0058580C">
        <w:rPr>
          <w:rFonts w:eastAsia="Calibri" w:cs="Calibri"/>
          <w:sz w:val="14"/>
        </w:rPr>
        <w:t xml:space="preserve"> and Ignatieff ask: instead of thinking about what could absolutely compel adherence to a human rights regime, what is it that currently does propel individuals to invest in a human rights culture? Ultimately, Ignatieff asserts, in terms that </w:t>
      </w:r>
      <w:proofErr w:type="spellStart"/>
      <w:r w:rsidRPr="0058580C">
        <w:rPr>
          <w:rFonts w:eastAsia="Calibri" w:cs="Calibri"/>
          <w:sz w:val="14"/>
        </w:rPr>
        <w:t>Rorty</w:t>
      </w:r>
      <w:proofErr w:type="spellEnd"/>
      <w:r w:rsidRPr="0058580C">
        <w:rPr>
          <w:rFonts w:eastAsia="Calibri" w:cs="Calibri"/>
          <w:sz w:val="14"/>
        </w:rPr>
        <w:t xml:space="preserve"> would endorse, that our moral intuitions “derive simply from our own experience of pain and our capacity to imagine the pain of others” (88). In this way, the Glendon-Mutua exchange is transcended by these thinkers, who propose a minimalism that neither aspires to hardline universalism nor gives up on the normative project of human rights.21 Importantly for later chapters, both these accounts (Ignatieff’s explicitly, </w:t>
      </w:r>
      <w:proofErr w:type="spellStart"/>
      <w:r w:rsidRPr="0058580C">
        <w:rPr>
          <w:rFonts w:eastAsia="Calibri" w:cs="Calibri"/>
          <w:sz w:val="14"/>
        </w:rPr>
        <w:t>Rorty’s</w:t>
      </w:r>
      <w:proofErr w:type="spellEnd"/>
      <w:r w:rsidRPr="0058580C">
        <w:rPr>
          <w:rFonts w:eastAsia="Calibri" w:cs="Calibri"/>
          <w:sz w:val="14"/>
        </w:rPr>
        <w:t xml:space="preserve"> implicitly) sound decidedly liberal, for as Edmund Fawcett says, “[y]</w:t>
      </w:r>
      <w:proofErr w:type="spellStart"/>
      <w:r w:rsidRPr="0058580C">
        <w:rPr>
          <w:rFonts w:eastAsia="Calibri" w:cs="Calibri"/>
          <w:sz w:val="14"/>
        </w:rPr>
        <w:t>ou</w:t>
      </w:r>
      <w:proofErr w:type="spellEnd"/>
      <w:r w:rsidRPr="0058580C">
        <w:rPr>
          <w:rFonts w:eastAsia="Calibri" w:cs="Calibri"/>
          <w:sz w:val="14"/>
        </w:rPr>
        <w:t xml:space="preserve"> are a strange sort of liberal if you cannot give in to indignation and outrage” (2014: 301). This minimalist, pragmatic (and, I argue, liberal) </w:t>
      </w:r>
      <w:proofErr w:type="spellStart"/>
      <w:r w:rsidRPr="0058580C">
        <w:rPr>
          <w:rFonts w:eastAsia="Calibri" w:cs="Calibri"/>
          <w:sz w:val="14"/>
        </w:rPr>
        <w:t>defence</w:t>
      </w:r>
      <w:proofErr w:type="spellEnd"/>
      <w:r w:rsidRPr="0058580C">
        <w:rPr>
          <w:rFonts w:eastAsia="Calibri" w:cs="Calibri"/>
          <w:sz w:val="14"/>
        </w:rPr>
        <w:t xml:space="preserve"> of human rights is related to another </w:t>
      </w:r>
      <w:proofErr w:type="spellStart"/>
      <w:r w:rsidRPr="0058580C">
        <w:rPr>
          <w:rFonts w:eastAsia="Calibri" w:cs="Calibri"/>
          <w:sz w:val="14"/>
        </w:rPr>
        <w:t>defence</w:t>
      </w:r>
      <w:proofErr w:type="spellEnd"/>
      <w:r w:rsidRPr="0058580C">
        <w:rPr>
          <w:rFonts w:eastAsia="Calibri" w:cs="Calibri"/>
          <w:sz w:val="14"/>
        </w:rPr>
        <w:t xml:space="preserve"> that claims human rights can be thought of as itself a ‘culture’—one that is fluid and adaptable to its contexts. As Kate Nash explains in The Cultural Politics of Human Rights (2009): If we understand human rights as being a dynamic and fluid culture, rather than a static entity, then we can understand why this search for a foundation is so futile: it is irrelevant to what keeps human rights alive and vibrant… This cultural politics…does not pose a blandly static, universalist human rights regime rooted in one historic, philosophic, cultural, or religious tradition. Instead it focuses on the everyday dynamism that has made human rights part of local politics around the globe… (508) Because human rights are used in ‘local politics’, the normative framework is considered more ‘authentic’ and therefore less dangerous as an exporter of Western values. This argument implies, with Clifford Geertz, that “man is an animal suspended in webs of significance he himself has spun” (1973: 5), and that ‘human rights’ are the thread with which man now weaves. Nash’s vision (like Geertz’s) might sound compelling on a rhetorical or sentimental level, but where is the dividing line between creating a human rights culture to rest alongside existing cultures, and changing existing cultures to align more closely with the way human rights have already infiltrated ‘Western’ culture? Amy Gutmann takes the latter position, arguing that “what human rights protection seeks is not the destruction of cultures…but their integration of human rights protection” (2001: xxi). In her view, cultures must “change” to “accommodate” human rights (xxii). But who defines when change and accommodation become compromise or destruction? And the concept of ‘culture’ is by no means a safe or blameless one: scholars like </w:t>
      </w:r>
      <w:proofErr w:type="spellStart"/>
      <w:r w:rsidRPr="0058580C">
        <w:rPr>
          <w:rFonts w:eastAsia="Calibri" w:cs="Calibri"/>
          <w:sz w:val="14"/>
        </w:rPr>
        <w:t>Siba</w:t>
      </w:r>
      <w:proofErr w:type="spellEnd"/>
      <w:r w:rsidRPr="0058580C">
        <w:rPr>
          <w:rFonts w:eastAsia="Calibri" w:cs="Calibri"/>
          <w:sz w:val="14"/>
        </w:rPr>
        <w:t xml:space="preserve"> </w:t>
      </w:r>
      <w:proofErr w:type="spellStart"/>
      <w:r w:rsidRPr="0058580C">
        <w:rPr>
          <w:rFonts w:eastAsia="Calibri" w:cs="Calibri"/>
          <w:sz w:val="14"/>
        </w:rPr>
        <w:t>Grovogui</w:t>
      </w:r>
      <w:proofErr w:type="spellEnd"/>
      <w:r w:rsidRPr="0058580C">
        <w:rPr>
          <w:rFonts w:eastAsia="Calibri" w:cs="Calibri"/>
          <w:sz w:val="14"/>
        </w:rPr>
        <w:t xml:space="preserve"> (1996), Talal </w:t>
      </w:r>
      <w:proofErr w:type="spellStart"/>
      <w:r w:rsidRPr="0058580C">
        <w:rPr>
          <w:rFonts w:eastAsia="Calibri" w:cs="Calibri"/>
          <w:sz w:val="14"/>
        </w:rPr>
        <w:t>Asad</w:t>
      </w:r>
      <w:proofErr w:type="spellEnd"/>
      <w:r w:rsidRPr="0058580C">
        <w:rPr>
          <w:rFonts w:eastAsia="Calibri" w:cs="Calibri"/>
          <w:sz w:val="14"/>
        </w:rPr>
        <w:t xml:space="preserve"> (2003) and Mahmood Mamdani (2012) recognize that the (ab)use of power is an inevitable aspect of individual and group interactions and is key to understanding how structures of governmentality (including international law) define and confine subjects through the language of culture. </w:t>
      </w:r>
      <w:proofErr w:type="spellStart"/>
      <w:r w:rsidRPr="0058580C">
        <w:rPr>
          <w:rFonts w:eastAsia="Calibri" w:cs="Calibri"/>
          <w:sz w:val="14"/>
        </w:rPr>
        <w:t>Asad</w:t>
      </w:r>
      <w:proofErr w:type="spellEnd"/>
      <w:r w:rsidRPr="0058580C">
        <w:rPr>
          <w:rFonts w:eastAsia="Calibri" w:cs="Calibri"/>
          <w:sz w:val="14"/>
        </w:rPr>
        <w:t xml:space="preserve">, in “What Do Human Rights Do? An Anthropological Enquiry” (2000), argues that in spite of the general decline of theological foundations and rising consensus that “human rights are intended for a secular world,” theorists have failed to understand that the human rights project is nonetheless “part of a great work of conversion” (2000: </w:t>
      </w:r>
      <w:r w:rsidRPr="0058580C">
        <w:rPr>
          <w:rFonts w:eastAsia="Calibri" w:cs="Calibri"/>
          <w:sz w:val="12"/>
        </w:rPr>
        <w:t>¶</w:t>
      </w:r>
      <w:r w:rsidRPr="0058580C">
        <w:rPr>
          <w:rFonts w:eastAsia="Calibri" w:cs="Calibri"/>
          <w:sz w:val="14"/>
        </w:rPr>
        <w:t>49). Thus, in addition to being about universal aspirations and reducing harm, human rights discourse “is also about undermining styles of life by means of the law as well as by means of a wider culture that sustains and motivates the law” (</w:t>
      </w:r>
      <w:r w:rsidRPr="0058580C">
        <w:rPr>
          <w:rFonts w:eastAsia="Calibri" w:cs="Calibri"/>
          <w:sz w:val="12"/>
        </w:rPr>
        <w:t>¶</w:t>
      </w:r>
      <w:r w:rsidRPr="0058580C">
        <w:rPr>
          <w:rFonts w:eastAsia="Calibri" w:cs="Calibri"/>
          <w:sz w:val="14"/>
        </w:rPr>
        <w:t xml:space="preserve">48). This claim is supported by debates within the field of law about why laws are followed: Harold Koh, a chief legal advisor to the State Department under President Obama, argues that “norm-internalization, and not coercion, is the ultimate reason why most people obey the law” and “most </w:t>
      </w:r>
      <w:proofErr w:type="spellStart"/>
      <w:r w:rsidRPr="0058580C">
        <w:rPr>
          <w:rFonts w:eastAsia="Calibri" w:cs="Calibri"/>
          <w:sz w:val="14"/>
        </w:rPr>
        <w:t>norminternalization</w:t>
      </w:r>
      <w:proofErr w:type="spellEnd"/>
      <w:r w:rsidRPr="0058580C">
        <w:rPr>
          <w:rFonts w:eastAsia="Calibri" w:cs="Calibri"/>
          <w:sz w:val="14"/>
        </w:rPr>
        <w:t xml:space="preserve"> comes from participation in legal process, particularly transnational legal process” such as human rights law (2004: 339). Similarly, in his classic book How Nations Behave (1979), Louis </w:t>
      </w:r>
      <w:proofErr w:type="spellStart"/>
      <w:r w:rsidRPr="0058580C">
        <w:rPr>
          <w:rFonts w:eastAsia="Calibri" w:cs="Calibri"/>
          <w:sz w:val="14"/>
        </w:rPr>
        <w:t>Henkin</w:t>
      </w:r>
      <w:proofErr w:type="spellEnd"/>
      <w:r w:rsidRPr="0058580C">
        <w:rPr>
          <w:rFonts w:eastAsia="Calibri" w:cs="Calibri"/>
          <w:sz w:val="14"/>
        </w:rPr>
        <w:t xml:space="preserve"> argues approvingly for “the educative roles of law, which causes persons and nations to feel that what is unlawful is wrong and should not be done” (94). The idea that collective rights (such as self-determination) protect against this alteration-impulse does not hold up under scrutiny, for even the most ‘generous’ theorists of multicultural liberalism such as Will </w:t>
      </w:r>
      <w:proofErr w:type="spellStart"/>
      <w:r w:rsidRPr="0058580C">
        <w:rPr>
          <w:rFonts w:eastAsia="Calibri" w:cs="Calibri"/>
          <w:sz w:val="14"/>
        </w:rPr>
        <w:t>Kymlicka</w:t>
      </w:r>
      <w:proofErr w:type="spellEnd"/>
      <w:r w:rsidRPr="0058580C">
        <w:rPr>
          <w:rFonts w:eastAsia="Calibri" w:cs="Calibri"/>
          <w:sz w:val="14"/>
        </w:rPr>
        <w:t xml:space="preserve"> (2001: 69-90) see to it that individual rights always take precedence over collective rights, ultimately ‘resolving’ the conflict of cultural difference on the side of assimilation.22 The human rights regime, contends </w:t>
      </w:r>
      <w:proofErr w:type="spellStart"/>
      <w:r w:rsidRPr="0058580C">
        <w:rPr>
          <w:rFonts w:eastAsia="Calibri" w:cs="Calibri"/>
          <w:sz w:val="14"/>
        </w:rPr>
        <w:t>Asad</w:t>
      </w:r>
      <w:proofErr w:type="spellEnd"/>
      <w:r w:rsidRPr="0058580C">
        <w:rPr>
          <w:rFonts w:eastAsia="Calibri" w:cs="Calibri"/>
          <w:sz w:val="14"/>
        </w:rPr>
        <w:t xml:space="preserve">, is thus heavily invested in a redemptive narrative whereby states and cultures not yet redeemed are to be brought into the fold of human rights; it tries to make the foundation of some (the West) into the foundation for everyone by changing the ‘everyone’ (namely ‘the rest’) rather than finding a truly universal foundation. Making a foundation speak universally is different than finding a foundation that speaks universally.23 Balakrishnan Rajagopal’s analysis helps periodize when such a ‘conversion’ imperative entered the human </w:t>
      </w:r>
      <w:proofErr w:type="gramStart"/>
      <w:r w:rsidRPr="0058580C">
        <w:rPr>
          <w:rFonts w:eastAsia="Calibri" w:cs="Calibri"/>
          <w:sz w:val="14"/>
        </w:rPr>
        <w:t>rights project, and</w:t>
      </w:r>
      <w:proofErr w:type="gramEnd"/>
      <w:r w:rsidRPr="0058580C">
        <w:rPr>
          <w:rFonts w:eastAsia="Calibri" w:cs="Calibri"/>
          <w:sz w:val="14"/>
        </w:rPr>
        <w:t xml:space="preserve"> suggests some of the mechanisms through which the new norms were forcefully spread throughout the globe. That is, he </w:t>
      </w:r>
      <w:proofErr w:type="gramStart"/>
      <w:r w:rsidRPr="0058580C">
        <w:rPr>
          <w:rFonts w:eastAsia="Calibri" w:cs="Calibri"/>
          <w:sz w:val="14"/>
        </w:rPr>
        <w:t>assess</w:t>
      </w:r>
      <w:proofErr w:type="gramEnd"/>
      <w:r w:rsidRPr="0058580C">
        <w:rPr>
          <w:rFonts w:eastAsia="Calibri" w:cs="Calibri"/>
          <w:sz w:val="14"/>
        </w:rPr>
        <w:t xml:space="preserve"> whether and when human rights discourse has been hegemonic or counter-hegemonic, allowing him to think human rights discourse relationally to other hegemonic political discourses and structures. So, for instance, in the 1980s human rights discourse was used counter-hegemonically in Eastern European and Latin American democratic struggles (2006: 770). The same could not be claimed, however, for earlier decolonization movements because of the relatively marginal status of human rights discourse at that time. True, it was also used hegemonically (because of its “imperial history” and “complicity with Western political agendas”) in the 1980s in Latin America, but the point is that it was not solely hegemonic, because counter-hegemonic examples of its usage persisted (770). The “new hegemonic role for human rights,” rather, came at the end of the Cold War (770), when a “new-found mood of consensus at the UN Security Council led the UN and human rights groups to more aggressively pursue humanitarian intervention” (770), and when the World Bank and IMF “embraced” human rights, incorporating them into their neoliberal development schemes (770): “[</w:t>
      </w:r>
      <w:proofErr w:type="spellStart"/>
      <w:r w:rsidRPr="0058580C">
        <w:rPr>
          <w:rFonts w:eastAsia="Calibri" w:cs="Calibri"/>
          <w:sz w:val="14"/>
        </w:rPr>
        <w:t>i</w:t>
      </w:r>
      <w:proofErr w:type="spellEnd"/>
      <w:r w:rsidRPr="0058580C">
        <w:rPr>
          <w:rFonts w:eastAsia="Calibri" w:cs="Calibri"/>
          <w:sz w:val="14"/>
        </w:rPr>
        <w:t xml:space="preserve">]n this new hegemonic role for human rights, such rights began to be seen as the language of military intervention, economic reconstruction and social transformation—a totalizing discourse” (770). In this account, human rights became the ideology justifying intervention, reconstruction, and transformation—in short, conversion to a certain standard and image of political life. A recent and prominent group of critics essentially agree on this point, arguing that the grand act of conversion occurs in part through a redefinition of what counts as politics. The human rights regime has not just sought to change cultures to accord with its worldview, they </w:t>
      </w:r>
      <w:proofErr w:type="gramStart"/>
      <w:r w:rsidRPr="0058580C">
        <w:rPr>
          <w:rFonts w:eastAsia="Calibri" w:cs="Calibri"/>
          <w:sz w:val="14"/>
        </w:rPr>
        <w:t>claim:</w:t>
      </w:r>
      <w:proofErr w:type="gramEnd"/>
      <w:r w:rsidRPr="0058580C">
        <w:rPr>
          <w:rFonts w:eastAsia="Calibri" w:cs="Calibri"/>
          <w:sz w:val="14"/>
        </w:rPr>
        <w:t xml:space="preserve"> as an ideology, it also contributes to, and is symptomatic of, the delimiting of horizons of political action and thought. Robert Meister’s After Evil: A Politics of Human Rights (2011) argues that denouncing physical atrocity is an essential part of our current conception of what it means to be human, and a fundamental part of human rights advocacy (1). This is an “ethically centered approach to human rights” (5) that is meant to ‘transcend’ the revolutionary and counterrevolutionary politics (in the form of Nazism and communism) “that together produced the horrors of the twentieth century” (7). Human rights is then seen as an antidote to “the mindsets that made those twinned evils intelligible to their proponents as moral good”: the 20th century was “initially welcomed as coming after evil, a century in which the atrocities committed in the name of either revolution or counterrevolution are supposed to have become unthinkable” (7). As such, the current human rights dispensation is ‘defensive’ (or in Ignatieff’s liberal vernacular, ‘negative’), “standing for the avoidance of evil rather than a vision of the good” (1). Because of this defensive stance, says Meister, the weak have come to possess an illusion of victory over those whose power they still have reason to fear…[T]he former victim tries not to think about who really won and eschews the temptation to engage in a political analysis that might open the question of whether that evil has finally been defeated. Today’s mainstream literature on transitional justice tends to assume that past victims never really win…and that stopping [the struggle] makes sense if they can declare a moral victory that seems to put oppression in the past. (9-10, emphasis added) In human rights discourse, political struggle is delegitimized as a route to change and in its place is raised the virtues of “moral consensus”—the ascendance, perhaps, of Ignatieff’s human rights ‘moral vernacular’ as a lingua franca—meaning that the victims “get to claim a moral victory when, and insofar as, the beneficiaries get to keep their gains” (14). Meister says that human rights “addresses a time between times, when evil has ended but before justice has begun” (10). </w:t>
      </w:r>
      <w:proofErr w:type="gramStart"/>
      <w:r w:rsidRPr="0058580C">
        <w:rPr>
          <w:rFonts w:eastAsia="Calibri" w:cs="Calibri"/>
          <w:sz w:val="14"/>
        </w:rPr>
        <w:t>Thus</w:t>
      </w:r>
      <w:proofErr w:type="gramEnd"/>
      <w:r w:rsidRPr="0058580C">
        <w:rPr>
          <w:rFonts w:eastAsia="Calibri" w:cs="Calibri"/>
          <w:sz w:val="14"/>
        </w:rPr>
        <w:t xml:space="preserve"> when a minimalist like Ignatieff stresses that his ideal human rights project is merely about stemming human cruelty and suffering, Wendy Brown responds with a sobering reminder and question: No effective project produces only the consequences it aims to produce. Whatever their avowed purpose, then, do human rights only reduce suffering? Do they (promise to) reduce it in a </w:t>
      </w:r>
      <w:proofErr w:type="gramStart"/>
      <w:r w:rsidRPr="0058580C">
        <w:rPr>
          <w:rFonts w:eastAsia="Calibri" w:cs="Calibri"/>
          <w:sz w:val="14"/>
        </w:rPr>
        <w:t>particular way</w:t>
      </w:r>
      <w:proofErr w:type="gramEnd"/>
      <w:r w:rsidRPr="0058580C">
        <w:rPr>
          <w:rFonts w:eastAsia="Calibri" w:cs="Calibri"/>
          <w:sz w:val="14"/>
        </w:rPr>
        <w:t xml:space="preserve"> that precludes or negates other possible ways? (2004: 453) This question tries to bridge the chasm between pragmatic and ideological accounts of human rights by insisting that the moral traction needed for this reduction of suffering comes at a political-philosophical price.24 To understand how ‘moral traction’ has itself gained traction is to understand how the rise of human rights as an ideology is a story of the fall of other, specifically political, avenues for effecting change. Meister’s argument thus converges with work by John </w:t>
      </w:r>
      <w:proofErr w:type="spellStart"/>
      <w:r w:rsidRPr="0058580C">
        <w:rPr>
          <w:rFonts w:eastAsia="Calibri" w:cs="Calibri"/>
          <w:sz w:val="14"/>
        </w:rPr>
        <w:t>Torpey</w:t>
      </w:r>
      <w:proofErr w:type="spellEnd"/>
      <w:r w:rsidRPr="0058580C">
        <w:rPr>
          <w:rFonts w:eastAsia="Calibri" w:cs="Calibri"/>
          <w:sz w:val="14"/>
        </w:rPr>
        <w:t xml:space="preserve"> (2006) and Samuel </w:t>
      </w:r>
      <w:proofErr w:type="spellStart"/>
      <w:r w:rsidRPr="0058580C">
        <w:rPr>
          <w:rFonts w:eastAsia="Calibri" w:cs="Calibri"/>
          <w:sz w:val="14"/>
        </w:rPr>
        <w:t>Moyn</w:t>
      </w:r>
      <w:proofErr w:type="spellEnd"/>
      <w:r w:rsidRPr="0058580C">
        <w:rPr>
          <w:rFonts w:eastAsia="Calibri" w:cs="Calibri"/>
          <w:sz w:val="14"/>
        </w:rPr>
        <w:t xml:space="preserve"> (2010) investigating the relation between human rights as an ideology and its relation to prior visions of emancipatory politics. For </w:t>
      </w:r>
      <w:proofErr w:type="spellStart"/>
      <w:r w:rsidRPr="0058580C">
        <w:rPr>
          <w:rFonts w:eastAsia="Calibri" w:cs="Calibri"/>
          <w:sz w:val="14"/>
        </w:rPr>
        <w:t>Torpey</w:t>
      </w:r>
      <w:proofErr w:type="spellEnd"/>
      <w:r w:rsidRPr="0058580C">
        <w:rPr>
          <w:rFonts w:eastAsia="Calibri" w:cs="Calibri"/>
          <w:sz w:val="14"/>
        </w:rPr>
        <w:t xml:space="preserve"> and </w:t>
      </w:r>
      <w:proofErr w:type="spellStart"/>
      <w:r w:rsidRPr="0058580C">
        <w:rPr>
          <w:rFonts w:eastAsia="Calibri" w:cs="Calibri"/>
          <w:sz w:val="14"/>
        </w:rPr>
        <w:t>Moyn</w:t>
      </w:r>
      <w:proofErr w:type="spellEnd"/>
      <w:r w:rsidRPr="0058580C">
        <w:rPr>
          <w:rFonts w:eastAsia="Calibri" w:cs="Calibri"/>
          <w:sz w:val="14"/>
        </w:rPr>
        <w:t>, the advent of human rights is an indicator (if not entirely a cause) of a loss of faith in previous utopian visions for the future political (re)organization of the world. Differently from communism and anticolonialism, the rise of human rights reveals “an unmistakable decline of a more explicitly future-oriented politics” (</w:t>
      </w:r>
      <w:proofErr w:type="spellStart"/>
      <w:r w:rsidRPr="0058580C">
        <w:rPr>
          <w:rFonts w:eastAsia="Calibri" w:cs="Calibri"/>
          <w:sz w:val="14"/>
        </w:rPr>
        <w:t>Torpey</w:t>
      </w:r>
      <w:proofErr w:type="spellEnd"/>
      <w:r w:rsidRPr="0058580C">
        <w:rPr>
          <w:rFonts w:eastAsia="Calibri" w:cs="Calibri"/>
          <w:sz w:val="14"/>
        </w:rPr>
        <w:t xml:space="preserve"> 2006: 5). The proliferation of backward-looking calls for reparations is one indication that “something profound has taken place in our ways of thinking about possible human futures” (24). And in this contemporary “age of diminished political expectations” (5) human rights have emerged as ‘the last utopia’, the current—</w:t>
      </w:r>
      <w:r w:rsidRPr="0058580C">
        <w:rPr>
          <w:rFonts w:eastAsia="Calibri" w:cs="Calibri"/>
          <w:sz w:val="14"/>
        </w:rPr>
        <w:lastRenderedPageBreak/>
        <w:t>albeit “recent and temporary” (</w:t>
      </w:r>
      <w:proofErr w:type="spellStart"/>
      <w:r w:rsidRPr="0058580C">
        <w:rPr>
          <w:rFonts w:eastAsia="Calibri" w:cs="Calibri"/>
          <w:sz w:val="14"/>
        </w:rPr>
        <w:t>Moyn</w:t>
      </w:r>
      <w:proofErr w:type="spellEnd"/>
      <w:r w:rsidRPr="0058580C">
        <w:rPr>
          <w:rFonts w:eastAsia="Calibri" w:cs="Calibri"/>
          <w:sz w:val="14"/>
        </w:rPr>
        <w:t xml:space="preserve"> 2013: 100)—normative idealism. </w:t>
      </w:r>
      <w:proofErr w:type="gramStart"/>
      <w:r w:rsidRPr="0058580C">
        <w:rPr>
          <w:rFonts w:eastAsia="Calibri" w:cs="Calibri"/>
          <w:sz w:val="14"/>
        </w:rPr>
        <w:t>This is why</w:t>
      </w:r>
      <w:proofErr w:type="gramEnd"/>
      <w:r w:rsidRPr="0058580C">
        <w:rPr>
          <w:rFonts w:eastAsia="Calibri" w:cs="Calibri"/>
          <w:sz w:val="14"/>
        </w:rPr>
        <w:t xml:space="preserve"> </w:t>
      </w:r>
      <w:proofErr w:type="spellStart"/>
      <w:r w:rsidRPr="0058580C">
        <w:rPr>
          <w:rFonts w:eastAsia="Calibri" w:cs="Calibri"/>
          <w:sz w:val="14"/>
        </w:rPr>
        <w:t>Moyn</w:t>
      </w:r>
      <w:proofErr w:type="spellEnd"/>
      <w:r w:rsidRPr="0058580C">
        <w:rPr>
          <w:rFonts w:eastAsia="Calibri" w:cs="Calibri"/>
          <w:sz w:val="14"/>
        </w:rPr>
        <w:t xml:space="preserve"> claims that human rights have done more to transform “the terrain of idealism than…the world itself” (2010: 9). The human rights regime says politics is bad, law is good, and that political utopias, with their collective languages and bold projects, are dangerous and bloody, so we need rights protected by law because law stands to the side of politics. This amounts to the creation of a new liberal norm: the displacement of politics (discourses of freedom) by law (discourses of justice), and then the moralization of law, effectively foreclosing older horizons of political freedom. A binary is elaborated: visions of past evil replace visions of future hope as horizons of identification; narratives of order replace narratives of expectation; rubrics of individual harm replace rubrics of political organization, injustice, and systemic violence. The juridical focus of human rights within liberal regimes insists on ameliorating specific harms of the past rather than the systemic injustices of the present, amounting to an ideological erasure by which we are no longer able to see general histories as crimes against humanity or emancipatory movements as legible forms of politics beyond human rights claims. We can begin to see how inaugurating </w:t>
      </w:r>
      <w:proofErr w:type="spellStart"/>
      <w:r w:rsidRPr="0058580C">
        <w:rPr>
          <w:rFonts w:eastAsia="Calibri" w:cs="Calibri"/>
          <w:sz w:val="14"/>
        </w:rPr>
        <w:t>Deskaheh</w:t>
      </w:r>
      <w:proofErr w:type="spellEnd"/>
      <w:r w:rsidRPr="0058580C">
        <w:rPr>
          <w:rFonts w:eastAsia="Calibri" w:cs="Calibri"/>
          <w:sz w:val="14"/>
        </w:rPr>
        <w:t xml:space="preserve"> as the father of Indigenous claims for human rights at the UN not so much misreads as entirely replaces emancipatory and historically grounded, imaginative political articulations with legalized pleas for protection from the outcomes of politics. These critiques and defenses of the human rights regime make claims about the influence of human rights—as ideology, institution, discourse—on the terrains of culture and politics. When accused of universalist homogenization by cultural relativists, the human rights project is defended as forming a basis for the protection of cultural expression (minimalism) and, in its use by local politics, as forming a part of developing cultures (culturalism). When defended as being organically welcomed as part of culture, human rights are exposed by others as a Trojan Horse secreting Western values into foreign lands in a grand act of conversion, and to define as legible or illegible certain visions of politics and political futures. But when thought of in relation to Indigenous peoples, for instance in Canada, both these defenses and critiques fail to account for the situatedness of the actors making human rights claims (Indigenous peoples), those the claims are made to (states, the international system, human rights organizations), those the claims are made against (often states and corporations), and the specific setting that configures the power relations between all these actors and how each defines ‘success’ or ‘resolution’ or ‘failure’. For instance, who is to say that Indigenous political imaginaries are delimited by using human rights discourse? Is not something altogether more complex going on? The normative statements made against and in defense of the human rights project employ such broad strokes that they miss vital details about how power operates differently through that project’s mechanisms and ideologies in varying contexts. III. Settler Colonialism and the Critique of Human Rights One of the central claims of this thesis is that both the discussions of the UN’s Indigenous rights instruments and the critiques and </w:t>
      </w:r>
      <w:r w:rsidRPr="0058580C">
        <w:rPr>
          <w:rFonts w:eastAsia="Calibri" w:cs="Calibri"/>
          <w:b/>
          <w:iCs/>
          <w:u w:val="single"/>
        </w:rPr>
        <w:t>defenses of human rights</w:t>
      </w:r>
      <w:r w:rsidRPr="0058580C">
        <w:rPr>
          <w:rFonts w:eastAsia="Calibri" w:cs="Calibri"/>
          <w:sz w:val="14"/>
        </w:rPr>
        <w:t xml:space="preserve"> presented above </w:t>
      </w:r>
      <w:r w:rsidRPr="0058580C">
        <w:rPr>
          <w:rFonts w:eastAsia="Calibri" w:cs="Calibri"/>
          <w:b/>
          <w:iCs/>
          <w:u w:val="single"/>
        </w:rPr>
        <w:t>fail to adequately consider our settler colonial present</w:t>
      </w:r>
      <w:r w:rsidRPr="0058580C">
        <w:rPr>
          <w:rFonts w:eastAsia="Calibri" w:cs="Calibri"/>
          <w:sz w:val="14"/>
        </w:rPr>
        <w:t xml:space="preserve">.25 Both </w:t>
      </w:r>
      <w:r w:rsidRPr="0058580C">
        <w:rPr>
          <w:rFonts w:eastAsia="Calibri" w:cs="Calibri"/>
          <w:u w:val="single"/>
        </w:rPr>
        <w:t>theorize power, possibility, success, and failure without meaningfully incorporating (or testing these analyses against) how they intersect with the specific logics and structures of the settler colonial formation. This omission of settler colonialism as a historical (as well as contemporary) fact and as a heuristic or analytic, has limited how these thinkers are able to understand the relations between power, Indigenous peoples, and human rights</w:t>
      </w:r>
      <w:r w:rsidRPr="0058580C">
        <w:rPr>
          <w:rFonts w:eastAsia="Calibri" w:cs="Calibri"/>
          <w:sz w:val="14"/>
        </w:rPr>
        <w:t xml:space="preserve">. </w:t>
      </w:r>
      <w:r w:rsidRPr="0058580C">
        <w:rPr>
          <w:rFonts w:eastAsia="Calibri" w:cs="Calibri"/>
          <w:u w:val="single"/>
        </w:rPr>
        <w:t>When the settler colonial context is acknowledged, much about the human rights regime—its complicity and possibility—comes into view</w:t>
      </w:r>
      <w:r w:rsidRPr="0058580C">
        <w:rPr>
          <w:rFonts w:eastAsia="Calibri" w:cs="Calibri"/>
          <w:sz w:val="14"/>
        </w:rPr>
        <w:t xml:space="preserve">. In response to this omission, this thesis aims to force human rights onto the scene of settler colonialism. Forcing this rapprochement is important because of the way settler colonial studies has theorized the specific operations of power in settler colonies. The accounts of settler colonialism articulated by this field are complex and multiple, but they contain </w:t>
      </w:r>
      <w:proofErr w:type="gramStart"/>
      <w:r w:rsidRPr="0058580C">
        <w:rPr>
          <w:rFonts w:eastAsia="Calibri" w:cs="Calibri"/>
          <w:sz w:val="14"/>
        </w:rPr>
        <w:t>a number of</w:t>
      </w:r>
      <w:proofErr w:type="gramEnd"/>
      <w:r w:rsidRPr="0058580C">
        <w:rPr>
          <w:rFonts w:eastAsia="Calibri" w:cs="Calibri"/>
          <w:sz w:val="14"/>
        </w:rPr>
        <w:t xml:space="preserve"> core assertions, the most significant of which is the centrality of the state. </w:t>
      </w:r>
      <w:r w:rsidRPr="0058580C">
        <w:rPr>
          <w:rFonts w:eastAsia="Calibri" w:cs="Calibri"/>
          <w:u w:val="single"/>
        </w:rPr>
        <w:t xml:space="preserve">By highlighting how the </w:t>
      </w:r>
      <w:proofErr w:type="spellStart"/>
      <w:r w:rsidRPr="0058580C">
        <w:rPr>
          <w:rFonts w:eastAsia="Calibri" w:cs="Calibri"/>
          <w:u w:val="single"/>
        </w:rPr>
        <w:t>originary</w:t>
      </w:r>
      <w:proofErr w:type="spellEnd"/>
      <w:r w:rsidRPr="0058580C">
        <w:rPr>
          <w:rFonts w:eastAsia="Calibri" w:cs="Calibri"/>
          <w:u w:val="single"/>
        </w:rPr>
        <w:t xml:space="preserve"> violence of the state is ongoing—and archiving the relation between modernity and violence via the conduit of the state—settler colonial studies disrupts the idea that colonialism is over</w:t>
      </w:r>
      <w:r w:rsidRPr="0058580C">
        <w:rPr>
          <w:rFonts w:eastAsia="Calibri" w:cs="Calibri"/>
          <w:sz w:val="14"/>
        </w:rPr>
        <w:t xml:space="preserve">. ‘Human rights’ are often said to have developed (and become crucial, in Ignatieff’s view) in response to the deep violence of modernity in the garb of 20th century totalitarianism. Settler colonial studies adds another and perhaps more complex location to the totalitarian state: the settler state. </w:t>
      </w:r>
      <w:r w:rsidRPr="0058580C">
        <w:rPr>
          <w:rFonts w:eastAsia="Calibri" w:cs="Calibri"/>
          <w:u w:val="single"/>
        </w:rPr>
        <w:t xml:space="preserve">While human rights </w:t>
      </w:r>
      <w:proofErr w:type="gramStart"/>
      <w:r w:rsidRPr="0058580C">
        <w:rPr>
          <w:rFonts w:eastAsia="Calibri" w:cs="Calibri"/>
          <w:u w:val="single"/>
        </w:rPr>
        <w:t>says</w:t>
      </w:r>
      <w:proofErr w:type="gramEnd"/>
      <w:r w:rsidRPr="0058580C">
        <w:rPr>
          <w:rFonts w:eastAsia="Calibri" w:cs="Calibri"/>
          <w:u w:val="single"/>
        </w:rPr>
        <w:t xml:space="preserve"> ‘never again’ to the extermination of whole peoples made possible by totalitarianism</w:t>
      </w:r>
      <w:r w:rsidRPr="0058580C">
        <w:rPr>
          <w:rFonts w:eastAsia="Calibri" w:cs="Calibri"/>
          <w:sz w:val="14"/>
        </w:rPr>
        <w:t>—as Hannah Arendt attempts to make sense of in The Origins of Totalitarianism (1951)—</w:t>
      </w:r>
      <w:r w:rsidRPr="0058580C">
        <w:rPr>
          <w:rFonts w:eastAsia="Calibri" w:cs="Calibri"/>
          <w:u w:val="single"/>
        </w:rPr>
        <w:t>Indigenous bodies make claims against sovereign power simply by remaining</w:t>
      </w:r>
      <w:r w:rsidRPr="0058580C">
        <w:rPr>
          <w:rFonts w:eastAsia="Calibri" w:cs="Calibri"/>
          <w:sz w:val="14"/>
        </w:rPr>
        <w:t xml:space="preserve">. 26 </w:t>
      </w:r>
      <w:r w:rsidRPr="0058580C">
        <w:rPr>
          <w:rFonts w:eastAsia="Calibri" w:cs="Calibri"/>
          <w:u w:val="single"/>
        </w:rPr>
        <w:t>In so doing, they signify the defeat of a continuous extermination by settler states that inhabits a very different temporality</w:t>
      </w:r>
      <w:r w:rsidRPr="0058580C">
        <w:rPr>
          <w:rFonts w:eastAsia="Calibri" w:cs="Calibri"/>
          <w:sz w:val="14"/>
        </w:rPr>
        <w:t xml:space="preserve"> (a different duration) than the sudden and rapid totalitarian exterminations so richly laden in human rights iconography and mythmaking. </w:t>
      </w:r>
      <w:r w:rsidRPr="0058580C">
        <w:rPr>
          <w:rFonts w:eastAsia="Calibri" w:cs="Calibri"/>
          <w:u w:val="single"/>
        </w:rPr>
        <w:t>This Indigenous refusal is made even while the human rights regime—as a language of liberalism, as a liberal moral vernacular—</w:t>
      </w:r>
      <w:r w:rsidRPr="0058580C">
        <w:rPr>
          <w:rFonts w:eastAsia="Calibri" w:cs="Calibri"/>
          <w:b/>
          <w:iCs/>
          <w:u w:val="single"/>
        </w:rPr>
        <w:t>reproduces a fantasy that certain states have about themselves: that there do not exist forms of political action outside of the parameters they set</w:t>
      </w:r>
      <w:r w:rsidRPr="0058580C">
        <w:rPr>
          <w:rFonts w:eastAsia="Calibri" w:cs="Calibri"/>
          <w:sz w:val="14"/>
        </w:rPr>
        <w:t>. This neo-Kantian fantasy is a Fukuyama-</w:t>
      </w:r>
      <w:proofErr w:type="spellStart"/>
      <w:r w:rsidRPr="0058580C">
        <w:rPr>
          <w:rFonts w:eastAsia="Calibri" w:cs="Calibri"/>
          <w:sz w:val="14"/>
        </w:rPr>
        <w:t>esque</w:t>
      </w:r>
      <w:proofErr w:type="spellEnd"/>
      <w:r w:rsidRPr="0058580C">
        <w:rPr>
          <w:rFonts w:eastAsia="Calibri" w:cs="Calibri"/>
          <w:sz w:val="14"/>
        </w:rPr>
        <w:t xml:space="preserve"> </w:t>
      </w:r>
      <w:r w:rsidRPr="0058580C">
        <w:rPr>
          <w:rFonts w:eastAsia="Calibri" w:cs="Calibri"/>
          <w:u w:val="single"/>
        </w:rPr>
        <w:t>investment by the liberal mainstream in the idea that a universalized liberal democracy might be the ultimate horizon of political action and social organization</w:t>
      </w:r>
      <w:r w:rsidRPr="0058580C">
        <w:rPr>
          <w:rFonts w:eastAsia="Calibri" w:cs="Calibri"/>
          <w:sz w:val="14"/>
        </w:rPr>
        <w:t xml:space="preserve"> (Fukuyama 1992). As Jeanne Morefield helps us recognize in Empires without Imperialism (2014), liberals like Ignatieff who are deeply invested in human rights and the liberal state system are willing to condone illiberal means—torture (2004) and ‘empire lite’ (2003)—to secure democracy around the globe while performing a rhetorical agonizing over the ‘tragic’ choice liberals must make in the name of reducing human suffering even by dubious methods. Morefield presents this as a need by liberals to show that they have robust internal debates (the self-proclaimed definition of liberal political life) even if the outcomes are illiberal actions, thus confirming the essential liberal character or essence of the state/people despite contradictory </w:t>
      </w:r>
      <w:proofErr w:type="spellStart"/>
      <w:r w:rsidRPr="0058580C">
        <w:rPr>
          <w:rFonts w:eastAsia="Calibri" w:cs="Calibri"/>
          <w:sz w:val="14"/>
        </w:rPr>
        <w:t>behaviour</w:t>
      </w:r>
      <w:proofErr w:type="spellEnd"/>
      <w:r w:rsidRPr="0058580C">
        <w:rPr>
          <w:rFonts w:eastAsia="Calibri" w:cs="Calibri"/>
          <w:sz w:val="14"/>
        </w:rPr>
        <w:t xml:space="preserve">: “who ‘we’ are consistently trumps what ‘we’ do by wrapping the imperializing society in the gauzy sheen of a liberal identity that protects it from the barbs of those who are consistently imagined to be illiberal in nature” (202).27 This dynamic becomes especially significant </w:t>
      </w:r>
      <w:r w:rsidRPr="0058580C">
        <w:rPr>
          <w:rFonts w:eastAsia="Calibri" w:cs="Calibri"/>
          <w:u w:val="single"/>
        </w:rPr>
        <w:t>in settler colonies</w:t>
      </w:r>
      <w:r w:rsidRPr="0058580C">
        <w:rPr>
          <w:rFonts w:eastAsia="Calibri" w:cs="Calibri"/>
          <w:sz w:val="14"/>
        </w:rPr>
        <w:t xml:space="preserve">, where </w:t>
      </w:r>
      <w:r w:rsidRPr="0058580C">
        <w:rPr>
          <w:rFonts w:eastAsia="Calibri" w:cs="Calibri"/>
          <w:u w:val="single"/>
        </w:rPr>
        <w:t xml:space="preserve">the </w:t>
      </w:r>
      <w:r w:rsidRPr="0058580C">
        <w:rPr>
          <w:rFonts w:eastAsia="Calibri" w:cs="Calibri"/>
          <w:b/>
          <w:iCs/>
          <w:u w:val="single"/>
        </w:rPr>
        <w:t>justification of illiberal action</w:t>
      </w:r>
      <w:r w:rsidRPr="0058580C">
        <w:rPr>
          <w:rFonts w:eastAsia="Calibri" w:cs="Calibri"/>
          <w:u w:val="single"/>
        </w:rPr>
        <w:t xml:space="preserve"> has </w:t>
      </w:r>
      <w:r w:rsidRPr="0058580C">
        <w:rPr>
          <w:rFonts w:eastAsia="Calibri" w:cs="Calibri"/>
          <w:b/>
          <w:iCs/>
          <w:u w:val="single"/>
        </w:rPr>
        <w:t>occurred over centuries</w:t>
      </w:r>
      <w:r w:rsidRPr="0058580C">
        <w:rPr>
          <w:rFonts w:eastAsia="Calibri" w:cs="Calibri"/>
          <w:u w:val="single"/>
        </w:rPr>
        <w:t xml:space="preserve"> and has adopted and </w:t>
      </w:r>
      <w:r w:rsidRPr="0058580C">
        <w:rPr>
          <w:rFonts w:eastAsia="Calibri" w:cs="Calibri"/>
          <w:b/>
          <w:iCs/>
          <w:u w:val="single"/>
        </w:rPr>
        <w:t>adapted whatever moral-historical concepts are in currency</w:t>
      </w:r>
      <w:r w:rsidRPr="0058580C">
        <w:rPr>
          <w:rFonts w:eastAsia="Calibri" w:cs="Calibri"/>
          <w:u w:val="single"/>
        </w:rPr>
        <w:t xml:space="preserve">—barbarism, civilization, development, </w:t>
      </w:r>
      <w:r w:rsidRPr="0058580C">
        <w:rPr>
          <w:rFonts w:eastAsia="Calibri" w:cs="Calibri"/>
          <w:b/>
          <w:iCs/>
          <w:u w:val="single"/>
        </w:rPr>
        <w:t>human rights</w:t>
      </w:r>
      <w:r w:rsidRPr="0058580C">
        <w:rPr>
          <w:rFonts w:eastAsia="Calibri" w:cs="Calibri"/>
          <w:sz w:val="14"/>
        </w:rPr>
        <w:t xml:space="preserve">. It is therefore significant that Jennifer </w:t>
      </w:r>
      <w:proofErr w:type="spellStart"/>
      <w:r w:rsidRPr="0058580C">
        <w:rPr>
          <w:rFonts w:eastAsia="Calibri" w:cs="Calibri"/>
          <w:sz w:val="14"/>
        </w:rPr>
        <w:t>Tunnicliffe</w:t>
      </w:r>
      <w:proofErr w:type="spellEnd"/>
      <w:r w:rsidRPr="0058580C">
        <w:rPr>
          <w:rFonts w:eastAsia="Calibri" w:cs="Calibri"/>
          <w:sz w:val="14"/>
        </w:rPr>
        <w:t xml:space="preserve"> identifies that “[s]</w:t>
      </w:r>
      <w:proofErr w:type="spellStart"/>
      <w:r w:rsidRPr="0058580C">
        <w:rPr>
          <w:rFonts w:eastAsia="Calibri" w:cs="Calibri"/>
          <w:sz w:val="14"/>
        </w:rPr>
        <w:t>upport</w:t>
      </w:r>
      <w:proofErr w:type="spellEnd"/>
      <w:r w:rsidRPr="0058580C">
        <w:rPr>
          <w:rFonts w:eastAsia="Calibri" w:cs="Calibri"/>
          <w:sz w:val="14"/>
        </w:rPr>
        <w:t xml:space="preserve"> for human rights is an increasingly important element of Canadian identity” (2014: 807), and cites “the ‘sanctimonious’ attitude of Canadians toward their own human rights history” (809).28 I would argue that </w:t>
      </w:r>
      <w:r w:rsidRPr="0058580C">
        <w:rPr>
          <w:rFonts w:eastAsia="Calibri" w:cs="Calibri"/>
          <w:u w:val="single"/>
        </w:rPr>
        <w:t xml:space="preserve">this kind of </w:t>
      </w:r>
      <w:r w:rsidRPr="0058580C">
        <w:rPr>
          <w:rFonts w:eastAsia="Calibri" w:cs="Calibri"/>
          <w:b/>
          <w:iCs/>
          <w:u w:val="single"/>
        </w:rPr>
        <w:t>human rights pride</w:t>
      </w:r>
      <w:r w:rsidRPr="0058580C">
        <w:rPr>
          <w:rFonts w:eastAsia="Calibri" w:cs="Calibri"/>
          <w:u w:val="single"/>
        </w:rPr>
        <w:t xml:space="preserve"> and its incorporation into national identity</w:t>
      </w:r>
      <w:r w:rsidRPr="0058580C">
        <w:rPr>
          <w:rFonts w:eastAsia="Calibri" w:cs="Calibri"/>
          <w:sz w:val="14"/>
        </w:rPr>
        <w:t xml:space="preserve">, when seen in relation to the liberal dynamic Morefield describes, </w:t>
      </w:r>
      <w:r w:rsidRPr="0058580C">
        <w:rPr>
          <w:rFonts w:eastAsia="Calibri" w:cs="Calibri"/>
          <w:u w:val="single"/>
        </w:rPr>
        <w:t>is an example of</w:t>
      </w:r>
      <w:r w:rsidRPr="0058580C">
        <w:rPr>
          <w:rFonts w:eastAsia="Calibri" w:cs="Calibri"/>
          <w:sz w:val="14"/>
        </w:rPr>
        <w:t xml:space="preserve"> what Mark Rifkin calls </w:t>
      </w:r>
      <w:r w:rsidRPr="0058580C">
        <w:rPr>
          <w:rFonts w:eastAsia="Calibri" w:cs="Calibri"/>
          <w:b/>
          <w:iCs/>
          <w:u w:val="single"/>
        </w:rPr>
        <w:t>settler common sense</w:t>
      </w:r>
      <w:r w:rsidRPr="0058580C">
        <w:rPr>
          <w:rFonts w:eastAsia="Calibri" w:cs="Calibri"/>
          <w:u w:val="single"/>
        </w:rPr>
        <w:t xml:space="preserve">, whereby “quotidian affective </w:t>
      </w:r>
      <w:r w:rsidRPr="0058580C">
        <w:rPr>
          <w:rFonts w:eastAsia="Calibri" w:cs="Calibri"/>
          <w:u w:val="single"/>
        </w:rPr>
        <w:lastRenderedPageBreak/>
        <w:t>formations among nonnatives”—such as a shared, ‘sanctimonious’ national human rights identity and the community of human rights-endorsing states</w:t>
      </w:r>
      <w:r w:rsidRPr="0058580C">
        <w:rPr>
          <w:rFonts w:eastAsia="Calibri" w:cs="Calibri"/>
          <w:sz w:val="14"/>
        </w:rPr>
        <w:t xml:space="preserve"> Lightfoot describes—“</w:t>
      </w:r>
      <w:r w:rsidRPr="0058580C">
        <w:rPr>
          <w:rFonts w:eastAsia="Calibri" w:cs="Calibri"/>
          <w:u w:val="single"/>
        </w:rPr>
        <w:t xml:space="preserve">can be understood as </w:t>
      </w:r>
      <w:r w:rsidRPr="0058580C">
        <w:rPr>
          <w:rFonts w:eastAsia="Calibri" w:cs="Calibri"/>
          <w:b/>
          <w:iCs/>
          <w:u w:val="single"/>
        </w:rPr>
        <w:t>normalizing settler presence, privilege, and power</w:t>
      </w:r>
      <w:r w:rsidRPr="0058580C">
        <w:rPr>
          <w:rFonts w:eastAsia="Calibri" w:cs="Calibri"/>
          <w:u w:val="single"/>
        </w:rPr>
        <w:t>, taking up the terms and technologies of settler governance as something like a phenomenological surround that serves as the animating context for nonnatives’ engagement with the social environment</w:t>
      </w:r>
      <w:r w:rsidRPr="0058580C">
        <w:rPr>
          <w:rFonts w:eastAsia="Calibri" w:cs="Calibri"/>
          <w:sz w:val="14"/>
        </w:rPr>
        <w:t xml:space="preserve">” (2014: xv). Thus ‘who we are’ comes to matter more than ‘what we do’—in a splitting of the contingent self and the essential self—so long as we worry over this essential self, or soul, as </w:t>
      </w:r>
      <w:proofErr w:type="spellStart"/>
      <w:r w:rsidRPr="0058580C">
        <w:rPr>
          <w:rFonts w:eastAsia="Calibri" w:cs="Calibri"/>
          <w:sz w:val="14"/>
        </w:rPr>
        <w:t>Jasbir</w:t>
      </w:r>
      <w:proofErr w:type="spellEnd"/>
      <w:r w:rsidRPr="0058580C">
        <w:rPr>
          <w:rFonts w:eastAsia="Calibri" w:cs="Calibri"/>
          <w:sz w:val="14"/>
        </w:rPr>
        <w:t xml:space="preserve"> Puar (2007) and Steven Salaita (2011) show is also the case in another settler colony, Israel. Another way to make sense of this is to follow </w:t>
      </w:r>
      <w:proofErr w:type="spellStart"/>
      <w:r w:rsidRPr="0058580C">
        <w:rPr>
          <w:rFonts w:eastAsia="Calibri" w:cs="Calibri"/>
          <w:sz w:val="14"/>
        </w:rPr>
        <w:t>Illan</w:t>
      </w:r>
      <w:proofErr w:type="spellEnd"/>
      <w:r w:rsidRPr="0058580C">
        <w:rPr>
          <w:rFonts w:eastAsia="Calibri" w:cs="Calibri"/>
          <w:sz w:val="14"/>
        </w:rPr>
        <w:t xml:space="preserve"> Rau Wall, who uses the work of Jacques </w:t>
      </w:r>
      <w:proofErr w:type="spellStart"/>
      <w:r w:rsidRPr="0058580C">
        <w:rPr>
          <w:rFonts w:eastAsia="Calibri" w:cs="Calibri"/>
          <w:sz w:val="14"/>
        </w:rPr>
        <w:t>Rancière</w:t>
      </w:r>
      <w:proofErr w:type="spellEnd"/>
      <w:r w:rsidRPr="0058580C">
        <w:rPr>
          <w:rFonts w:eastAsia="Calibri" w:cs="Calibri"/>
          <w:sz w:val="14"/>
        </w:rPr>
        <w:t xml:space="preserve"> to argue that [h]</w:t>
      </w:r>
      <w:proofErr w:type="spellStart"/>
      <w:r w:rsidRPr="0058580C">
        <w:rPr>
          <w:rFonts w:eastAsia="Calibri" w:cs="Calibri"/>
          <w:sz w:val="14"/>
        </w:rPr>
        <w:t>uman</w:t>
      </w:r>
      <w:proofErr w:type="spellEnd"/>
      <w:r w:rsidRPr="0058580C">
        <w:rPr>
          <w:rFonts w:eastAsia="Calibri" w:cs="Calibri"/>
          <w:sz w:val="14"/>
        </w:rPr>
        <w:t xml:space="preserve"> rights remain part of the distribution of the sensible. ‘[T]he distribution of the sensible sets the divisions between what is visible and invisible, </w:t>
      </w:r>
      <w:proofErr w:type="spellStart"/>
      <w:r w:rsidRPr="0058580C">
        <w:rPr>
          <w:rFonts w:eastAsia="Calibri" w:cs="Calibri"/>
          <w:sz w:val="14"/>
        </w:rPr>
        <w:t>sayable</w:t>
      </w:r>
      <w:proofErr w:type="spellEnd"/>
      <w:r w:rsidRPr="0058580C">
        <w:rPr>
          <w:rFonts w:eastAsia="Calibri" w:cs="Calibri"/>
          <w:sz w:val="14"/>
        </w:rPr>
        <w:t xml:space="preserve"> and unsayable, audible and inaudible.’ The everyday politics of this order is a process of counting, of managing who and what counts, and the </w:t>
      </w:r>
      <w:proofErr w:type="gramStart"/>
      <w:r w:rsidRPr="0058580C">
        <w:rPr>
          <w:rFonts w:eastAsia="Calibri" w:cs="Calibri"/>
          <w:sz w:val="14"/>
        </w:rPr>
        <w:t>manner in which</w:t>
      </w:r>
      <w:proofErr w:type="gramEnd"/>
      <w:r w:rsidRPr="0058580C">
        <w:rPr>
          <w:rFonts w:eastAsia="Calibri" w:cs="Calibri"/>
          <w:sz w:val="14"/>
        </w:rPr>
        <w:t xml:space="preserve"> they count. (2014: 207) Internal critique—worrying over the soul of the nation—would merely “shuffle the positions in the distribution of the sensible” and so maintain “the withdrawal of the political” (112). Morefield, Rifkin, Salaita, and others draw attention to the language games and rhetorical tricks that lend legitimacy and texture to the distribution of the sensible that is at the same time ‘settler common sense’, and the wider claims about sovereignty, territory, citizenship, and liberal order implicit in these that, viewed beyond such ideological structures, actually index the Westphalian state’s inherently violent nature in settler colonial contexts. </w:t>
      </w:r>
      <w:r w:rsidRPr="0058580C">
        <w:rPr>
          <w:rFonts w:eastAsia="Calibri" w:cs="Calibri"/>
          <w:b/>
          <w:iCs/>
          <w:u w:val="single"/>
        </w:rPr>
        <w:t xml:space="preserve">While these activities make a </w:t>
      </w:r>
      <w:proofErr w:type="spellStart"/>
      <w:r w:rsidRPr="0058580C">
        <w:rPr>
          <w:rFonts w:eastAsia="Calibri" w:cs="Calibri"/>
          <w:b/>
          <w:iCs/>
          <w:u w:val="single"/>
        </w:rPr>
        <w:t>pretence</w:t>
      </w:r>
      <w:proofErr w:type="spellEnd"/>
      <w:r w:rsidRPr="0058580C">
        <w:rPr>
          <w:rFonts w:eastAsia="Calibri" w:cs="Calibri"/>
          <w:b/>
          <w:iCs/>
          <w:u w:val="single"/>
        </w:rPr>
        <w:t xml:space="preserve"> of interrogating the actions and identity of the nation, they actually “shield the settler-colonial legal and political apparatuses from the same reciprocal form of critical examination as is exercised over indigenous peoples</w:t>
      </w:r>
      <w:r w:rsidRPr="0058580C">
        <w:rPr>
          <w:rFonts w:eastAsia="Calibri" w:cs="Calibri"/>
          <w:u w:val="single"/>
        </w:rPr>
        <w:t xml:space="preserve"> and their claims”</w:t>
      </w:r>
      <w:r w:rsidRPr="0058580C">
        <w:rPr>
          <w:rFonts w:eastAsia="Calibri" w:cs="Calibri"/>
          <w:sz w:val="14"/>
        </w:rPr>
        <w:t xml:space="preserve"> (Nichols 2013: 177-178). In a prescient passage, Franz Fanon identifies a similar dynamic while writing from another settler colony, Algeria, in the 1960s: “[in] its narcissistic monologue the colonialist bourgeoisie, by way of its academics, had implanted in the minds of the colonized that the essential values— meaning Western values—remain eternal despite all errors attributable to man” (1963: 11). What better way to describe, say, Michael Ignatieff, then as a colonialist bourgeoisie academic advocating, through a narcissistic monologue, the essential goodness of Western values (human rights) despite the human errors and costs they entail?29 While the inherent unimpeachability of the liberal state is certainly used to reproduce colonial relations in non-settler colonial settings through concepts such as humanitarian intervention (R2P) and neoliberal development institutions (the World Bank and IMF), the ‘liberal state identity’ tactic is used in different though related ways at home to buttress the state’s sovereign defenses against external scrutiny of its domestic </w:t>
      </w:r>
      <w:proofErr w:type="spellStart"/>
      <w:r w:rsidRPr="0058580C">
        <w:rPr>
          <w:rFonts w:eastAsia="Calibri" w:cs="Calibri"/>
          <w:sz w:val="14"/>
        </w:rPr>
        <w:t>behaviour</w:t>
      </w:r>
      <w:proofErr w:type="spellEnd"/>
      <w:r w:rsidRPr="0058580C">
        <w:rPr>
          <w:rFonts w:eastAsia="Calibri" w:cs="Calibri"/>
          <w:sz w:val="14"/>
        </w:rPr>
        <w:t xml:space="preserve">. Thus, when a critique of human rights from an Indigenous or Native Studies perspective is filed under ‘colonialism’, a significant and irreducible element of its analysis is assimilated into a more ambiguous ‘colonial relation’. For instance, Mahmood Mamdani (2012) and Karuna </w:t>
      </w:r>
      <w:proofErr w:type="spellStart"/>
      <w:r w:rsidRPr="0058580C">
        <w:rPr>
          <w:rFonts w:eastAsia="Calibri" w:cs="Calibri"/>
          <w:sz w:val="14"/>
        </w:rPr>
        <w:t>Mantena</w:t>
      </w:r>
      <w:proofErr w:type="spellEnd"/>
      <w:r w:rsidRPr="0058580C">
        <w:rPr>
          <w:rFonts w:eastAsia="Calibri" w:cs="Calibri"/>
          <w:sz w:val="14"/>
        </w:rPr>
        <w:t xml:space="preserve"> (2010) have developed an account of liberal empire, showing how utilitarian, direct rule was replaced by indirect rule structures during the mid-19th century crisis of empire.30 However, their critique aims to understand techniques of maintaining power over a territory already under external colonial rule so as to consolidate extractive resource bases and increase international clout. The crisis of empire was more about how to treat external others so as to protect global economic and political interests than about how to treat internal others that destabilize the claims to the developing settler political community in its entirety; perhaps accordingly, </w:t>
      </w:r>
      <w:proofErr w:type="spellStart"/>
      <w:r w:rsidRPr="0058580C">
        <w:rPr>
          <w:rFonts w:eastAsia="Calibri" w:cs="Calibri"/>
          <w:sz w:val="14"/>
        </w:rPr>
        <w:t>Mantena’s</w:t>
      </w:r>
      <w:proofErr w:type="spellEnd"/>
      <w:r w:rsidRPr="0058580C">
        <w:rPr>
          <w:rFonts w:eastAsia="Calibri" w:cs="Calibri"/>
          <w:sz w:val="14"/>
        </w:rPr>
        <w:t xml:space="preserve"> theorization of a general shift from utilitarian direct rule to an indirect, less invasive rule in India does not help us make sense of the fact that in Canada, “Indian Act policy tended to become more coercive over time” as the government became increasingly frustrated (Miller 2013: 241). Management of territory for the sake of continued exploitation will utilize different (though related) tactics than will the settlement of territory for the sake of erecting a new state on it.31 Similarly, the school of critique described above, led by </w:t>
      </w:r>
      <w:proofErr w:type="spellStart"/>
      <w:r w:rsidRPr="0058580C">
        <w:rPr>
          <w:rFonts w:eastAsia="Calibri" w:cs="Calibri"/>
          <w:sz w:val="14"/>
        </w:rPr>
        <w:t>Torpey</w:t>
      </w:r>
      <w:proofErr w:type="spellEnd"/>
      <w:r w:rsidRPr="0058580C">
        <w:rPr>
          <w:rFonts w:eastAsia="Calibri" w:cs="Calibri"/>
          <w:sz w:val="14"/>
        </w:rPr>
        <w:t xml:space="preserve"> (2006), </w:t>
      </w:r>
      <w:proofErr w:type="spellStart"/>
      <w:r w:rsidRPr="0058580C">
        <w:rPr>
          <w:rFonts w:eastAsia="Calibri" w:cs="Calibri"/>
          <w:sz w:val="14"/>
        </w:rPr>
        <w:t>Moyn</w:t>
      </w:r>
      <w:proofErr w:type="spellEnd"/>
      <w:r w:rsidRPr="0058580C">
        <w:rPr>
          <w:rFonts w:eastAsia="Calibri" w:cs="Calibri"/>
          <w:sz w:val="14"/>
        </w:rPr>
        <w:t xml:space="preserve"> (2010), and Meister (2011), looks at how the contemporary human rights regime has circumscribed political thinking, limiting the horizons of whole peoples’ utopian imagination. However, these theorists orient this critique mostly in relation to the 1960s decolonization struggle on the African continent (which largely adopted the European state form), ultimately doing little to help us understand Indigenous North American forms of control and resistance, or the very present political imaginaries and claims Indigenous activists erect against this limiting and limited façade. Finally, many ideological critiques of human rights indict liberalism (and the liberal state), treating it as a proxy for human rights. This recent strand of scholarship in the history of political thought has elaborated the links between liberalism and imperialism by showing how exclusions are structured into the way liberalism works.32 Thus, when we acknowledge that the human rights regime is at base (whether in theory or in practice) a liberal one coming out of the tradition of liberalism—a connection laid out clearly by John </w:t>
      </w:r>
      <w:proofErr w:type="spellStart"/>
      <w:r w:rsidRPr="0058580C">
        <w:rPr>
          <w:rFonts w:eastAsia="Calibri" w:cs="Calibri"/>
          <w:sz w:val="14"/>
        </w:rPr>
        <w:t>Charvet</w:t>
      </w:r>
      <w:proofErr w:type="spellEnd"/>
      <w:r w:rsidRPr="0058580C">
        <w:rPr>
          <w:rFonts w:eastAsia="Calibri" w:cs="Calibri"/>
          <w:sz w:val="14"/>
        </w:rPr>
        <w:t xml:space="preserve"> and Elisa </w:t>
      </w:r>
      <w:proofErr w:type="spellStart"/>
      <w:r w:rsidRPr="0058580C">
        <w:rPr>
          <w:rFonts w:eastAsia="Calibri" w:cs="Calibri"/>
          <w:sz w:val="14"/>
        </w:rPr>
        <w:t>Kaczynska</w:t>
      </w:r>
      <w:proofErr w:type="spellEnd"/>
      <w:r w:rsidRPr="0058580C">
        <w:rPr>
          <w:rFonts w:eastAsia="Calibri" w:cs="Calibri"/>
          <w:sz w:val="14"/>
        </w:rPr>
        <w:t>-Nay in The Liberal Project and Human Rights: The Theory and Practice of a New World Order (2008)—it is hard to take seriously that regime’s stated claims to universalism, whether minimalist or not.33 However, as Duncan Bell demonstrates (2016), the current scholarly flurry on the inherent or contingent relationship between liberalism and empire has failed to take adequate account of settler colonialism: “a tendency to overlook the significance of settler colonialism” is one of the main weaknesses run[</w:t>
      </w:r>
      <w:proofErr w:type="spellStart"/>
      <w:r w:rsidRPr="0058580C">
        <w:rPr>
          <w:rFonts w:eastAsia="Calibri" w:cs="Calibri"/>
          <w:sz w:val="14"/>
        </w:rPr>
        <w:t>ing</w:t>
      </w:r>
      <w:proofErr w:type="spellEnd"/>
      <w:r w:rsidRPr="0058580C">
        <w:rPr>
          <w:rFonts w:eastAsia="Calibri" w:cs="Calibri"/>
          <w:sz w:val="14"/>
        </w:rPr>
        <w:t xml:space="preserve">] through scholarly commentary on liberalism and empire…Settler colonialism played a crucial role in nineteenth century imperial thought, and liberalism in particular, yet it has largely been ignored in the burst of writing about the intellectual foundations of the Victorian empire. (2)34 If liberalism is a theoretical cornerstone for both the history of human rights and its contemporary normative architecture, then it is imperative that analyses of the relationship between human rights and colonial power utilize the tools of settler colonial studies to correct for this absence, not least because, as Dian Million points out, post-WWII calls in North America for self-determination and treaty rights have spoken “firmly to and from liberalism” (2013: 87). What such calls for self-determination in the language of liberalism mean, then, is that we need to account for how inclusions (not just the exclusions elucidated by Mehta and others) can also be violent: the inclusion of who, in what, and on whose ground? Not to do so, proposes Scott </w:t>
      </w:r>
      <w:proofErr w:type="spellStart"/>
      <w:r w:rsidRPr="0058580C">
        <w:rPr>
          <w:rFonts w:eastAsia="Calibri" w:cs="Calibri"/>
          <w:sz w:val="14"/>
        </w:rPr>
        <w:t>Morgensen</w:t>
      </w:r>
      <w:proofErr w:type="spellEnd"/>
      <w:r w:rsidRPr="0058580C">
        <w:rPr>
          <w:rFonts w:eastAsia="Calibri" w:cs="Calibri"/>
          <w:sz w:val="14"/>
        </w:rPr>
        <w:t xml:space="preserve">, might itself be a violence: Settler colonialism directly informs past and present processes of European </w:t>
      </w:r>
      <w:proofErr w:type="spellStart"/>
      <w:r w:rsidRPr="0058580C">
        <w:rPr>
          <w:rFonts w:eastAsia="Calibri" w:cs="Calibri"/>
          <w:sz w:val="14"/>
        </w:rPr>
        <w:t>colonisation</w:t>
      </w:r>
      <w:proofErr w:type="spellEnd"/>
      <w:r w:rsidRPr="0058580C">
        <w:rPr>
          <w:rFonts w:eastAsia="Calibri" w:cs="Calibri"/>
          <w:sz w:val="14"/>
        </w:rPr>
        <w:t xml:space="preserve">, global capitalism, liberal modernity and international governance. If settler colonialism is not </w:t>
      </w:r>
      <w:proofErr w:type="spellStart"/>
      <w:r w:rsidRPr="0058580C">
        <w:rPr>
          <w:rFonts w:eastAsia="Calibri" w:cs="Calibri"/>
          <w:sz w:val="14"/>
        </w:rPr>
        <w:t>theorised</w:t>
      </w:r>
      <w:proofErr w:type="spellEnd"/>
      <w:r w:rsidRPr="0058580C">
        <w:rPr>
          <w:rFonts w:eastAsia="Calibri" w:cs="Calibri"/>
          <w:sz w:val="14"/>
        </w:rPr>
        <w:t xml:space="preserve"> in accounts of these formations, then its power remains </w:t>
      </w:r>
      <w:proofErr w:type="spellStart"/>
      <w:r w:rsidRPr="0058580C">
        <w:rPr>
          <w:rFonts w:eastAsia="Calibri" w:cs="Calibri"/>
          <w:sz w:val="14"/>
        </w:rPr>
        <w:t>naturalised</w:t>
      </w:r>
      <w:proofErr w:type="spellEnd"/>
      <w:r w:rsidRPr="0058580C">
        <w:rPr>
          <w:rFonts w:eastAsia="Calibri" w:cs="Calibri"/>
          <w:sz w:val="14"/>
        </w:rPr>
        <w:t xml:space="preserve"> in the world that we engage and in the theoretical apparatuses with which we attempt to explain it. (2011: 53) Part of the reason for this is that settler colonialism “is not merely a global phenomenon, it is also constitutive of the global” (Cornellier and Griffiths 2015: 1); as such, when theorizing settler colonialism in accounts of liberalism and rights, we should follow the lead of Lisa Lowe, who acknowledges that “the differentially situated histories of indigeneity, slavery, industry, trade, and immigration give rise to linked, but not identical, genealogies of liberalism” (2015: 11). Ultimately, then, the various critiques of human rights and liberalism described above are insightful, but insufficient to an analysis of how liberalism and rights operate within settler colonial states. </w:t>
      </w:r>
      <w:r w:rsidRPr="0058580C">
        <w:rPr>
          <w:rFonts w:eastAsia="Calibri" w:cs="Calibri"/>
          <w:u w:val="single"/>
        </w:rPr>
        <w:t>How do we go about correcting for this insufficiency? The first step is to get a grip on the nature of the power structures for which we are trying to account. The irreducible element that a settler colonial perspective on human rights adds to the analysis is the state’s drive for land</w:t>
      </w:r>
      <w:r w:rsidRPr="0058580C">
        <w:rPr>
          <w:rFonts w:eastAsia="Calibri" w:cs="Calibri"/>
          <w:sz w:val="14"/>
        </w:rPr>
        <w:t xml:space="preserve">. Settler colonialism’s main actor, the state (rather than just colony, nation, or metropole), is specific, and its motivation, land (rather than </w:t>
      </w:r>
      <w:proofErr w:type="spellStart"/>
      <w:r w:rsidRPr="0058580C">
        <w:rPr>
          <w:rFonts w:eastAsia="Calibri" w:cs="Calibri"/>
          <w:sz w:val="14"/>
        </w:rPr>
        <w:t>labour</w:t>
      </w:r>
      <w:proofErr w:type="spellEnd"/>
      <w:r w:rsidRPr="0058580C">
        <w:rPr>
          <w:rFonts w:eastAsia="Calibri" w:cs="Calibri"/>
          <w:sz w:val="14"/>
        </w:rPr>
        <w:t xml:space="preserve">, wealth, power), is also specific, though all these actors and motivations are entangled in settler colonialism and analyses of it. The crucial focus is on a state structure trying to disavow its history of land dispossession and indigenous elimination </w:t>
      </w:r>
      <w:proofErr w:type="gramStart"/>
      <w:r w:rsidRPr="0058580C">
        <w:rPr>
          <w:rFonts w:eastAsia="Calibri" w:cs="Calibri"/>
          <w:sz w:val="14"/>
        </w:rPr>
        <w:t>in an attempt to</w:t>
      </w:r>
      <w:proofErr w:type="gramEnd"/>
      <w:r w:rsidRPr="0058580C">
        <w:rPr>
          <w:rFonts w:eastAsia="Calibri" w:cs="Calibri"/>
          <w:sz w:val="14"/>
        </w:rPr>
        <w:t xml:space="preserve"> erect the myth of the state on the territory of pre-existing nations and then have that myth solidified in and supported by the international community. Settler states and their institutions, in the words of James Tully, “constitute structures of domination…because they are now relatively stable, immovable and irreversible vis-à-vis any direct confrontation by the </w:t>
      </w:r>
      <w:proofErr w:type="spellStart"/>
      <w:r w:rsidRPr="0058580C">
        <w:rPr>
          <w:rFonts w:eastAsia="Calibri" w:cs="Calibri"/>
          <w:sz w:val="14"/>
        </w:rPr>
        <w:t>colonised</w:t>
      </w:r>
      <w:proofErr w:type="spellEnd"/>
      <w:r w:rsidRPr="0058580C">
        <w:rPr>
          <w:rFonts w:eastAsia="Calibri" w:cs="Calibri"/>
          <w:sz w:val="14"/>
        </w:rPr>
        <w:t xml:space="preserve"> population” (2000: 37). </w:t>
      </w:r>
      <w:r w:rsidRPr="0058580C">
        <w:rPr>
          <w:rFonts w:eastAsia="Calibri" w:cs="Calibri"/>
          <w:u w:val="single"/>
        </w:rPr>
        <w:t xml:space="preserve">Patrick Wolfe’s </w:t>
      </w:r>
      <w:r w:rsidRPr="0058580C">
        <w:rPr>
          <w:rFonts w:eastAsia="Calibri" w:cs="Calibri"/>
          <w:u w:val="single"/>
        </w:rPr>
        <w:lastRenderedPageBreak/>
        <w:t>foundational account of the processes by which this comes to pass describes settler colonialism as operating under a “logic of elimination” whereby the native must be eliminated, whether through genocidal extermination or liberal assimilation, to consolidate the settler project of land dispossession</w:t>
      </w:r>
      <w:r w:rsidRPr="0058580C">
        <w:rPr>
          <w:rFonts w:eastAsia="Calibri" w:cs="Calibri"/>
          <w:sz w:val="14"/>
        </w:rPr>
        <w:t xml:space="preserve"> (2006: 387).35 Wolfe’s other key contribution is his observation that </w:t>
      </w:r>
      <w:r w:rsidRPr="0058580C">
        <w:rPr>
          <w:rFonts w:eastAsia="Calibri" w:cs="Calibri"/>
          <w:u w:val="single"/>
        </w:rPr>
        <w:t>this logic of elimination is not situated at some specific moment in time that has ‘happened’; rather</w:t>
      </w:r>
      <w:r w:rsidRPr="0058580C">
        <w:rPr>
          <w:rFonts w:eastAsia="Calibri" w:cs="Calibri"/>
          <w:sz w:val="14"/>
        </w:rPr>
        <w:t xml:space="preserve">, in his formulation, </w:t>
      </w:r>
      <w:r w:rsidRPr="0058580C">
        <w:rPr>
          <w:rFonts w:eastAsia="Calibri" w:cs="Calibri"/>
          <w:u w:val="single"/>
        </w:rPr>
        <w:t>“invasion is a structure not an event”</w:t>
      </w:r>
      <w:r w:rsidRPr="0058580C">
        <w:rPr>
          <w:rFonts w:eastAsia="Calibri" w:cs="Calibri"/>
          <w:sz w:val="14"/>
        </w:rPr>
        <w:t xml:space="preserve"> (388). Settler colonialism, for Wolfe, employs mechanisms that are both negative (dissolution of native societies) and positive (erection of a new colonial society). In other words, “settler colonialism destroys to replace” (388). Of course, these are broad assertions that scholars have recently qualified and nuanced. For instance, Tully notes that while both the assimilation approach and the accommodation approach give different degrees of recognition…to indigenous peoples, both do so within the indubitable sovereignty of the Canadian state over indigenous peoples and so do not question, let alone challenge, the continuing </w:t>
      </w:r>
      <w:proofErr w:type="spellStart"/>
      <w:r w:rsidRPr="0058580C">
        <w:rPr>
          <w:rFonts w:eastAsia="Calibri" w:cs="Calibri"/>
          <w:sz w:val="14"/>
        </w:rPr>
        <w:t>colonisation</w:t>
      </w:r>
      <w:proofErr w:type="spellEnd"/>
      <w:r w:rsidRPr="0058580C">
        <w:rPr>
          <w:rFonts w:eastAsia="Calibri" w:cs="Calibri"/>
          <w:sz w:val="14"/>
        </w:rPr>
        <w:t xml:space="preserve"> of indigenous peoples and their territories, but serve to </w:t>
      </w:r>
      <w:proofErr w:type="spellStart"/>
      <w:r w:rsidRPr="0058580C">
        <w:rPr>
          <w:rFonts w:eastAsia="Calibri" w:cs="Calibri"/>
          <w:sz w:val="14"/>
        </w:rPr>
        <w:t>legitimise</w:t>
      </w:r>
      <w:proofErr w:type="spellEnd"/>
      <w:r w:rsidRPr="0058580C">
        <w:rPr>
          <w:rFonts w:eastAsia="Calibri" w:cs="Calibri"/>
          <w:sz w:val="14"/>
        </w:rPr>
        <w:t xml:space="preserve"> it. (2000: 45) Lisa Stevenson introduces the example of government programs of ‘care’ for the Inuit in Canada to show how, contrary to ‘elimination’, the aim of settler states can actually be to keep Indigenous ‘populations’ around: Arctic administrators sought to keep Inuit alive (if just barely) to demonstrate sovereignty with respect to other states. Instead of being physically eliminated from their land (cf. Wolfe 2006) or unsettling Canadian claims to sovereignty through their status as a distinct people (cf. Rifkin 2009), Inuit bodies were </w:t>
      </w:r>
      <w:proofErr w:type="spellStart"/>
      <w:r w:rsidRPr="0058580C">
        <w:rPr>
          <w:rFonts w:eastAsia="Calibri" w:cs="Calibri"/>
          <w:sz w:val="14"/>
        </w:rPr>
        <w:t>reinscribed</w:t>
      </w:r>
      <w:proofErr w:type="spellEnd"/>
      <w:r w:rsidRPr="0058580C">
        <w:rPr>
          <w:rFonts w:eastAsia="Calibri" w:cs="Calibri"/>
          <w:sz w:val="14"/>
        </w:rPr>
        <w:t xml:space="preserve"> as Canadian to support Canada’s international claim to sovereignty over the Arctic. (2014: 180, note 9) As Canada’s most recent Indigenous Affairs Minister, Carolyn Bennett, said in her first month in office: “[w]hat we want is for the health, education and economic outcomes [for indigenous peoples] to be the same as Canadian averages” (Hall 2015). Stevenson’s history of ‘care’ in the Canadian arctic thus should serve as a caution for </w:t>
      </w:r>
      <w:proofErr w:type="gramStart"/>
      <w:r w:rsidRPr="0058580C">
        <w:rPr>
          <w:rFonts w:eastAsia="Calibri" w:cs="Calibri"/>
          <w:sz w:val="14"/>
        </w:rPr>
        <w:t>today, and</w:t>
      </w:r>
      <w:proofErr w:type="gramEnd"/>
      <w:r w:rsidRPr="0058580C">
        <w:rPr>
          <w:rFonts w:eastAsia="Calibri" w:cs="Calibri"/>
          <w:sz w:val="14"/>
        </w:rPr>
        <w:t xml:space="preserve"> help us think differently about what ‘elimination’ entails. Alongside physical/biological death, on the one hand, and assimilation, on the other, we must think about ‘making anonymous’, which is neither physical death nor assimilation, but a kind of preserving of an identity (in this case, Inuit) but only in an aggregate that produces statistics which prove a point (about nation, responsibility, etc.) to/for the powers that be. As Stevenson shows in the case of the Inuit, “becoming Canadian meant, in part, to die at Canadian rates” (30). Here we see how ‘elimination’ might mean the disappearance of Indigenous bodies as well as “the disappearance of the indigenous peoples as free peoples with the right to their territories and governments” (Tully 2000: 40). </w:t>
      </w:r>
      <w:r w:rsidRPr="0058580C">
        <w:rPr>
          <w:rFonts w:eastAsia="Calibri" w:cs="Calibri"/>
          <w:u w:val="single"/>
        </w:rPr>
        <w:t xml:space="preserve">Together, these analytic foci of settler colonial studies—the logic of elimination, and the form of a structure rather than event— and their complications, qualifications, and elaborations, introduce at least two specific challenges to human rights discourse. First, the </w:t>
      </w:r>
      <w:r w:rsidRPr="0058580C">
        <w:rPr>
          <w:rFonts w:eastAsia="Calibri" w:cs="Calibri"/>
          <w:b/>
          <w:iCs/>
          <w:u w:val="single"/>
        </w:rPr>
        <w:t>human rights regime is designed to point out events to be condemned rather than structures to be changed</w:t>
      </w:r>
      <w:r w:rsidRPr="0058580C">
        <w:rPr>
          <w:rFonts w:eastAsia="Calibri" w:cs="Calibri"/>
          <w:sz w:val="14"/>
        </w:rPr>
        <w:t xml:space="preserve">. Examining human rights norms and discourse, </w:t>
      </w:r>
      <w:proofErr w:type="spellStart"/>
      <w:r w:rsidRPr="0058580C">
        <w:rPr>
          <w:rFonts w:eastAsia="Calibri" w:cs="Calibri"/>
          <w:sz w:val="14"/>
        </w:rPr>
        <w:t>Moyn</w:t>
      </w:r>
      <w:proofErr w:type="spellEnd"/>
      <w:r w:rsidRPr="0058580C">
        <w:rPr>
          <w:rFonts w:eastAsia="Calibri" w:cs="Calibri"/>
          <w:sz w:val="14"/>
        </w:rPr>
        <w:t xml:space="preserve"> and others have noted a “failure of structural modes of thinking and more activist political strategies to retain widespread appeal,” finding instead that as a system it is more suited to “singling out state abuses” (2014: 159-160). That is, </w:t>
      </w:r>
      <w:r w:rsidRPr="0058580C">
        <w:rPr>
          <w:rFonts w:eastAsia="Calibri" w:cs="Calibri"/>
          <w:u w:val="single"/>
        </w:rPr>
        <w:t>the human rights regime is far better at identifying specific events that constitute human rights violations than it is at articulating a sustained critique of structural modes of domination that form the context of those violations</w:t>
      </w:r>
      <w:r w:rsidRPr="0058580C">
        <w:rPr>
          <w:rFonts w:eastAsia="Calibri" w:cs="Calibri"/>
          <w:sz w:val="14"/>
        </w:rPr>
        <w:t xml:space="preserve">.36 However, as scholars of settler colonialism insist: settler colonialism is a structure, not an event. </w:t>
      </w:r>
      <w:r w:rsidRPr="0058580C">
        <w:rPr>
          <w:rFonts w:eastAsia="Calibri" w:cs="Calibri"/>
          <w:u w:val="single"/>
        </w:rPr>
        <w:t xml:space="preserve">While state abuses are the stuff human rights are made of, the </w:t>
      </w:r>
      <w:r w:rsidRPr="0058580C">
        <w:rPr>
          <w:rFonts w:eastAsia="Calibri" w:cs="Calibri"/>
          <w:b/>
          <w:iCs/>
          <w:u w:val="single"/>
        </w:rPr>
        <w:t>structural dispossession constituted by the existence of the state remains beyond the reach</w:t>
      </w:r>
      <w:r w:rsidRPr="0058580C">
        <w:rPr>
          <w:rFonts w:eastAsia="Calibri" w:cs="Calibri"/>
          <w:sz w:val="14"/>
        </w:rPr>
        <w:t xml:space="preserve"> (and perhaps even sight) </w:t>
      </w:r>
      <w:r w:rsidRPr="0058580C">
        <w:rPr>
          <w:rFonts w:eastAsia="Calibri" w:cs="Calibri"/>
          <w:b/>
          <w:iCs/>
          <w:u w:val="single"/>
        </w:rPr>
        <w:t>of the human rights regime</w:t>
      </w:r>
      <w:r w:rsidRPr="0058580C">
        <w:rPr>
          <w:rFonts w:eastAsia="Calibri" w:cs="Calibri"/>
          <w:sz w:val="14"/>
        </w:rPr>
        <w:t xml:space="preserve">. Specific to the question of Indigenous peoples, </w:t>
      </w:r>
      <w:proofErr w:type="gramStart"/>
      <w:r w:rsidRPr="0058580C">
        <w:rPr>
          <w:rFonts w:eastAsia="Calibri" w:cs="Calibri"/>
          <w:sz w:val="14"/>
        </w:rPr>
        <w:t>Million</w:t>
      </w:r>
      <w:proofErr w:type="gramEnd"/>
      <w:r w:rsidRPr="0058580C">
        <w:rPr>
          <w:rFonts w:eastAsia="Calibri" w:cs="Calibri"/>
          <w:sz w:val="14"/>
        </w:rPr>
        <w:t xml:space="preserve"> argues that in North America “human rights campaigns seek to affectively and empirically educate ‘publics’ on what feels to them like repetitive crises rather than the regular, ongoing outcomes of ‘colonial’ relations” (2013: 53). </w:t>
      </w:r>
      <w:proofErr w:type="gramStart"/>
      <w:r w:rsidRPr="0058580C">
        <w:rPr>
          <w:rFonts w:eastAsia="Calibri" w:cs="Calibri"/>
          <w:sz w:val="14"/>
        </w:rPr>
        <w:t>Thus</w:t>
      </w:r>
      <w:proofErr w:type="gramEnd"/>
      <w:r w:rsidRPr="0058580C">
        <w:rPr>
          <w:rFonts w:eastAsia="Calibri" w:cs="Calibri"/>
          <w:sz w:val="14"/>
        </w:rPr>
        <w:t xml:space="preserve"> the government of Canada has characterized the crisis of Missing and Murdered Indigenous Woman (MMIW)—over 1,200 ‘missing’ or murdered in the past decade—as individual instances of crime rather than the result of structural dynamics (“Harper Rebuffs”). This kind of talk is one way in which human rights offers a language and framework that, through its ‘</w:t>
      </w:r>
      <w:proofErr w:type="spellStart"/>
      <w:r w:rsidRPr="0058580C">
        <w:rPr>
          <w:rFonts w:eastAsia="Calibri" w:cs="Calibri"/>
          <w:sz w:val="14"/>
        </w:rPr>
        <w:t>eventing</w:t>
      </w:r>
      <w:proofErr w:type="spellEnd"/>
      <w:r w:rsidRPr="0058580C">
        <w:rPr>
          <w:rFonts w:eastAsia="Calibri" w:cs="Calibri"/>
          <w:sz w:val="14"/>
        </w:rPr>
        <w:t xml:space="preserve">’ of violence, distracts attention from settler colonialism’s structural project.37 </w:t>
      </w:r>
      <w:proofErr w:type="spellStart"/>
      <w:r w:rsidRPr="0058580C">
        <w:rPr>
          <w:rFonts w:eastAsia="Calibri" w:cs="Calibri"/>
          <w:sz w:val="14"/>
        </w:rPr>
        <w:t>Moyn’s</w:t>
      </w:r>
      <w:proofErr w:type="spellEnd"/>
      <w:r w:rsidRPr="0058580C">
        <w:rPr>
          <w:rFonts w:eastAsia="Calibri" w:cs="Calibri"/>
          <w:sz w:val="14"/>
        </w:rPr>
        <w:t xml:space="preserve"> observation articulates with Peter </w:t>
      </w:r>
      <w:proofErr w:type="spellStart"/>
      <w:r w:rsidRPr="0058580C">
        <w:rPr>
          <w:rFonts w:eastAsia="Calibri" w:cs="Calibri"/>
          <w:sz w:val="14"/>
        </w:rPr>
        <w:t>Kulchyski’s</w:t>
      </w:r>
      <w:proofErr w:type="spellEnd"/>
      <w:r w:rsidRPr="0058580C">
        <w:rPr>
          <w:rFonts w:eastAsia="Calibri" w:cs="Calibri"/>
          <w:sz w:val="14"/>
        </w:rPr>
        <w:t xml:space="preserve"> argument in “Aboriginal Rights are Not Human Rights” (2011) that “the universalist human rights discourse is poorly equipped” to take up Indigenous cultural rights “threatened by capitalism” (33), and with </w:t>
      </w:r>
      <w:proofErr w:type="spellStart"/>
      <w:r w:rsidRPr="0058580C">
        <w:rPr>
          <w:rFonts w:eastAsia="Calibri" w:cs="Calibri"/>
          <w:sz w:val="14"/>
        </w:rPr>
        <w:t>Illan</w:t>
      </w:r>
      <w:proofErr w:type="spellEnd"/>
      <w:r w:rsidRPr="0058580C">
        <w:rPr>
          <w:rFonts w:eastAsia="Calibri" w:cs="Calibri"/>
          <w:sz w:val="14"/>
        </w:rPr>
        <w:t xml:space="preserve"> </w:t>
      </w:r>
      <w:proofErr w:type="spellStart"/>
      <w:r w:rsidRPr="0058580C">
        <w:rPr>
          <w:rFonts w:eastAsia="Calibri" w:cs="Calibri"/>
          <w:sz w:val="14"/>
        </w:rPr>
        <w:t>Rua</w:t>
      </w:r>
      <w:proofErr w:type="spellEnd"/>
      <w:r w:rsidRPr="0058580C">
        <w:rPr>
          <w:rFonts w:eastAsia="Calibri" w:cs="Calibri"/>
          <w:sz w:val="14"/>
        </w:rPr>
        <w:t xml:space="preserve"> Wall’s observation that human rights “consistently re-inscribe sovereignty and find no place for the politics of </w:t>
      </w:r>
      <w:proofErr w:type="spellStart"/>
      <w:r w:rsidRPr="0058580C">
        <w:rPr>
          <w:rFonts w:eastAsia="Calibri" w:cs="Calibri"/>
          <w:sz w:val="14"/>
        </w:rPr>
        <w:t>anticapitalism</w:t>
      </w:r>
      <w:proofErr w:type="spellEnd"/>
      <w:r w:rsidRPr="0058580C">
        <w:rPr>
          <w:rFonts w:eastAsia="Calibri" w:cs="Calibri"/>
          <w:sz w:val="14"/>
        </w:rPr>
        <w:t xml:space="preserve"> or anti-imperialism in their more expansive forms” (2014: 107). </w:t>
      </w:r>
      <w:r w:rsidRPr="0058580C">
        <w:rPr>
          <w:rFonts w:eastAsia="Calibri" w:cs="Calibri"/>
          <w:u w:val="single"/>
        </w:rPr>
        <w:t xml:space="preserve">Second, and perhaps more fundamentally, </w:t>
      </w:r>
      <w:r w:rsidRPr="0058580C">
        <w:rPr>
          <w:rFonts w:eastAsia="Calibri" w:cs="Calibri"/>
          <w:b/>
          <w:iCs/>
          <w:u w:val="single"/>
        </w:rPr>
        <w:t>human rights rely on the very states through which settler colonialism’s ‘logic of elimination’ is most often carried out, despite human rights originally developing as a ‘check’ on state power</w:t>
      </w:r>
      <w:r w:rsidRPr="0058580C">
        <w:rPr>
          <w:rFonts w:eastAsia="Calibri" w:cs="Calibri"/>
          <w:sz w:val="14"/>
        </w:rPr>
        <w:t xml:space="preserve">. As Arendt famously showed, human rights as we would like to think of them are not really natural rights, but closer to the positive rights accorded to citizens of a state—meaning that if you are a stateless person, you do not have human rights, and if you have human rights, you have them by virtue of the power wielded over you by some or another state (1951: 267-302).38 In this way, as Jacques </w:t>
      </w:r>
      <w:proofErr w:type="spellStart"/>
      <w:r w:rsidRPr="0058580C">
        <w:rPr>
          <w:rFonts w:eastAsia="Calibri" w:cs="Calibri"/>
          <w:sz w:val="14"/>
        </w:rPr>
        <w:t>Rancière</w:t>
      </w:r>
      <w:proofErr w:type="spellEnd"/>
      <w:r w:rsidRPr="0058580C">
        <w:rPr>
          <w:rFonts w:eastAsia="Calibri" w:cs="Calibri"/>
          <w:sz w:val="14"/>
        </w:rPr>
        <w:t xml:space="preserve"> glosses the argument, human rights are actually “the rights of those who have no rights, the mere derision of right” (2004: 298). 39 Nonetheless, human rights are still commonly spoken about as ‘in theory’, at least, providing a check to the whims of states. Indeed, during the UDHR drafting debates the relative power the state should have was fiercely contested—with Western liberal democracies arguing against overly powerful states and Soviet-bloc representatives claiming such power was needed to implement rights to health and education—but not their legitimacy or the plights of those not residing willfully within them (Glendon 2001: 187). Instead, it is over the claiming, adjudication, and administration of (human) rights that the game of a state’s legitimacy is often rhetorically played out though never entirely questioned. In Why Canada Cares: Human Rights and Foreign Policy in Theory and Practice (2012), Andrew Lui stresses “the influence of Canada’s national unity crisis,” arguing that the rise of separatism in Quebec caused the federal government to look for issues around which it could ‘forge national ties’; the pursuit of human rights helped to affirm the sovereign authority of the Canadian government, and federal officials used human rights to project ‘a particular self-image of Canada as a just society that was undivided despite its diversity’. (</w:t>
      </w:r>
      <w:proofErr w:type="spellStart"/>
      <w:r w:rsidRPr="0058580C">
        <w:rPr>
          <w:rFonts w:eastAsia="Calibri" w:cs="Calibri"/>
          <w:sz w:val="14"/>
        </w:rPr>
        <w:t>Tunnicliffe</w:t>
      </w:r>
      <w:proofErr w:type="spellEnd"/>
      <w:r w:rsidRPr="0058580C">
        <w:rPr>
          <w:rFonts w:eastAsia="Calibri" w:cs="Calibri"/>
          <w:sz w:val="14"/>
        </w:rPr>
        <w:t xml:space="preserve"> 2014: 811)40 </w:t>
      </w:r>
      <w:r w:rsidRPr="0058580C">
        <w:rPr>
          <w:rFonts w:eastAsia="Calibri" w:cs="Calibri"/>
          <w:u w:val="single"/>
        </w:rPr>
        <w:t xml:space="preserve">The </w:t>
      </w:r>
      <w:r w:rsidRPr="0058580C">
        <w:rPr>
          <w:rFonts w:eastAsia="Calibri" w:cs="Calibri"/>
          <w:b/>
          <w:iCs/>
          <w:u w:val="single"/>
        </w:rPr>
        <w:t>human rights regime is integral to state solidification</w:t>
      </w:r>
      <w:r w:rsidRPr="0058580C">
        <w:rPr>
          <w:rFonts w:eastAsia="Calibri" w:cs="Calibri"/>
          <w:u w:val="single"/>
        </w:rPr>
        <w:t xml:space="preserve">, both in terms of </w:t>
      </w:r>
      <w:r w:rsidRPr="0058580C">
        <w:rPr>
          <w:rFonts w:eastAsia="Calibri" w:cs="Calibri"/>
          <w:b/>
          <w:iCs/>
          <w:u w:val="single"/>
        </w:rPr>
        <w:t>self-image</w:t>
      </w:r>
      <w:r w:rsidRPr="0058580C">
        <w:rPr>
          <w:rFonts w:eastAsia="Calibri" w:cs="Calibri"/>
          <w:u w:val="single"/>
        </w:rPr>
        <w:t xml:space="preserve"> (as a </w:t>
      </w:r>
      <w:proofErr w:type="gramStart"/>
      <w:r w:rsidRPr="0058580C">
        <w:rPr>
          <w:rFonts w:eastAsia="Calibri" w:cs="Calibri"/>
          <w:u w:val="single"/>
        </w:rPr>
        <w:t>human rights</w:t>
      </w:r>
      <w:proofErr w:type="gramEnd"/>
      <w:r w:rsidRPr="0058580C">
        <w:rPr>
          <w:rFonts w:eastAsia="Calibri" w:cs="Calibri"/>
          <w:u w:val="single"/>
        </w:rPr>
        <w:t xml:space="preserve"> loving state) and in terms of the </w:t>
      </w:r>
      <w:r w:rsidRPr="0058580C">
        <w:rPr>
          <w:rFonts w:eastAsia="Calibri" w:cs="Calibri"/>
          <w:b/>
          <w:iCs/>
          <w:u w:val="single"/>
        </w:rPr>
        <w:t>institutional and legal instantiation of the state as the primary location for human rights ‘in practice’</w:t>
      </w:r>
      <w:r w:rsidRPr="0058580C">
        <w:rPr>
          <w:rFonts w:eastAsia="Calibri" w:cs="Calibri"/>
          <w:sz w:val="14"/>
        </w:rPr>
        <w:t xml:space="preserve">. 41 As one prominent introduction to human rights puts it: human rights apply in the first instance to states, in the sense that the protections guaranteed by human rights are supposed to be achieved…by means of the laws and policies of that state. </w:t>
      </w:r>
      <w:proofErr w:type="gramStart"/>
      <w:r w:rsidRPr="0058580C">
        <w:rPr>
          <w:rFonts w:eastAsia="Calibri" w:cs="Calibri"/>
          <w:sz w:val="14"/>
        </w:rPr>
        <w:t>Second,…</w:t>
      </w:r>
      <w:proofErr w:type="gramEnd"/>
      <w:r w:rsidRPr="0058580C">
        <w:rPr>
          <w:rFonts w:eastAsia="Calibri" w:cs="Calibri"/>
          <w:sz w:val="14"/>
        </w:rPr>
        <w:t xml:space="preserve"> states are the principle guarantors of the human rights performance of other states, both through their collaborative activities in international organizations and by unilateral action. (</w:t>
      </w:r>
      <w:proofErr w:type="spellStart"/>
      <w:r w:rsidRPr="0058580C">
        <w:rPr>
          <w:rFonts w:eastAsia="Calibri" w:cs="Calibri"/>
          <w:sz w:val="14"/>
        </w:rPr>
        <w:t>Beitz</w:t>
      </w:r>
      <w:proofErr w:type="spellEnd"/>
      <w:r w:rsidRPr="0058580C">
        <w:rPr>
          <w:rFonts w:eastAsia="Calibri" w:cs="Calibri"/>
          <w:sz w:val="14"/>
        </w:rPr>
        <w:t xml:space="preserve">, 2009: 122)42 Or in Anaya’s terms, </w:t>
      </w:r>
      <w:proofErr w:type="gramStart"/>
      <w:r w:rsidRPr="0058580C">
        <w:rPr>
          <w:rFonts w:eastAsia="Calibri" w:cs="Calibri"/>
          <w:sz w:val="14"/>
        </w:rPr>
        <w:t xml:space="preserve">with </w:t>
      </w:r>
      <w:r w:rsidRPr="0058580C">
        <w:rPr>
          <w:rFonts w:eastAsia="Calibri" w:cs="Calibri"/>
          <w:sz w:val="14"/>
        </w:rPr>
        <w:lastRenderedPageBreak/>
        <w:t>regard to</w:t>
      </w:r>
      <w:proofErr w:type="gramEnd"/>
      <w:r w:rsidRPr="0058580C">
        <w:rPr>
          <w:rFonts w:eastAsia="Calibri" w:cs="Calibri"/>
          <w:sz w:val="14"/>
        </w:rPr>
        <w:t xml:space="preserve"> Indigenous rights: “the state as a corporate whole is bound to implement relevant conventional and customary norms concerning indigenous peoples” (2004: 290). </w:t>
      </w:r>
      <w:proofErr w:type="spellStart"/>
      <w:r w:rsidRPr="0058580C">
        <w:rPr>
          <w:rFonts w:eastAsia="Calibri" w:cs="Calibri"/>
          <w:sz w:val="14"/>
        </w:rPr>
        <w:t>Illan</w:t>
      </w:r>
      <w:proofErr w:type="spellEnd"/>
      <w:r w:rsidRPr="0058580C">
        <w:rPr>
          <w:rFonts w:eastAsia="Calibri" w:cs="Calibri"/>
          <w:sz w:val="14"/>
        </w:rPr>
        <w:t xml:space="preserve"> Rau Wall’s analysis is useful here: In terms of institutional mediation, by reaching to a different order of right—other than the state’s conception of public right—human rights displace the state as the site of the mediation of law. Yet they do this by generating their own mediation in the sphere of international law. Crucially this is then designed to loop back into state practice, allowing human rights to become the institutional mechanism of public right. In this sense, they become the acme of the legitimation of state practice. (2014: 114-115) Human rights buttress state jurisdiction and legitimate state practice as well as the entire construction of international society and law; these two spaces provide force to a notion of ‘public right’ that is forged within a certain distribution of the sensible that is analogous with settler common sense. </w:t>
      </w:r>
      <w:r w:rsidRPr="0058580C">
        <w:rPr>
          <w:rFonts w:eastAsia="Calibri" w:cs="Calibri"/>
          <w:u w:val="single"/>
        </w:rPr>
        <w:t xml:space="preserve">So is not just that states have historically used human rights for their self-image, or that the theory of human rights mobilizes states as primary actors. It is also that </w:t>
      </w:r>
      <w:r w:rsidRPr="0058580C">
        <w:rPr>
          <w:rFonts w:eastAsia="Calibri" w:cs="Calibri"/>
          <w:b/>
          <w:iCs/>
          <w:u w:val="single"/>
        </w:rPr>
        <w:t>human rights could not exist without the real power and financial resources of states</w:t>
      </w:r>
      <w:r w:rsidRPr="0058580C">
        <w:rPr>
          <w:rFonts w:eastAsia="Calibri" w:cs="Calibri"/>
          <w:sz w:val="14"/>
        </w:rPr>
        <w:t xml:space="preserve">. As Stephen Hopgood observes, while once upon a time American power purported to guarantee human rights universally, a shift in the distribution of power globally, away from a unipolar American-led system toward a more multipolar world, has revealed just how much Human Rights institutions rely on liberal state power and its reinforcement by the middle classes who staff and finance humanist organizations. (2013: 3) </w:t>
      </w:r>
      <w:r w:rsidRPr="0058580C">
        <w:rPr>
          <w:rFonts w:eastAsia="Calibri" w:cs="Calibri"/>
          <w:u w:val="single"/>
        </w:rPr>
        <w:t xml:space="preserve">In an increasingly multipolar world, liberal state power will become (to an even greater degree) the force ensuring and implementing human rights. The </w:t>
      </w:r>
      <w:r w:rsidRPr="0058580C">
        <w:rPr>
          <w:rFonts w:eastAsia="Calibri" w:cs="Calibri"/>
          <w:b/>
          <w:iCs/>
          <w:u w:val="single"/>
        </w:rPr>
        <w:t>relationship between the state and Indigenous peoples is thus solidified through</w:t>
      </w:r>
      <w:r w:rsidRPr="0058580C">
        <w:rPr>
          <w:rFonts w:eastAsia="Calibri" w:cs="Calibri"/>
          <w:u w:val="single"/>
        </w:rPr>
        <w:t xml:space="preserve"> the </w:t>
      </w:r>
      <w:r w:rsidRPr="0058580C">
        <w:rPr>
          <w:rFonts w:eastAsia="Calibri" w:cs="Calibri"/>
          <w:b/>
          <w:iCs/>
          <w:u w:val="single"/>
        </w:rPr>
        <w:t>human rights language</w:t>
      </w:r>
      <w:r w:rsidRPr="0058580C">
        <w:rPr>
          <w:rFonts w:eastAsia="Calibri" w:cs="Calibri"/>
          <w:u w:val="single"/>
        </w:rPr>
        <w:t xml:space="preserve"> of obligation, responsibility, rights-holder and duty-bearer, standards and norms, without much thought to how </w:t>
      </w:r>
      <w:r w:rsidRPr="0058580C">
        <w:rPr>
          <w:rFonts w:eastAsia="Calibri" w:cs="Calibri"/>
          <w:b/>
          <w:iCs/>
          <w:u w:val="single"/>
        </w:rPr>
        <w:t>the relation being consolidated is by its very existence continuing a violence</w:t>
      </w:r>
      <w:r w:rsidRPr="0058580C">
        <w:rPr>
          <w:rFonts w:eastAsia="Calibri" w:cs="Calibri"/>
          <w:sz w:val="14"/>
        </w:rPr>
        <w:t>. States are willing to talk because talking itself asserts their validity in the conversation. In this way, the human rights regime might at times ostensibly reject the state’s “moral credentials” while simultaneously relying on its agency (</w:t>
      </w:r>
      <w:proofErr w:type="spellStart"/>
      <w:r w:rsidRPr="0058580C">
        <w:rPr>
          <w:rFonts w:eastAsia="Calibri" w:cs="Calibri"/>
          <w:sz w:val="14"/>
        </w:rPr>
        <w:t>Moyn</w:t>
      </w:r>
      <w:proofErr w:type="spellEnd"/>
      <w:r w:rsidRPr="0058580C">
        <w:rPr>
          <w:rFonts w:eastAsia="Calibri" w:cs="Calibri"/>
          <w:sz w:val="14"/>
        </w:rPr>
        <w:t xml:space="preserve"> 2014: 156), and, “[</w:t>
      </w:r>
      <w:proofErr w:type="spellStart"/>
      <w:r w:rsidRPr="0058580C">
        <w:rPr>
          <w:rFonts w:eastAsia="Calibri" w:cs="Calibri"/>
          <w:sz w:val="14"/>
        </w:rPr>
        <w:t>i</w:t>
      </w:r>
      <w:proofErr w:type="spellEnd"/>
      <w:r w:rsidRPr="0058580C">
        <w:rPr>
          <w:rFonts w:eastAsia="Calibri" w:cs="Calibri"/>
          <w:sz w:val="14"/>
        </w:rPr>
        <w:t xml:space="preserve">]n so doing, it presumes precisely what is contested” (Nichols 2013: 178). Human rights become a primary index against which to ‘worry’ about the soul of the nation, </w:t>
      </w:r>
      <w:proofErr w:type="gramStart"/>
      <w:r w:rsidRPr="0058580C">
        <w:rPr>
          <w:rFonts w:eastAsia="Calibri" w:cs="Calibri"/>
          <w:sz w:val="14"/>
        </w:rPr>
        <w:t>and also</w:t>
      </w:r>
      <w:proofErr w:type="gramEnd"/>
      <w:r w:rsidRPr="0058580C">
        <w:rPr>
          <w:rFonts w:eastAsia="Calibri" w:cs="Calibri"/>
          <w:sz w:val="14"/>
        </w:rPr>
        <w:t xml:space="preserve"> by which to measure the state’s goodness without interrogating its premise. </w:t>
      </w:r>
      <w:r w:rsidRPr="0058580C">
        <w:rPr>
          <w:rFonts w:eastAsia="Calibri" w:cs="Calibri"/>
          <w:u w:val="single"/>
        </w:rPr>
        <w:t xml:space="preserve">These are some of the many reasons why </w:t>
      </w:r>
      <w:r w:rsidRPr="0058580C">
        <w:rPr>
          <w:rFonts w:eastAsia="Calibri" w:cs="Calibri"/>
          <w:b/>
          <w:iCs/>
          <w:u w:val="single"/>
        </w:rPr>
        <w:t>we cannot take ‘recognition’ as the sole guiding site for thinking through relations with the liberal, multicultural settler state</w:t>
      </w:r>
      <w:r w:rsidRPr="0058580C">
        <w:rPr>
          <w:rFonts w:eastAsia="Calibri" w:cs="Calibri"/>
          <w:sz w:val="14"/>
        </w:rPr>
        <w:t xml:space="preserve">.43 Glen </w:t>
      </w:r>
      <w:proofErr w:type="spellStart"/>
      <w:r w:rsidRPr="0058580C">
        <w:rPr>
          <w:rFonts w:eastAsia="Calibri" w:cs="Calibri"/>
          <w:sz w:val="14"/>
        </w:rPr>
        <w:t>Coulthard</w:t>
      </w:r>
      <w:proofErr w:type="spellEnd"/>
      <w:r w:rsidRPr="0058580C">
        <w:rPr>
          <w:rFonts w:eastAsia="Calibri" w:cs="Calibri"/>
          <w:sz w:val="14"/>
        </w:rPr>
        <w:t xml:space="preserve"> describes this “structural problem of colonial recognition”: “when delegated exchanges of recognition occur in real world contexts of domination the terms of accommodation usually end up being determined by and in the interests of the hegemonic partner in the relationship” (2014: 17). As Tully (2008: 127-165) and other scholars assert, the context of domination is very much still present, such that the modern state system, “whose origin is usually traced to the Treaty of Westphalia of 1648, simply carried on the Eurocentric idea held by sixteenth-century Spanish intellectuals that indigenous peoples could not be included in the judicial system of nation states” (</w:t>
      </w:r>
      <w:proofErr w:type="spellStart"/>
      <w:r w:rsidRPr="0058580C">
        <w:rPr>
          <w:rFonts w:eastAsia="Calibri" w:cs="Calibri"/>
          <w:sz w:val="14"/>
        </w:rPr>
        <w:t>Pulitano</w:t>
      </w:r>
      <w:proofErr w:type="spellEnd"/>
      <w:r w:rsidRPr="0058580C">
        <w:rPr>
          <w:rFonts w:eastAsia="Calibri" w:cs="Calibri"/>
          <w:sz w:val="14"/>
        </w:rPr>
        <w:t xml:space="preserve"> 2012: 13). Thus, attempts, for instance by Chantal </w:t>
      </w:r>
      <w:proofErr w:type="spellStart"/>
      <w:r w:rsidRPr="0058580C">
        <w:rPr>
          <w:rFonts w:eastAsia="Calibri" w:cs="Calibri"/>
          <w:sz w:val="14"/>
        </w:rPr>
        <w:t>Mouffe</w:t>
      </w:r>
      <w:proofErr w:type="spellEnd"/>
      <w:r w:rsidRPr="0058580C">
        <w:rPr>
          <w:rFonts w:eastAsia="Calibri" w:cs="Calibri"/>
          <w:sz w:val="14"/>
        </w:rPr>
        <w:t xml:space="preserve"> (2014), to retain something in liberal democratic theory by turning human rights to an agonistic democracy frame might not be effective in the case of settler colonialism because it reifies the legitimacy of the state. The institutions this refashioning of human rights might need to rely on would simply continue business as usual, being products of and integral to the state.44 Settler colonial studies shows that contrary to Glendon’s argument that “[t]he most intractable problems arise where rogue nations are themselves the rights violators and in the increasing number of cases where anarchy prevails” (2001: 237), the most intractable problems in fact occur when respected, powerful, ‘liberal’ nations—in which order is thought to exist, rather than the anarchy lived by many at the margins of society—are rights violators. These states’ violations create the most intractable problems, and the ones that the human rights paradigm is most ill-suited to address. </w:t>
      </w:r>
      <w:r w:rsidRPr="0058580C">
        <w:rPr>
          <w:rFonts w:eastAsia="Calibri" w:cs="Calibri"/>
          <w:u w:val="single"/>
        </w:rPr>
        <w:t>There are other ways, as well, in which settler colonial studies brings into sight the complicities of the human rights regime and international state system. First, the settler colonial analytic draws attention to the fact that states are constantly reconstituting themselves, and the international human rights movement is arguably a primary contemporary actor seeking the alteration—read: reconstitution—of states as legitimate (and converted) actors in the international community</w:t>
      </w:r>
      <w:r w:rsidRPr="0058580C">
        <w:rPr>
          <w:rFonts w:eastAsia="Calibri" w:cs="Calibri"/>
          <w:sz w:val="14"/>
        </w:rPr>
        <w:t xml:space="preserve"> (cf. </w:t>
      </w:r>
      <w:proofErr w:type="spellStart"/>
      <w:r w:rsidRPr="0058580C">
        <w:rPr>
          <w:rFonts w:eastAsia="Calibri" w:cs="Calibri"/>
          <w:sz w:val="14"/>
        </w:rPr>
        <w:t>Asad</w:t>
      </w:r>
      <w:proofErr w:type="spellEnd"/>
      <w:r w:rsidRPr="0058580C">
        <w:rPr>
          <w:rFonts w:eastAsia="Calibri" w:cs="Calibri"/>
          <w:sz w:val="14"/>
        </w:rPr>
        <w:t xml:space="preserve"> 2000). </w:t>
      </w:r>
      <w:r w:rsidRPr="0058580C">
        <w:rPr>
          <w:rFonts w:eastAsia="Calibri" w:cs="Calibri"/>
          <w:u w:val="single"/>
        </w:rPr>
        <w:t>Second, International Human Rights Law and International Humanitarian Law are premised on protecting the liberal individualist subject in sovereign states, and the legal framework they erect works within this assumed starting point</w:t>
      </w:r>
      <w:r w:rsidRPr="0058580C">
        <w:rPr>
          <w:rFonts w:eastAsia="Calibri" w:cs="Calibri"/>
          <w:sz w:val="14"/>
        </w:rPr>
        <w:t xml:space="preserve">. </w:t>
      </w:r>
      <w:r w:rsidRPr="0058580C">
        <w:rPr>
          <w:rFonts w:eastAsia="Calibri" w:cs="Calibri"/>
          <w:u w:val="single"/>
        </w:rPr>
        <w:t>Third, arguments that characterize the UN as a space of self-articulation for indigenous peoples do not seem to consider that it pre-determines the boundaries or contours of that articulation</w:t>
      </w:r>
      <w:r w:rsidRPr="0058580C">
        <w:rPr>
          <w:rFonts w:eastAsia="Calibri" w:cs="Calibri"/>
          <w:sz w:val="14"/>
        </w:rPr>
        <w:t xml:space="preserve">. 45 This is to say, the UN system makes a claim about how Indigenous peoples should think politically, domesticating their political discourse within a liberal state framework (as the arguments of </w:t>
      </w:r>
      <w:proofErr w:type="spellStart"/>
      <w:r w:rsidRPr="0058580C">
        <w:rPr>
          <w:rFonts w:eastAsia="Calibri" w:cs="Calibri"/>
          <w:sz w:val="14"/>
        </w:rPr>
        <w:t>Corntassel</w:t>
      </w:r>
      <w:proofErr w:type="spellEnd"/>
      <w:r w:rsidRPr="0058580C">
        <w:rPr>
          <w:rFonts w:eastAsia="Calibri" w:cs="Calibri"/>
          <w:sz w:val="14"/>
        </w:rPr>
        <w:t xml:space="preserve"> and Lightfoot outlined above show), even if that framework is designed in the name of holding states accountable. It is true that the UNDRIP provides </w:t>
      </w:r>
      <w:proofErr w:type="gramStart"/>
      <w:r w:rsidRPr="0058580C">
        <w:rPr>
          <w:rFonts w:eastAsia="Calibri" w:cs="Calibri"/>
          <w:sz w:val="14"/>
        </w:rPr>
        <w:t>a number of</w:t>
      </w:r>
      <w:proofErr w:type="gramEnd"/>
      <w:r w:rsidRPr="0058580C">
        <w:rPr>
          <w:rFonts w:eastAsia="Calibri" w:cs="Calibri"/>
          <w:sz w:val="14"/>
        </w:rPr>
        <w:t xml:space="preserve"> routes through which to claim wrongs against the state; but, as Audra Simpson notes “[c]</w:t>
      </w:r>
      <w:proofErr w:type="spellStart"/>
      <w:r w:rsidRPr="0058580C">
        <w:rPr>
          <w:rFonts w:eastAsia="Calibri" w:cs="Calibri"/>
          <w:sz w:val="14"/>
        </w:rPr>
        <w:t>hoices</w:t>
      </w:r>
      <w:proofErr w:type="spellEnd"/>
      <w:r w:rsidRPr="0058580C">
        <w:rPr>
          <w:rFonts w:eastAsia="Calibri" w:cs="Calibri"/>
          <w:sz w:val="14"/>
        </w:rPr>
        <w:t xml:space="preserve"> are not choices if they are bestowed rather than self-generated” (2014: 193). Perhaps surprisingly, there is almost no scholarship that attempts to bring the ideologies or analytics of ‘human rights’ and ‘settler colonialism’ together.46 Many scholars working on settler colonialism or in Native Studies are understandably suspicious of rights regimes and the international system; still, this rarely garners sustained analysis, with the notable exception of Scott </w:t>
      </w:r>
      <w:proofErr w:type="spellStart"/>
      <w:r w:rsidRPr="0058580C">
        <w:rPr>
          <w:rFonts w:eastAsia="Calibri" w:cs="Calibri"/>
          <w:sz w:val="14"/>
        </w:rPr>
        <w:t>Morgensen’s</w:t>
      </w:r>
      <w:proofErr w:type="spellEnd"/>
      <w:r w:rsidRPr="0058580C">
        <w:rPr>
          <w:rFonts w:eastAsia="Calibri" w:cs="Calibri"/>
          <w:sz w:val="14"/>
        </w:rPr>
        <w:t xml:space="preserve"> Spaces Between Us: Queer Settler Colonialism and Indigenous Decolonization (2011). </w:t>
      </w:r>
      <w:proofErr w:type="spellStart"/>
      <w:r w:rsidRPr="0058580C">
        <w:rPr>
          <w:rFonts w:eastAsia="Calibri" w:cs="Calibri"/>
          <w:sz w:val="14"/>
        </w:rPr>
        <w:t>Morgensen</w:t>
      </w:r>
      <w:proofErr w:type="spellEnd"/>
      <w:r w:rsidRPr="0058580C">
        <w:rPr>
          <w:rFonts w:eastAsia="Calibri" w:cs="Calibri"/>
          <w:sz w:val="14"/>
        </w:rPr>
        <w:t xml:space="preserve"> thinks rigorously about the relation of civil rights, sexual rights, and transnational identity rights movements—if not human rights specifically—to the settler colonial project. However, only Isabel Altamirano-</w:t>
      </w:r>
      <w:proofErr w:type="spellStart"/>
      <w:r w:rsidRPr="0058580C">
        <w:rPr>
          <w:rFonts w:eastAsia="Calibri" w:cs="Calibri"/>
          <w:sz w:val="14"/>
        </w:rPr>
        <w:t>Jimenéz</w:t>
      </w:r>
      <w:proofErr w:type="spellEnd"/>
      <w:r w:rsidRPr="0058580C">
        <w:rPr>
          <w:rFonts w:eastAsia="Calibri" w:cs="Calibri"/>
          <w:sz w:val="14"/>
        </w:rPr>
        <w:t xml:space="preserve">, Danielle </w:t>
      </w:r>
      <w:proofErr w:type="spellStart"/>
      <w:r w:rsidRPr="0058580C">
        <w:rPr>
          <w:rFonts w:eastAsia="Calibri" w:cs="Calibri"/>
          <w:sz w:val="14"/>
        </w:rPr>
        <w:t>Celermajer</w:t>
      </w:r>
      <w:proofErr w:type="spellEnd"/>
      <w:r w:rsidRPr="0058580C">
        <w:rPr>
          <w:rFonts w:eastAsia="Calibri" w:cs="Calibri"/>
          <w:sz w:val="14"/>
        </w:rPr>
        <w:t>, and Diana Brydon, address the convergence of settler colonialism and human rights explicitly.47 Altamirano-</w:t>
      </w:r>
      <w:proofErr w:type="spellStart"/>
      <w:r w:rsidRPr="0058580C">
        <w:rPr>
          <w:rFonts w:eastAsia="Calibri" w:cs="Calibri"/>
          <w:sz w:val="14"/>
        </w:rPr>
        <w:t>Jimenéz’s</w:t>
      </w:r>
      <w:proofErr w:type="spellEnd"/>
      <w:r w:rsidRPr="0058580C">
        <w:rPr>
          <w:rFonts w:eastAsia="Calibri" w:cs="Calibri"/>
          <w:sz w:val="14"/>
        </w:rPr>
        <w:t xml:space="preserve"> article “Settler Colonialism, Human Rights, and Indigenous Women” (2011), explores “how the relationship between human rights law and imperialism conceals multi-layered experiences of dispossession, racialization and patriarchy,” concluding that “by emphasizing Eurocentric ideals, the human rights discourse operates to classify people and places that are both within and outside of the modernist notion of progress and humanity” (105). </w:t>
      </w:r>
      <w:proofErr w:type="spellStart"/>
      <w:r w:rsidRPr="0058580C">
        <w:rPr>
          <w:rFonts w:eastAsia="Calibri" w:cs="Calibri"/>
          <w:sz w:val="14"/>
        </w:rPr>
        <w:t>Celermajer’s</w:t>
      </w:r>
      <w:proofErr w:type="spellEnd"/>
      <w:r w:rsidRPr="0058580C">
        <w:rPr>
          <w:rFonts w:eastAsia="Calibri" w:cs="Calibri"/>
          <w:sz w:val="14"/>
        </w:rPr>
        <w:t xml:space="preserve"> article, “The Politics of Indigenous Human Rights in the Era of Settler State Citizenship: Legacies of the Nexus between Sovereignty, Human Rights, and Citizenship” (2014) describes an aporia at the heart of human rights: the liberal human rights discourse starts from the premise of state sovereignty and citizenship, but this means the ‘universal’ element also constitutive to human rights stands in tension with the necessarily exclusionary nature of political communities. Each assertion of collective political identity, in this view, creates new forms of marginalization because the criteria to legitimate such sovereignties bear particularistic qualities (making some citizens unable to claim rights, even though these are purportedly universal). </w:t>
      </w:r>
      <w:proofErr w:type="spellStart"/>
      <w:r w:rsidRPr="0058580C">
        <w:rPr>
          <w:rFonts w:eastAsia="Calibri" w:cs="Calibri"/>
          <w:sz w:val="14"/>
        </w:rPr>
        <w:t>Celermajer</w:t>
      </w:r>
      <w:proofErr w:type="spellEnd"/>
      <w:r w:rsidRPr="0058580C">
        <w:rPr>
          <w:rFonts w:eastAsia="Calibri" w:cs="Calibri"/>
          <w:sz w:val="14"/>
        </w:rPr>
        <w:t xml:space="preserve"> thus adopts Arendt’s argument that “the very political community within which the idea of rights became viable, was also liable to annul the conditions of individual freedom on which such rights rest” (141). However, neither Altamirano-</w:t>
      </w:r>
      <w:proofErr w:type="spellStart"/>
      <w:r w:rsidRPr="0058580C">
        <w:rPr>
          <w:rFonts w:eastAsia="Calibri" w:cs="Calibri"/>
          <w:sz w:val="14"/>
        </w:rPr>
        <w:t>Jimenéz</w:t>
      </w:r>
      <w:proofErr w:type="spellEnd"/>
      <w:r w:rsidRPr="0058580C">
        <w:rPr>
          <w:rFonts w:eastAsia="Calibri" w:cs="Calibri"/>
          <w:sz w:val="14"/>
        </w:rPr>
        <w:t xml:space="preserve"> nor </w:t>
      </w:r>
      <w:proofErr w:type="spellStart"/>
      <w:r w:rsidRPr="0058580C">
        <w:rPr>
          <w:rFonts w:eastAsia="Calibri" w:cs="Calibri"/>
          <w:sz w:val="14"/>
        </w:rPr>
        <w:t>Celermajer</w:t>
      </w:r>
      <w:proofErr w:type="spellEnd"/>
      <w:r w:rsidRPr="0058580C">
        <w:rPr>
          <w:rFonts w:eastAsia="Calibri" w:cs="Calibri"/>
          <w:sz w:val="14"/>
        </w:rPr>
        <w:t xml:space="preserve"> </w:t>
      </w:r>
      <w:r w:rsidRPr="0058580C">
        <w:rPr>
          <w:rFonts w:eastAsia="Calibri" w:cs="Calibri"/>
          <w:sz w:val="14"/>
        </w:rPr>
        <w:lastRenderedPageBreak/>
        <w:t xml:space="preserve">really include settler colonialism as a specific analytic that is different from ‘colonialism’ writ large, instead using it as an example of a general colonial relation. As </w:t>
      </w:r>
      <w:proofErr w:type="spellStart"/>
      <w:r w:rsidRPr="0058580C">
        <w:rPr>
          <w:rFonts w:eastAsia="Calibri" w:cs="Calibri"/>
          <w:sz w:val="14"/>
        </w:rPr>
        <w:t>Veracini</w:t>
      </w:r>
      <w:proofErr w:type="spellEnd"/>
      <w:r w:rsidRPr="0058580C">
        <w:rPr>
          <w:rFonts w:eastAsia="Calibri" w:cs="Calibri"/>
          <w:sz w:val="14"/>
        </w:rPr>
        <w:t xml:space="preserve"> reminds us, “that settler colonialism is both a global and contemporary phenomenon means that we need to learn to ‘read’ a settler colonial world where we simply see a ‘normal one’” (2015: 8). </w:t>
      </w:r>
      <w:r w:rsidRPr="0058580C">
        <w:rPr>
          <w:rFonts w:eastAsia="Calibri" w:cs="Calibri"/>
          <w:u w:val="single"/>
        </w:rPr>
        <w:t xml:space="preserve">Generalized critiques of human rights as ideology need to be read through and attenuated by the specific context of settler colonialism, which configures power in a certain way and in the name of a </w:t>
      </w:r>
      <w:proofErr w:type="gramStart"/>
      <w:r w:rsidRPr="0058580C">
        <w:rPr>
          <w:rFonts w:eastAsia="Calibri" w:cs="Calibri"/>
          <w:u w:val="single"/>
        </w:rPr>
        <w:t>particular goal</w:t>
      </w:r>
      <w:proofErr w:type="gramEnd"/>
      <w:r w:rsidRPr="0058580C">
        <w:rPr>
          <w:rFonts w:eastAsia="Calibri" w:cs="Calibri"/>
          <w:u w:val="single"/>
        </w:rPr>
        <w:t>: elimination</w:t>
      </w:r>
      <w:r w:rsidRPr="0058580C">
        <w:rPr>
          <w:rFonts w:eastAsia="Calibri" w:cs="Calibri"/>
          <w:sz w:val="14"/>
        </w:rPr>
        <w:t>. Finally, Brydon’s “Postcolonial and Settler Colonial Studies Offer Human Rights a Revised Agenda” (2015) considers lessons from the “longstanding geographies of struggle” represented by “settler colonial politics and indigenous sovereignty movements” and how these lead us to ask: “what might ethical internationalism in support of human rights involve?” (189). In the course of her discussion, Brydon draws attention to key critiques of human rights, suggesting that, “[w]</w:t>
      </w:r>
      <w:proofErr w:type="spellStart"/>
      <w:r w:rsidRPr="0058580C">
        <w:rPr>
          <w:rFonts w:eastAsia="Calibri" w:cs="Calibri"/>
          <w:sz w:val="14"/>
        </w:rPr>
        <w:t>ithout</w:t>
      </w:r>
      <w:proofErr w:type="spellEnd"/>
      <w:r w:rsidRPr="0058580C">
        <w:rPr>
          <w:rFonts w:eastAsia="Calibri" w:cs="Calibri"/>
          <w:sz w:val="14"/>
        </w:rPr>
        <w:t xml:space="preserve"> [a] fundamental rethinking, rights claims can constitute one of the chief obstacles blocking the creation of a more just society” (185). This rethinking would move human rights from “the politics of salvation and recognition towards reciprocity and accountability” (190). This is an admirable vision, but it falters when pressed against the imperatives of decolonization. Brydon writes that “the postcolonial is committed to a decolonizing agenda based on respect for the ability of human beings collectively to imagine and negotiate better ways of living together” (190). </w:t>
      </w:r>
      <w:proofErr w:type="gramStart"/>
      <w:r w:rsidRPr="0058580C">
        <w:rPr>
          <w:rFonts w:eastAsia="Calibri" w:cs="Calibri"/>
          <w:sz w:val="14"/>
        </w:rPr>
        <w:t>Thus</w:t>
      </w:r>
      <w:proofErr w:type="gramEnd"/>
      <w:r w:rsidRPr="0058580C">
        <w:rPr>
          <w:rFonts w:eastAsia="Calibri" w:cs="Calibri"/>
          <w:sz w:val="14"/>
        </w:rPr>
        <w:t xml:space="preserve"> in Canada, she writes, the task is to rework mainstream society’s interactions with indigenous peoples, developing a truly respectful multicultural society…That means that in Canada, for many, human rights involve recognizing land rights and the importance of indigenous self-government. (191) First, as Chapter 3 will show, </w:t>
      </w:r>
      <w:r w:rsidRPr="0058580C">
        <w:rPr>
          <w:rFonts w:eastAsia="Calibri" w:cs="Calibri"/>
          <w:b/>
          <w:iCs/>
          <w:u w:val="single"/>
        </w:rPr>
        <w:t>decolonization cannot clearly be part of even a ‘revised agenda’ for human rights in settler colonial contexts</w:t>
      </w:r>
      <w:r w:rsidRPr="0058580C">
        <w:rPr>
          <w:rFonts w:eastAsia="Calibri" w:cs="Calibri"/>
          <w:u w:val="single"/>
        </w:rPr>
        <w:t xml:space="preserve"> given the human rights regime’s liberal foundations and assumed political subjectivities</w:t>
      </w:r>
      <w:r w:rsidRPr="0058580C">
        <w:rPr>
          <w:rFonts w:eastAsia="Calibri" w:cs="Calibri"/>
          <w:sz w:val="14"/>
        </w:rPr>
        <w:t xml:space="preserve">. Second, </w:t>
      </w:r>
      <w:r w:rsidRPr="0058580C">
        <w:rPr>
          <w:rFonts w:eastAsia="Calibri" w:cs="Calibri"/>
          <w:u w:val="single"/>
        </w:rPr>
        <w:t>settler decolonization</w:t>
      </w:r>
      <w:r w:rsidRPr="0058580C">
        <w:rPr>
          <w:rFonts w:eastAsia="Calibri" w:cs="Calibri"/>
          <w:sz w:val="14"/>
        </w:rPr>
        <w:t xml:space="preserve">, as also discussed at length in Chapter 3, </w:t>
      </w:r>
      <w:r w:rsidRPr="0058580C">
        <w:rPr>
          <w:rFonts w:eastAsia="Calibri" w:cs="Calibri"/>
          <w:u w:val="single"/>
        </w:rPr>
        <w:t xml:space="preserve">might </w:t>
      </w:r>
      <w:r w:rsidRPr="0058580C">
        <w:rPr>
          <w:rFonts w:eastAsia="Calibri" w:cs="Calibri"/>
          <w:b/>
          <w:iCs/>
          <w:u w:val="single"/>
        </w:rPr>
        <w:t>not</w:t>
      </w:r>
      <w:r w:rsidRPr="0058580C">
        <w:rPr>
          <w:rFonts w:eastAsia="Calibri" w:cs="Calibri"/>
          <w:u w:val="single"/>
        </w:rPr>
        <w:t xml:space="preserve"> be </w:t>
      </w:r>
      <w:r w:rsidRPr="0058580C">
        <w:rPr>
          <w:rFonts w:eastAsia="Calibri" w:cs="Calibri"/>
          <w:b/>
          <w:iCs/>
          <w:u w:val="single"/>
        </w:rPr>
        <w:t>commensurable</w:t>
      </w:r>
      <w:r w:rsidRPr="0058580C">
        <w:rPr>
          <w:rFonts w:eastAsia="Calibri" w:cs="Calibri"/>
          <w:u w:val="single"/>
        </w:rPr>
        <w:t xml:space="preserve"> with a (implicitly liberal) ‘multicultural society’— decolonization is not a metaphor for struggles for more equitable inclusion</w:t>
      </w:r>
      <w:r w:rsidRPr="0058580C">
        <w:rPr>
          <w:rFonts w:eastAsia="Calibri" w:cs="Calibri"/>
          <w:sz w:val="14"/>
        </w:rPr>
        <w:t xml:space="preserve"> within an already existing ‘Canada’. Brydon </w:t>
      </w:r>
      <w:r w:rsidRPr="0058580C">
        <w:rPr>
          <w:rFonts w:eastAsia="Calibri" w:cs="Calibri"/>
          <w:u w:val="single"/>
        </w:rPr>
        <w:t>does not ask</w:t>
      </w:r>
      <w:r w:rsidRPr="0058580C">
        <w:rPr>
          <w:rFonts w:eastAsia="Calibri" w:cs="Calibri"/>
          <w:sz w:val="14"/>
        </w:rPr>
        <w:t xml:space="preserve"> why human rights </w:t>
      </w:r>
      <w:proofErr w:type="gramStart"/>
      <w:r w:rsidRPr="0058580C">
        <w:rPr>
          <w:rFonts w:eastAsia="Calibri" w:cs="Calibri"/>
          <w:sz w:val="14"/>
        </w:rPr>
        <w:t>are the way</w:t>
      </w:r>
      <w:proofErr w:type="gramEnd"/>
      <w:r w:rsidRPr="0058580C">
        <w:rPr>
          <w:rFonts w:eastAsia="Calibri" w:cs="Calibri"/>
          <w:sz w:val="14"/>
        </w:rPr>
        <w:t xml:space="preserve"> to go if historically they have been so imbricated in oppression—or </w:t>
      </w:r>
      <w:r w:rsidRPr="0058580C">
        <w:rPr>
          <w:rFonts w:eastAsia="Calibri" w:cs="Calibri"/>
          <w:u w:val="single"/>
        </w:rPr>
        <w:t>if its inherent universalizing pull can accommodate such diversity of decolonizing imperatives. This account, then, does not acknowledge the way that the human rights regime occludes or displaces other political claims and imaginaries</w:t>
      </w:r>
      <w:r w:rsidRPr="0058580C">
        <w:rPr>
          <w:rFonts w:eastAsia="Calibri" w:cs="Calibri"/>
          <w:sz w:val="14"/>
        </w:rPr>
        <w:t xml:space="preserve">; human rights, coming to mean any progressive direction in the world, is seen in Brydon’s account as compatible—if awkwardly so—with the analyses of these other fields of study. The following chapters will put pressure on such a proposition. IV. Outline and Argument This thesis is animated by </w:t>
      </w:r>
      <w:proofErr w:type="gramStart"/>
      <w:r w:rsidRPr="0058580C">
        <w:rPr>
          <w:rFonts w:eastAsia="Calibri" w:cs="Calibri"/>
          <w:sz w:val="14"/>
        </w:rPr>
        <w:t>a number of</w:t>
      </w:r>
      <w:proofErr w:type="gramEnd"/>
      <w:r w:rsidRPr="0058580C">
        <w:rPr>
          <w:rFonts w:eastAsia="Calibri" w:cs="Calibri"/>
          <w:sz w:val="14"/>
        </w:rPr>
        <w:t xml:space="preserve"> questions made possible by the intersection of settler colonial studies and critiques of human rights. How does making the UN the form of global legibility for Indigenous politics in North America (or elsewhere) in effect erase or distort long histories of Indigenous resistance to settler colonial encroachment? What does it mean to remain in the structure that is the site of your negation? How does the human rights framework figure or imagine ‘success’ for Indigenous peoples in settler colonial settings? What kind of construction of power (settler colonial, postcolonial, neoliberal, etc.) most allows us to see the implications, if not the danger of a structure like human rights? How would focusing more attention on the colonial dimensions of existing states (rather than neocolonial relations between them) change the way we interrogate human rights discourse? How might the state’s conceit of legitimacy be facilitated by human rights, which recognizes it, even if to criticize its practices while not critiquing its constitution? Or in Frederick Cooper’s words, If we think of people as socially located—as members of a community defined in religious or ethnic terms, as a working class, as a minority within a heterogeneous population—how do we think of the political unit within which rights are defined, exercised, and contested, and what, if any, role do people outside that unit have in debating such questions? (2012: 476) </w:t>
      </w:r>
      <w:r w:rsidRPr="0058580C">
        <w:rPr>
          <w:rFonts w:eastAsia="Calibri" w:cs="Calibri"/>
          <w:b/>
          <w:iCs/>
          <w:u w:val="single"/>
        </w:rPr>
        <w:t xml:space="preserve">When we </w:t>
      </w:r>
      <w:proofErr w:type="gramStart"/>
      <w:r w:rsidRPr="0058580C">
        <w:rPr>
          <w:rFonts w:eastAsia="Calibri" w:cs="Calibri"/>
          <w:b/>
          <w:iCs/>
          <w:u w:val="single"/>
        </w:rPr>
        <w:t>open up</w:t>
      </w:r>
      <w:proofErr w:type="gramEnd"/>
      <w:r w:rsidRPr="0058580C">
        <w:rPr>
          <w:rFonts w:eastAsia="Calibri" w:cs="Calibri"/>
          <w:b/>
          <w:iCs/>
          <w:u w:val="single"/>
        </w:rPr>
        <w:t xml:space="preserve"> the entanglements between liberal political orders and colonial relationships</w:t>
      </w:r>
      <w:r w:rsidRPr="0058580C">
        <w:rPr>
          <w:rFonts w:eastAsia="Calibri" w:cs="Calibri"/>
          <w:sz w:val="14"/>
        </w:rPr>
        <w:t xml:space="preserve">, what </w:t>
      </w:r>
      <w:r w:rsidRPr="0058580C">
        <w:rPr>
          <w:rFonts w:eastAsia="Calibri" w:cs="Calibri"/>
          <w:b/>
          <w:iCs/>
          <w:u w:val="single"/>
        </w:rPr>
        <w:t>radical politics might emerge</w:t>
      </w:r>
      <w:r w:rsidRPr="0058580C">
        <w:rPr>
          <w:rFonts w:eastAsia="Calibri" w:cs="Calibri"/>
          <w:sz w:val="14"/>
        </w:rPr>
        <w:t xml:space="preserve">? Perhaps </w:t>
      </w:r>
      <w:r w:rsidRPr="0058580C">
        <w:rPr>
          <w:rFonts w:eastAsia="Calibri" w:cs="Calibri"/>
          <w:b/>
          <w:iCs/>
          <w:u w:val="single"/>
        </w:rPr>
        <w:t>an agency not predicated on liberal action and institutions</w:t>
      </w:r>
      <w:r w:rsidRPr="0058580C">
        <w:rPr>
          <w:rFonts w:eastAsia="Calibri" w:cs="Calibri"/>
          <w:sz w:val="14"/>
        </w:rPr>
        <w:t xml:space="preserve">? How might we rethink a vocabulary of the political? Or is it true, as Lisa Lowe suggests, that “liberal emancipation” requires a “self-authoring autonomous individual” (2015: 50)—and if so, where does this leave the usefulness of human rights in emancipatory projects? Following Ben Golder, [w]hat is gained and/or lost in the political encounter with rights, and do we thereby relinquish the possibility of thinking a political alternative to rights? In thinking rights differently and critically, do the possibilities of alternative organizations and figurations of the political become fainter? (2015: 3) </w:t>
      </w:r>
      <w:r w:rsidRPr="0058580C">
        <w:rPr>
          <w:rFonts w:eastAsia="Calibri" w:cs="Calibri"/>
          <w:u w:val="single"/>
        </w:rPr>
        <w:t xml:space="preserve">What would it mean to </w:t>
      </w:r>
      <w:r w:rsidRPr="0058580C">
        <w:rPr>
          <w:rFonts w:eastAsia="Calibri" w:cs="Calibri"/>
          <w:b/>
          <w:iCs/>
          <w:u w:val="single"/>
        </w:rPr>
        <w:t>refuse human rights</w:t>
      </w:r>
      <w:r w:rsidRPr="0058580C">
        <w:rPr>
          <w:rFonts w:eastAsia="Calibri" w:cs="Calibri"/>
          <w:u w:val="single"/>
        </w:rPr>
        <w:t xml:space="preserve">—to refuse the gifts of human rights, and </w:t>
      </w:r>
      <w:r w:rsidRPr="0058580C">
        <w:rPr>
          <w:rFonts w:eastAsia="Calibri" w:cs="Calibri"/>
          <w:b/>
          <w:iCs/>
          <w:u w:val="single"/>
        </w:rPr>
        <w:t>by proxy the liberal state and subjecthood upon which they rely</w:t>
      </w:r>
      <w:r w:rsidRPr="0058580C">
        <w:rPr>
          <w:rFonts w:eastAsia="Calibri" w:cs="Calibri"/>
          <w:u w:val="single"/>
        </w:rPr>
        <w:t>?</w:t>
      </w:r>
      <w:r w:rsidRPr="0058580C">
        <w:rPr>
          <w:rFonts w:eastAsia="Calibri" w:cs="Calibri"/>
          <w:sz w:val="14"/>
        </w:rPr>
        <w:t xml:space="preserve"> What would a human rights practice that </w:t>
      </w:r>
      <w:r w:rsidRPr="0058580C">
        <w:rPr>
          <w:rFonts w:eastAsia="Calibri" w:cs="Calibri"/>
          <w:u w:val="single"/>
        </w:rPr>
        <w:t>turns away from the machinery of the state</w:t>
      </w:r>
      <w:r w:rsidRPr="0058580C">
        <w:rPr>
          <w:rFonts w:eastAsia="Calibri" w:cs="Calibri"/>
          <w:sz w:val="14"/>
        </w:rPr>
        <w:t xml:space="preserve"> look like, and is such a thing even possible? Is there room in settler decolonial projects for human rights? Alternatively, if Indigenous peoples “should find themselves speaking the liberal lingua franca of the exogenous forums of the United Nations, must we assume a shift in ‘being’ occurs?” (Lawlor 2006: 179-180). And following </w:t>
      </w:r>
      <w:proofErr w:type="spellStart"/>
      <w:r w:rsidRPr="0058580C">
        <w:rPr>
          <w:rFonts w:eastAsia="Calibri" w:cs="Calibri"/>
          <w:sz w:val="14"/>
        </w:rPr>
        <w:t>Saidyia</w:t>
      </w:r>
      <w:proofErr w:type="spellEnd"/>
      <w:r w:rsidRPr="0058580C">
        <w:rPr>
          <w:rFonts w:eastAsia="Calibri" w:cs="Calibri"/>
          <w:sz w:val="14"/>
        </w:rPr>
        <w:t xml:space="preserve"> Hartman, how do peoples </w:t>
      </w:r>
      <w:proofErr w:type="gramStart"/>
      <w:r w:rsidRPr="0058580C">
        <w:rPr>
          <w:rFonts w:eastAsia="Calibri" w:cs="Calibri"/>
          <w:sz w:val="14"/>
        </w:rPr>
        <w:t>pressed</w:t>
      </w:r>
      <w:proofErr w:type="gramEnd"/>
      <w:r w:rsidRPr="0058580C">
        <w:rPr>
          <w:rFonts w:eastAsia="Calibri" w:cs="Calibri"/>
          <w:sz w:val="14"/>
        </w:rPr>
        <w:t xml:space="preserve"> by oppression “advance political claims and </w:t>
      </w:r>
      <w:proofErr w:type="spellStart"/>
      <w:r w:rsidRPr="0058580C">
        <w:rPr>
          <w:rFonts w:eastAsia="Calibri" w:cs="Calibri"/>
          <w:sz w:val="14"/>
        </w:rPr>
        <w:t>mak</w:t>
      </w:r>
      <w:proofErr w:type="spellEnd"/>
      <w:r w:rsidRPr="0058580C">
        <w:rPr>
          <w:rFonts w:eastAsia="Calibri" w:cs="Calibri"/>
          <w:sz w:val="14"/>
        </w:rPr>
        <w:t xml:space="preserve">[e] their gestures legible?” (2010: 1105). These questions inch towards a final question with high stakes: what if </w:t>
      </w:r>
      <w:r w:rsidRPr="0058580C">
        <w:rPr>
          <w:rFonts w:eastAsia="Calibri" w:cs="Calibri"/>
          <w:b/>
          <w:iCs/>
          <w:u w:val="single"/>
        </w:rPr>
        <w:t>“the recognition of humanity” guaranteed by the human rights framework “held out the promise not of liberating the flesh or redeeming one’s suffering but rather of intensifying it</w:t>
      </w:r>
      <w:r w:rsidRPr="0058580C">
        <w:rPr>
          <w:rFonts w:eastAsia="Calibri" w:cs="Calibri"/>
          <w:sz w:val="14"/>
        </w:rPr>
        <w:t xml:space="preserve">?” (Hartman 1997: 5). This introductory chapter has sought to make a case for understanding the international human rights movement’s relation to Indigenous peoples through the frame of settler colonialism by demonstrating the failure of existing work on this topic to account for the specific structures of power under which this kind of colonialism operates. Failing to account for the project of settler colonialism—and therefore assuming it as an invisible backdrop to activism or political thinking—is dangerous, and Audra Simpson and Andrea Smith warn us of “the genocidal logics that disappear Native peoples into intellectual and political projects that assume the continuation rather than the end of settler colonialism” (2014: 10). This first chapter, then, has begun a </w:t>
      </w:r>
      <w:proofErr w:type="spellStart"/>
      <w:r w:rsidRPr="0058580C">
        <w:rPr>
          <w:rFonts w:eastAsia="Calibri" w:cs="Calibri"/>
          <w:sz w:val="14"/>
        </w:rPr>
        <w:t>pushback</w:t>
      </w:r>
      <w:proofErr w:type="spellEnd"/>
      <w:r w:rsidRPr="0058580C">
        <w:rPr>
          <w:rFonts w:eastAsia="Calibri" w:cs="Calibri"/>
          <w:sz w:val="14"/>
        </w:rPr>
        <w:t xml:space="preserve">—to be continued throughout the proceeding sections—against Lorenzo </w:t>
      </w:r>
      <w:proofErr w:type="spellStart"/>
      <w:r w:rsidRPr="0058580C">
        <w:rPr>
          <w:rFonts w:eastAsia="Calibri" w:cs="Calibri"/>
          <w:sz w:val="14"/>
        </w:rPr>
        <w:t>Veracini’s</w:t>
      </w:r>
      <w:proofErr w:type="spellEnd"/>
      <w:r w:rsidRPr="0058580C">
        <w:rPr>
          <w:rFonts w:eastAsia="Calibri" w:cs="Calibri"/>
          <w:sz w:val="14"/>
        </w:rPr>
        <w:t xml:space="preserve"> assertion that the UNDRIP can or should “</w:t>
      </w:r>
      <w:proofErr w:type="spellStart"/>
      <w:r w:rsidRPr="0058580C">
        <w:rPr>
          <w:rFonts w:eastAsia="Calibri" w:cs="Calibri"/>
          <w:sz w:val="14"/>
        </w:rPr>
        <w:t>constitut</w:t>
      </w:r>
      <w:proofErr w:type="spellEnd"/>
      <w:r w:rsidRPr="0058580C">
        <w:rPr>
          <w:rFonts w:eastAsia="Calibri" w:cs="Calibri"/>
          <w:sz w:val="14"/>
        </w:rPr>
        <w:t xml:space="preserve">[e] an anti-settler manifesto” (2015: 67). </w:t>
      </w:r>
      <w:proofErr w:type="spellStart"/>
      <w:r w:rsidRPr="0058580C">
        <w:rPr>
          <w:rFonts w:eastAsia="Calibri" w:cs="Calibri"/>
          <w:sz w:val="14"/>
        </w:rPr>
        <w:t>Veracini’s</w:t>
      </w:r>
      <w:proofErr w:type="spellEnd"/>
      <w:r w:rsidRPr="0058580C">
        <w:rPr>
          <w:rFonts w:eastAsia="Calibri" w:cs="Calibri"/>
          <w:sz w:val="14"/>
        </w:rPr>
        <w:t xml:space="preserve"> claim is derived from the relatively commonplace and under-theorized understanding of human rights as a check on state power, and conflicts with his own later argument that “settler colonialism…arguably persists in the demand that Indigenous peoples ‘adapt’ to the normative frameworks of international forums” (88). Despite the way that normative framework holds hands with settler colonialism, he still claims that the Declaration constitutes “a potential challenge to the sovereign orders of polities that are primarily defined by settler colonial relations” (66). I have tried to show that such a claim misses a significant degree of the nuance introduced by settler colonial studies into the workings of power and the state on and against Indigenous peoples. The following sections will add texture to the assertions made in this chapter through a series of case studies highlighting the epistemological presumptions and discursive tactics of settler colonial imaginations and institutions as they hold hands with the contemporary and h</w:t>
      </w:r>
    </w:p>
    <w:p w14:paraId="12332A0C" w14:textId="19B50358" w:rsidR="00BC09A4" w:rsidRDefault="00287943" w:rsidP="00BC09A4">
      <w:pPr>
        <w:pStyle w:val="Heading3"/>
      </w:pPr>
      <w:r>
        <w:lastRenderedPageBreak/>
        <w:t>Humanitarian</w:t>
      </w:r>
      <w:r w:rsidR="00BC09A4">
        <w:t xml:space="preserve"> </w:t>
      </w:r>
      <w:r w:rsidR="004D7BF4">
        <w:t>advantages</w:t>
      </w:r>
    </w:p>
    <w:p w14:paraId="0C9ECC4A" w14:textId="00B43053" w:rsidR="004D7BF4" w:rsidRPr="004D7BF4" w:rsidRDefault="004D7BF4" w:rsidP="004D7BF4">
      <w:pPr>
        <w:pStyle w:val="Heading4"/>
      </w:pPr>
      <w:r>
        <w:t xml:space="preserve">1ac advantages forget the violence underlying their supposedly neutral world ordering demands, can never produce needed anti-imperial </w:t>
      </w:r>
      <w:r w:rsidR="00287943">
        <w:t>strategies</w:t>
      </w:r>
    </w:p>
    <w:p w14:paraId="4FE0CAAD" w14:textId="77777777" w:rsidR="00BC09A4" w:rsidRDefault="00BC09A4" w:rsidP="00BC09A4">
      <w:proofErr w:type="spellStart"/>
      <w:r w:rsidRPr="002448E1">
        <w:rPr>
          <w:rStyle w:val="Style13ptBold"/>
        </w:rPr>
        <w:t>Saurin</w:t>
      </w:r>
      <w:proofErr w:type="spellEnd"/>
      <w:r w:rsidRPr="002448E1">
        <w:rPr>
          <w:rStyle w:val="Style13ptBold"/>
        </w:rPr>
        <w:t>, University of Sussex International Relations Professor 6</w:t>
      </w:r>
      <w:r>
        <w:t xml:space="preserve"> (Julian, “International Relations as the Imperial Illusion; or, the Need to Decolonize IR”, Decolonizing International Relations, Edited by </w:t>
      </w:r>
      <w:proofErr w:type="spellStart"/>
      <w:r>
        <w:t>Branwen</w:t>
      </w:r>
      <w:proofErr w:type="spellEnd"/>
      <w:r>
        <w:t xml:space="preserve"> </w:t>
      </w:r>
      <w:proofErr w:type="spellStart"/>
      <w:r>
        <w:t>Gruffydd</w:t>
      </w:r>
      <w:proofErr w:type="spellEnd"/>
      <w:r>
        <w:t xml:space="preserve"> Jones, p. 37-8)</w:t>
      </w:r>
    </w:p>
    <w:p w14:paraId="7DCC3126" w14:textId="77777777" w:rsidR="00BC09A4" w:rsidRDefault="00BC09A4" w:rsidP="00BC09A4">
      <w:r w:rsidRPr="004D7BF4">
        <w:rPr>
          <w:rStyle w:val="StyleUnderline"/>
        </w:rPr>
        <w:t>The argument hitherto has been that the demand to decolonize IR can begin to be answered by exposing the character and composition of the central “illusion of the epoch</w:t>
      </w:r>
      <w:r>
        <w:t xml:space="preserve"> ” </w:t>
      </w:r>
      <w:r w:rsidRPr="004D7BF4">
        <w:t>That illusion is one</w:t>
      </w:r>
      <w:r w:rsidRPr="004D7BF4">
        <w:rPr>
          <w:rStyle w:val="StyleUnderline"/>
        </w:rPr>
        <w:t xml:space="preserve"> that presents world order </w:t>
      </w:r>
      <w:r w:rsidRPr="004D7BF4">
        <w:t>of the second half of the twentieth century</w:t>
      </w:r>
      <w:r w:rsidRPr="004D7BF4">
        <w:rPr>
          <w:rStyle w:val="StyleUnderline"/>
        </w:rPr>
        <w:t xml:space="preserve"> as a fully realized international order,</w:t>
      </w:r>
      <w:r>
        <w:t xml:space="preserve"> confirming of national freedoms, first enunciated and confirmed in Europe. </w:t>
      </w:r>
      <w:r w:rsidRPr="004D7BF4">
        <w:rPr>
          <w:rStyle w:val="StyleUnderline"/>
        </w:rPr>
        <w:t xml:space="preserve">However, </w:t>
      </w:r>
      <w:proofErr w:type="spellStart"/>
      <w:r w:rsidRPr="004D7BF4">
        <w:rPr>
          <w:rStyle w:val="StyleUnderline"/>
        </w:rPr>
        <w:t>resolv</w:t>
      </w:r>
      <w:proofErr w:type="spellEnd"/>
      <w:r w:rsidRPr="004D7BF4">
        <w:rPr>
          <w:rStyle w:val="StyleUnderline"/>
        </w:rPr>
        <w:t xml:space="preserve">- </w:t>
      </w:r>
      <w:proofErr w:type="spellStart"/>
      <w:r w:rsidRPr="004D7BF4">
        <w:rPr>
          <w:rStyle w:val="StyleUnderline"/>
        </w:rPr>
        <w:t>ing</w:t>
      </w:r>
      <w:proofErr w:type="spellEnd"/>
      <w:r w:rsidRPr="004D7BF4">
        <w:rPr>
          <w:rStyle w:val="StyleUnderline"/>
        </w:rPr>
        <w:t xml:space="preserve"> the problems of historical subordination, </w:t>
      </w:r>
      <w:r w:rsidRPr="004D7BF4">
        <w:t>whether material or ideational</w:t>
      </w:r>
      <w:r w:rsidRPr="004D7BF4">
        <w:rPr>
          <w:rStyle w:val="StyleUnderline"/>
        </w:rPr>
        <w:t xml:space="preserve">, is </w:t>
      </w:r>
      <w:r w:rsidRPr="004D7BF4">
        <w:t>not exclusively (perhaps not even primarily) an intellectual or mental task but instead</w:t>
      </w:r>
      <w:r w:rsidRPr="004D7BF4">
        <w:rPr>
          <w:rStyle w:val="StyleUnderline"/>
        </w:rPr>
        <w:t xml:space="preserve"> a substantive political task</w:t>
      </w:r>
      <w:r>
        <w:t>: thesis eleven</w:t>
      </w:r>
      <w:r w:rsidRPr="004D7BF4">
        <w:t>. A forceful supporting testament to this claim comes from the unlikely source of Samuel</w:t>
      </w:r>
      <w:r w:rsidRPr="004D7BF4">
        <w:rPr>
          <w:rStyle w:val="StyleUnderline"/>
        </w:rPr>
        <w:t xml:space="preserve"> Hunting- ton </w:t>
      </w:r>
      <w:r w:rsidRPr="004D7BF4">
        <w:t xml:space="preserve">when he </w:t>
      </w:r>
      <w:r w:rsidRPr="004D7BF4">
        <w:rPr>
          <w:rStyle w:val="StyleUnderline"/>
        </w:rPr>
        <w:t xml:space="preserve">writes that “the West won the world not by the superiority of its ideas or values </w:t>
      </w:r>
      <w:r w:rsidRPr="004D7BF4">
        <w:t>or religion (to which few members of other civilizations were converted)</w:t>
      </w:r>
      <w:r w:rsidRPr="004D7BF4">
        <w:rPr>
          <w:rStyle w:val="StyleUnderline"/>
        </w:rPr>
        <w:t xml:space="preserve"> but rather by its superiority in applying organized violence. Westerners often forget this fact; non-</w:t>
      </w:r>
      <w:proofErr w:type="spellStart"/>
      <w:r w:rsidRPr="004D7BF4">
        <w:rPr>
          <w:rStyle w:val="StyleUnderline"/>
        </w:rPr>
        <w:t>Westemers</w:t>
      </w:r>
      <w:proofErr w:type="spellEnd"/>
      <w:r w:rsidRPr="004D7BF4">
        <w:rPr>
          <w:rStyle w:val="StyleUnderline"/>
        </w:rPr>
        <w:t xml:space="preserve"> never do</w:t>
      </w:r>
      <w:r>
        <w:t xml:space="preserve">.”36 </w:t>
      </w:r>
      <w:r w:rsidRPr="004D7BF4">
        <w:rPr>
          <w:rStyle w:val="StyleUnderline"/>
        </w:rPr>
        <w:t xml:space="preserve">By not forget- ting this, one can acknowledge that even with the effort to decolonize IR by bringing the forgotten subaltern and multiple histories back in, </w:t>
      </w:r>
      <w:r>
        <w:t xml:space="preserve">by more fully elaborating and exposing the delusions of orientalism, </w:t>
      </w:r>
      <w:r w:rsidRPr="004D7BF4">
        <w:rPr>
          <w:rStyle w:val="StyleUnderline"/>
        </w:rPr>
        <w:t xml:space="preserve">by demanding an equal or fair political-economic order, and by insisting on a fulfillment of universal rights and duties, one still is not equipped </w:t>
      </w:r>
      <w:r w:rsidRPr="004D7BF4">
        <w:t>to fulfill thesis eleven</w:t>
      </w:r>
      <w:r>
        <w:t xml:space="preserve">. Although the previously mentioned strategies allow for recognition of the past and </w:t>
      </w:r>
      <w:r w:rsidRPr="004D7BF4">
        <w:rPr>
          <w:rStyle w:val="StyleUnderline"/>
        </w:rPr>
        <w:t>while they may</w:t>
      </w:r>
      <w:r>
        <w:t xml:space="preserve"> also </w:t>
      </w:r>
      <w:r w:rsidRPr="004D7BF4">
        <w:rPr>
          <w:rStyle w:val="StyleUnderline"/>
        </w:rPr>
        <w:t>permit partial corrections for historical injury, they do not ex- plain historical transformation or provoke emancipation</w:t>
      </w:r>
      <w:r>
        <w:t xml:space="preserve">. In this sense, </w:t>
      </w:r>
      <w:r w:rsidRPr="004D7BF4">
        <w:rPr>
          <w:rStyle w:val="StyleUnderline"/>
        </w:rPr>
        <w:t xml:space="preserve">these investigative strategies are postcolonial; they are not anticolonial. This is es- </w:t>
      </w:r>
      <w:proofErr w:type="spellStart"/>
      <w:r w:rsidRPr="004D7BF4">
        <w:rPr>
          <w:rStyle w:val="StyleUnderline"/>
        </w:rPr>
        <w:t>pecially</w:t>
      </w:r>
      <w:proofErr w:type="spellEnd"/>
      <w:r w:rsidRPr="004D7BF4">
        <w:rPr>
          <w:rStyle w:val="StyleUnderline"/>
        </w:rPr>
        <w:t xml:space="preserve"> important given the siren enticements made by postcolonial studies, which</w:t>
      </w:r>
      <w:r>
        <w:t xml:space="preserve">, I argue, </w:t>
      </w:r>
      <w:r w:rsidRPr="004D7BF4">
        <w:rPr>
          <w:rStyle w:val="StyleUnderline"/>
        </w:rPr>
        <w:t>do not offer a means of decolonizing IR as much as providing vibrant color to the colonial picture</w:t>
      </w:r>
      <w:r>
        <w:t>, of acknowledging the myriad varieties of oppression and exploitation, of recognizing the multiplicity of identities and of stating—what has always struck me as blindingly obvious but has taken a whole academic industry to obfuscate—that identities are hybrid, variegated, fluid, and historical and not essential, fixed, and natural. This is, after all, precisely what Marx meant by the historical and the social.37</w:t>
      </w:r>
    </w:p>
    <w:p w14:paraId="1D868AFF" w14:textId="77777777" w:rsidR="00BC09A4" w:rsidRPr="00B34DB8" w:rsidRDefault="00BC09A4" w:rsidP="00BC09A4">
      <w:pPr>
        <w:rPr>
          <w:rStyle w:val="StyleUnderline"/>
        </w:rPr>
      </w:pPr>
      <w:r w:rsidRPr="004D7BF4">
        <w:rPr>
          <w:rStyle w:val="StyleUnderline"/>
        </w:rPr>
        <w:t xml:space="preserve">It is not unimportant, then, to ask whether the call to decolonize IR is a call to </w:t>
      </w:r>
      <w:proofErr w:type="spellStart"/>
      <w:r w:rsidRPr="004D7BF4">
        <w:rPr>
          <w:rStyle w:val="StyleUnderline"/>
        </w:rPr>
        <w:t>postcoloniality</w:t>
      </w:r>
      <w:proofErr w:type="spellEnd"/>
      <w:r w:rsidRPr="004D7BF4">
        <w:rPr>
          <w:rStyle w:val="StyleUnderline"/>
        </w:rPr>
        <w:t xml:space="preserve"> or a call to anticolonialism (or anti-imperialism</w:t>
      </w:r>
      <w:r>
        <w:t xml:space="preserve">). Guha identifies both the difficulty and the significance of such a call as this to de- colonize IR when he writes that “a call to expropriate the expropriators,... is radical precisely in the sense of going to the root of the matter and asking what may be involved in a historiography that is clearly an act of expropriation.”38 Similarly, we might properly ask not only why we should decolonize but, most significant, how we decolonize IR. Method (and theory) is at least as significant—perhaps more so—to the decolonization of IR than is the </w:t>
      </w:r>
      <w:proofErr w:type="spellStart"/>
      <w:r>
        <w:t>norma</w:t>
      </w:r>
      <w:proofErr w:type="spellEnd"/>
      <w:r>
        <w:t xml:space="preserve">- </w:t>
      </w:r>
      <w:proofErr w:type="spellStart"/>
      <w:r>
        <w:t>tive</w:t>
      </w:r>
      <w:proofErr w:type="spellEnd"/>
      <w:r>
        <w:t xml:space="preserve"> intent or political intuition. Still more, I have suggested, </w:t>
      </w:r>
      <w:r w:rsidRPr="00B34DB8">
        <w:rPr>
          <w:rStyle w:val="StyleUnderline"/>
        </w:rPr>
        <w:t>we should also be cautious that decolonization does not constitute the yet more thorough capture of societies and histories to the projects of imperialism</w:t>
      </w:r>
      <w:r>
        <w:t xml:space="preserve">. I have argued that </w:t>
      </w:r>
      <w:r w:rsidRPr="00B34DB8">
        <w:rPr>
          <w:rStyle w:val="StyleUnderline"/>
        </w:rPr>
        <w:t>only if decolonizing IR is driven by an anti-imperialism and not satisfied by a pale postcolonialism can we speak of hope</w:t>
      </w:r>
      <w:r>
        <w:t xml:space="preserve">. </w:t>
      </w:r>
      <w:r w:rsidRPr="00B34DB8">
        <w:rPr>
          <w:rStyle w:val="StyleUnderline"/>
        </w:rPr>
        <w:t>Decolonizing IR therefore requires not just the willingness—which was always there—of the subordinated to write world history but also, crucially, the means of production of that world history to be recovered by the dispossessed, by agreement, or by force.</w:t>
      </w:r>
    </w:p>
    <w:p w14:paraId="028F0D84" w14:textId="58069953" w:rsidR="008F7540" w:rsidRPr="0058580C" w:rsidRDefault="008F7540" w:rsidP="008F7540">
      <w:pPr>
        <w:keepNext/>
        <w:keepLines/>
        <w:pageBreakBefore/>
        <w:spacing w:before="40" w:after="0"/>
        <w:jc w:val="center"/>
        <w:outlineLvl w:val="2"/>
        <w:rPr>
          <w:rFonts w:eastAsia="Times New Roman" w:cstheme="majorBidi"/>
          <w:b/>
          <w:sz w:val="32"/>
          <w:szCs w:val="24"/>
          <w:u w:val="single"/>
        </w:rPr>
      </w:pPr>
      <w:r w:rsidRPr="0058580C">
        <w:rPr>
          <w:rFonts w:eastAsia="Times New Roman" w:cstheme="majorBidi"/>
          <w:b/>
          <w:sz w:val="32"/>
          <w:szCs w:val="24"/>
          <w:u w:val="single"/>
        </w:rPr>
        <w:lastRenderedPageBreak/>
        <w:t>Democracy</w:t>
      </w:r>
      <w:r w:rsidR="00A4633E">
        <w:rPr>
          <w:rFonts w:eastAsia="Times New Roman" w:cstheme="majorBidi"/>
          <w:b/>
          <w:sz w:val="32"/>
          <w:szCs w:val="24"/>
          <w:u w:val="single"/>
        </w:rPr>
        <w:t xml:space="preserve"> Promotion</w:t>
      </w:r>
    </w:p>
    <w:p w14:paraId="45063F71" w14:textId="77777777" w:rsidR="008F7540" w:rsidRPr="0058580C" w:rsidRDefault="008F7540" w:rsidP="008F7540">
      <w:pPr>
        <w:keepNext/>
        <w:keepLines/>
        <w:spacing w:before="40" w:after="0"/>
        <w:outlineLvl w:val="3"/>
        <w:rPr>
          <w:rFonts w:eastAsia="Times New Roman" w:cs="Arial"/>
          <w:b/>
          <w:bCs/>
          <w:iCs/>
          <w:sz w:val="26"/>
        </w:rPr>
      </w:pPr>
      <w:r w:rsidRPr="0058580C">
        <w:rPr>
          <w:rFonts w:eastAsia="Times New Roman" w:cs="Arial"/>
          <w:b/>
          <w:bCs/>
          <w:iCs/>
          <w:sz w:val="26"/>
        </w:rPr>
        <w:t>The aff plays into an imperialist politics of “democratic expansion” which has always been used to subjugate populations abroad as well as indigenous populations at home. The Trump era only reveals what has always remained latent at the center of the political- adopting this analysis precedes other academic traditions OR political imperatives</w:t>
      </w:r>
    </w:p>
    <w:p w14:paraId="1BBCBEA0" w14:textId="77777777" w:rsidR="008F7540" w:rsidRPr="0058580C" w:rsidRDefault="008F7540" w:rsidP="008F7540">
      <w:pPr>
        <w:rPr>
          <w:rFonts w:cs="Calibri"/>
        </w:rPr>
      </w:pPr>
      <w:r w:rsidRPr="0058580C">
        <w:rPr>
          <w:rFonts w:eastAsiaTheme="majorEastAsia" w:cstheme="majorBidi"/>
          <w:b/>
          <w:iCs/>
          <w:sz w:val="26"/>
        </w:rPr>
        <w:t xml:space="preserve">Collins, CUNY author specializing in SCT, and </w:t>
      </w:r>
      <w:proofErr w:type="spellStart"/>
      <w:r w:rsidRPr="0058580C">
        <w:rPr>
          <w:rFonts w:eastAsiaTheme="majorEastAsia" w:cstheme="majorBidi"/>
          <w:b/>
          <w:iCs/>
          <w:sz w:val="26"/>
        </w:rPr>
        <w:t>McGranahan</w:t>
      </w:r>
      <w:proofErr w:type="spellEnd"/>
      <w:r w:rsidRPr="0058580C">
        <w:rPr>
          <w:rFonts w:eastAsiaTheme="majorEastAsia" w:cstheme="majorBidi"/>
          <w:b/>
          <w:iCs/>
          <w:sz w:val="26"/>
        </w:rPr>
        <w:t xml:space="preserve">, Professor of History and Anthropology at the University of Colorado, 18 </w:t>
      </w:r>
      <w:r w:rsidRPr="0058580C">
        <w:rPr>
          <w:rFonts w:cs="Calibri"/>
        </w:rPr>
        <w:t>(John F. and Carole, 2018, “Ethnographies of US Empire”, Duke University Press, p.1-2, accessed 6/20/19, TR)</w:t>
      </w:r>
    </w:p>
    <w:p w14:paraId="32E9D22C" w14:textId="6C513685" w:rsidR="008F7540" w:rsidRDefault="008F7540" w:rsidP="008F7540">
      <w:pPr>
        <w:rPr>
          <w:rFonts w:cs="Calibri"/>
        </w:rPr>
      </w:pPr>
      <w:r w:rsidRPr="0058580C">
        <w:rPr>
          <w:rFonts w:cs="Calibri"/>
          <w:u w:val="single"/>
        </w:rPr>
        <w:t>The United States of America has long been an empire in denial</w:t>
      </w:r>
      <w:r w:rsidRPr="0058580C">
        <w:rPr>
          <w:rFonts w:cs="Calibri"/>
        </w:rPr>
        <w:t xml:space="preserve">. If European incursions into the “New World” so often rested on an imperial bravado in which inhabited territories were construed as empty, available, or filled with ostensible primitives awaiting missionization, the foundation of the United States rested on a rejection of British rule and an inauguration of an </w:t>
      </w:r>
      <w:proofErr w:type="spellStart"/>
      <w:r w:rsidRPr="0058580C">
        <w:rPr>
          <w:rFonts w:cs="Calibri"/>
        </w:rPr>
        <w:t>antiimperial</w:t>
      </w:r>
      <w:proofErr w:type="spellEnd"/>
      <w:r w:rsidRPr="0058580C">
        <w:rPr>
          <w:rFonts w:cs="Calibri"/>
        </w:rPr>
        <w:t xml:space="preserve"> politics that continues to do much to define the country and its discourses of freedom </w:t>
      </w:r>
      <w:r w:rsidRPr="0058580C">
        <w:rPr>
          <w:rFonts w:cs="Calibri"/>
          <w:u w:val="single"/>
        </w:rPr>
        <w:t>today. Throughout U.S. history and historiography, then, political actions are often situated against empire and discussed in seemingly empire-neutral registers.1 Engaged from such well-camouflaged blinds, the occupation of Native American lands takes form as destiny or “expansion” rather than “colonization.” Attempts by the United States to piggyback upon Latin American independence movements become wars against European colonial powers rather than a usurpation of slaves’ and creole pioneers’ struggles for emancipation</w:t>
      </w:r>
      <w:r w:rsidRPr="0058580C">
        <w:rPr>
          <w:rFonts w:cs="Calibri"/>
        </w:rPr>
        <w:t xml:space="preserve">. The </w:t>
      </w:r>
      <w:r w:rsidRPr="0058580C">
        <w:rPr>
          <w:rFonts w:cs="Calibri"/>
          <w:u w:val="single"/>
        </w:rPr>
        <w:t>cultivation of global influence during the Cold War emerges as “politics as needed” rather than the seizure of a gap opened by decolonization. And overseas military interventions were (and remain) a paternalistic or even “democratic” responsibility rather than linked strategies within shifting constellations of imperial aggression. Nonetheless, in settler colonialism as in slavery, in territorial “acquisitions” and in hemispheric empire in the Americas since 1898, and during the Cold and Vietnam Wars as well as the current period of renewed militarism around presidential decree, a series of contradictory imperial formations arise, structure political possibilities, and are nonetheless denied or rendered deniable</w:t>
      </w:r>
      <w:r w:rsidRPr="0058580C">
        <w:rPr>
          <w:rFonts w:cs="Calibri"/>
        </w:rPr>
        <w:t xml:space="preserve">. </w:t>
      </w:r>
      <w:r w:rsidRPr="0058580C">
        <w:rPr>
          <w:rFonts w:cs="Calibri"/>
          <w:u w:val="single"/>
        </w:rPr>
        <w:t>The imperial bluster evident during the early stages of Donald Trump’s presidency seems to enunciate publicly the imperial volition we argue has so often been occluded. And yet, the Trump administration couples imperial bluster and violent politics at home and abroad with a rhetoric of turning inward, of responsibility, and of caring for one’s own while excluding and leaving ostensible others to what come to be configured as their self-</w:t>
      </w:r>
      <w:proofErr w:type="spellStart"/>
      <w:r w:rsidRPr="0058580C">
        <w:rPr>
          <w:rFonts w:cs="Calibri"/>
          <w:u w:val="single"/>
        </w:rPr>
        <w:t>adminstered</w:t>
      </w:r>
      <w:proofErr w:type="spellEnd"/>
      <w:r w:rsidRPr="0058580C">
        <w:rPr>
          <w:rFonts w:cs="Calibri"/>
          <w:u w:val="single"/>
        </w:rPr>
        <w:t xml:space="preserve"> fates</w:t>
      </w:r>
      <w:r w:rsidRPr="0058580C">
        <w:rPr>
          <w:rFonts w:cs="Calibri"/>
        </w:rPr>
        <w:t xml:space="preserve">. </w:t>
      </w:r>
      <w:r w:rsidRPr="0058580C">
        <w:rPr>
          <w:rFonts w:cs="Calibri"/>
          <w:u w:val="single"/>
        </w:rPr>
        <w:t>Once again, the fundaments and ongoing practices of U.S. nation-state</w:t>
      </w:r>
      <w:r w:rsidRPr="0058580C">
        <w:rPr>
          <w:rFonts w:cs="Calibri"/>
        </w:rPr>
        <w:t xml:space="preserve"> 2john f. </w:t>
      </w:r>
      <w:proofErr w:type="spellStart"/>
      <w:r w:rsidRPr="0058580C">
        <w:rPr>
          <w:rFonts w:cs="Calibri"/>
        </w:rPr>
        <w:t>collins</w:t>
      </w:r>
      <w:proofErr w:type="spellEnd"/>
      <w:r w:rsidRPr="0058580C">
        <w:rPr>
          <w:rFonts w:cs="Calibri"/>
        </w:rPr>
        <w:t xml:space="preserve"> and </w:t>
      </w:r>
      <w:proofErr w:type="spellStart"/>
      <w:r w:rsidRPr="0058580C">
        <w:rPr>
          <w:rFonts w:cs="Calibri"/>
        </w:rPr>
        <w:t>carole</w:t>
      </w:r>
      <w:proofErr w:type="spellEnd"/>
      <w:r w:rsidRPr="0058580C">
        <w:rPr>
          <w:rFonts w:cs="Calibri"/>
        </w:rPr>
        <w:t xml:space="preserve"> </w:t>
      </w:r>
      <w:proofErr w:type="spellStart"/>
      <w:r w:rsidRPr="0058580C">
        <w:rPr>
          <w:rFonts w:cs="Calibri"/>
        </w:rPr>
        <w:t>mcgranahan</w:t>
      </w:r>
      <w:proofErr w:type="spellEnd"/>
      <w:r w:rsidRPr="0058580C">
        <w:rPr>
          <w:rFonts w:cs="Calibri"/>
        </w:rPr>
        <w:t xml:space="preserve"> </w:t>
      </w:r>
      <w:r w:rsidRPr="0058580C">
        <w:rPr>
          <w:rFonts w:cs="Calibri"/>
          <w:u w:val="single"/>
        </w:rPr>
        <w:t xml:space="preserve">consolidation and imperial politics fail to cohere as a linear history of clear perception, easily partible epochs, stable forms, and heroic actors. Instead, they form something akin to what Ann </w:t>
      </w:r>
      <w:proofErr w:type="spellStart"/>
      <w:r w:rsidRPr="0058580C">
        <w:rPr>
          <w:rFonts w:cs="Calibri"/>
          <w:u w:val="single"/>
        </w:rPr>
        <w:t>Stoler</w:t>
      </w:r>
      <w:proofErr w:type="spellEnd"/>
      <w:r w:rsidRPr="0058580C">
        <w:rPr>
          <w:rFonts w:cs="Calibri"/>
          <w:u w:val="single"/>
        </w:rPr>
        <w:t>, resituating Clifford Geertz’s insight, calls “blurred genres,” or an ensemble of colonizing practices and policies full of contradictions, hubris, and imperial refusals</w:t>
      </w:r>
      <w:r w:rsidRPr="0058580C">
        <w:rPr>
          <w:rFonts w:cs="Calibri"/>
        </w:rPr>
        <w:t>.2 If political discourse, academic geography, and historiography have conspired to energize and legitimate denials of empire that operate alongside the sporadic celebration of the importance of empire to what the United States is and does, anthropology as a discipline has played at least a supporting role</w:t>
      </w:r>
      <w:r w:rsidRPr="0058580C">
        <w:rPr>
          <w:rFonts w:cs="Calibri"/>
          <w:u w:val="single"/>
        </w:rPr>
        <w:t xml:space="preserve">. Over the last century our scholarship has engaged U.S. empire erratically and inconsistently. Empire hovers in the shadows of many ethnographies. It is untended to, even when hiding in plain sight or cohabiting with critique in murky bundles of practices and epistemological initiatives so much a part of the everyday life and disciplinary norms accepted as fully North American, </w:t>
      </w:r>
      <w:r w:rsidRPr="0058580C">
        <w:rPr>
          <w:rFonts w:cs="Calibri"/>
          <w:u w:val="single"/>
        </w:rPr>
        <w:lastRenderedPageBreak/>
        <w:t>and productive of new, even politically aware, analysis today</w:t>
      </w:r>
      <w:r w:rsidRPr="0058580C">
        <w:rPr>
          <w:rFonts w:cs="Calibri"/>
        </w:rPr>
        <w:t xml:space="preserve">. </w:t>
      </w:r>
      <w:r w:rsidRPr="0058580C">
        <w:rPr>
          <w:rFonts w:cs="Calibri"/>
          <w:u w:val="single"/>
        </w:rPr>
        <w:t xml:space="preserve">Nonetheless, and in what might be read as yet another aspect of imperial formations’ ability to shape-shift so as to deceive while nonetheless motivating long-standing global inequities, over the last four decades anthropology as a discipline has turned a critical eye toward European </w:t>
      </w:r>
      <w:proofErr w:type="spellStart"/>
      <w:r w:rsidRPr="0058580C">
        <w:rPr>
          <w:rFonts w:cs="Calibri"/>
          <w:u w:val="single"/>
        </w:rPr>
        <w:t>empiresIn</w:t>
      </w:r>
      <w:proofErr w:type="spellEnd"/>
      <w:r w:rsidRPr="0058580C">
        <w:rPr>
          <w:rFonts w:cs="Calibri"/>
          <w:u w:val="single"/>
        </w:rPr>
        <w:t xml:space="preserve"> conjunction with the work of Edward Said and the rise of postcolonial studies, anthropologists have issued sustained and often searing critiques of the discipline’s imperial genealogies</w:t>
      </w:r>
      <w:r w:rsidRPr="0058580C">
        <w:rPr>
          <w:rFonts w:cs="Calibri"/>
        </w:rPr>
        <w:t xml:space="preserve">.3 They have sought to expand and </w:t>
      </w:r>
      <w:r w:rsidRPr="0058580C">
        <w:rPr>
          <w:rFonts w:cs="Calibri"/>
          <w:u w:val="single"/>
        </w:rPr>
        <w:t>decolonize by rethinking accepted or acceptable subjects of research; subject/object binaries and the limits of the human; representational strategies; methodological and theoretical approaches to the past</w:t>
      </w:r>
      <w:r w:rsidRPr="0058580C">
        <w:rPr>
          <w:rFonts w:cs="Calibri"/>
        </w:rPr>
        <w:t>; and personal relationships to, and especially researchers’ emplacements within, particular communities and intellectual traditions..4 This work has added substantially to the interdisciplinary study of empire, especially in relation to the transport of ethnographic sensibilities to the writing of histories.5 Yet engagements with empire and its contemporary forms suggest a need to augment analyses of the past, even as analyses of the past are never simply interpretations of what has passed.6</w:t>
      </w:r>
    </w:p>
    <w:p w14:paraId="02A58D0C" w14:textId="4175BE3F" w:rsidR="00A4633E" w:rsidRDefault="00A4633E" w:rsidP="00A4633E">
      <w:pPr>
        <w:pStyle w:val="Heading3"/>
      </w:pPr>
      <w:r>
        <w:lastRenderedPageBreak/>
        <w:t>Democratic Peace Theory</w:t>
      </w:r>
    </w:p>
    <w:p w14:paraId="614D85AA" w14:textId="12D6A4B6" w:rsidR="00A4633E" w:rsidRPr="00A4633E" w:rsidRDefault="00A4633E" w:rsidP="00A4633E">
      <w:pPr>
        <w:pStyle w:val="Heading4"/>
      </w:pPr>
      <w:r w:rsidRPr="00A4633E">
        <w:t>“Democratic peace theory”</w:t>
      </w:r>
      <w:r>
        <w:t xml:space="preserve"> requires violent forgetting of lives lost that don’t appear on sovereign registers of lives that matter</w:t>
      </w:r>
    </w:p>
    <w:p w14:paraId="1AD3CBEB" w14:textId="78E0C0B3" w:rsidR="00381FEC" w:rsidRDefault="00381FEC" w:rsidP="00381FEC">
      <w:r w:rsidRPr="002448E1">
        <w:rPr>
          <w:rStyle w:val="Style13ptBold"/>
        </w:rPr>
        <w:t>Krishna, University of Hawaii International Relations Professor, 6</w:t>
      </w:r>
      <w:r>
        <w:t xml:space="preserve"> (Sankaran, “Race, Amnesia, and the Education of International Relations”, Decolonizing International Relations, Edited by </w:t>
      </w:r>
      <w:proofErr w:type="spellStart"/>
      <w:r>
        <w:t>Branwen</w:t>
      </w:r>
      <w:proofErr w:type="spellEnd"/>
      <w:r>
        <w:t xml:space="preserve"> </w:t>
      </w:r>
      <w:proofErr w:type="spellStart"/>
      <w:r>
        <w:t>Gruffydd</w:t>
      </w:r>
      <w:proofErr w:type="spellEnd"/>
      <w:r>
        <w:t xml:space="preserve"> Jones, p.92-3)</w:t>
      </w:r>
    </w:p>
    <w:p w14:paraId="4A42C917" w14:textId="77777777" w:rsidR="00381FEC" w:rsidRPr="00D043B3" w:rsidRDefault="00381FEC" w:rsidP="00381FEC">
      <w:pPr>
        <w:rPr>
          <w:rStyle w:val="StyleUnderline"/>
        </w:rPr>
      </w:pPr>
      <w:r w:rsidRPr="00D043B3">
        <w:rPr>
          <w:rStyle w:val="StyleUnderline"/>
        </w:rPr>
        <w:t>The operation of</w:t>
      </w:r>
      <w:r>
        <w:t xml:space="preserve"> this </w:t>
      </w:r>
      <w:r w:rsidRPr="00D043B3">
        <w:rPr>
          <w:rStyle w:val="StyleUnderline"/>
        </w:rPr>
        <w:t>abstraction of sovereignty to deny the bloody his- tory of the nineteenth century is no aberration</w:t>
      </w:r>
      <w:r>
        <w:t xml:space="preserve">. The same sovereign definition of “war” informs David Singer’s voluminous data-gathering enterprise on conflict, it underlies the effort by Bueno de Mesquita to assess the rational utility calculations of war initiators, and </w:t>
      </w:r>
      <w:r w:rsidRPr="00D043B3">
        <w:rPr>
          <w:rStyle w:val="StyleUnderline"/>
        </w:rPr>
        <w:t>it allowed</w:t>
      </w:r>
      <w:r>
        <w:t xml:space="preserve"> Rudy </w:t>
      </w:r>
      <w:proofErr w:type="spellStart"/>
      <w:r w:rsidRPr="00D043B3">
        <w:rPr>
          <w:rStyle w:val="StyleUnderline"/>
        </w:rPr>
        <w:t>Rummell</w:t>
      </w:r>
      <w:proofErr w:type="spellEnd"/>
      <w:r w:rsidRPr="00D043B3">
        <w:rPr>
          <w:rStyle w:val="StyleUnderline"/>
        </w:rPr>
        <w:t xml:space="preserve"> to claim that “democracies” rarely, if ever, initiate wars with each other or produce genocides and for still others to claim</w:t>
      </w:r>
      <w:r>
        <w:t xml:space="preserve"> (against all the evidence of the </w:t>
      </w:r>
      <w:proofErr w:type="spellStart"/>
      <w:r>
        <w:t>incredi</w:t>
      </w:r>
      <w:proofErr w:type="spellEnd"/>
      <w:r>
        <w:t xml:space="preserve">- </w:t>
      </w:r>
      <w:proofErr w:type="spellStart"/>
      <w:r>
        <w:t>bly</w:t>
      </w:r>
      <w:proofErr w:type="spellEnd"/>
      <w:r>
        <w:t xml:space="preserve"> sanguinary twentieth century) </w:t>
      </w:r>
      <w:r w:rsidRPr="00D043B3">
        <w:rPr>
          <w:rStyle w:val="StyleUnderline"/>
        </w:rPr>
        <w:t>that the Cold War brought stability and peace to the world order.</w:t>
      </w:r>
      <w:r>
        <w:t xml:space="preserve">7 </w:t>
      </w:r>
      <w:r w:rsidRPr="00D043B3">
        <w:rPr>
          <w:rStyle w:val="StyleUnderline"/>
        </w:rPr>
        <w:t>By deftly defining international as the encounter between sovereign states, much of a violent world history is instantly sanitized</w:t>
      </w:r>
      <w:r>
        <w:t xml:space="preserve">. Bernard </w:t>
      </w:r>
      <w:proofErr w:type="spellStart"/>
      <w:r>
        <w:t>Nietschmann</w:t>
      </w:r>
      <w:proofErr w:type="spellEnd"/>
      <w:r>
        <w:t xml:space="preserve"> found that of the 120 wars that were ongoing in 1987, only four were between sovereign states. </w:t>
      </w:r>
      <w:proofErr w:type="gramStart"/>
      <w:r w:rsidRPr="00D043B3">
        <w:rPr>
          <w:rStyle w:val="StyleUnderline"/>
        </w:rPr>
        <w:t>The vast majority of</w:t>
      </w:r>
      <w:proofErr w:type="gramEnd"/>
      <w:r w:rsidRPr="00D043B3">
        <w:rPr>
          <w:rStyle w:val="StyleUnderline"/>
        </w:rPr>
        <w:t xml:space="preserve"> insurgencies and civil wars were unnoticed because “the media and academia are anchored in the state. Their tendency is to consider struggles against the state to be illegitimate or invisible.... They are hidden from view because the fighting is against peoples and countries that are often not even on the map.”</w:t>
      </w:r>
      <w:r>
        <w:t xml:space="preserve">8 Among other things, </w:t>
      </w:r>
      <w:r w:rsidRPr="00D043B3">
        <w:rPr>
          <w:rStyle w:val="StyleUnderline"/>
        </w:rPr>
        <w:t xml:space="preserve">what this sovereigntist abstraction accomplishes is simple: the loss of lives during encounters between states and </w:t>
      </w:r>
      <w:proofErr w:type="spellStart"/>
      <w:r w:rsidRPr="00D043B3">
        <w:rPr>
          <w:rStyle w:val="StyleUnderline"/>
        </w:rPr>
        <w:t>nonsovereign</w:t>
      </w:r>
      <w:proofErr w:type="spellEnd"/>
      <w:r w:rsidRPr="00D043B3">
        <w:rPr>
          <w:rStyle w:val="StyleUnderline"/>
        </w:rPr>
        <w:t xml:space="preserve"> entities is of no consequence</w:t>
      </w:r>
      <w:r>
        <w:t xml:space="preserve">. </w:t>
      </w:r>
      <w:r w:rsidRPr="00D043B3">
        <w:rPr>
          <w:rStyle w:val="StyleUnderline"/>
        </w:rPr>
        <w:t>It needs to be mentioned that the overwhelming number of these casualties were either brown or black while sovereignty remained lily white.</w:t>
      </w:r>
    </w:p>
    <w:p w14:paraId="4F30B7DA" w14:textId="77777777" w:rsidR="008F7540" w:rsidRPr="0058580C" w:rsidRDefault="008F7540" w:rsidP="008F7540">
      <w:pPr>
        <w:keepNext/>
        <w:keepLines/>
        <w:pageBreakBefore/>
        <w:spacing w:before="40" w:after="0"/>
        <w:jc w:val="center"/>
        <w:outlineLvl w:val="2"/>
        <w:rPr>
          <w:rFonts w:eastAsiaTheme="majorEastAsia" w:cstheme="majorBidi"/>
          <w:b/>
          <w:sz w:val="32"/>
          <w:szCs w:val="24"/>
          <w:u w:val="single"/>
        </w:rPr>
      </w:pPr>
      <w:r w:rsidRPr="0058580C">
        <w:rPr>
          <w:rFonts w:eastAsiaTheme="majorEastAsia" w:cstheme="majorBidi"/>
          <w:b/>
          <w:sz w:val="32"/>
          <w:szCs w:val="24"/>
          <w:u w:val="single"/>
        </w:rPr>
        <w:lastRenderedPageBreak/>
        <w:t>Israel</w:t>
      </w:r>
    </w:p>
    <w:p w14:paraId="1B0A062E" w14:textId="77777777" w:rsidR="008F7540" w:rsidRPr="0058580C" w:rsidRDefault="008F7540" w:rsidP="008F7540">
      <w:pPr>
        <w:keepNext/>
        <w:keepLines/>
        <w:spacing w:before="40" w:after="0"/>
        <w:outlineLvl w:val="3"/>
        <w:rPr>
          <w:rFonts w:eastAsia="Times New Roman" w:cs="Arial"/>
          <w:b/>
          <w:bCs/>
          <w:iCs/>
          <w:sz w:val="26"/>
        </w:rPr>
      </w:pPr>
      <w:r w:rsidRPr="0058580C">
        <w:rPr>
          <w:rFonts w:eastAsia="Times New Roman" w:cs="Arial"/>
          <w:b/>
          <w:bCs/>
          <w:iCs/>
          <w:sz w:val="26"/>
        </w:rPr>
        <w:t xml:space="preserve">The horrors of Palestine must be understood through the lens of a broader Westphalian project to replace indigenous populations and lands with settlers and homes. The </w:t>
      </w:r>
      <w:proofErr w:type="spellStart"/>
      <w:r w:rsidRPr="0058580C">
        <w:rPr>
          <w:rFonts w:eastAsia="Times New Roman" w:cs="Arial"/>
          <w:b/>
          <w:bCs/>
          <w:iCs/>
          <w:sz w:val="26"/>
        </w:rPr>
        <w:t>aff’s</w:t>
      </w:r>
      <w:proofErr w:type="spellEnd"/>
      <w:r w:rsidRPr="0058580C">
        <w:rPr>
          <w:rFonts w:eastAsia="Times New Roman" w:cs="Arial"/>
          <w:b/>
          <w:bCs/>
          <w:iCs/>
          <w:sz w:val="26"/>
        </w:rPr>
        <w:t xml:space="preserve"> attempt to isolate and solve the settlement of Palestine via one policy change intentionally forgets and thereby supports the ongoing genocides in both the United States and Palestine</w:t>
      </w:r>
    </w:p>
    <w:p w14:paraId="6A9BE056" w14:textId="77777777" w:rsidR="008F7540" w:rsidRPr="0058580C" w:rsidRDefault="008F7540" w:rsidP="008F7540">
      <w:pPr>
        <w:rPr>
          <w:rFonts w:cs="Calibri"/>
        </w:rPr>
      </w:pPr>
      <w:r w:rsidRPr="0058580C">
        <w:rPr>
          <w:rFonts w:eastAsiaTheme="majorEastAsia" w:cstheme="majorBidi"/>
          <w:b/>
          <w:iCs/>
          <w:sz w:val="26"/>
        </w:rPr>
        <w:t xml:space="preserve">Fernandez, author and professor at CUNY specializing in SCT ,17 </w:t>
      </w:r>
      <w:r w:rsidRPr="0058580C">
        <w:rPr>
          <w:rFonts w:cs="Calibri"/>
        </w:rPr>
        <w:t>(Johanna, 2017, Decolonization: Indigeneity, Education, and Society, “Structures of settler colonial domination in Israel and in the United States”, Decolonization: Indigeneity, Education &amp; Society, Vol. 6, No. 1, pp. 29-44, accessed 6/18/19, TR)</w:t>
      </w:r>
    </w:p>
    <w:p w14:paraId="78FA23F9" w14:textId="77777777" w:rsidR="008F7540" w:rsidRPr="0058580C" w:rsidRDefault="008F7540" w:rsidP="008F7540">
      <w:pPr>
        <w:rPr>
          <w:rFonts w:cs="Calibri"/>
        </w:rPr>
      </w:pPr>
      <w:r w:rsidRPr="0058580C">
        <w:rPr>
          <w:rFonts w:cs="Calibri"/>
          <w:u w:val="single"/>
        </w:rPr>
        <w:t xml:space="preserve">In March 2016, a U.S. delegation traveled to Palestine to witness firsthand Israel’s </w:t>
      </w:r>
      <w:proofErr w:type="spellStart"/>
      <w:r w:rsidRPr="0058580C">
        <w:rPr>
          <w:rFonts w:cs="Calibri"/>
          <w:u w:val="single"/>
        </w:rPr>
        <w:t>settlercolonial</w:t>
      </w:r>
      <w:proofErr w:type="spellEnd"/>
      <w:r w:rsidRPr="0058580C">
        <w:rPr>
          <w:rFonts w:cs="Calibri"/>
          <w:u w:val="single"/>
        </w:rPr>
        <w:t xml:space="preserve"> project and to stand in solidarity with an Indigenous people’s diverse struggles for survival. Like many others who have traveled internationally to advance the cause of justice, we went to uphold one of humanity’s highest principles and aspirations—the notion that we should care for the freedom of others, be willing to stand with them, and bring home their voices and messages</w:t>
      </w:r>
      <w:r w:rsidRPr="0058580C">
        <w:rPr>
          <w:rFonts w:cs="Calibri"/>
        </w:rPr>
        <w:t xml:space="preserve">. Our nineteen-member delegation included three former U.S.-held political prisoners, two former Black Panthers, trade unionists, university professors, and a younger generation of prison abolitionists and organizers. The trip was planned and led by Dr. Rabab </w:t>
      </w:r>
      <w:proofErr w:type="spellStart"/>
      <w:r w:rsidRPr="0058580C">
        <w:rPr>
          <w:rFonts w:cs="Calibri"/>
        </w:rPr>
        <w:t>Abdulhadi</w:t>
      </w:r>
      <w:proofErr w:type="spellEnd"/>
      <w:r w:rsidRPr="0058580C">
        <w:rPr>
          <w:rFonts w:cs="Calibri"/>
        </w:rPr>
        <w:t xml:space="preserve">, the indefatigable author and professor at San Francisco State University, who identified prisons, labor, and academic freedom as the delegation's focal points. </w:t>
      </w:r>
      <w:r w:rsidRPr="0058580C">
        <w:rPr>
          <w:rFonts w:cs="Calibri"/>
          <w:u w:val="single"/>
        </w:rPr>
        <w:t>We met and documented conversations with teachers and labor organizers whose recent strikes highlighted the savage economic disparities that define Palestinian life; we learned about the ongoing efforts of activists and scholars to reclaim the history, political identity, and culture of the Palestinian people</w:t>
      </w:r>
      <w:r w:rsidRPr="0058580C">
        <w:rPr>
          <w:rFonts w:cs="Calibri"/>
        </w:rPr>
        <w:t xml:space="preserve">. </w:t>
      </w:r>
      <w:r w:rsidRPr="0058580C">
        <w:rPr>
          <w:rFonts w:cs="Calibri"/>
          <w:u w:val="single"/>
        </w:rPr>
        <w:t>The delegation’s special focus on political imprisonment and solidarity between Palestinian and U.S. prisoners made it the first of its kind</w:t>
      </w:r>
      <w:r w:rsidRPr="0058580C">
        <w:rPr>
          <w:rFonts w:cs="Calibri"/>
        </w:rPr>
        <w:t xml:space="preserve">. </w:t>
      </w:r>
      <w:r w:rsidRPr="0058580C">
        <w:rPr>
          <w:rFonts w:cs="Calibri"/>
          <w:u w:val="single"/>
        </w:rPr>
        <w:t>The injustices we witnessed in Palestine—of ongoing Palestinian displacement and demolition of homes by the Israeli state, of attempts at dehumanizing the Palestinian people through educational policies designed to erase their culture and history, of stark economic disparities between Palestinians and Israelis</w:t>
      </w:r>
      <w:r w:rsidRPr="0058580C">
        <w:rPr>
          <w:rFonts w:cs="Calibri"/>
        </w:rPr>
        <w:t xml:space="preserve">, of 30 J. Fernandez </w:t>
      </w:r>
      <w:r w:rsidRPr="0058580C">
        <w:rPr>
          <w:rFonts w:cs="Calibri"/>
          <w:u w:val="single"/>
        </w:rPr>
        <w:t>mass incarceration and political imprisonment,</w:t>
      </w:r>
      <w:r w:rsidRPr="0058580C">
        <w:rPr>
          <w:rFonts w:cs="Calibri"/>
        </w:rPr>
        <w:t xml:space="preserve"> and of the tragic and farcical deployment by Israelis of Holocaust-like instruments of control against Palestinians—shocked the conscience. Although Zionist policies have not yet reached the Final Solution organized at Wannsee 1942, they certainly do resemble Kristallnacht 1938; while Gaza is not yet the Auschwitz death factory, it does resemble the Warsaw Ghetto.</w:t>
      </w:r>
      <w:r w:rsidRPr="0058580C">
        <w:rPr>
          <w:rFonts w:cs="Calibri"/>
          <w:u w:val="single"/>
        </w:rPr>
        <w:t>1 The current stage of Israeli genocide can easily reach those later</w:t>
      </w:r>
      <w:r w:rsidRPr="0058580C">
        <w:rPr>
          <w:rFonts w:cs="Calibri"/>
        </w:rPr>
        <w:t xml:space="preserve"> Nazi </w:t>
      </w:r>
      <w:r w:rsidRPr="0058580C">
        <w:rPr>
          <w:rFonts w:cs="Calibri"/>
          <w:u w:val="single"/>
        </w:rPr>
        <w:t xml:space="preserve">manifestations. </w:t>
      </w:r>
      <w:r w:rsidRPr="0058580C">
        <w:rPr>
          <w:rFonts w:cs="Calibri"/>
        </w:rPr>
        <w:t xml:space="preserve">And even if they don’t, it's still genocide. </w:t>
      </w:r>
      <w:r w:rsidRPr="0058580C">
        <w:rPr>
          <w:rFonts w:cs="Calibri"/>
          <w:u w:val="single"/>
        </w:rPr>
        <w:t>Although the suffering imposed on Palestinians is concentrated and acute, a consequence of the state of war and Israeli military occupation that define their lives, the delegation was struck by structures of Palestinian oppression that resemble both contemporary and historical structures of oppression here in the United States.</w:t>
      </w:r>
      <w:r w:rsidRPr="0058580C">
        <w:rPr>
          <w:rFonts w:cs="Calibri"/>
        </w:rPr>
        <w:t xml:space="preserve"> Land and labor </w:t>
      </w:r>
      <w:proofErr w:type="gramStart"/>
      <w:r w:rsidRPr="0058580C">
        <w:rPr>
          <w:rFonts w:cs="Calibri"/>
          <w:u w:val="single"/>
        </w:rPr>
        <w:t>At</w:t>
      </w:r>
      <w:proofErr w:type="gramEnd"/>
      <w:r w:rsidRPr="0058580C">
        <w:rPr>
          <w:rFonts w:cs="Calibri"/>
          <w:u w:val="single"/>
        </w:rPr>
        <w:t xml:space="preserve"> our first meeting, our hosts offered critical reflections on the use of language and analytical framework in discussions of Palestinian grievances</w:t>
      </w:r>
      <w:r w:rsidRPr="0058580C">
        <w:rPr>
          <w:rFonts w:cs="Calibri"/>
        </w:rPr>
        <w:t xml:space="preserve">. They reported that, in </w:t>
      </w:r>
      <w:r w:rsidRPr="0058580C">
        <w:rPr>
          <w:rFonts w:cs="Calibri"/>
          <w:u w:val="single"/>
        </w:rPr>
        <w:t xml:space="preserve">the years since the uprisings that began in Tunisia in 2010 and spread across the Arab World, a broad coalition of the Palestinian left has convened a series of conferences with international </w:t>
      </w:r>
      <w:proofErr w:type="gramStart"/>
      <w:r w:rsidRPr="0058580C">
        <w:rPr>
          <w:rFonts w:cs="Calibri"/>
          <w:u w:val="single"/>
        </w:rPr>
        <w:t>supporters</w:t>
      </w:r>
      <w:proofErr w:type="gramEnd"/>
      <w:r w:rsidRPr="0058580C">
        <w:rPr>
          <w:rFonts w:cs="Calibri"/>
          <w:u w:val="single"/>
        </w:rPr>
        <w:t xml:space="preserve"> present.</w:t>
      </w:r>
      <w:r w:rsidRPr="0058580C">
        <w:rPr>
          <w:rFonts w:cs="Calibri"/>
        </w:rPr>
        <w:t xml:space="preserve"> </w:t>
      </w:r>
      <w:r w:rsidRPr="0058580C">
        <w:rPr>
          <w:rFonts w:cs="Calibri"/>
          <w:u w:val="single"/>
        </w:rPr>
        <w:t>These gatherings addressed, among other things, the limitations of political discourse internationally—and even in Palestine—with its tendency to link the contemporary crisis in Palestine to the Six Day War of 1967 and the Israeli military occupation of the West Bank and Gaza that followed</w:t>
      </w:r>
      <w:r w:rsidRPr="0058580C">
        <w:rPr>
          <w:rFonts w:cs="Calibri"/>
        </w:rPr>
        <w:t xml:space="preserve">.2 </w:t>
      </w:r>
      <w:r w:rsidRPr="0058580C">
        <w:rPr>
          <w:rFonts w:cs="Calibri"/>
          <w:u w:val="single"/>
        </w:rPr>
        <w:lastRenderedPageBreak/>
        <w:t xml:space="preserve">Convened in a new political period, these conferences sought to widen and reframe public dialogue to illuminate root causes. Our hosts, who participated in these sessions, explained that the harrowing conditions of Palestinian life today are not just a product of the ongoing Israeli occupation. The decisive chapter of the crisis, they noted, </w:t>
      </w:r>
      <w:proofErr w:type="gramStart"/>
      <w:r w:rsidRPr="0058580C">
        <w:rPr>
          <w:rFonts w:cs="Calibri"/>
          <w:u w:val="single"/>
        </w:rPr>
        <w:t>dates back to</w:t>
      </w:r>
      <w:proofErr w:type="gramEnd"/>
      <w:r w:rsidRPr="0058580C">
        <w:rPr>
          <w:rFonts w:cs="Calibri"/>
          <w:u w:val="single"/>
        </w:rPr>
        <w:t xml:space="preserve"> the Israeli military invasion of 1948</w:t>
      </w:r>
      <w:r w:rsidRPr="0058580C">
        <w:rPr>
          <w:rFonts w:cs="Calibri"/>
        </w:rPr>
        <w:t xml:space="preserve">, </w:t>
      </w:r>
      <w:r w:rsidRPr="0058580C">
        <w:rPr>
          <w:rFonts w:cs="Calibri"/>
          <w:u w:val="single"/>
        </w:rPr>
        <w:t>which usurped the vast expanse of Palestinian lands upon which the state of Israel was erected that same year. The invasion consummated the Zionist, settler-colonial project envisioned and begun much earlier, in the late 19th century</w:t>
      </w:r>
      <w:r w:rsidRPr="0058580C">
        <w:rPr>
          <w:rFonts w:cs="Calibri"/>
        </w:rPr>
        <w:t xml:space="preserve">, with the backing of the 1 For an overview and historiography of the </w:t>
      </w:r>
      <w:proofErr w:type="spellStart"/>
      <w:r w:rsidRPr="0058580C">
        <w:rPr>
          <w:rFonts w:cs="Calibri"/>
        </w:rPr>
        <w:t>Wanssee</w:t>
      </w:r>
      <w:proofErr w:type="spellEnd"/>
      <w:r w:rsidRPr="0058580C">
        <w:rPr>
          <w:rFonts w:cs="Calibri"/>
        </w:rPr>
        <w:t xml:space="preserve"> Conference and undergirding logic of the Nazi’s Final Solution, see Mark Roseman, The Wannsee Conference and the Final Solution: A Reconsideration (London: Picador, 2003). On Kristallnacht, see Martin Gilbert, Kristallnacht: Prelude to Destruction (London: Harper Perennial, 2007). On the Warsaw Ghetto, see, Marion A. Kaplan, Between Dignity and Despair: Jewish Life in Nazi Germany (New York: Oxford University Press, 1999). 2 For a compelling </w:t>
      </w:r>
      <w:proofErr w:type="gramStart"/>
      <w:r w:rsidRPr="0058580C">
        <w:rPr>
          <w:rFonts w:cs="Calibri"/>
        </w:rPr>
        <w:t>eye witness</w:t>
      </w:r>
      <w:proofErr w:type="gramEnd"/>
      <w:r w:rsidRPr="0058580C">
        <w:rPr>
          <w:rFonts w:cs="Calibri"/>
        </w:rPr>
        <w:t xml:space="preserve"> snapshot and analysis of the Israel’s occupation of the West Bank and its underlying goals, written by former CIA political analysts see, Kathleen </w:t>
      </w:r>
      <w:proofErr w:type="spellStart"/>
      <w:r w:rsidRPr="0058580C">
        <w:rPr>
          <w:rFonts w:cs="Calibri"/>
        </w:rPr>
        <w:t>Christison</w:t>
      </w:r>
      <w:proofErr w:type="spellEnd"/>
      <w:r w:rsidRPr="0058580C">
        <w:rPr>
          <w:rFonts w:cs="Calibri"/>
        </w:rPr>
        <w:t xml:space="preserve"> and Bill </w:t>
      </w:r>
      <w:proofErr w:type="spellStart"/>
      <w:r w:rsidRPr="0058580C">
        <w:rPr>
          <w:rFonts w:cs="Calibri"/>
        </w:rPr>
        <w:t>Christison</w:t>
      </w:r>
      <w:proofErr w:type="spellEnd"/>
      <w:r w:rsidRPr="0058580C">
        <w:rPr>
          <w:rFonts w:cs="Calibri"/>
        </w:rPr>
        <w:t xml:space="preserve">, Palestine in Pieces: Graphic Perspectives on the Israeli Occupation (London: Pluto Press, 2009). Structures of settler colonial domination 31 British Empire in the early 20th century and U.S. hegemony after World War II.3 Its aim was— and remains—the creation of an exclusively Jewish state. </w:t>
      </w:r>
      <w:r w:rsidRPr="0058580C">
        <w:rPr>
          <w:rFonts w:cs="Calibri"/>
          <w:u w:val="single"/>
        </w:rPr>
        <w:t>The 1948 invasion displaced 85% of Palestinians from their lands to the West Bank, Gaza, and nearby Arab countries of Jordan, Syria, and Lebanon. Palestinians call this event the Nakba, or “catastrophe.”4 Those Palestinians who remained were internally displaced in their own country, confined to its poorest regions, forbidden from moving freely, stripped of land rights and subjected to a brutal system of racial apartheid. This strategy was deployed by the Israelis to maintain social control and military rule for the entire period spanning 1948 to 1966. After 1948, Arab Palestinians—who had been the majority population in that region—soon became demographic minorities within the 1948 borders through the ongoing confiscation of their lands, forced expulsion, and a vast and ongoing project, designed and funded by the state of Israel, to settle European Jews in Palestine</w:t>
      </w:r>
      <w:r w:rsidRPr="0058580C">
        <w:rPr>
          <w:rFonts w:cs="Calibri"/>
        </w:rPr>
        <w:t xml:space="preserve">.5 While primarily a European Jewish settler state, Zionists have also promoted immigration of entire Jewish communities from across the Arab-Muslim world. The diverse activists with whom we met, who held differing political perspectives and approaches, were unified in their belief that </w:t>
      </w:r>
      <w:r w:rsidRPr="0058580C">
        <w:rPr>
          <w:rFonts w:cs="Calibri"/>
          <w:u w:val="single"/>
        </w:rPr>
        <w:t>justice in Palestine can only be achieved through redress of the root cause of their oppression, which is found in the Nakba. This more accurate analysis, which links the contemporary crisis in Palestine to Israel’s settler-colonial apartheid project and regime, can prepare people of conscience around the world to recognize and reject bankrupt proposals for change</w:t>
      </w:r>
      <w:r w:rsidRPr="0058580C">
        <w:rPr>
          <w:rFonts w:cs="Calibri"/>
        </w:rPr>
        <w:t xml:space="preserve">. And </w:t>
      </w:r>
      <w:r w:rsidRPr="0058580C">
        <w:rPr>
          <w:rFonts w:cs="Calibri"/>
          <w:u w:val="single"/>
        </w:rPr>
        <w:t>given the historical precedent of the settler-colonial project in the U.S.—whose strategies and contemporary forms were studied and replicated by Israel in Palestine—those fighting against the legacy of colonial oppression in the U.S. stand to strengthen their own movements through comparative analysis</w:t>
      </w:r>
      <w:r w:rsidRPr="0058580C">
        <w:rPr>
          <w:rFonts w:cs="Calibri"/>
        </w:rPr>
        <w:t xml:space="preserve">. </w:t>
      </w:r>
      <w:r w:rsidRPr="0058580C">
        <w:rPr>
          <w:rFonts w:cs="Calibri"/>
          <w:u w:val="single"/>
        </w:rPr>
        <w:t>Israel and the United States share common themes in their origin histories. Both are colonial-settler apartheid states, justifying their projects through the racialized dehumanization of the Indigenous people they displaced from their lands. In the U.S. this included the mass enslavement of Africans and acquisition by war of other territories during the Spanish American War of 1898, among them the island of Puerto Rico.</w:t>
      </w:r>
      <w:r w:rsidRPr="0058580C">
        <w:rPr>
          <w:rFonts w:cs="Calibri"/>
        </w:rPr>
        <w:t xml:space="preserve"> </w:t>
      </w:r>
      <w:r w:rsidRPr="0058580C">
        <w:rPr>
          <w:rFonts w:cs="Calibri"/>
          <w:u w:val="single"/>
        </w:rPr>
        <w:t>This shared history is the basis of solidarity between the Palestinian people and internally colonized people in the U.S.—Native Americans</w:t>
      </w:r>
      <w:r w:rsidRPr="0058580C">
        <w:rPr>
          <w:rFonts w:cs="Calibri"/>
        </w:rPr>
        <w:t xml:space="preserve">, 3 See Walter </w:t>
      </w:r>
      <w:proofErr w:type="spellStart"/>
      <w:r w:rsidRPr="0058580C">
        <w:rPr>
          <w:rFonts w:cs="Calibri"/>
        </w:rPr>
        <w:t>Laqueur</w:t>
      </w:r>
      <w:proofErr w:type="spellEnd"/>
      <w:r w:rsidRPr="0058580C">
        <w:rPr>
          <w:rFonts w:cs="Calibri"/>
        </w:rPr>
        <w:t xml:space="preserve">, A History of Zionism (New York: </w:t>
      </w:r>
      <w:proofErr w:type="spellStart"/>
      <w:r w:rsidRPr="0058580C">
        <w:rPr>
          <w:rFonts w:cs="Calibri"/>
        </w:rPr>
        <w:t>Schocken</w:t>
      </w:r>
      <w:proofErr w:type="spellEnd"/>
      <w:r w:rsidRPr="0058580C">
        <w:rPr>
          <w:rFonts w:cs="Calibri"/>
        </w:rPr>
        <w:t xml:space="preserve"> Books, 1989); Arthur Hertzberg, The Zionist Idea: A Historical Analysis and Reader (Philadelphia: The Jewish Publication Society, 1997). 4 </w:t>
      </w:r>
      <w:proofErr w:type="spellStart"/>
      <w:r w:rsidRPr="0058580C">
        <w:rPr>
          <w:rFonts w:cs="Calibri"/>
        </w:rPr>
        <w:t>Ilan</w:t>
      </w:r>
      <w:proofErr w:type="spellEnd"/>
      <w:r w:rsidRPr="0058580C">
        <w:rPr>
          <w:rFonts w:cs="Calibri"/>
        </w:rPr>
        <w:t xml:space="preserve"> </w:t>
      </w:r>
      <w:proofErr w:type="spellStart"/>
      <w:r w:rsidRPr="0058580C">
        <w:rPr>
          <w:rFonts w:cs="Calibri"/>
        </w:rPr>
        <w:t>Pappe</w:t>
      </w:r>
      <w:proofErr w:type="spellEnd"/>
      <w:r w:rsidRPr="0058580C">
        <w:rPr>
          <w:rFonts w:cs="Calibri"/>
        </w:rPr>
        <w:t xml:space="preserve">, The Ethnic Cleansing of Palestine, Chapter 8 (One World, 2006); Nur </w:t>
      </w:r>
      <w:proofErr w:type="spellStart"/>
      <w:r w:rsidRPr="0058580C">
        <w:rPr>
          <w:rFonts w:cs="Calibri"/>
        </w:rPr>
        <w:t>Masalha</w:t>
      </w:r>
      <w:proofErr w:type="spellEnd"/>
      <w:r w:rsidRPr="0058580C">
        <w:rPr>
          <w:rFonts w:cs="Calibri"/>
        </w:rPr>
        <w:t xml:space="preserve">, “Expulsion of the Palestinians,” Institute for Palestine Studies, 2001, 175. See also, Rashid </w:t>
      </w:r>
      <w:proofErr w:type="spellStart"/>
      <w:r w:rsidRPr="0058580C">
        <w:rPr>
          <w:rFonts w:cs="Calibri"/>
        </w:rPr>
        <w:lastRenderedPageBreak/>
        <w:t>Khalidi</w:t>
      </w:r>
      <w:proofErr w:type="spellEnd"/>
      <w:r w:rsidRPr="0058580C">
        <w:rPr>
          <w:rFonts w:cs="Calibri"/>
        </w:rPr>
        <w:t xml:space="preserve">, Palestinian Identity: The Construction of Modern National Consciousness (New York: Columbia University Press, 1998), 21–23. See also this recent anthropological study: Jo Roberts, Contested Land, Contested Memory: Israel’s Jews and Arabs and the Ghost of Catastrophe (Dundurn, 2013). 5 Salman Abu </w:t>
      </w:r>
      <w:proofErr w:type="spellStart"/>
      <w:r w:rsidRPr="0058580C">
        <w:rPr>
          <w:rFonts w:cs="Calibri"/>
        </w:rPr>
        <w:t>Sitta</w:t>
      </w:r>
      <w:proofErr w:type="spellEnd"/>
      <w:r w:rsidRPr="0058580C">
        <w:rPr>
          <w:rFonts w:cs="Calibri"/>
        </w:rPr>
        <w:t xml:space="preserve">, The Palestinian Nakba 1948, The Register of Depopulated Localities in Palestine (London: The Palestinian Return Centre, 2000). 32 J. Fernandez African Americans, Puerto Ricans, Mexicans and Mexican Americans, Chinese, and other Asian laborers. In </w:t>
      </w:r>
      <w:r w:rsidRPr="0058580C">
        <w:rPr>
          <w:rFonts w:cs="Calibri"/>
          <w:u w:val="single"/>
        </w:rPr>
        <w:t xml:space="preserve">both Israel and the United States, the emergence of industrial capitalism would not have been possible without the land grabs that accompanied the settler-colonial project. There is, however, a notable difference between the subsequent capitalist projects that emerged in the U.S. and Israel </w:t>
      </w:r>
      <w:proofErr w:type="gramStart"/>
      <w:r w:rsidRPr="0058580C">
        <w:rPr>
          <w:rFonts w:cs="Calibri"/>
          <w:u w:val="single"/>
        </w:rPr>
        <w:t>and also</w:t>
      </w:r>
      <w:proofErr w:type="gramEnd"/>
      <w:r w:rsidRPr="0058580C">
        <w:rPr>
          <w:rFonts w:cs="Calibri"/>
          <w:u w:val="single"/>
        </w:rPr>
        <w:t xml:space="preserve"> in the characteristics of the multi-racial working class that each state has produced. Clarity on these differences is important for an identification and analysis of the social forces that could lead to change. </w:t>
      </w:r>
      <w:proofErr w:type="gramStart"/>
      <w:r w:rsidRPr="0058580C">
        <w:rPr>
          <w:rFonts w:cs="Calibri"/>
          <w:u w:val="single"/>
        </w:rPr>
        <w:t>With the exception of</w:t>
      </w:r>
      <w:proofErr w:type="gramEnd"/>
      <w:r w:rsidRPr="0058580C">
        <w:rPr>
          <w:rFonts w:cs="Calibri"/>
          <w:u w:val="single"/>
        </w:rPr>
        <w:t xml:space="preserve"> Native Americans who have been historically isolated from the country’s economy, the U.S. capitalist project was built on the labor of racially oppressed groups and their super-exploitation.</w:t>
      </w:r>
      <w:r w:rsidRPr="0058580C">
        <w:rPr>
          <w:rFonts w:cs="Calibri"/>
        </w:rPr>
        <w:t xml:space="preserve"> By contrast, Palestinian labor has not played a necessary and integral function in the Israeli economy. In fact, historically, the Israeli state has sought to isolate the mass of Palestinian workers from its economy. In this sense, </w:t>
      </w:r>
      <w:r w:rsidRPr="0058580C">
        <w:rPr>
          <w:rFonts w:cs="Calibri"/>
          <w:u w:val="single"/>
        </w:rPr>
        <w:t xml:space="preserve">the Palestinian experience is most like that of Native Americans, who suffered genocide through sporadic military raids and wars deployed preemptively by a stronger military power, as well as engineered containment, isolation, and economic strangulation in </w:t>
      </w:r>
      <w:r w:rsidRPr="0058580C">
        <w:rPr>
          <w:rFonts w:cs="Calibri"/>
        </w:rPr>
        <w:t xml:space="preserve">Indian </w:t>
      </w:r>
      <w:r w:rsidRPr="0058580C">
        <w:rPr>
          <w:rFonts w:cs="Calibri"/>
          <w:u w:val="single"/>
        </w:rPr>
        <w:t>reservations beginning in the 19th century.</w:t>
      </w:r>
      <w:r w:rsidRPr="0058580C">
        <w:rPr>
          <w:rFonts w:cs="Calibri"/>
        </w:rPr>
        <w:t>6 With the exception of Native Americans, however, the U.S. capitalist project depended heavily on the labor of racially oppressed groups. The main engine of U.S. economic growth in the 19th century came from the cotton produced by African slaves.7 The Chinese worked in the railroads and mines in the 19th century, and many Filipinos and East Indians labored in chain gangs. During the same period, Mexicans were indispensable in agricultural plantations in Southwestern lands. Puerto Ricans served a similar function both on the island and in East Coast and Midwest tomato and tobacco plantations during the first half of the 20th century.8</w:t>
      </w:r>
    </w:p>
    <w:p w14:paraId="2F42F467" w14:textId="77777777" w:rsidR="008F7540" w:rsidRPr="0058580C" w:rsidRDefault="008F7540" w:rsidP="008F7540">
      <w:pPr>
        <w:keepNext/>
        <w:keepLines/>
        <w:spacing w:before="40" w:after="0"/>
        <w:outlineLvl w:val="3"/>
        <w:rPr>
          <w:rFonts w:eastAsia="Times New Roman" w:cs="Arial"/>
          <w:b/>
          <w:bCs/>
          <w:iCs/>
          <w:sz w:val="26"/>
        </w:rPr>
      </w:pPr>
      <w:r w:rsidRPr="0058580C">
        <w:rPr>
          <w:rFonts w:eastAsia="Times New Roman" w:cs="Arial"/>
          <w:b/>
          <w:bCs/>
          <w:iCs/>
          <w:sz w:val="26"/>
        </w:rPr>
        <w:t>Violence in Palestine is not reducible to a single policy or administration—the root cause is a broader structure of settler colonialism—although the aff cloaks itself in a rhetoric of care, it ends up obscuring that fact</w:t>
      </w:r>
    </w:p>
    <w:p w14:paraId="36A6F174" w14:textId="77777777" w:rsidR="008F7540" w:rsidRPr="0058580C" w:rsidRDefault="008F7540" w:rsidP="008F7540">
      <w:pPr>
        <w:rPr>
          <w:rFonts w:cs="Calibri"/>
        </w:rPr>
      </w:pPr>
      <w:r w:rsidRPr="0058580C">
        <w:rPr>
          <w:rFonts w:eastAsiaTheme="majorEastAsia" w:cstheme="majorBidi"/>
          <w:b/>
          <w:iCs/>
          <w:sz w:val="26"/>
        </w:rPr>
        <w:t>Meyer,</w:t>
      </w:r>
      <w:r w:rsidRPr="0058580C">
        <w:rPr>
          <w:rFonts w:cs="Calibri"/>
        </w:rPr>
        <w:t xml:space="preserve"> </w:t>
      </w:r>
      <w:r w:rsidRPr="0058580C">
        <w:rPr>
          <w:rFonts w:eastAsiaTheme="majorEastAsia" w:cstheme="majorBidi"/>
          <w:b/>
          <w:iCs/>
          <w:sz w:val="26"/>
        </w:rPr>
        <w:t>policy analyst for the Rachel Corrie Foundation, 16</w:t>
      </w:r>
      <w:r w:rsidRPr="0058580C">
        <w:rPr>
          <w:rFonts w:cs="Calibri"/>
        </w:rPr>
        <w:t xml:space="preserve"> ( Andrew, 12/29/16, Huffington Post, “Israeli Settler Colonialism is the Obstacle to Peace”, </w:t>
      </w:r>
      <w:hyperlink r:id="rId9" w:history="1">
        <w:r w:rsidRPr="0058580C">
          <w:rPr>
            <w:rFonts w:cs="Calibri"/>
          </w:rPr>
          <w:t>https://www.huffpost.com/entry/israeli-settler-colonialism-is-the-obstacle-to-peace_b_58655b30e4b04d7df167d358?guccounter=1&amp;guce_referrer=aHR0cHM6Ly93d3cuZ29vZ2xlLmNvbS8&amp;guce_referrer_sig=AQAAAMXVt8g-L779c4h5zkCaYkiPejBSaYzEwvjcEHKttZwYrmdON7monEUyOYlRAVugc7JRfgwX5k-Ut3bTaN2Jptg8o_MshjIuuii8vCyD5OVI_iRKKAvRQWSI-K146hNgMQU2oZNR9f2O054KBSk0K_RAE6ikGjGRIFJWQLaEcQCR</w:t>
        </w:r>
      </w:hyperlink>
      <w:r w:rsidRPr="0058580C">
        <w:rPr>
          <w:rFonts w:cs="Calibri"/>
        </w:rPr>
        <w:t>, accessed 6/20/19, TR)</w:t>
      </w:r>
    </w:p>
    <w:p w14:paraId="3D89C768" w14:textId="77777777" w:rsidR="008F7540" w:rsidRPr="0058580C" w:rsidRDefault="008F7540" w:rsidP="008F7540">
      <w:pPr>
        <w:rPr>
          <w:rFonts w:cs="Calibri"/>
          <w:u w:val="single"/>
        </w:rPr>
      </w:pPr>
      <w:r w:rsidRPr="0058580C">
        <w:rPr>
          <w:rFonts w:cs="Calibri"/>
          <w:u w:val="single"/>
        </w:rPr>
        <w:t>Israeli settlements are, in one word, imposing. They assert the will of the Israeli government upon an occupied Palestinian land and its population, commanding control over facts on the ground – the allocation and use of resources, freedom of movement, land ownership. Their geographical placement and architecture contribute to this imposing nature</w:t>
      </w:r>
      <w:r w:rsidRPr="0058580C">
        <w:rPr>
          <w:rFonts w:cs="Calibri"/>
        </w:rPr>
        <w:t xml:space="preserve">. As I traveled between Beit </w:t>
      </w:r>
      <w:proofErr w:type="spellStart"/>
      <w:r w:rsidRPr="0058580C">
        <w:rPr>
          <w:rFonts w:cs="Calibri"/>
        </w:rPr>
        <w:t>Sahour</w:t>
      </w:r>
      <w:proofErr w:type="spellEnd"/>
      <w:r w:rsidRPr="0058580C">
        <w:rPr>
          <w:rFonts w:cs="Calibri"/>
        </w:rPr>
        <w:t xml:space="preserve">, Bethlehem, and Beit </w:t>
      </w:r>
      <w:proofErr w:type="spellStart"/>
      <w:r w:rsidRPr="0058580C">
        <w:rPr>
          <w:rFonts w:cs="Calibri"/>
        </w:rPr>
        <w:t>Jala</w:t>
      </w:r>
      <w:proofErr w:type="spellEnd"/>
      <w:r w:rsidRPr="0058580C">
        <w:rPr>
          <w:rFonts w:cs="Calibri"/>
        </w:rPr>
        <w:t xml:space="preserve"> during my first trip to Palestine years ago, the settlements of Har </w:t>
      </w:r>
      <w:proofErr w:type="spellStart"/>
      <w:r w:rsidRPr="0058580C">
        <w:rPr>
          <w:rFonts w:cs="Calibri"/>
        </w:rPr>
        <w:t>Homa</w:t>
      </w:r>
      <w:proofErr w:type="spellEnd"/>
      <w:r w:rsidRPr="0058580C">
        <w:rPr>
          <w:rFonts w:cs="Calibri"/>
        </w:rPr>
        <w:t xml:space="preserve"> and </w:t>
      </w:r>
      <w:proofErr w:type="spellStart"/>
      <w:r w:rsidRPr="0058580C">
        <w:rPr>
          <w:rFonts w:cs="Calibri"/>
        </w:rPr>
        <w:t>Gilo</w:t>
      </w:r>
      <w:proofErr w:type="spellEnd"/>
      <w:r w:rsidRPr="0058580C">
        <w:rPr>
          <w:rFonts w:cs="Calibri"/>
        </w:rPr>
        <w:t xml:space="preserve">, which house more than 65,000 illegal settlers, dominated the panorama. High rise apartments built upon the hilltops, </w:t>
      </w:r>
      <w:r w:rsidRPr="0058580C">
        <w:rPr>
          <w:rFonts w:cs="Calibri"/>
        </w:rPr>
        <w:lastRenderedPageBreak/>
        <w:t xml:space="preserve">the lights shining through </w:t>
      </w:r>
      <w:proofErr w:type="spellStart"/>
      <w:r w:rsidRPr="0058580C">
        <w:rPr>
          <w:rFonts w:cs="Calibri"/>
        </w:rPr>
        <w:t>unshuttered</w:t>
      </w:r>
      <w:proofErr w:type="spellEnd"/>
      <w:r w:rsidRPr="0058580C">
        <w:rPr>
          <w:rFonts w:cs="Calibri"/>
        </w:rPr>
        <w:t xml:space="preserve"> windows at night made the compounds look foreign and invasive, like spaceships hovering over Palestinian territory. REAL LIFE. REAL NEWS. REAL VOICES. Help us tell more of the stories that matter from voices that too often remain unheard. Support HuffPost </w:t>
      </w:r>
      <w:r w:rsidRPr="0058580C">
        <w:rPr>
          <w:rFonts w:cs="Calibri"/>
          <w:u w:val="single"/>
        </w:rPr>
        <w:t>These settlements are also illegal under international law and, in a move last week that took many by surprise, the United States refused to veto United Nations Security Council Resolution 2334, which condemns continued settlement construction. The move was not entirely unprecedented, as previous Democratic and Republican administrations have wielded their power at the UN to condemn Israeli settlements for decades</w:t>
      </w:r>
      <w:r w:rsidRPr="0058580C">
        <w:rPr>
          <w:rFonts w:cs="Calibri"/>
        </w:rPr>
        <w:t>. The abstention was unprecedented for the Obama administration, however, which has consistently shielded Israel from critical UN resolutions over the past eight years</w:t>
      </w:r>
      <w:r w:rsidRPr="0058580C">
        <w:rPr>
          <w:rFonts w:cs="Calibri"/>
          <w:u w:val="single"/>
        </w:rPr>
        <w:t>. Predictably, Israel has taken the only route available to a country drowning in the perils of exclusivist ethno-nationalism, a disposition that has been perpetually stoked by Benjamin Netanyahu in his quest to construct and maintain the most far-right government in Israeli history. The path is one of severe self-isolation, creating an absurd parallel universe where Israeli Culture Minister Miri Regev asserts that “the Americans...were never our friends” and Netanyahu warns New Zealand’s foreign minister that their support for the resolution amounts to a “declaration of war</w:t>
      </w:r>
      <w:r w:rsidRPr="0058580C">
        <w:rPr>
          <w:rFonts w:cs="Calibri"/>
        </w:rPr>
        <w:t xml:space="preserve">.” But </w:t>
      </w:r>
      <w:r w:rsidRPr="0058580C">
        <w:rPr>
          <w:rFonts w:cs="Calibri"/>
          <w:u w:val="single"/>
        </w:rPr>
        <w:t>Israel has a much larger problem in relation to its international legitimacy, one that the state has, since its founding, obsessively labored to obfuscate. That is, Israel is a settler colonial state, and not just because it builds settlements in the West Bank and East Jerusalem.</w:t>
      </w:r>
      <w:r w:rsidRPr="0058580C">
        <w:rPr>
          <w:rFonts w:cs="Calibri"/>
        </w:rPr>
        <w:t xml:space="preserve"> </w:t>
      </w:r>
      <w:r w:rsidRPr="0058580C">
        <w:rPr>
          <w:rFonts w:cs="Calibri"/>
          <w:u w:val="single"/>
        </w:rPr>
        <w:t>As the late Patrick Wolfe reminded us, settler colonial invasion is a structure, not an event. Israeli settler colonialism cannot be reduced to Minister of Education Naftali Bennett’s rhetoric about annexing the West Bank or the announcement of a new settlement bloc in East Jerusalem</w:t>
      </w:r>
      <w:r w:rsidRPr="0058580C">
        <w:rPr>
          <w:rFonts w:cs="Calibri"/>
        </w:rPr>
        <w:t xml:space="preserve">. </w:t>
      </w:r>
      <w:r w:rsidRPr="0058580C">
        <w:rPr>
          <w:rFonts w:cs="Calibri"/>
          <w:u w:val="single"/>
        </w:rPr>
        <w:t xml:space="preserve">The genesis of Israeli settler colonial invasion </w:t>
      </w:r>
      <w:proofErr w:type="gramStart"/>
      <w:r w:rsidRPr="0058580C">
        <w:rPr>
          <w:rFonts w:cs="Calibri"/>
          <w:u w:val="single"/>
        </w:rPr>
        <w:t>dates back to</w:t>
      </w:r>
      <w:proofErr w:type="gramEnd"/>
      <w:r w:rsidRPr="0058580C">
        <w:rPr>
          <w:rFonts w:cs="Calibri"/>
          <w:u w:val="single"/>
        </w:rPr>
        <w:t xml:space="preserve"> decades before the first “settlement” – as we commonly conceive of them today – was constructed. The state’s very existence is necessarily accompanied, as all settler projects are, by a legacy of foundational violence. The ethnic cleansing carried out by Zionist forces during the early twentieth century displaced at least 750,000 Palestinians and destroyed more than 400 of their villages. This is to say that, when the latest UN resolution notes that the Security Council wishes to “[reaffirm] the inadmissibility of the acquisition of territory by force,” it is imperative to also recognize the territory acquired through the force leveled by Zionist militias in the lead up to Israel’s declaration of independence in 1948. Once declared, the primary goal of the settler colonial state is supersession, where the newly imposed settler structure becomes a de facto hegemonic order, replacing that which is indigenous through the elimination of the native</w:t>
      </w:r>
      <w:r w:rsidRPr="0058580C">
        <w:rPr>
          <w:rFonts w:cs="Calibri"/>
        </w:rPr>
        <w:t xml:space="preserve">. </w:t>
      </w:r>
      <w:r w:rsidRPr="0058580C">
        <w:rPr>
          <w:rFonts w:cs="Calibri"/>
          <w:u w:val="single"/>
        </w:rPr>
        <w:t>When Israel defends its “right” to build settlements on what is left of Palestinian territory, it expands the explicit face of its settler project while beclouding the deeper settler colonial roots that can be found within “Israel proper</w:t>
      </w:r>
      <w:r w:rsidRPr="0058580C">
        <w:rPr>
          <w:rFonts w:cs="Calibri"/>
        </w:rPr>
        <w:t xml:space="preserve">.” In other words, as dictated by the mainstream discourse, </w:t>
      </w:r>
      <w:r w:rsidRPr="0058580C">
        <w:rPr>
          <w:rFonts w:cs="Calibri"/>
          <w:u w:val="single"/>
        </w:rPr>
        <w:t xml:space="preserve">Tel Aviv is not a settlement because </w:t>
      </w:r>
      <w:proofErr w:type="spellStart"/>
      <w:r w:rsidRPr="0058580C">
        <w:rPr>
          <w:rFonts w:cs="Calibri"/>
          <w:u w:val="single"/>
        </w:rPr>
        <w:t>Ma’ale</w:t>
      </w:r>
      <w:proofErr w:type="spellEnd"/>
      <w:r w:rsidRPr="0058580C">
        <w:rPr>
          <w:rFonts w:cs="Calibri"/>
          <w:u w:val="single"/>
        </w:rPr>
        <w:t xml:space="preserve"> </w:t>
      </w:r>
      <w:proofErr w:type="spellStart"/>
      <w:r w:rsidRPr="0058580C">
        <w:rPr>
          <w:rFonts w:cs="Calibri"/>
          <w:u w:val="single"/>
        </w:rPr>
        <w:t>Adumim</w:t>
      </w:r>
      <w:proofErr w:type="spellEnd"/>
      <w:r w:rsidRPr="0058580C">
        <w:rPr>
          <w:rFonts w:cs="Calibri"/>
          <w:u w:val="single"/>
        </w:rPr>
        <w:t xml:space="preserve"> is. But the two must be seen in a continuum, for as Israel’s first prime minister David Ben-Gurion wrote to his son in 1937, “[A] Jewish state on only part of the land is not the end but the beginning...We shall organize an advanced defense force – a superior army which I have no doubt will be one of the best...At that point I am confident that we would not fail in settling in the remaining parts of the country…We must expel [the] Arabs and take their place.”</w:t>
      </w:r>
      <w:r w:rsidRPr="0058580C">
        <w:rPr>
          <w:rFonts w:cs="Calibri"/>
        </w:rPr>
        <w:t xml:space="preserve"> </w:t>
      </w:r>
      <w:r w:rsidRPr="0058580C">
        <w:rPr>
          <w:rFonts w:cs="Calibri"/>
          <w:u w:val="single"/>
        </w:rPr>
        <w:t>It is also this settler colonial reality that renders the most commonly prescribed political process for negotiated peace in the region completely impotent. The Peace Process purports to seek the establishment of a Palestinian state while Israeli settler colonialism explicitly denies that possibility. To speak plainly, there is no room for a viable and sovereign Palestinian state within the Zionist – and now Israeli – political imaginary. It cannot exist. The two-state solution is not dead; it was, in fact, never alive</w:t>
      </w:r>
      <w:r w:rsidRPr="0058580C">
        <w:rPr>
          <w:rFonts w:cs="Calibri"/>
        </w:rPr>
        <w:t xml:space="preserve">. As such, Secretary of State John Kerry’s anachronistic warnings of the potential demise of the two-state solution, </w:t>
      </w:r>
      <w:r w:rsidRPr="0058580C">
        <w:rPr>
          <w:rFonts w:cs="Calibri"/>
        </w:rPr>
        <w:lastRenderedPageBreak/>
        <w:t xml:space="preserve">such as those he issued again in his speech on Wednesday, amount to little more than an American effort to avoid the eventual blame of history books for the failure of negotiations. The Oslo Accords offer a perfect glimpse into this dynamic. </w:t>
      </w:r>
      <w:r w:rsidRPr="0058580C">
        <w:rPr>
          <w:rFonts w:cs="Calibri"/>
          <w:u w:val="single"/>
        </w:rPr>
        <w:t>Considered far and wide as the most hopeful and potentially productive moment in the annals of the Peace Process, the Declaration of Principles have been hailed for decades as an astonishing breakthrough in the Palestinian-Israeli impasse</w:t>
      </w:r>
      <w:r w:rsidRPr="0058580C">
        <w:rPr>
          <w:rFonts w:cs="Calibri"/>
        </w:rPr>
        <w:t>. But what has come of these agreements? For more than two decades since their signing, every final status issue – refugees, Jerusalem, borders, settlements – has been deferred, while security and economic arrangements meant to buttress Israel’s position of strength have remained the center of attention. Life for Palestinians in the Gaza Strip continues under a complete military blockade that has rendered the territory in danger of becoming uninhabitable by 2020. The Israeli settler population in the West Bank and East Jerusalem has nearly tripled</w:t>
      </w:r>
      <w:r w:rsidRPr="0058580C">
        <w:rPr>
          <w:rFonts w:cs="Calibri"/>
          <w:u w:val="single"/>
        </w:rPr>
        <w:t>. This is all to say that, two decades after the shining moment of the Peace Process, we have never been farther away from the establishment of a Palestinian state. Yes, international condemnation of the current phase of the Israeli settlement enterprise is important, but a substantial challenge to this reality cannot stop at a UN resolution. The possibility of a political settlement is bleak not because the situation is “complicated” or because of Palestinian intransigence, but precisely because</w:t>
      </w:r>
      <w:r w:rsidRPr="0058580C">
        <w:rPr>
          <w:rFonts w:cs="Calibri"/>
          <w:b/>
        </w:rPr>
        <w:t xml:space="preserve"> </w:t>
      </w:r>
      <w:r w:rsidRPr="0058580C">
        <w:rPr>
          <w:rFonts w:cs="Calibri"/>
          <w:u w:val="single"/>
        </w:rPr>
        <w:t>settler colonialism is particularly and staunchly resistant to decolonization efforts. If Kerry and his cohort truly wish to help reach a just peace in historic Palestine, the effort must be toward the comprehensive dismantlement of this system of settler domination. Perpetual calls for segregation within a nationalist framework while ignoring the ills of Israeli settler colonialism will continue to reap exactly what the Peace Process has produced in the past two-and-a-half decades: precisely nothing.</w:t>
      </w:r>
    </w:p>
    <w:p w14:paraId="69B3B992" w14:textId="77777777" w:rsidR="008F7540" w:rsidRPr="0058580C" w:rsidRDefault="008F7540" w:rsidP="008F7540">
      <w:pPr>
        <w:keepNext/>
        <w:keepLines/>
        <w:pageBreakBefore/>
        <w:spacing w:before="40" w:after="0"/>
        <w:jc w:val="center"/>
        <w:outlineLvl w:val="2"/>
        <w:rPr>
          <w:rFonts w:eastAsia="Times New Roman" w:cstheme="majorBidi"/>
          <w:b/>
          <w:sz w:val="32"/>
          <w:szCs w:val="24"/>
          <w:u w:val="single"/>
        </w:rPr>
      </w:pPr>
      <w:r w:rsidRPr="0058580C">
        <w:rPr>
          <w:rFonts w:eastAsia="Times New Roman" w:cstheme="majorBidi"/>
          <w:b/>
          <w:sz w:val="32"/>
          <w:szCs w:val="24"/>
          <w:u w:val="single"/>
        </w:rPr>
        <w:lastRenderedPageBreak/>
        <w:t>China</w:t>
      </w:r>
    </w:p>
    <w:p w14:paraId="2EE2F93F" w14:textId="0E7B95DB" w:rsidR="008F7540" w:rsidRPr="0058580C" w:rsidRDefault="008F7540" w:rsidP="008F7540">
      <w:pPr>
        <w:keepNext/>
        <w:keepLines/>
        <w:spacing w:before="40" w:after="0"/>
        <w:outlineLvl w:val="3"/>
        <w:rPr>
          <w:rFonts w:eastAsia="Times New Roman" w:cs="Arial"/>
          <w:b/>
          <w:bCs/>
          <w:iCs/>
          <w:sz w:val="26"/>
        </w:rPr>
      </w:pPr>
      <w:r w:rsidRPr="0058580C">
        <w:rPr>
          <w:rFonts w:eastAsia="Times New Roman" w:cs="Arial"/>
          <w:b/>
          <w:bCs/>
          <w:iCs/>
          <w:sz w:val="26"/>
        </w:rPr>
        <w:t>US-China relations and scenario planning represent a new strategy of containment to fulfill the prophecy of Western imperialist expansionism</w:t>
      </w:r>
    </w:p>
    <w:p w14:paraId="5480AC3E" w14:textId="77777777" w:rsidR="008F7540" w:rsidRPr="0058580C" w:rsidRDefault="008F7540" w:rsidP="008F7540">
      <w:pPr>
        <w:rPr>
          <w:rFonts w:cs="Calibri"/>
        </w:rPr>
      </w:pPr>
      <w:r w:rsidRPr="0058580C">
        <w:rPr>
          <w:rFonts w:eastAsiaTheme="majorEastAsia" w:cstheme="majorBidi"/>
          <w:b/>
          <w:iCs/>
          <w:sz w:val="26"/>
        </w:rPr>
        <w:t>Kim,</w:t>
      </w:r>
      <w:r w:rsidRPr="0058580C">
        <w:rPr>
          <w:rFonts w:cs="Calibri"/>
        </w:rPr>
        <w:t xml:space="preserve"> </w:t>
      </w:r>
      <w:r w:rsidRPr="0058580C">
        <w:rPr>
          <w:rFonts w:eastAsiaTheme="majorEastAsia" w:cstheme="majorBidi"/>
          <w:b/>
          <w:iCs/>
          <w:sz w:val="26"/>
        </w:rPr>
        <w:t>associate professor at UCR specializing in Asian American studies, critical ethnic and race studies, and feminist epistemologies, 17</w:t>
      </w:r>
      <w:r w:rsidRPr="0058580C">
        <w:rPr>
          <w:rFonts w:cs="Calibri"/>
        </w:rPr>
        <w:t xml:space="preserve"> (Jodi, September 2017, American Quarterly Volume 69 Number 3, “Settler Modernity’s Spatial Exceptions: The US POW Camp, Metapolitical Authority, and Ha </w:t>
      </w:r>
      <w:proofErr w:type="spellStart"/>
      <w:r w:rsidRPr="0058580C">
        <w:rPr>
          <w:rFonts w:cs="Calibri"/>
        </w:rPr>
        <w:t>Jin’s</w:t>
      </w:r>
      <w:proofErr w:type="spellEnd"/>
      <w:r w:rsidRPr="0058580C">
        <w:rPr>
          <w:rFonts w:cs="Calibri"/>
        </w:rPr>
        <w:t xml:space="preserve"> </w:t>
      </w:r>
      <w:r w:rsidRPr="0058580C">
        <w:rPr>
          <w:rFonts w:cs="Calibri"/>
          <w:i/>
        </w:rPr>
        <w:t>War Trash</w:t>
      </w:r>
      <w:r w:rsidRPr="0058580C">
        <w:rPr>
          <w:rFonts w:cs="Calibri"/>
        </w:rPr>
        <w:t>”, pp. 569-587, accessed 6/15/19, TR)</w:t>
      </w:r>
    </w:p>
    <w:p w14:paraId="675CB5DD" w14:textId="77777777" w:rsidR="008F7540" w:rsidRPr="0058580C" w:rsidRDefault="008F7540" w:rsidP="008F7540">
      <w:pPr>
        <w:rPr>
          <w:rFonts w:cs="Calibri"/>
          <w:u w:val="single"/>
        </w:rPr>
      </w:pPr>
      <w:r w:rsidRPr="0058580C">
        <w:rPr>
          <w:rFonts w:cs="Calibri"/>
          <w:u w:val="single"/>
        </w:rPr>
        <w:t xml:space="preserve">In October 2011 Secretary of State Hillary Clinton revealed in a policy plan titled “America’s Pacific Century” that the United States would “pivot” from the Middle East to the Asia-Pacific. In this plan, the Asia-Pacific is identified as the most crucial sphere of US influence in the twenty-first century and the region where US military resources will be concentrated. </w:t>
      </w:r>
      <w:r w:rsidRPr="0058580C">
        <w:rPr>
          <w:rFonts w:cs="Calibri"/>
        </w:rPr>
        <w:t xml:space="preserve">Yet even in the previous century, “The American Century,” </w:t>
      </w:r>
      <w:r w:rsidRPr="0058580C">
        <w:rPr>
          <w:rFonts w:cs="Calibri"/>
          <w:u w:val="single"/>
        </w:rPr>
        <w:t>even in the absence of such an explicit pivot, we witnessed a brutal concentration of military resources and violence. US imperial violence in Asia, previously rationalized under the sign of the Cold War, gets reanimated under the sign of “new global realities</w:t>
      </w:r>
      <w:r w:rsidRPr="0058580C">
        <w:rPr>
          <w:rFonts w:cs="Calibri"/>
        </w:rPr>
        <w:t xml:space="preserve">.” “America’s Pacific Century” posits that “in the last decade, our foreign policy has transitioned from dealing with the post–Cold War peace dividend to demanding commitments in Iraq and Afghanistan. As those wars wind down, we will need to accelerate efforts to pivot to new global realities.” An “emerging China” is named as a new global reality, and the Asia-Pacific is identified as the United States’ “real 21st century opportunity,” an investment that will yield the greatest returns. In this global remapping of US strategic interests, Africa is also identified as holding “enormous untapped potential for economic and political development in the years ahead.”1 The economic arm of this military pivot, the Trans-Pacific Partnership, has been called NAFTA for the Pacific, or “NAFTA on steroids.”2 </w:t>
      </w:r>
      <w:r w:rsidRPr="0058580C">
        <w:rPr>
          <w:rFonts w:cs="Calibri"/>
          <w:u w:val="single"/>
        </w:rPr>
        <w:t xml:space="preserve">If the Cold War between the United States and the USSR was a Western </w:t>
      </w:r>
      <w:proofErr w:type="spellStart"/>
      <w:r w:rsidRPr="0058580C">
        <w:rPr>
          <w:rFonts w:cs="Calibri"/>
          <w:u w:val="single"/>
        </w:rPr>
        <w:t>interimperialist</w:t>
      </w:r>
      <w:proofErr w:type="spellEnd"/>
      <w:r w:rsidRPr="0058580C">
        <w:rPr>
          <w:rFonts w:cs="Calibri"/>
          <w:u w:val="single"/>
        </w:rPr>
        <w:t xml:space="preserve"> rivalry, one that was already triangulated in Asia, the more recent emergence of China and its state capitalism reanimate US Cold War logics in Asia. The militarized pivot to the Asia-Pacific, in other words, is the latest containment policy, a “new Cold War”3 impelled by US apprehension of an emergent China that is aggressively investing in Africa’s infrastructure and becoming its number one trading partner</w:t>
      </w:r>
      <w:r w:rsidRPr="0058580C">
        <w:rPr>
          <w:rFonts w:cs="Calibri"/>
        </w:rPr>
        <w:t xml:space="preserve">.4 In this essay, I consider a longer genealogy of the United States’ militarized relation with China through an analysis of Ha </w:t>
      </w:r>
      <w:proofErr w:type="spellStart"/>
      <w:r w:rsidRPr="0058580C">
        <w:rPr>
          <w:rFonts w:cs="Calibri"/>
        </w:rPr>
        <w:t>Jin’s</w:t>
      </w:r>
      <w:proofErr w:type="spellEnd"/>
      <w:r w:rsidRPr="0058580C">
        <w:rPr>
          <w:rFonts w:cs="Calibri"/>
        </w:rPr>
        <w:t xml:space="preserve"> novel War Trash. 5 This vexed relation takes form in the novel as a self-described “documentary style” memoir 2017 The American Studies Association 570 | American Quarterly of a Chinese POW who survives the brutality of a UN/US camp during the Korean War and decades later travels to the United States immediately after 9/11. I argue that War Trash gestures to </w:t>
      </w:r>
      <w:r w:rsidRPr="0058580C">
        <w:rPr>
          <w:rFonts w:cs="Calibri"/>
          <w:u w:val="single"/>
        </w:rPr>
        <w:t>the significance of China in the consolidation of the United States as an increasingly militarized national security and permanent warfare state from World War II and into the contemporary context of the twenty-first century.</w:t>
      </w:r>
      <w:r w:rsidRPr="0058580C">
        <w:rPr>
          <w:rFonts w:cs="Calibri"/>
        </w:rPr>
        <w:t xml:space="preserve"> Focusing on how the novel renders the POW camp as a particular kind of spatial exception, I demonstrate how </w:t>
      </w:r>
      <w:r w:rsidRPr="0058580C">
        <w:rPr>
          <w:rFonts w:cs="Calibri"/>
          <w:u w:val="single"/>
        </w:rPr>
        <w:t>the nexus of US militarism, imperialism, and settler colonialism—a conjunction I call settler modernity—in Asia and the Pacific is largely structured through such exceptions</w:t>
      </w:r>
      <w:r w:rsidRPr="0058580C">
        <w:rPr>
          <w:rFonts w:cs="Calibri"/>
        </w:rPr>
        <w:t xml:space="preserve">.6 </w:t>
      </w:r>
      <w:r w:rsidRPr="0058580C">
        <w:rPr>
          <w:rFonts w:cs="Calibri"/>
          <w:u w:val="single"/>
        </w:rPr>
        <w:t xml:space="preserve">Settler modernity is an ensemble of relations significantly structured and continually reproduced through spatial exceptions taking shape in such forms as POW camps, refugee camps, military bases and </w:t>
      </w:r>
      <w:proofErr w:type="spellStart"/>
      <w:r w:rsidRPr="0058580C">
        <w:rPr>
          <w:rFonts w:cs="Calibri"/>
          <w:u w:val="single"/>
        </w:rPr>
        <w:t>camptowns</w:t>
      </w:r>
      <w:proofErr w:type="spellEnd"/>
      <w:r w:rsidRPr="0058580C">
        <w:rPr>
          <w:rFonts w:cs="Calibri"/>
          <w:u w:val="single"/>
        </w:rPr>
        <w:t>, unincorporated territories, and incorporated territories admitted as US states</w:t>
      </w:r>
      <w:r w:rsidRPr="0058580C">
        <w:rPr>
          <w:rFonts w:cs="Calibri"/>
        </w:rPr>
        <w:t xml:space="preserve">. As War Trash makes visible, the POW camp of the Korean War generates broader questions about settler colonial and imperial projections of power that attempt to buttress US metapolitical authority in an era when the settler state also becomes a military empire. A </w:t>
      </w:r>
      <w:r w:rsidRPr="0058580C">
        <w:rPr>
          <w:rFonts w:cs="Calibri"/>
          <w:u w:val="single"/>
        </w:rPr>
        <w:t>post–Cold War and post-</w:t>
      </w:r>
      <w:r w:rsidRPr="0058580C">
        <w:rPr>
          <w:rFonts w:cs="Calibri"/>
          <w:u w:val="single"/>
        </w:rPr>
        <w:lastRenderedPageBreak/>
        <w:t>Tiananmen apprehension of the putative disjuncture between China’s arrival at economic modernity and failure to achieve a corresponding political modernity points to important differences in Cold War and post–Cold War world orders.7 Yet War Trash also calls for an interrogation of and reckoning with the perdurance and continuing escalation of US militarism in Asia and the Pacific</w:t>
      </w:r>
      <w:r w:rsidRPr="0058580C">
        <w:rPr>
          <w:rFonts w:cs="Calibri"/>
        </w:rPr>
        <w:t xml:space="preserve">. </w:t>
      </w:r>
      <w:r w:rsidRPr="0058580C">
        <w:rPr>
          <w:rFonts w:cs="Calibri"/>
          <w:u w:val="single"/>
        </w:rPr>
        <w:t>Whether Cold War enemy or post–Cold War economic and military rival (and now the largest US creditor), China in the US geopolitical imaginary is an ever-emergent threat and thus object of containment.</w:t>
      </w:r>
    </w:p>
    <w:p w14:paraId="41B5D775" w14:textId="005DC342" w:rsidR="008F7540" w:rsidRDefault="006E6A0D" w:rsidP="008F7540">
      <w:pPr>
        <w:pStyle w:val="Heading3"/>
      </w:pPr>
      <w:r>
        <w:lastRenderedPageBreak/>
        <w:t>Hegemony</w:t>
      </w:r>
    </w:p>
    <w:p w14:paraId="781782E2" w14:textId="77777777" w:rsidR="008F7540" w:rsidRDefault="008F7540" w:rsidP="008F7540">
      <w:pPr>
        <w:pStyle w:val="Heading4"/>
      </w:pPr>
      <w:r>
        <w:t>The same psychology of American exceptionalism that led to Native genocide informs US foreign policy – US exceptionalism leads the US to view itself as vulnerable while harming other states</w:t>
      </w:r>
    </w:p>
    <w:p w14:paraId="39052112" w14:textId="77777777" w:rsidR="008F7540" w:rsidRPr="00645170" w:rsidRDefault="008F7540" w:rsidP="008F7540">
      <w:pPr>
        <w:rPr>
          <w:b/>
          <w:bCs/>
          <w:sz w:val="26"/>
        </w:rPr>
      </w:pPr>
      <w:bookmarkStart w:id="1" w:name="_Hlk13419486"/>
      <w:r>
        <w:rPr>
          <w:rStyle w:val="Style13ptBold"/>
        </w:rPr>
        <w:t xml:space="preserve">Jansson, researcher </w:t>
      </w:r>
      <w:r w:rsidRPr="00645170">
        <w:rPr>
          <w:rStyle w:val="Style13ptBold"/>
        </w:rPr>
        <w:t>for Department of Social and Economic Geography, Uppsala University</w:t>
      </w:r>
      <w:r>
        <w:rPr>
          <w:rStyle w:val="Style13ptBold"/>
        </w:rPr>
        <w:t xml:space="preserve">, 2018 </w:t>
      </w:r>
      <w:r>
        <w:t xml:space="preserve">[David, May 2018, “Deadly exceptionalisms, or, would you rather be crushed by a moral superpower or a military superpower?”, Political Geography, Volume 64, </w:t>
      </w:r>
      <w:hyperlink r:id="rId10" w:anchor="!" w:history="1">
        <w:r w:rsidRPr="00977FAC">
          <w:rPr>
            <w:rStyle w:val="Hyperlink"/>
          </w:rPr>
          <w:t>https://www.sciencedirect.com/science/article/pii/S0962629817304481#!</w:t>
        </w:r>
      </w:hyperlink>
      <w:r>
        <w:t xml:space="preserve">, accessed 7-6-2019, </w:t>
      </w:r>
      <w:proofErr w:type="spellStart"/>
      <w:r>
        <w:t>AJackson</w:t>
      </w:r>
      <w:proofErr w:type="spellEnd"/>
      <w:r>
        <w:t>]</w:t>
      </w:r>
    </w:p>
    <w:bookmarkEnd w:id="1"/>
    <w:p w14:paraId="14D28AE1" w14:textId="77777777" w:rsidR="008F7540" w:rsidRPr="00645170" w:rsidRDefault="008F7540" w:rsidP="008F7540">
      <w:r w:rsidRPr="00645170">
        <w:t xml:space="preserve">The importance of the psychological approach is </w:t>
      </w:r>
      <w:proofErr w:type="gramStart"/>
      <w:r w:rsidRPr="00645170">
        <w:t>actually hinted</w:t>
      </w:r>
      <w:proofErr w:type="gramEnd"/>
      <w:r w:rsidRPr="00645170">
        <w:t xml:space="preserve"> at from the beginning of the idea of “</w:t>
      </w:r>
      <w:r w:rsidRPr="00645170">
        <w:rPr>
          <w:u w:val="single"/>
        </w:rPr>
        <w:t>American exceptionalism</w:t>
      </w:r>
      <w:r w:rsidRPr="00645170">
        <w:t xml:space="preserve">”, which </w:t>
      </w:r>
      <w:r w:rsidRPr="00645170">
        <w:rPr>
          <w:u w:val="single"/>
        </w:rPr>
        <w:t>is typically traced back to John Winthrop's characterization of the Massachusetts Bay colony in the early 1600s as a “city upon a hill”</w:t>
      </w:r>
      <w:r w:rsidRPr="00645170">
        <w:t xml:space="preserve">. The reference is to Jesus's call for his people to be a light in the darkness in the New Testament (Matthew 5:14). The verse actually reads: “Ye are the light of the world. </w:t>
      </w:r>
      <w:r w:rsidRPr="00645170">
        <w:rPr>
          <w:u w:val="single"/>
        </w:rPr>
        <w:t>A city that is set upon a hill cannot be hid</w:t>
      </w:r>
      <w:r w:rsidRPr="00645170">
        <w:t>” (</w:t>
      </w:r>
      <w:bookmarkStart w:id="2" w:name="bbib17"/>
      <w:r w:rsidRPr="00645170">
        <w:fldChar w:fldCharType="begin"/>
      </w:r>
      <w:r w:rsidRPr="00645170">
        <w:instrText xml:space="preserve"> HYPERLINK "https://www.sciencedirect.com/science/article/pii/S0962629817304481" \l "bib17" </w:instrText>
      </w:r>
      <w:r w:rsidRPr="00645170">
        <w:fldChar w:fldCharType="separate"/>
      </w:r>
      <w:r w:rsidRPr="00645170">
        <w:rPr>
          <w:rStyle w:val="Hyperlink"/>
        </w:rPr>
        <w:t xml:space="preserve">Di </w:t>
      </w:r>
      <w:proofErr w:type="spellStart"/>
      <w:r w:rsidRPr="00645170">
        <w:rPr>
          <w:rStyle w:val="Hyperlink"/>
        </w:rPr>
        <w:t>Cuirci</w:t>
      </w:r>
      <w:proofErr w:type="spellEnd"/>
      <w:r w:rsidRPr="00645170">
        <w:rPr>
          <w:rStyle w:val="Hyperlink"/>
        </w:rPr>
        <w:t>, 2013</w:t>
      </w:r>
      <w:r w:rsidRPr="00645170">
        <w:fldChar w:fldCharType="end"/>
      </w:r>
      <w:bookmarkEnd w:id="2"/>
      <w:r w:rsidRPr="00645170">
        <w:t xml:space="preserve">: vii, my emphasis). As Di </w:t>
      </w:r>
      <w:proofErr w:type="spellStart"/>
      <w:r w:rsidRPr="00645170">
        <w:t>Cuirci</w:t>
      </w:r>
      <w:proofErr w:type="spellEnd"/>
      <w:r w:rsidRPr="00645170">
        <w:t xml:space="preserve"> points out, </w:t>
      </w:r>
      <w:r w:rsidRPr="00645170">
        <w:rPr>
          <w:u w:val="single"/>
        </w:rPr>
        <w:t>this is a double-edged message: the city on the hill is, because of its geographical position, both a beacon to the world and vulnerable to hostile agents from this world</w:t>
      </w:r>
      <w:r w:rsidRPr="00645170">
        <w:t xml:space="preserve">. Thus, at the heart of this particular notion of U.S. exceptionalism lies a fundamental psychological tension: this new nation serves as a beacon of hope, a superior people working on behalf of God, but that beacon is vulnerable to attempts to both hinder its message and topple its physical embodiment. I </w:t>
      </w:r>
      <w:r w:rsidRPr="00645170">
        <w:rPr>
          <w:u w:val="single"/>
        </w:rPr>
        <w:t xml:space="preserve">would argue that this sense of threat to the security of the nation is intimately bound to the sense of </w:t>
      </w:r>
      <w:proofErr w:type="spellStart"/>
      <w:r w:rsidRPr="00645170">
        <w:rPr>
          <w:u w:val="single"/>
        </w:rPr>
        <w:t>exceptionalist</w:t>
      </w:r>
      <w:proofErr w:type="spellEnd"/>
      <w:r w:rsidRPr="00645170">
        <w:rPr>
          <w:u w:val="single"/>
        </w:rPr>
        <w:t xml:space="preserve"> superiority that is part of the ideology of U.S. exceptionalism. The idea is that “we” are always under threat precisely because we are exceptional</w:t>
      </w:r>
      <w:r w:rsidRPr="00645170">
        <w:t>. As </w:t>
      </w:r>
      <w:bookmarkStart w:id="3" w:name="bbib33"/>
      <w:proofErr w:type="spellStart"/>
      <w:r w:rsidRPr="00645170">
        <w:fldChar w:fldCharType="begin"/>
      </w:r>
      <w:r w:rsidRPr="00645170">
        <w:instrText xml:space="preserve"> HYPERLINK "https://www.sciencedirect.com/science/article/pii/S0962629817304481" \l "bib33" </w:instrText>
      </w:r>
      <w:r w:rsidRPr="00645170">
        <w:fldChar w:fldCharType="separate"/>
      </w:r>
      <w:r w:rsidRPr="00645170">
        <w:rPr>
          <w:rStyle w:val="Hyperlink"/>
        </w:rPr>
        <w:t>Holsti</w:t>
      </w:r>
      <w:proofErr w:type="spellEnd"/>
      <w:r w:rsidRPr="00645170">
        <w:rPr>
          <w:rStyle w:val="Hyperlink"/>
        </w:rPr>
        <w:t xml:space="preserve"> (2011</w:t>
      </w:r>
      <w:r w:rsidRPr="00645170">
        <w:fldChar w:fldCharType="end"/>
      </w:r>
      <w:bookmarkEnd w:id="3"/>
      <w:r w:rsidRPr="00645170">
        <w:t xml:space="preserve">: 384) puts it, </w:t>
      </w:r>
      <w:proofErr w:type="spellStart"/>
      <w:r w:rsidRPr="00645170">
        <w:rPr>
          <w:u w:val="single"/>
        </w:rPr>
        <w:t>exceptionalist</w:t>
      </w:r>
      <w:proofErr w:type="spellEnd"/>
      <w:r w:rsidRPr="00645170">
        <w:rPr>
          <w:u w:val="single"/>
        </w:rPr>
        <w:t xml:space="preserve"> states “portray themselves as innocent victims. They are never the sources of international insecurity, but only the targets of malign forces ….They are exceptional, in part, because they are morally clean as the objects of others' hatreds”,</w:t>
      </w:r>
      <w:r w:rsidRPr="00645170">
        <w:t xml:space="preserve"> and it is this moral cleanliness that is insufferable for the malign forces that would destroy the city upon a hill.</w:t>
      </w:r>
    </w:p>
    <w:p w14:paraId="6C269D52" w14:textId="77777777" w:rsidR="008F7540" w:rsidRPr="00C974FF" w:rsidRDefault="008F7540" w:rsidP="008F7540">
      <w:pPr>
        <w:rPr>
          <w:rStyle w:val="StyleUnderline"/>
        </w:rPr>
      </w:pPr>
      <w:r w:rsidRPr="00645170">
        <w:t xml:space="preserve">This </w:t>
      </w:r>
      <w:r w:rsidRPr="00645170">
        <w:rPr>
          <w:u w:val="single"/>
        </w:rPr>
        <w:t>perceived vulnerability generates fear</w:t>
      </w:r>
      <w:r w:rsidRPr="00645170">
        <w:t>, but interestingly in the U.S. case, it is not only (or perhaps even primarily) external malign forces that frightened the citizens of the North American colonies; it was internal forces that dramatically affected the collective psyche of the European settlers. Robert </w:t>
      </w:r>
      <w:bookmarkStart w:id="4" w:name="bbib61"/>
      <w:r w:rsidRPr="00645170">
        <w:fldChar w:fldCharType="begin"/>
      </w:r>
      <w:r w:rsidRPr="00645170">
        <w:instrText xml:space="preserve"> HYPERLINK "https://www.sciencedirect.com/science/article/pii/S0962629817304481" \l "bib61" </w:instrText>
      </w:r>
      <w:r w:rsidRPr="00645170">
        <w:fldChar w:fldCharType="separate"/>
      </w:r>
      <w:r w:rsidRPr="00645170">
        <w:rPr>
          <w:rStyle w:val="Hyperlink"/>
        </w:rPr>
        <w:t>Parkinson (2016a)</w:t>
      </w:r>
      <w:r w:rsidRPr="00645170">
        <w:fldChar w:fldCharType="end"/>
      </w:r>
      <w:bookmarkEnd w:id="4"/>
      <w:r w:rsidRPr="00645170">
        <w:t xml:space="preserve">, for example, argues that </w:t>
      </w:r>
      <w:r w:rsidRPr="00645170">
        <w:rPr>
          <w:u w:val="single"/>
        </w:rPr>
        <w:t>the writers of the Declaration of Independence were motivated more by “racial fear and exclusion” than by concern for “inalienable rights”.</w:t>
      </w:r>
      <w:r w:rsidRPr="00645170">
        <w:t xml:space="preserve"> In Parkinson's analysis of the era of independence, the European settlers felt severely threatened by the possibility of uprisings of the enslaved as well as attacks by the Native American nations. </w:t>
      </w:r>
      <w:r w:rsidRPr="00645170">
        <w:rPr>
          <w:u w:val="single"/>
        </w:rPr>
        <w:t>These fears were immortalized in the language of the Declaration, which cited the twin threats of “domestic insurrections” and “merciless Indian savages</w:t>
      </w:r>
      <w:r w:rsidRPr="00645170">
        <w:t>” (</w:t>
      </w:r>
      <w:bookmarkStart w:id="5" w:name="bbib62"/>
      <w:r w:rsidRPr="00645170">
        <w:fldChar w:fldCharType="begin"/>
      </w:r>
      <w:r w:rsidRPr="00645170">
        <w:instrText xml:space="preserve"> HYPERLINK "https://www.sciencedirect.com/science/article/pii/S0962629817304481" \l "bib62" </w:instrText>
      </w:r>
      <w:r w:rsidRPr="00645170">
        <w:fldChar w:fldCharType="separate"/>
      </w:r>
      <w:r w:rsidRPr="00645170">
        <w:rPr>
          <w:rStyle w:val="Hyperlink"/>
        </w:rPr>
        <w:t>Parkinson, 2016b</w:t>
      </w:r>
      <w:r w:rsidRPr="00645170">
        <w:fldChar w:fldCharType="end"/>
      </w:r>
      <w:bookmarkEnd w:id="5"/>
      <w:r w:rsidRPr="00645170">
        <w:t xml:space="preserve">). </w:t>
      </w:r>
      <w:r w:rsidRPr="00C974FF">
        <w:rPr>
          <w:rStyle w:val="StyleUnderline"/>
        </w:rPr>
        <w:t>One can simply not ignore the psychological dynamics that were present during the origination of the idea of “America” and the founding of the “</w:t>
      </w:r>
      <w:proofErr w:type="spellStart"/>
      <w:r w:rsidRPr="00C974FF">
        <w:rPr>
          <w:rStyle w:val="StyleUnderline"/>
        </w:rPr>
        <w:t>exceptionalist</w:t>
      </w:r>
      <w:proofErr w:type="spellEnd"/>
      <w:r w:rsidRPr="00C974FF">
        <w:rPr>
          <w:rStyle w:val="StyleUnderline"/>
        </w:rPr>
        <w:t>” U.S. state.</w:t>
      </w:r>
    </w:p>
    <w:p w14:paraId="206E4CD9" w14:textId="77777777" w:rsidR="008F7540" w:rsidRDefault="008F7540" w:rsidP="008F7540">
      <w:pPr>
        <w:pStyle w:val="Heading3"/>
      </w:pPr>
      <w:r>
        <w:lastRenderedPageBreak/>
        <w:t>AT: No Link -Aff is Negative State Action</w:t>
      </w:r>
    </w:p>
    <w:p w14:paraId="4286F6A0" w14:textId="77777777" w:rsidR="008F7540" w:rsidRDefault="008F7540" w:rsidP="008F7540">
      <w:pPr>
        <w:pStyle w:val="Heading4"/>
      </w:pPr>
      <w:r>
        <w:t>American economic interests, under the guise of exceptionalism, govern both settler colonialism and imperialism, inextricably linking American foreign policy objectives to violent settlerism</w:t>
      </w:r>
    </w:p>
    <w:p w14:paraId="4EB03124" w14:textId="77777777" w:rsidR="008F7540" w:rsidRPr="00645170" w:rsidRDefault="008F7540" w:rsidP="008F7540">
      <w:pPr>
        <w:rPr>
          <w:b/>
          <w:bCs/>
          <w:sz w:val="26"/>
        </w:rPr>
      </w:pPr>
      <w:r>
        <w:rPr>
          <w:rStyle w:val="Style13ptBold"/>
        </w:rPr>
        <w:t xml:space="preserve">Jansson, researcher </w:t>
      </w:r>
      <w:r w:rsidRPr="00645170">
        <w:rPr>
          <w:rStyle w:val="Style13ptBold"/>
        </w:rPr>
        <w:t>for Department of Social and Economic Geography, Uppsala University</w:t>
      </w:r>
      <w:r>
        <w:rPr>
          <w:rStyle w:val="Style13ptBold"/>
        </w:rPr>
        <w:t xml:space="preserve">, 2018 </w:t>
      </w:r>
      <w:r>
        <w:t xml:space="preserve">[David, May 2018, “Deadly exceptionalisms, or, would you rather be crushed by a moral superpower or a military superpower?”, Political Geography, Volume 64, </w:t>
      </w:r>
      <w:hyperlink r:id="rId11" w:anchor="!" w:history="1">
        <w:r w:rsidRPr="00977FAC">
          <w:rPr>
            <w:rStyle w:val="Hyperlink"/>
          </w:rPr>
          <w:t>https://www.sciencedirect.com/science/article/pii/S0962629817304481#!</w:t>
        </w:r>
      </w:hyperlink>
      <w:r>
        <w:t xml:space="preserve">, accessed 7-6-2019, </w:t>
      </w:r>
      <w:proofErr w:type="spellStart"/>
      <w:r>
        <w:t>AJackson</w:t>
      </w:r>
      <w:proofErr w:type="spellEnd"/>
      <w:r>
        <w:t>]</w:t>
      </w:r>
    </w:p>
    <w:p w14:paraId="585A03D3" w14:textId="77777777" w:rsidR="008F7540" w:rsidRPr="000A0734" w:rsidRDefault="008F7540" w:rsidP="008F7540">
      <w:r w:rsidRPr="000A0734">
        <w:t>Giving causal explanatory force to the ideology of American exceptionalism on U.S. foreign policy is, for </w:t>
      </w:r>
      <w:bookmarkStart w:id="6" w:name="bbib1"/>
      <w:r w:rsidRPr="000A0734">
        <w:fldChar w:fldCharType="begin"/>
      </w:r>
      <w:r w:rsidRPr="000A0734">
        <w:instrText xml:space="preserve"> HYPERLINK "https://www.sciencedirect.com/science/article/pii/S0962629817304481" \l "bib1" </w:instrText>
      </w:r>
      <w:r w:rsidRPr="000A0734">
        <w:fldChar w:fldCharType="separate"/>
      </w:r>
      <w:r w:rsidRPr="000A0734">
        <w:rPr>
          <w:rStyle w:val="Hyperlink"/>
        </w:rPr>
        <w:t>Agnew (1983</w:t>
      </w:r>
      <w:r w:rsidRPr="000A0734">
        <w:fldChar w:fldCharType="end"/>
      </w:r>
      <w:r w:rsidRPr="000A0734">
        <w:t xml:space="preserve">: 164), to accept the transcendental idealism of the </w:t>
      </w:r>
      <w:proofErr w:type="spellStart"/>
      <w:r w:rsidRPr="000A0734">
        <w:t>exceptionalists</w:t>
      </w:r>
      <w:proofErr w:type="spellEnd"/>
      <w:r w:rsidRPr="000A0734">
        <w:t>, “to abandon any pretense at history and instead engage in a propaganda exercise”. In other words, it is to mistake the rhetoric for the reality. Doing history instead of propaganda means taking a political economy perspective. But Agnew certainly does not ignore the discursive aspects of U.S. exceptionalism, as one of the first questions that he takes up is that of the origins of the assumptions of exceptionalism. According to Jack </w:t>
      </w:r>
      <w:bookmarkStart w:id="7" w:name="bbib25"/>
      <w:r w:rsidRPr="000A0734">
        <w:fldChar w:fldCharType="begin"/>
      </w:r>
      <w:r w:rsidRPr="000A0734">
        <w:instrText xml:space="preserve"> HYPERLINK "https://www.sciencedirect.com/science/article/pii/S0962629817304481" \l "bib25" </w:instrText>
      </w:r>
      <w:r w:rsidRPr="000A0734">
        <w:fldChar w:fldCharType="separate"/>
      </w:r>
      <w:r w:rsidRPr="000A0734">
        <w:rPr>
          <w:rStyle w:val="Hyperlink"/>
        </w:rPr>
        <w:t>Greene (1993)</w:t>
      </w:r>
      <w:r w:rsidRPr="000A0734">
        <w:fldChar w:fldCharType="end"/>
      </w:r>
      <w:bookmarkEnd w:id="7"/>
      <w:r w:rsidRPr="000A0734">
        <w:t xml:space="preserve">, </w:t>
      </w:r>
      <w:r w:rsidRPr="00126EE8">
        <w:rPr>
          <w:u w:val="single"/>
        </w:rPr>
        <w:t>there was a rather widespread hope in the 17th and 18th centuries that “America” would represent the regeneration of European civilization</w:t>
      </w:r>
      <w:r w:rsidRPr="000A0734">
        <w:t xml:space="preserve">, a reference to the exemplary or passive form of exceptionalism, where “America” constitutes a model for the world to follow. </w:t>
      </w:r>
      <w:r w:rsidRPr="00126EE8">
        <w:rPr>
          <w:u w:val="single"/>
        </w:rPr>
        <w:t>What made it possible for the idea of “America” to hold this position was its newness</w:t>
      </w:r>
      <w:r w:rsidRPr="000A0734">
        <w:t>; as James </w:t>
      </w:r>
      <w:bookmarkStart w:id="8" w:name="bbib71"/>
      <w:r w:rsidRPr="000A0734">
        <w:fldChar w:fldCharType="begin"/>
      </w:r>
      <w:r w:rsidRPr="000A0734">
        <w:instrText xml:space="preserve"> HYPERLINK "https://www.sciencedirect.com/science/article/pii/S0962629817304481" \l "bib71" </w:instrText>
      </w:r>
      <w:r w:rsidRPr="000A0734">
        <w:fldChar w:fldCharType="separate"/>
      </w:r>
      <w:r w:rsidRPr="000A0734">
        <w:rPr>
          <w:rStyle w:val="Hyperlink"/>
        </w:rPr>
        <w:t>Robertson (1980</w:t>
      </w:r>
      <w:r w:rsidRPr="000A0734">
        <w:fldChar w:fldCharType="end"/>
      </w:r>
      <w:r w:rsidRPr="000A0734">
        <w:t xml:space="preserve">: 26), describing one of the major nationalist myths, puts it: “Americans are a new people, formed out of a migration of people seeking freedom in a new world”. </w:t>
      </w:r>
      <w:proofErr w:type="gramStart"/>
      <w:r w:rsidRPr="000A0734">
        <w:t>So</w:t>
      </w:r>
      <w:proofErr w:type="gramEnd"/>
      <w:r w:rsidRPr="000A0734">
        <w:t xml:space="preserve"> this idea of newness is key, and we might say that the discourse of newness propels the U.S. from passive to aggressive exceptionalism, from exemplary to missionary (while not exactly replacing the exemplary). To quote </w:t>
      </w:r>
      <w:hyperlink r:id="rId12" w:anchor="bib71" w:history="1">
        <w:r w:rsidRPr="000A0734">
          <w:rPr>
            <w:rStyle w:val="Hyperlink"/>
          </w:rPr>
          <w:t>Robertson (1980</w:t>
        </w:r>
      </w:hyperlink>
      <w:bookmarkEnd w:id="8"/>
      <w:r w:rsidRPr="000A0734">
        <w:t>: 26) again,</w:t>
      </w:r>
    </w:p>
    <w:p w14:paraId="10519603" w14:textId="77777777" w:rsidR="008F7540" w:rsidRPr="000A0734" w:rsidRDefault="008F7540" w:rsidP="008F7540">
      <w:r w:rsidRPr="00126EE8">
        <w:rPr>
          <w:u w:val="single"/>
        </w:rPr>
        <w:t>The American sense of uniqueness has come also from the belief that the mission of its people was to create a nation where a nation did not exist. Nationalism included expansion, but it was expansion into the wilderness</w:t>
      </w:r>
      <w:r w:rsidRPr="000A0734">
        <w:t xml:space="preserve">—into a wilderness which was part of the nation and at the same time had to become part of the nation. </w:t>
      </w:r>
      <w:proofErr w:type="gramStart"/>
      <w:r w:rsidRPr="000A0734">
        <w:t>So</w:t>
      </w:r>
      <w:proofErr w:type="gramEnd"/>
      <w:r w:rsidRPr="000A0734">
        <w:t xml:space="preserve"> Americans were crusaders, bringing civilization and freedom to the wilderness.</w:t>
      </w:r>
    </w:p>
    <w:p w14:paraId="24F4BB32" w14:textId="77777777" w:rsidR="008F7540" w:rsidRPr="000A0734" w:rsidRDefault="008F7540" w:rsidP="008F7540">
      <w:r w:rsidRPr="000A0734">
        <w:t>In order to realize its destiny, the U.S. had to expand its territory. At least, that is the ideological interpretation. But Agnew does not stop there, since a political economy approach requires attention to factors that provide the material impetus for state expansion.</w:t>
      </w:r>
    </w:p>
    <w:p w14:paraId="5BBE394A" w14:textId="77777777" w:rsidR="008F7540" w:rsidRPr="000A0734" w:rsidRDefault="008F7540" w:rsidP="008F7540">
      <w:r w:rsidRPr="00126EE8">
        <w:rPr>
          <w:u w:val="single"/>
        </w:rPr>
        <w:t xml:space="preserve">For even if political leaders in the U.S. have often explained the state's aggressive exceptionalism as an inevitable outgrowth of its </w:t>
      </w:r>
      <w:proofErr w:type="gramStart"/>
      <w:r w:rsidRPr="00126EE8">
        <w:rPr>
          <w:u w:val="single"/>
        </w:rPr>
        <w:t>divinely-ordained</w:t>
      </w:r>
      <w:proofErr w:type="gramEnd"/>
      <w:r w:rsidRPr="00126EE8">
        <w:rPr>
          <w:u w:val="single"/>
        </w:rPr>
        <w:t xml:space="preserve"> passive exceptionalism, political-economic interests have always lurked in the shadows, preferably unnamed, though occasionally admitted to openly</w:t>
      </w:r>
      <w:r w:rsidRPr="000A0734">
        <w:t xml:space="preserve">. So while the Secretary of the Treasury might claim in 1847 that the country's past expansion was guided by a “higher than any earthly power”, a power which “still guards and directs our destiny, impels us onward, and has selected our great and happy country as a model and ultimate </w:t>
      </w:r>
      <w:proofErr w:type="spellStart"/>
      <w:r w:rsidRPr="000A0734">
        <w:t>centre</w:t>
      </w:r>
      <w:proofErr w:type="spellEnd"/>
      <w:r w:rsidRPr="000A0734">
        <w:t xml:space="preserve"> of attraction for all the nations of the world” (</w:t>
      </w:r>
      <w:hyperlink r:id="rId13" w:anchor="bib1" w:history="1">
        <w:r w:rsidRPr="000A0734">
          <w:rPr>
            <w:rStyle w:val="Hyperlink"/>
          </w:rPr>
          <w:t>Agnew, 1983</w:t>
        </w:r>
      </w:hyperlink>
      <w:r w:rsidRPr="000A0734">
        <w:t>: 153), President McKinley could admit in the late 1800s, discussing the need for the U.S. to control the Philippines, that “we could not turn them over to France or Germany—our commercial rivals in the Orient—that would be bad business and discreditable” (</w:t>
      </w:r>
      <w:hyperlink r:id="rId14" w:anchor="bib1" w:history="1">
        <w:r w:rsidRPr="000A0734">
          <w:rPr>
            <w:rStyle w:val="Hyperlink"/>
          </w:rPr>
          <w:t>Agnew, 1983</w:t>
        </w:r>
      </w:hyperlink>
      <w:r w:rsidRPr="000A0734">
        <w:t xml:space="preserve">: 154, my emphasis). </w:t>
      </w:r>
      <w:r w:rsidRPr="00126EE8">
        <w:rPr>
          <w:u w:val="single"/>
        </w:rPr>
        <w:t xml:space="preserve">Agnew traces the transition in U.S. foreign policy from its early colonialism to </w:t>
      </w:r>
      <w:r w:rsidRPr="00126EE8">
        <w:rPr>
          <w:u w:val="single"/>
        </w:rPr>
        <w:lastRenderedPageBreak/>
        <w:t>imperialism, which represents a shift from territorial expansion (in North America and abroad) to a focus on getting the upper hand in the web of international networks and relations in the global capitalist economy</w:t>
      </w:r>
      <w:r w:rsidRPr="000A0734">
        <w:t>. And here is where we find more explanatory power for the understanding of the pattern of U.S. interventions around the world. Indeed, </w:t>
      </w:r>
      <w:bookmarkStart w:id="9" w:name="bbib68"/>
      <w:r w:rsidRPr="000A0734">
        <w:fldChar w:fldCharType="begin"/>
      </w:r>
      <w:r w:rsidRPr="000A0734">
        <w:instrText xml:space="preserve"> HYPERLINK "https://www.sciencedirect.com/science/article/pii/S0962629817304481" \l "bib68" </w:instrText>
      </w:r>
      <w:r w:rsidRPr="000A0734">
        <w:fldChar w:fldCharType="separate"/>
      </w:r>
      <w:r w:rsidRPr="000A0734">
        <w:rPr>
          <w:rStyle w:val="Hyperlink"/>
        </w:rPr>
        <w:t>Roberts (2013</w:t>
      </w:r>
      <w:r w:rsidRPr="000A0734">
        <w:fldChar w:fldCharType="end"/>
      </w:r>
      <w:bookmarkEnd w:id="9"/>
      <w:r w:rsidRPr="000A0734">
        <w:t>: xxviii) even argues that the “early exceptionalism of America meant the unique opportunities of its resources” rather than referring to a characteristic of the people who lived there (whether indigenous or European) -- according to this view, a materialist perspective on “American exceptionalism” is actually endogenous to the very concept.</w:t>
      </w:r>
    </w:p>
    <w:p w14:paraId="2BA8BAB4" w14:textId="77777777" w:rsidR="008F7540" w:rsidRPr="000A0734" w:rsidRDefault="008F7540" w:rsidP="008F7540">
      <w:r w:rsidRPr="00126EE8">
        <w:rPr>
          <w:u w:val="single"/>
        </w:rPr>
        <w:t xml:space="preserve">The rapid industrialization of the U.S. after the Civil War brought an increasing reliance on </w:t>
      </w:r>
      <w:proofErr w:type="gramStart"/>
      <w:r w:rsidRPr="00126EE8">
        <w:rPr>
          <w:u w:val="single"/>
        </w:rPr>
        <w:t>globally-sourced</w:t>
      </w:r>
      <w:proofErr w:type="gramEnd"/>
      <w:r w:rsidRPr="00126EE8">
        <w:rPr>
          <w:u w:val="single"/>
        </w:rPr>
        <w:t xml:space="preserve"> inputs</w:t>
      </w:r>
      <w:r w:rsidRPr="000A0734">
        <w:t xml:space="preserve"> and global markets for U.S. products. “Wracked by economic panics, recessions, depressions, and booms, the U.S. capitalist economy had no choice but to become global” (</w:t>
      </w:r>
      <w:bookmarkStart w:id="10" w:name="bbib57"/>
      <w:r w:rsidRPr="000A0734">
        <w:fldChar w:fldCharType="begin"/>
      </w:r>
      <w:r w:rsidRPr="000A0734">
        <w:instrText xml:space="preserve"> HYPERLINK "https://www.sciencedirect.com/science/article/pii/S0962629817304481" \l "bib57" </w:instrText>
      </w:r>
      <w:r w:rsidRPr="000A0734">
        <w:fldChar w:fldCharType="separate"/>
      </w:r>
      <w:r w:rsidRPr="000A0734">
        <w:rPr>
          <w:rStyle w:val="Hyperlink"/>
        </w:rPr>
        <w:t>Mitchell, 2017</w:t>
      </w:r>
      <w:r w:rsidRPr="000A0734">
        <w:fldChar w:fldCharType="end"/>
      </w:r>
      <w:r w:rsidRPr="000A0734">
        <w:t>: 270). While I do not have room for a thorough review of the political economy of U.S. foreign policy, there are various sources that provide this perspective (</w:t>
      </w:r>
      <w:hyperlink r:id="rId15" w:anchor="bib1" w:history="1">
        <w:r w:rsidRPr="000A0734">
          <w:rPr>
            <w:rStyle w:val="Hyperlink"/>
          </w:rPr>
          <w:t>Agnew, 1983</w:t>
        </w:r>
      </w:hyperlink>
      <w:bookmarkEnd w:id="6"/>
      <w:r w:rsidRPr="000A0734">
        <w:t>, </w:t>
      </w:r>
      <w:bookmarkStart w:id="11" w:name="bbib18"/>
      <w:proofErr w:type="spellStart"/>
      <w:r w:rsidRPr="000A0734">
        <w:fldChar w:fldCharType="begin"/>
      </w:r>
      <w:r w:rsidRPr="000A0734">
        <w:instrText xml:space="preserve"> HYPERLINK "https://www.sciencedirect.com/science/article/pii/S0962629817304481" \l "bib18" </w:instrText>
      </w:r>
      <w:r w:rsidRPr="000A0734">
        <w:fldChar w:fldCharType="separate"/>
      </w:r>
      <w:r w:rsidRPr="000A0734">
        <w:rPr>
          <w:rStyle w:val="Hyperlink"/>
        </w:rPr>
        <w:t>Domosh</w:t>
      </w:r>
      <w:proofErr w:type="spellEnd"/>
      <w:r w:rsidRPr="000A0734">
        <w:rPr>
          <w:rStyle w:val="Hyperlink"/>
        </w:rPr>
        <w:t>, 2006</w:t>
      </w:r>
      <w:r w:rsidRPr="000A0734">
        <w:fldChar w:fldCharType="end"/>
      </w:r>
      <w:bookmarkEnd w:id="11"/>
      <w:r w:rsidRPr="000A0734">
        <w:t>, </w:t>
      </w:r>
      <w:hyperlink r:id="rId16" w:anchor="bib57" w:history="1">
        <w:r w:rsidRPr="000A0734">
          <w:rPr>
            <w:rStyle w:val="Hyperlink"/>
          </w:rPr>
          <w:t>Mitchell, 2017</w:t>
        </w:r>
      </w:hyperlink>
      <w:bookmarkEnd w:id="10"/>
      <w:r w:rsidRPr="000A0734">
        <w:t>, </w:t>
      </w:r>
      <w:bookmarkStart w:id="12" w:name="bbib77"/>
      <w:r w:rsidRPr="000A0734">
        <w:fldChar w:fldCharType="begin"/>
      </w:r>
      <w:r w:rsidRPr="000A0734">
        <w:instrText xml:space="preserve"> HYPERLINK "https://www.sciencedirect.com/science/article/pii/S0962629817304481" \l "bib77" </w:instrText>
      </w:r>
      <w:r w:rsidRPr="000A0734">
        <w:fldChar w:fldCharType="separate"/>
      </w:r>
      <w:r w:rsidRPr="000A0734">
        <w:rPr>
          <w:rStyle w:val="Hyperlink"/>
        </w:rPr>
        <w:t>Smith, 2003</w:t>
      </w:r>
      <w:r w:rsidRPr="000A0734">
        <w:fldChar w:fldCharType="end"/>
      </w:r>
      <w:bookmarkEnd w:id="12"/>
      <w:r w:rsidRPr="000A0734">
        <w:t>).</w:t>
      </w:r>
    </w:p>
    <w:p w14:paraId="030F57AC" w14:textId="77777777" w:rsidR="008F7540" w:rsidRPr="008F7540" w:rsidRDefault="008F7540" w:rsidP="008F7540"/>
    <w:p w14:paraId="7EA31183" w14:textId="4A20D93D" w:rsidR="008F7540" w:rsidRDefault="008F7540" w:rsidP="008F7540">
      <w:pPr>
        <w:pStyle w:val="Heading2"/>
      </w:pPr>
      <w:r>
        <w:lastRenderedPageBreak/>
        <w:t>Impacts</w:t>
      </w:r>
    </w:p>
    <w:p w14:paraId="3840FCF5" w14:textId="77777777" w:rsidR="00330DEA" w:rsidRDefault="00330DEA" w:rsidP="00330DEA">
      <w:pPr>
        <w:pStyle w:val="Heading3"/>
      </w:pPr>
      <w:r>
        <w:lastRenderedPageBreak/>
        <w:t>Racism Impact</w:t>
      </w:r>
    </w:p>
    <w:p w14:paraId="30350A1D" w14:textId="77777777" w:rsidR="00330DEA" w:rsidRPr="00E23412" w:rsidRDefault="00330DEA" w:rsidP="00330DEA">
      <w:pPr>
        <w:pStyle w:val="Heading4"/>
      </w:pPr>
      <w:r w:rsidRPr="00E23412">
        <w:t xml:space="preserve">The colonial power matrix organizes all structures </w:t>
      </w:r>
      <w:proofErr w:type="gramStart"/>
      <w:r w:rsidRPr="00E23412">
        <w:t>on the basis of</w:t>
      </w:r>
      <w:proofErr w:type="gramEnd"/>
      <w:r w:rsidRPr="00E23412">
        <w:t xml:space="preserve"> race and racism and is globalized and exported to the rest of the world via coloniality </w:t>
      </w:r>
    </w:p>
    <w:p w14:paraId="7DD1BC78" w14:textId="77777777" w:rsidR="00330DEA" w:rsidRPr="006F07DE" w:rsidRDefault="00330DEA" w:rsidP="00330DEA">
      <w:pPr>
        <w:rPr>
          <w:rStyle w:val="Style13ptBold"/>
        </w:rPr>
      </w:pPr>
      <w:proofErr w:type="spellStart"/>
      <w:r w:rsidRPr="006F07DE">
        <w:rPr>
          <w:rStyle w:val="Style13ptBold"/>
        </w:rPr>
        <w:t>Grosfoguel</w:t>
      </w:r>
      <w:proofErr w:type="spellEnd"/>
      <w:r w:rsidRPr="006F07DE">
        <w:rPr>
          <w:rStyle w:val="Style13ptBold"/>
        </w:rPr>
        <w:t>, Associate Professor Ethnic Studies Department, Chicano/Latino Studies, 11</w:t>
      </w:r>
    </w:p>
    <w:p w14:paraId="723841CD" w14:textId="77777777" w:rsidR="00330DEA" w:rsidRPr="00E23412" w:rsidRDefault="00330DEA" w:rsidP="00330DEA">
      <w:pPr>
        <w:pStyle w:val="Nothing"/>
        <w:rPr>
          <w:sz w:val="22"/>
          <w:szCs w:val="22"/>
        </w:rPr>
      </w:pPr>
      <w:r w:rsidRPr="00E23412">
        <w:rPr>
          <w:sz w:val="22"/>
          <w:szCs w:val="22"/>
        </w:rPr>
        <w:t xml:space="preserve">(Ramón. "Decolonizing Post-Colonial Studies and Paradigms of Political Economy: </w:t>
      </w:r>
      <w:proofErr w:type="spellStart"/>
      <w:r w:rsidRPr="00E23412">
        <w:rPr>
          <w:sz w:val="22"/>
          <w:szCs w:val="22"/>
        </w:rPr>
        <w:t>Transmodernity</w:t>
      </w:r>
      <w:proofErr w:type="spellEnd"/>
      <w:r w:rsidRPr="00E23412">
        <w:rPr>
          <w:sz w:val="22"/>
          <w:szCs w:val="22"/>
        </w:rPr>
        <w:t xml:space="preserve">, Decolonial Thinking, and Global Coloniality." TRANSMODERNITY: Journal of Peripheral Cultural Production of the </w:t>
      </w:r>
      <w:proofErr w:type="spellStart"/>
      <w:r w:rsidRPr="00E23412">
        <w:rPr>
          <w:sz w:val="22"/>
          <w:szCs w:val="22"/>
        </w:rPr>
        <w:t>Luso</w:t>
      </w:r>
      <w:proofErr w:type="spellEnd"/>
      <w:r w:rsidRPr="00E23412">
        <w:rPr>
          <w:sz w:val="22"/>
          <w:szCs w:val="22"/>
        </w:rPr>
        <w:t>-Hispanic World 1, no. 1</w:t>
      </w:r>
      <w:r w:rsidRPr="00E23412">
        <w:rPr>
          <w:rStyle w:val="Style13ptBold"/>
        </w:rPr>
        <w:t xml:space="preserve">, </w:t>
      </w:r>
      <w:r w:rsidRPr="00E23412">
        <w:rPr>
          <w:sz w:val="22"/>
          <w:szCs w:val="22"/>
        </w:rPr>
        <w:t>4-6)</w:t>
      </w:r>
    </w:p>
    <w:p w14:paraId="73413933" w14:textId="77777777" w:rsidR="00330DEA" w:rsidRPr="00E23412" w:rsidRDefault="00330DEA" w:rsidP="00330DEA">
      <w:pPr>
        <w:pStyle w:val="Cards"/>
        <w:ind w:left="0" w:right="0"/>
      </w:pPr>
    </w:p>
    <w:p w14:paraId="283C50BD" w14:textId="77777777" w:rsidR="00330DEA" w:rsidRPr="00E23412" w:rsidRDefault="00330DEA" w:rsidP="00330DEA">
      <w:pPr>
        <w:pStyle w:val="Cards"/>
        <w:ind w:left="0" w:right="0"/>
        <w:rPr>
          <w:rStyle w:val="StyleUnderline"/>
        </w:rPr>
      </w:pPr>
      <w:r w:rsidRPr="00E23412">
        <w:rPr>
          <w:sz w:val="22"/>
          <w:szCs w:val="22"/>
        </w:rPr>
        <w:t xml:space="preserve">It is not an accident that the conceptualization of the world-system from </w:t>
      </w:r>
      <w:r w:rsidRPr="00E23412">
        <w:rPr>
          <w:rStyle w:val="StyleUnderline"/>
        </w:rPr>
        <w:t>decolonial perspectives of the South</w:t>
      </w:r>
      <w:r w:rsidRPr="00E23412">
        <w:rPr>
          <w:sz w:val="22"/>
          <w:szCs w:val="22"/>
        </w:rPr>
        <w:t xml:space="preserve"> will question its traditional conceptualizations produced by thinkers from the North. Following Peruvian Sociologist </w:t>
      </w:r>
      <w:proofErr w:type="spellStart"/>
      <w:r w:rsidRPr="00E23412">
        <w:rPr>
          <w:sz w:val="22"/>
          <w:szCs w:val="22"/>
        </w:rPr>
        <w:t>Aníbal</w:t>
      </w:r>
      <w:proofErr w:type="spellEnd"/>
      <w:r w:rsidRPr="00E23412">
        <w:rPr>
          <w:sz w:val="22"/>
          <w:szCs w:val="22"/>
        </w:rPr>
        <w:t xml:space="preserve"> Quijano (1991; 1998; 2000), we could </w:t>
      </w:r>
      <w:r w:rsidRPr="00E23412">
        <w:rPr>
          <w:rStyle w:val="StyleUnderline"/>
        </w:rPr>
        <w:t>conceptualize the present world-system as a historical-structural heterogeneous totality with a specific</w:t>
      </w:r>
      <w:r w:rsidRPr="00E23412">
        <w:rPr>
          <w:sz w:val="22"/>
          <w:szCs w:val="22"/>
        </w:rPr>
        <w:t xml:space="preserve"> power matrix that he calls a “</w:t>
      </w:r>
      <w:r w:rsidRPr="00E23412">
        <w:rPr>
          <w:rStyle w:val="StyleUnderline"/>
        </w:rPr>
        <w:t>colonial power matrix”</w:t>
      </w:r>
      <w:r w:rsidRPr="00E23412">
        <w:rPr>
          <w:sz w:val="22"/>
          <w:szCs w:val="22"/>
        </w:rPr>
        <w:t xml:space="preserve"> (“</w:t>
      </w:r>
      <w:proofErr w:type="spellStart"/>
      <w:r w:rsidRPr="00E23412">
        <w:rPr>
          <w:sz w:val="22"/>
          <w:szCs w:val="22"/>
        </w:rPr>
        <w:t>patrón</w:t>
      </w:r>
      <w:proofErr w:type="spellEnd"/>
      <w:r w:rsidRPr="00E23412">
        <w:rPr>
          <w:sz w:val="22"/>
          <w:szCs w:val="22"/>
        </w:rPr>
        <w:t xml:space="preserve"> de </w:t>
      </w:r>
      <w:proofErr w:type="spellStart"/>
      <w:r w:rsidRPr="00E23412">
        <w:rPr>
          <w:sz w:val="22"/>
          <w:szCs w:val="22"/>
        </w:rPr>
        <w:t>poder</w:t>
      </w:r>
      <w:proofErr w:type="spellEnd"/>
      <w:r w:rsidRPr="00E23412">
        <w:rPr>
          <w:sz w:val="22"/>
          <w:szCs w:val="22"/>
        </w:rPr>
        <w:t xml:space="preserve"> colonial”). </w:t>
      </w:r>
      <w:r w:rsidRPr="00E23412">
        <w:rPr>
          <w:rStyle w:val="StyleUnderline"/>
        </w:rPr>
        <w:t xml:space="preserve">This matrix </w:t>
      </w:r>
      <w:r w:rsidRPr="00E23412">
        <w:rPr>
          <w:sz w:val="22"/>
          <w:szCs w:val="22"/>
        </w:rPr>
        <w:t xml:space="preserve">Affects all dimensions of social existence such as sexuality, authority, subjectivity and labor (Quijano 2000). The sixteenth century </w:t>
      </w:r>
      <w:r w:rsidRPr="00E23412">
        <w:rPr>
          <w:rStyle w:val="StyleUnderline"/>
        </w:rPr>
        <w:t>initiates</w:t>
      </w:r>
      <w:r w:rsidRPr="00E23412">
        <w:rPr>
          <w:sz w:val="22"/>
          <w:szCs w:val="22"/>
        </w:rPr>
        <w:t xml:space="preserve"> a new global colonial power matrix that by the late nineteenth century came to cover the whole planet. Taking a step further from Quijano, I conceptualize the coloniality of power as </w:t>
      </w:r>
      <w:r w:rsidRPr="00E23412">
        <w:rPr>
          <w:rStyle w:val="StyleUnderline"/>
        </w:rPr>
        <w:t>an entanglement</w:t>
      </w:r>
      <w:r w:rsidRPr="00E23412">
        <w:rPr>
          <w:sz w:val="22"/>
          <w:szCs w:val="22"/>
        </w:rPr>
        <w:t xml:space="preserve"> or, to use U.S. Third World Feminist concept, intersectionality (Crenshaw 1989; </w:t>
      </w:r>
      <w:proofErr w:type="spellStart"/>
      <w:r w:rsidRPr="00E23412">
        <w:rPr>
          <w:sz w:val="22"/>
          <w:szCs w:val="22"/>
        </w:rPr>
        <w:t>Fregoso</w:t>
      </w:r>
      <w:proofErr w:type="spellEnd"/>
      <w:r w:rsidRPr="00E23412">
        <w:rPr>
          <w:sz w:val="22"/>
          <w:szCs w:val="22"/>
        </w:rPr>
        <w:t xml:space="preserve"> 2003) </w:t>
      </w:r>
      <w:r w:rsidRPr="00E23412">
        <w:rPr>
          <w:rStyle w:val="StyleUnderline"/>
        </w:rPr>
        <w:t>of multiple and heterogeneous global hierarchies</w:t>
      </w:r>
      <w:r w:rsidRPr="00E23412">
        <w:rPr>
          <w:sz w:val="22"/>
          <w:szCs w:val="22"/>
        </w:rPr>
        <w:t xml:space="preserve"> (“</w:t>
      </w:r>
      <w:proofErr w:type="spellStart"/>
      <w:r w:rsidRPr="00E23412">
        <w:rPr>
          <w:sz w:val="22"/>
          <w:szCs w:val="22"/>
        </w:rPr>
        <w:t>heterarchies</w:t>
      </w:r>
      <w:proofErr w:type="spellEnd"/>
      <w:r w:rsidRPr="00E23412">
        <w:rPr>
          <w:sz w:val="22"/>
          <w:szCs w:val="22"/>
        </w:rPr>
        <w:t xml:space="preserve">”) </w:t>
      </w:r>
      <w:r w:rsidRPr="00E23412">
        <w:rPr>
          <w:rStyle w:val="StyleUnderline"/>
        </w:rPr>
        <w:t>of sexual, political, epistemic, economic, spiritual, linguistic and racial forms of domination and exploitation where the racial/ethnic hierarchy of the European/non-European divide transversally reconfigures all of the other global power structures.</w:t>
      </w:r>
      <w:r w:rsidRPr="00E23412">
        <w:rPr>
          <w:sz w:val="22"/>
          <w:szCs w:val="22"/>
        </w:rPr>
        <w:t xml:space="preserve"> What is new in the “coloniality of power” perspective is how the idea of </w:t>
      </w:r>
      <w:r w:rsidRPr="00E23412">
        <w:rPr>
          <w:rStyle w:val="StyleUnderline"/>
        </w:rPr>
        <w:t xml:space="preserve">race and racism becomes the organizing principle that structures </w:t>
      </w:r>
      <w:proofErr w:type="gramStart"/>
      <w:r w:rsidRPr="00E23412">
        <w:rPr>
          <w:rStyle w:val="StyleUnderline"/>
        </w:rPr>
        <w:t>all of</w:t>
      </w:r>
      <w:proofErr w:type="gramEnd"/>
      <w:r w:rsidRPr="00E23412">
        <w:rPr>
          <w:rStyle w:val="StyleUnderline"/>
        </w:rPr>
        <w:t xml:space="preserve"> the multiple hierarchies of the world-system</w:t>
      </w:r>
      <w:r w:rsidRPr="00E23412">
        <w:rPr>
          <w:sz w:val="22"/>
          <w:szCs w:val="22"/>
        </w:rPr>
        <w:t xml:space="preserve"> (Quijano 1993). For example, the different forms of labor that are articulated to capitalist accumulation at a world-scale are assigned according to this racial hierarchy; coercive (or </w:t>
      </w:r>
      <w:r w:rsidRPr="00E23412">
        <w:rPr>
          <w:rStyle w:val="StyleUnderline"/>
        </w:rPr>
        <w:t>cheap) labor is done by non-European people</w:t>
      </w:r>
      <w:r w:rsidRPr="00E23412">
        <w:rPr>
          <w:sz w:val="22"/>
          <w:szCs w:val="22"/>
        </w:rPr>
        <w:t xml:space="preserve"> in the periphery and “free wage labor” in the core. The global gender hierarchy is also Affected by race: contrary to pre-European patriarchies where all women were inferior to all men, in the new colonial power matrix some </w:t>
      </w:r>
      <w:r w:rsidRPr="00E23412">
        <w:rPr>
          <w:rStyle w:val="StyleUnderline"/>
        </w:rPr>
        <w:t xml:space="preserve">women (of European origin) have a higher status and access to resources than </w:t>
      </w:r>
      <w:r w:rsidRPr="00E23412">
        <w:rPr>
          <w:sz w:val="22"/>
          <w:szCs w:val="22"/>
        </w:rPr>
        <w:t>some</w:t>
      </w:r>
      <w:r w:rsidRPr="00E23412">
        <w:rPr>
          <w:rStyle w:val="StyleUnderline"/>
        </w:rPr>
        <w:t xml:space="preserve"> men (of non-European origin</w:t>
      </w:r>
      <w:r w:rsidRPr="00E23412">
        <w:rPr>
          <w:sz w:val="22"/>
          <w:szCs w:val="22"/>
        </w:rPr>
        <w:t>). The idea of race organizes the world’s population into a hierarchical order of superior and inferior people that becomes an organizing principle of the international division of labor and of the global patriarchal system. Contrary to the Eurocentric perspective, race, gender, sexuality, spirituality, and epistemology are not additive elements to the economic and political structures of the capitalist world-system, but an integral, entangled and constitutive part of the broad entangled “package” called the European modern/colonial capitalist/patriarchal world-system (</w:t>
      </w:r>
      <w:proofErr w:type="spellStart"/>
      <w:r w:rsidRPr="00E23412">
        <w:rPr>
          <w:sz w:val="22"/>
          <w:szCs w:val="22"/>
        </w:rPr>
        <w:t>Grosfoguel</w:t>
      </w:r>
      <w:proofErr w:type="spellEnd"/>
      <w:r w:rsidRPr="00E23412">
        <w:rPr>
          <w:sz w:val="22"/>
          <w:szCs w:val="22"/>
        </w:rPr>
        <w:t xml:space="preserve"> 2002). </w:t>
      </w:r>
      <w:r w:rsidRPr="00E23412">
        <w:rPr>
          <w:rStyle w:val="StyleUnderline"/>
        </w:rPr>
        <w:t>European Judeo-Christian patriarchy and European notions of sexuality, epistemology and spirituality were globalized and exported to the rest of the world through the colonial expansion as the hegemonic criteria to racialize, classify and pathologize the rest of the world’s population in a hierarchy of superior and inferior races.</w:t>
      </w:r>
    </w:p>
    <w:p w14:paraId="2CF23C33" w14:textId="77777777" w:rsidR="00330DEA" w:rsidRPr="00503920" w:rsidRDefault="00330DEA" w:rsidP="00330DEA"/>
    <w:p w14:paraId="63FC4CB0" w14:textId="77777777" w:rsidR="00330DEA" w:rsidRPr="00E23412" w:rsidRDefault="00330DEA" w:rsidP="00330DEA">
      <w:pPr>
        <w:pStyle w:val="Heading4"/>
        <w:rPr>
          <w:rFonts w:cs="Times New Roman"/>
        </w:rPr>
      </w:pPr>
      <w:r w:rsidRPr="00E23412">
        <w:rPr>
          <w:rFonts w:cs="Times New Roman"/>
        </w:rPr>
        <w:t>The endpoint of racism is dehumanization, endless military aggression and environmental destruction, it impacts us all, but by rejecting every instance of it we can begin to systemically break it down</w:t>
      </w:r>
    </w:p>
    <w:p w14:paraId="6116E5CF" w14:textId="77777777" w:rsidR="00330DEA" w:rsidRPr="00E23412" w:rsidRDefault="00330DEA" w:rsidP="00330DEA">
      <w:pPr>
        <w:rPr>
          <w:rStyle w:val="Style13ptBold"/>
        </w:rPr>
      </w:pPr>
      <w:proofErr w:type="spellStart"/>
      <w:r w:rsidRPr="00E23412">
        <w:rPr>
          <w:rStyle w:val="Style13ptBold"/>
        </w:rPr>
        <w:t>Barndt</w:t>
      </w:r>
      <w:proofErr w:type="spellEnd"/>
      <w:r w:rsidRPr="00E23412">
        <w:rPr>
          <w:rStyle w:val="Style13ptBold"/>
        </w:rPr>
        <w:t>, Author and Co-director of Crossroads, 91</w:t>
      </w:r>
    </w:p>
    <w:p w14:paraId="467B294A" w14:textId="77777777" w:rsidR="00330DEA" w:rsidRPr="00E23412" w:rsidRDefault="00330DEA" w:rsidP="00330DEA">
      <w:r w:rsidRPr="00E23412">
        <w:lastRenderedPageBreak/>
        <w:t>(Joseph R., Author and Pastor in the Bronx in New York City and co-director of Crossroads, a ministry working to dismantle racism and build a multicultural church and society, 1991, “Dismantling Racism: The Continuing Challenge to White America”, Google Books, Pages 155-156, Accessed 7/10/13, NC)</w:t>
      </w:r>
    </w:p>
    <w:p w14:paraId="7DEBD5B8" w14:textId="77777777" w:rsidR="00330DEA" w:rsidRDefault="00330DEA" w:rsidP="00330DEA">
      <w:r w:rsidRPr="00E23412">
        <w:t xml:space="preserve">To study racism is to study walls. We have looked at barriers and fences, restraints and limitations, ghettos and prisons. </w:t>
      </w:r>
      <w:r w:rsidRPr="00E23412">
        <w:rPr>
          <w:rStyle w:val="Emphasis"/>
        </w:rPr>
        <w:t>The prison of racism confines us all</w:t>
      </w:r>
      <w:r w:rsidRPr="00E23412">
        <w:rPr>
          <w:rStyle w:val="StyleUnderline"/>
        </w:rPr>
        <w:t>, people of color and white people alike. It shackles the victimizer as well as the victim.</w:t>
      </w:r>
      <w:r w:rsidRPr="00E23412">
        <w:t xml:space="preserve"> The walls forcibly keep people of color and white people separate from each other; in our separate prisons we are all prevented from achieving the human potential that God intends for us. </w:t>
      </w:r>
      <w:r w:rsidRPr="00E23412">
        <w:rPr>
          <w:rStyle w:val="Emphasis"/>
        </w:rPr>
        <w:t>The limitations imposed on people of color by poverty, subservience, and powerlessness are cruel, inhuman, and unjust</w:t>
      </w:r>
      <w:r w:rsidRPr="00E23412">
        <w:t xml:space="preserve">; </w:t>
      </w:r>
      <w:r w:rsidRPr="00E23412">
        <w:rPr>
          <w:rStyle w:val="StyleUnderline"/>
        </w:rPr>
        <w:t>the effects of uncontrolled power</w:t>
      </w:r>
      <w:r w:rsidRPr="00E23412">
        <w:t xml:space="preserve">, privilege, and greed, which are the marks of our white prison, </w:t>
      </w:r>
      <w:r w:rsidRPr="00E23412">
        <w:rPr>
          <w:rStyle w:val="StyleUnderline"/>
        </w:rPr>
        <w:t>will inevitably destroy us as well</w:t>
      </w:r>
      <w:r w:rsidRPr="00E23412">
        <w:t xml:space="preserve">. But </w:t>
      </w:r>
      <w:r w:rsidRPr="00E23412">
        <w:rPr>
          <w:rStyle w:val="Emphasis"/>
        </w:rPr>
        <w:t>we have also seen that the walls of racism can be dismantled.</w:t>
      </w:r>
      <w:r w:rsidRPr="00E23412">
        <w:t xml:space="preserve"> We are not condemned to an inexorable </w:t>
      </w:r>
      <w:proofErr w:type="gramStart"/>
      <w:r w:rsidRPr="00E23412">
        <w:t>fate, but</w:t>
      </w:r>
      <w:proofErr w:type="gramEnd"/>
      <w:r w:rsidRPr="00E23412">
        <w:t xml:space="preserve"> are offered the vision and the possibility of freedom. </w:t>
      </w:r>
      <w:r w:rsidRPr="00E23412">
        <w:rPr>
          <w:rStyle w:val="Emphasis"/>
        </w:rPr>
        <w:t>Brick by brick, stone by stone, the prison of individual, institutional, and cultural racism can be destroyed.</w:t>
      </w:r>
      <w:r w:rsidRPr="00E23412">
        <w:t xml:space="preserve"> You and I are urgently called to join the efforts of those who know it is time to tear down, once and for all, the walls of racism. </w:t>
      </w:r>
      <w:r w:rsidRPr="00E23412">
        <w:rPr>
          <w:rStyle w:val="StyleUnderline"/>
        </w:rPr>
        <w:t xml:space="preserve">The danger point of self-destruction seems to be drawing ever </w:t>
      </w:r>
      <w:proofErr w:type="gramStart"/>
      <w:r w:rsidRPr="00E23412">
        <w:rPr>
          <w:rStyle w:val="StyleUnderline"/>
        </w:rPr>
        <w:t>more near</w:t>
      </w:r>
      <w:proofErr w:type="gramEnd"/>
      <w:r w:rsidRPr="00E23412">
        <w:rPr>
          <w:rStyle w:val="StyleUnderline"/>
        </w:rPr>
        <w:t>. The results of centuries of national and worldwide conquest and colonialism, of military buildups and violent aggression, of overconsumption and environmental destruction may be reaching a point of no return.</w:t>
      </w:r>
      <w:r w:rsidRPr="00E23412">
        <w:t xml:space="preserve"> A small and predominantly white minority of the global population derives its power and privilege from the sufferings of </w:t>
      </w:r>
      <w:proofErr w:type="gramStart"/>
      <w:r w:rsidRPr="00E23412">
        <w:t>the vast majority of</w:t>
      </w:r>
      <w:proofErr w:type="gramEnd"/>
      <w:r w:rsidRPr="00E23412">
        <w:t xml:space="preserve"> peoples of color. For the sake of the world and ourselves, we dare not allow it to continue.</w:t>
      </w:r>
    </w:p>
    <w:p w14:paraId="6327CEF1" w14:textId="356E3D1E" w:rsidR="00343D4E" w:rsidRDefault="00343D4E" w:rsidP="00343D4E">
      <w:pPr>
        <w:pStyle w:val="Heading3"/>
      </w:pPr>
      <w:r>
        <w:lastRenderedPageBreak/>
        <w:t>Blurs Peace/Conflict</w:t>
      </w:r>
    </w:p>
    <w:p w14:paraId="5C84A82F" w14:textId="77777777" w:rsidR="00343D4E" w:rsidRDefault="00343D4E" w:rsidP="00343D4E">
      <w:pPr>
        <w:pStyle w:val="Heading4"/>
        <w:rPr>
          <w:rStyle w:val="Style13ptBold"/>
        </w:rPr>
      </w:pPr>
      <w:r>
        <w:rPr>
          <w:rStyle w:val="Style13ptBold"/>
          <w:b/>
        </w:rPr>
        <w:t xml:space="preserve">Security and Militarism studies fail to analyze lines of distinction and organized violence. </w:t>
      </w:r>
    </w:p>
    <w:p w14:paraId="68350710" w14:textId="77777777" w:rsidR="00343D4E" w:rsidRPr="00F94885" w:rsidRDefault="00343D4E" w:rsidP="00343D4E">
      <w:pPr>
        <w:rPr>
          <w:rStyle w:val="Style13ptBold"/>
          <w:b w:val="0"/>
          <w:bCs w:val="0"/>
        </w:rPr>
      </w:pPr>
      <w:r w:rsidRPr="009D4106">
        <w:rPr>
          <w:rStyle w:val="Style13ptBold"/>
        </w:rPr>
        <w:t xml:space="preserve">Stavrianakis, Lecturer in International Relations at the University of Sussex, Stern , Professor in Peace and Development Studies at the School of Global Studies (SGS), 17 </w:t>
      </w:r>
      <w:r w:rsidRPr="009D4106">
        <w:rPr>
          <w:rStyle w:val="Style13ptBold"/>
          <w:b w:val="0"/>
        </w:rPr>
        <w:t>(Anna &amp; Maria, Security Dialogue , “Militarism and Security: Dialogue, possibilities, and limits”, Vol. 49(</w:t>
      </w:r>
      <w:r>
        <w:rPr>
          <w:rStyle w:val="Style13ptBold"/>
          <w:b w:val="0"/>
        </w:rPr>
        <w:t xml:space="preserve"> </w:t>
      </w:r>
      <w:r w:rsidRPr="009D4106">
        <w:rPr>
          <w:rStyle w:val="Style13ptBold"/>
          <w:b w:val="0"/>
        </w:rPr>
        <w:t>1-2) 3–18</w:t>
      </w:r>
      <w:r>
        <w:rPr>
          <w:rStyle w:val="Style13ptBold"/>
          <w:b w:val="0"/>
        </w:rPr>
        <w:t xml:space="preserve"> pg.8</w:t>
      </w:r>
      <w:r w:rsidRPr="009D4106">
        <w:rPr>
          <w:rStyle w:val="Style13ptBold"/>
          <w:b w:val="0"/>
        </w:rPr>
        <w:t>, MK)</w:t>
      </w:r>
    </w:p>
    <w:p w14:paraId="555CD18B" w14:textId="77777777" w:rsidR="00343D4E" w:rsidRPr="00D075DF" w:rsidRDefault="00343D4E" w:rsidP="00343D4E">
      <w:pPr>
        <w:rPr>
          <w:rStyle w:val="StyleUnderline"/>
        </w:rPr>
      </w:pPr>
      <w:r w:rsidRPr="00D075DF">
        <w:rPr>
          <w:rStyle w:val="StyleUnderline"/>
        </w:rPr>
        <w:t>We start with some insights from feminism and postcolonial research in order to underscore the slipperiness of analysis of security and militarism</w:t>
      </w:r>
      <w:r w:rsidRPr="009D4106">
        <w:t xml:space="preserve">. </w:t>
      </w:r>
      <w:r w:rsidRPr="00D075DF">
        <w:rPr>
          <w:rStyle w:val="StyleUnderline"/>
        </w:rPr>
        <w:t>Feminists have long been noting and interrogating the continuum of violence</w:t>
      </w:r>
      <w:r w:rsidRPr="009D4106">
        <w:t xml:space="preserve"> (Kelly, 2012) </w:t>
      </w:r>
      <w:r w:rsidRPr="00D075DF">
        <w:rPr>
          <w:rStyle w:val="StyleUnderline"/>
        </w:rPr>
        <w:t>and the (in)adequacy of the categories that distinguish between different forms of violence, thus problematizing the lines of distinction between war and peace, the public and the private, domestic and political violence</w:t>
      </w:r>
      <w:r w:rsidRPr="009D4106">
        <w:t xml:space="preserve">, and so on. </w:t>
      </w:r>
      <w:r w:rsidRPr="00D075DF">
        <w:rPr>
          <w:rStyle w:val="StyleUnderline"/>
        </w:rPr>
        <w:t>Feminist insight has shown us that for people living in war zones, war is relational and systemic, a continuum in which ‘it is not quite so easy to set aside “ordinary” aggression, force or violence as “not war”’</w:t>
      </w:r>
      <w:r w:rsidRPr="009D4106">
        <w:t xml:space="preserve"> (Cockburn, 2010: 146</w:t>
      </w:r>
      <w:r w:rsidRPr="00D075DF">
        <w:rPr>
          <w:rStyle w:val="StyleUnderline"/>
        </w:rPr>
        <w:t>). And postcolonial analysis problematizes the conventional distinction between war and other forms of violence, such as (internal) armed conflict, inviting us to critically rethink how we conceive of a host of forms of organized violence</w:t>
      </w:r>
      <w:r w:rsidRPr="009D4106">
        <w:t xml:space="preserve"> (</w:t>
      </w:r>
      <w:proofErr w:type="spellStart"/>
      <w:r w:rsidRPr="009D4106">
        <w:t>Barkawi</w:t>
      </w:r>
      <w:proofErr w:type="spellEnd"/>
      <w:r w:rsidRPr="009D4106">
        <w:t xml:space="preserve">, 2016). </w:t>
      </w:r>
      <w:r w:rsidRPr="00D075DF">
        <w:rPr>
          <w:rStyle w:val="StyleUnderline"/>
        </w:rPr>
        <w:t>War zones might not be located only in the theatre of traditional combat, but instead can be found in the seemingly safe place of our homes, our streets, our borders, and inscribed on our bodies</w:t>
      </w:r>
      <w:r w:rsidRPr="009D4106">
        <w:t xml:space="preserve">. Sylvester (2013), for example, </w:t>
      </w:r>
      <w:r w:rsidRPr="00D075DF">
        <w:rPr>
          <w:rStyle w:val="StyleUnderline"/>
        </w:rPr>
        <w:t>advocates a reinvigorated study of war through attention to its embodied and emotional experiences as a social institution. Recent work on queer approaches to international relations troubles boundary-drawing even further, exploring the ways in which ‘power, desire, pleasure and agency come together in militarization’</w:t>
      </w:r>
      <w:r w:rsidRPr="009D4106">
        <w:t>, meaning that ‘power relations are productive and enjoyable, not merely oppressive’ (Crane-</w:t>
      </w:r>
      <w:proofErr w:type="spellStart"/>
      <w:r w:rsidRPr="009D4106">
        <w:t>Seeber</w:t>
      </w:r>
      <w:proofErr w:type="spellEnd"/>
      <w:r w:rsidRPr="009D4106">
        <w:t>, 2016: 43–44</w:t>
      </w:r>
      <w:r w:rsidRPr="00D075DF">
        <w:rPr>
          <w:rStyle w:val="StyleUnderline"/>
        </w:rPr>
        <w:t xml:space="preserve">). Furthermore, the concepts and practices of militarism and security are not only deeply gendered but also racialized, and reflect colonial imaginaries </w:t>
      </w:r>
      <w:r w:rsidRPr="00B50D32">
        <w:t>(see e.g. Chisholm, 2014; Porter, 2009; Ware, 2012). Simply</w:t>
      </w:r>
      <w:r w:rsidRPr="009D4106">
        <w:t xml:space="preserve"> put, </w:t>
      </w:r>
      <w:r w:rsidRPr="00D075DF">
        <w:rPr>
          <w:rStyle w:val="StyleUnderline"/>
        </w:rPr>
        <w:t>through careful empirical and theoretical research, feminist and postcolonial literature situated within critical security studies, critical military studies and critical war studies has questioned the premises of both traditional security studies and war studies, and cautioned us not to draw too tight a boundary around the concepts of security and militarism and their possible objects of inquiry.</w:t>
      </w:r>
    </w:p>
    <w:p w14:paraId="612B7DC4" w14:textId="77777777" w:rsidR="00343D4E" w:rsidRPr="00343D4E" w:rsidRDefault="00343D4E" w:rsidP="00343D4E"/>
    <w:p w14:paraId="50E3B8FD" w14:textId="77777777" w:rsidR="008F7540" w:rsidRDefault="008F7540" w:rsidP="008F7540">
      <w:pPr>
        <w:pStyle w:val="Heading2"/>
      </w:pPr>
      <w:r>
        <w:lastRenderedPageBreak/>
        <w:t>Alternative</w:t>
      </w:r>
    </w:p>
    <w:p w14:paraId="4B3CB021" w14:textId="4F44125D" w:rsidR="008F7540" w:rsidRDefault="008F7540" w:rsidP="008F7540">
      <w:pPr>
        <w:pStyle w:val="Heading3"/>
      </w:pPr>
      <w:r>
        <w:lastRenderedPageBreak/>
        <w:t xml:space="preserve">Decolonial </w:t>
      </w:r>
      <w:r w:rsidR="00B350E7">
        <w:t>Perspective</w:t>
      </w:r>
    </w:p>
    <w:p w14:paraId="723DC33E" w14:textId="791E08AE" w:rsidR="008F7540" w:rsidRPr="001772A3" w:rsidRDefault="008F7540" w:rsidP="008F7540">
      <w:pPr>
        <w:pStyle w:val="Heading4"/>
      </w:pPr>
      <w:r>
        <w:t xml:space="preserve">The alternative is to adopt a decolonial perspective on thinking and engage with what it means to decolonize – this requires a profound </w:t>
      </w:r>
      <w:proofErr w:type="spellStart"/>
      <w:r w:rsidR="00C10938">
        <w:t>recentering</w:t>
      </w:r>
      <w:proofErr w:type="spellEnd"/>
      <w:r>
        <w:t xml:space="preserve"> of our worldview – methodologies are key </w:t>
      </w:r>
    </w:p>
    <w:p w14:paraId="467818E2" w14:textId="77777777" w:rsidR="008F7540" w:rsidRPr="00AE26D4" w:rsidRDefault="008F7540" w:rsidP="008F7540">
      <w:pPr>
        <w:rPr>
          <w:rStyle w:val="Style13ptBold"/>
        </w:rPr>
      </w:pPr>
      <w:r>
        <w:rPr>
          <w:rStyle w:val="Style13ptBold"/>
        </w:rPr>
        <w:t>Fonseca</w:t>
      </w:r>
      <w:r w:rsidRPr="00AE26D4">
        <w:rPr>
          <w:rStyle w:val="Style13ptBold"/>
        </w:rPr>
        <w:t xml:space="preserve">, </w:t>
      </w:r>
      <w:r>
        <w:rPr>
          <w:rStyle w:val="Style13ptBold"/>
        </w:rPr>
        <w:t>University of Puerto Rico Department of Political Sciences</w:t>
      </w:r>
      <w:r w:rsidRPr="00AE26D4">
        <w:rPr>
          <w:rStyle w:val="Style13ptBold"/>
        </w:rPr>
        <w:t>,</w:t>
      </w:r>
      <w:r>
        <w:rPr>
          <w:rStyle w:val="Style13ptBold"/>
        </w:rPr>
        <w:t xml:space="preserve"> </w:t>
      </w:r>
      <w:proofErr w:type="spellStart"/>
      <w:r>
        <w:rPr>
          <w:rStyle w:val="Style13ptBold"/>
        </w:rPr>
        <w:t>Jerrems</w:t>
      </w:r>
      <w:proofErr w:type="spellEnd"/>
      <w:r>
        <w:rPr>
          <w:rStyle w:val="Style13ptBold"/>
        </w:rPr>
        <w:t>, Monash University, School of Political and Social Inquiry Department Member,</w:t>
      </w:r>
      <w:r w:rsidRPr="00AE26D4">
        <w:rPr>
          <w:rStyle w:val="Style13ptBold"/>
        </w:rPr>
        <w:t xml:space="preserve"> </w:t>
      </w:r>
      <w:r>
        <w:rPr>
          <w:rStyle w:val="Style13ptBold"/>
        </w:rPr>
        <w:t>2012</w:t>
      </w:r>
      <w:r w:rsidRPr="00AE26D4">
        <w:rPr>
          <w:rStyle w:val="Style13ptBold"/>
        </w:rPr>
        <w:t xml:space="preserve"> </w:t>
      </w:r>
    </w:p>
    <w:p w14:paraId="085F7D95" w14:textId="77777777" w:rsidR="008F7540" w:rsidRPr="00E53D11" w:rsidRDefault="008F7540" w:rsidP="008F7540">
      <w:pPr>
        <w:pStyle w:val="CommentText"/>
      </w:pPr>
      <w:r>
        <w:rPr>
          <w:color w:val="000000"/>
        </w:rPr>
        <w:t>[Melody, Ari</w:t>
      </w:r>
      <w:r w:rsidRPr="001F2FF8">
        <w:rPr>
          <w:color w:val="000000"/>
        </w:rPr>
        <w:t xml:space="preserve">, </w:t>
      </w:r>
      <w:r>
        <w:rPr>
          <w:color w:val="000000"/>
        </w:rPr>
        <w:t>June 20-22, 2012</w:t>
      </w:r>
      <w:r w:rsidRPr="001F2FF8">
        <w:rPr>
          <w:color w:val="000000"/>
        </w:rPr>
        <w:t>, “</w:t>
      </w:r>
      <w:r>
        <w:rPr>
          <w:color w:val="000000"/>
        </w:rPr>
        <w:t xml:space="preserve">Why </w:t>
      </w:r>
      <w:proofErr w:type="spellStart"/>
      <w:r>
        <w:rPr>
          <w:color w:val="000000"/>
        </w:rPr>
        <w:t>Decolonise</w:t>
      </w:r>
      <w:proofErr w:type="spellEnd"/>
      <w:r>
        <w:rPr>
          <w:color w:val="000000"/>
        </w:rPr>
        <w:t xml:space="preserve"> International Relations Theory?</w:t>
      </w:r>
      <w:r w:rsidRPr="001F2FF8">
        <w:rPr>
          <w:color w:val="000000"/>
        </w:rPr>
        <w:t>”</w:t>
      </w:r>
      <w:r>
        <w:rPr>
          <w:color w:val="000000"/>
        </w:rPr>
        <w:t xml:space="preserve">, </w:t>
      </w:r>
      <w:r>
        <w:t xml:space="preserve">June, Conference Paper: BISA-ISA Joint International Conference, At Edinburgh, </w:t>
      </w:r>
      <w:r w:rsidRPr="001F2FF8">
        <w:rPr>
          <w:color w:val="000000"/>
        </w:rPr>
        <w:t>page</w:t>
      </w:r>
      <w:r>
        <w:rPr>
          <w:color w:val="000000"/>
        </w:rPr>
        <w:t>s 2-4</w:t>
      </w:r>
      <w:r w:rsidRPr="001F2FF8">
        <w:rPr>
          <w:color w:val="000000"/>
        </w:rPr>
        <w:t xml:space="preserve">, </w:t>
      </w:r>
      <w:hyperlink r:id="rId17" w:history="1">
        <w:r>
          <w:rPr>
            <w:rStyle w:val="Hyperlink"/>
          </w:rPr>
          <w:t>https://www.researchgate.net/publication/274916798_Why_Decolonise_International_Relations_Theory</w:t>
        </w:r>
      </w:hyperlink>
      <w:r>
        <w:t xml:space="preserve">, </w:t>
      </w:r>
      <w:r>
        <w:rPr>
          <w:color w:val="000000"/>
        </w:rPr>
        <w:t>AKS]</w:t>
      </w:r>
    </w:p>
    <w:p w14:paraId="52616AAF" w14:textId="77777777" w:rsidR="008F7540" w:rsidRPr="0077084E" w:rsidRDefault="008F7540" w:rsidP="008F7540">
      <w:pPr>
        <w:rPr>
          <w:u w:val="single"/>
        </w:rPr>
      </w:pPr>
      <w:r>
        <w:t xml:space="preserve">Since the mid-1980s numerous critical voices have challenged traditional IR theory by drawing on Feminist, Neo-Marxist, Poststructuralist, Postcolonial and Frankfurt School theories. These </w:t>
      </w:r>
      <w:proofErr w:type="spellStart"/>
      <w:r>
        <w:t>theorisations</w:t>
      </w:r>
      <w:proofErr w:type="spellEnd"/>
      <w:r>
        <w:t xml:space="preserve"> have gained greater influence after the end of the Cold War. </w:t>
      </w:r>
      <w:r w:rsidRPr="0077084E">
        <w:rPr>
          <w:u w:val="single"/>
        </w:rPr>
        <w:t xml:space="preserve">Decolonial Thinking is of most relevance </w:t>
      </w:r>
      <w:r>
        <w:t xml:space="preserve">to these approaches and </w:t>
      </w:r>
      <w:r w:rsidRPr="0077084E">
        <w:rPr>
          <w:u w:val="single"/>
        </w:rPr>
        <w:t>to the growing number of theorists who</w:t>
      </w:r>
      <w:r>
        <w:t>, over the last decade</w:t>
      </w:r>
      <w:r w:rsidRPr="0077084E">
        <w:rPr>
          <w:u w:val="single"/>
        </w:rPr>
        <w:t>, have focused on the “coloniality” problem.</w:t>
      </w:r>
      <w:r>
        <w:t xml:space="preserve"> These scholars have </w:t>
      </w:r>
      <w:proofErr w:type="spellStart"/>
      <w:r>
        <w:t>analysed</w:t>
      </w:r>
      <w:proofErr w:type="spellEnd"/>
      <w:r>
        <w:t xml:space="preserve"> how </w:t>
      </w:r>
      <w:r w:rsidRPr="0077084E">
        <w:rPr>
          <w:u w:val="single"/>
        </w:rPr>
        <w:t>the Eurocentric origins of the discipline have led, not only to the exclusion of knowledge from the non-Western world, but also, a general amnesia and ignorance about imperialism, colonialism, and racism.</w:t>
      </w:r>
    </w:p>
    <w:p w14:paraId="7E46A632" w14:textId="77777777" w:rsidR="008F7540" w:rsidRDefault="008F7540" w:rsidP="008F7540">
      <w:r>
        <w:t xml:space="preserve">Critical researchers have sought to unearth a wide range of issues that have been silenced. As </w:t>
      </w:r>
      <w:proofErr w:type="spellStart"/>
      <w:r>
        <w:t>Branwen</w:t>
      </w:r>
      <w:proofErr w:type="spellEnd"/>
      <w:r>
        <w:t xml:space="preserve"> G. Jones has pointed out, “</w:t>
      </w:r>
      <w:r w:rsidRPr="0077084E">
        <w:rPr>
          <w:u w:val="single"/>
        </w:rPr>
        <w:t>how is it possible that IR has paid so little attention to race, colonialism, and imperialism, to the intertwined nature of the histories of the West and ‘the rest’?</w:t>
      </w:r>
      <w:r>
        <w:t>”</w:t>
      </w:r>
      <w:proofErr w:type="gramStart"/>
      <w:r>
        <w:t xml:space="preserve">2 </w:t>
      </w:r>
      <w:r w:rsidRPr="0077084E">
        <w:rPr>
          <w:u w:val="single"/>
        </w:rPr>
        <w:t>.</w:t>
      </w:r>
      <w:proofErr w:type="gramEnd"/>
      <w:r w:rsidRPr="0077084E">
        <w:rPr>
          <w:u w:val="single"/>
        </w:rPr>
        <w:t xml:space="preserve"> Authors underline the importance of being able to “find a way of engaging with –rather than ignoring– non-Western political thought in a manner that is not beholden to colonial ideologies that drain the non-Western world of all significant content for the study of a modernity that is now, and perhaps was always, integrally global.”</w:t>
      </w:r>
      <w:r>
        <w:t xml:space="preserve">3 This is particularly relevant if, as we suggest, </w:t>
      </w:r>
      <w:r w:rsidRPr="0077084E">
        <w:rPr>
          <w:u w:val="single"/>
        </w:rPr>
        <w:t xml:space="preserve">the knowledge and imaginaries produced in the discipline are reflected in global politics: from securitization to governability or local reproductions of violence. </w:t>
      </w:r>
      <w:r>
        <w:t>Scholars have also begun to question who the subjects of IR are. Meera Sabaratnam has argued, “[</w:t>
      </w:r>
      <w:r w:rsidRPr="0077084E">
        <w:rPr>
          <w:u w:val="single"/>
        </w:rPr>
        <w:t>t]he notion of ‘dialogue’[…] requires that we ask questions about their identities, horizons and interests, and indeed how these are situated within the world of practice and action, rather than presuming homogeneity of interest and a common purpose to inquiry.”</w:t>
      </w:r>
      <w:r>
        <w:t>4</w:t>
      </w:r>
    </w:p>
    <w:p w14:paraId="7762B835" w14:textId="77777777" w:rsidR="008F7540" w:rsidRDefault="008F7540" w:rsidP="008F7540">
      <w:r w:rsidRPr="0077084E">
        <w:rPr>
          <w:u w:val="single"/>
        </w:rPr>
        <w:t xml:space="preserve">These scholars insist on the need to open a real debate about the imperial, colonial and racist origins and legacies of the discipline. This means </w:t>
      </w:r>
      <w:proofErr w:type="spellStart"/>
      <w:r w:rsidRPr="0077084E">
        <w:rPr>
          <w:u w:val="single"/>
        </w:rPr>
        <w:t>decolonising</w:t>
      </w:r>
      <w:proofErr w:type="spellEnd"/>
      <w:r w:rsidRPr="0077084E">
        <w:rPr>
          <w:u w:val="single"/>
        </w:rPr>
        <w:t xml:space="preserve"> any consensus regarding time, knowledge, and being via a thorough confrontation with these issues. </w:t>
      </w:r>
      <w:proofErr w:type="spellStart"/>
      <w:r>
        <w:t>Shilliam</w:t>
      </w:r>
      <w:proofErr w:type="spellEnd"/>
      <w:r>
        <w:t xml:space="preserve"> in “</w:t>
      </w:r>
      <w:r w:rsidRPr="0077084E">
        <w:rPr>
          <w:u w:val="single"/>
        </w:rPr>
        <w:t xml:space="preserve">The perilous but unavoidable terrain of the non-West”5 affirms that modernity as a debate in IR is “naturalized” by certain issues such as: the problem of continuity and change –that is assigning different temporalities to non-Western societies–; the question of secularism –starting with the idea that certain kinds of religiosities have disappeared with modernity–; and the topic of race –that the aim to </w:t>
      </w:r>
      <w:proofErr w:type="spellStart"/>
      <w:r w:rsidRPr="0077084E">
        <w:rPr>
          <w:u w:val="single"/>
        </w:rPr>
        <w:t>homogenise</w:t>
      </w:r>
      <w:proofErr w:type="spellEnd"/>
      <w:r w:rsidRPr="0077084E">
        <w:rPr>
          <w:u w:val="single"/>
        </w:rPr>
        <w:t xml:space="preserve"> cultures led to the creation of “meta-racialized identities”.</w:t>
      </w:r>
      <w:r>
        <w:t xml:space="preserve"> Sankaran Krishna identifies what is the crux of the problem when she argues that IR theory is quintessentially white, “not because race disappears [but because it] serves as the crucial epistemic silence around which the discipline is written and coheres.”6</w:t>
      </w:r>
    </w:p>
    <w:p w14:paraId="2141C6C3" w14:textId="77777777" w:rsidR="008F7540" w:rsidRDefault="008F7540" w:rsidP="008F7540">
      <w:r>
        <w:t>In Decolonizing International Relations the main suggestion is that “</w:t>
      </w:r>
      <w:r w:rsidRPr="0077084E">
        <w:rPr>
          <w:u w:val="single"/>
        </w:rPr>
        <w:t>to decolonize IR theory is […] to decolonize all the topics, since the discipline itself is reproducing a “modern imperial ideology</w:t>
      </w:r>
      <w:r>
        <w:t xml:space="preserve">”.7 As Julian </w:t>
      </w:r>
      <w:proofErr w:type="spellStart"/>
      <w:r>
        <w:t>Saurin</w:t>
      </w:r>
      <w:proofErr w:type="spellEnd"/>
      <w:r>
        <w:t xml:space="preserve"> argues, “the central historiographical battle is a political battle over ownership of the </w:t>
      </w:r>
      <w:r>
        <w:lastRenderedPageBreak/>
        <w:t xml:space="preserve">means of production of memory and the definition of progress”.8 It is necessary to question not only the “neutrality” of history, but the selection of events, characters, epochs, what is memorable and what is not. </w:t>
      </w:r>
      <w:r w:rsidRPr="0077084E">
        <w:rPr>
          <w:u w:val="single"/>
        </w:rPr>
        <w:t>The control over what is to be remembered is suppressed</w:t>
      </w:r>
      <w:r>
        <w:t xml:space="preserve"> by what Krishna calls the abstraction of the discipline </w:t>
      </w:r>
      <w:r w:rsidRPr="0077084E">
        <w:rPr>
          <w:u w:val="single"/>
        </w:rPr>
        <w:t>“[is] presented as the desire of the discipline to engage on theory building rather than on descriptive or historical analysis, is a screen that simultaneously rationalizes and elides the details of these encounters.”</w:t>
      </w:r>
      <w:r>
        <w:t>9 To go beyond that abstraction IR theory not only needs to deconstruct itself as a reproducer of Western imperialism, colonialism, and racism, but also as a discipline that continues to insist that “‘</w:t>
      </w:r>
      <w:r w:rsidRPr="0077084E">
        <w:rPr>
          <w:u w:val="single"/>
        </w:rPr>
        <w:t>the</w:t>
      </w:r>
      <w:r>
        <w:t xml:space="preserve"> rest of the world’ has benefited […] from the spread of the West’s</w:t>
      </w:r>
      <w:r w:rsidRPr="000D20B9">
        <w:t xml:space="preserve"> </w:t>
      </w:r>
      <w:r>
        <w:t xml:space="preserve">civilizing values and institutions[...]”10 This </w:t>
      </w:r>
      <w:r w:rsidRPr="0077084E">
        <w:rPr>
          <w:u w:val="single"/>
        </w:rPr>
        <w:t>natural acceptance of “West’s civilizing values and institutions” and the “socialization of international norms” is the focus of intense criticism.</w:t>
      </w:r>
      <w:r>
        <w:t xml:space="preserve"> Addressing Kathryn </w:t>
      </w:r>
      <w:proofErr w:type="spellStart"/>
      <w:r>
        <w:t>Sikkin</w:t>
      </w:r>
      <w:proofErr w:type="spellEnd"/>
      <w:r>
        <w:t xml:space="preserve"> and Martha </w:t>
      </w:r>
      <w:proofErr w:type="spellStart"/>
      <w:r>
        <w:t>Finnemore’s</w:t>
      </w:r>
      <w:proofErr w:type="spellEnd"/>
      <w:r>
        <w:t xml:space="preserve"> International Organization, Robert Vitalis argues </w:t>
      </w:r>
      <w:r w:rsidRPr="0077084E">
        <w:rPr>
          <w:u w:val="single"/>
        </w:rPr>
        <w:t>that the “acceptance” of international norms had to hide that “[w]</w:t>
      </w:r>
      <w:proofErr w:type="spellStart"/>
      <w:r w:rsidRPr="0077084E">
        <w:rPr>
          <w:u w:val="single"/>
        </w:rPr>
        <w:t>ithin</w:t>
      </w:r>
      <w:proofErr w:type="spellEnd"/>
      <w:r w:rsidRPr="0077084E">
        <w:rPr>
          <w:u w:val="single"/>
        </w:rPr>
        <w:t xml:space="preserve"> an IR framework, white supremacy is constitutive of a set of racist practices undertaken by states and individuals</w:t>
      </w:r>
      <w:r>
        <w:t xml:space="preserve">”.11 To counter this he proposes Du </w:t>
      </w:r>
      <w:proofErr w:type="spellStart"/>
      <w:r>
        <w:t>Bois’</w:t>
      </w:r>
      <w:proofErr w:type="spellEnd"/>
      <w:r>
        <w:t xml:space="preserve"> color line as an initial approach to the study of racism as an international institution. Vitalis understands that “his views on the ‘race concept’ expressed, over time, a growing understanding of what we now mean when we say that the idea of race itself is a social construction”.12</w:t>
      </w:r>
    </w:p>
    <w:p w14:paraId="7372E3E7" w14:textId="2583D166" w:rsidR="008F7540" w:rsidRDefault="008F7540" w:rsidP="008F7540">
      <w:r>
        <w:t xml:space="preserve">In summary, </w:t>
      </w:r>
      <w:r w:rsidRPr="0077084E">
        <w:rPr>
          <w:u w:val="single"/>
        </w:rPr>
        <w:t xml:space="preserve">the </w:t>
      </w:r>
      <w:proofErr w:type="spellStart"/>
      <w:r w:rsidRPr="0077084E">
        <w:rPr>
          <w:u w:val="single"/>
        </w:rPr>
        <w:t>decolonisation</w:t>
      </w:r>
      <w:proofErr w:type="spellEnd"/>
      <w:r w:rsidRPr="0077084E">
        <w:rPr>
          <w:u w:val="single"/>
        </w:rPr>
        <w:t xml:space="preserve"> of IR</w:t>
      </w:r>
      <w:r>
        <w:t xml:space="preserve"> may not simply be achieved by including the histories of others or by adding certain scholars to the mainstream. It </w:t>
      </w:r>
      <w:r w:rsidRPr="0077084E">
        <w:rPr>
          <w:u w:val="single"/>
        </w:rPr>
        <w:t>must critique the Western canon’s point of enunciation in order to open a space for understandings from different comprehensions, temporalities, spaces, concepts of governance, human rights and democracy.</w:t>
      </w:r>
      <w:r>
        <w:t xml:space="preserve"> On one hand, </w:t>
      </w:r>
      <w:r w:rsidRPr="0077084E">
        <w:rPr>
          <w:u w:val="single"/>
        </w:rPr>
        <w:t>it must challenge modern international structures, while, on the other hand, claim the means to produce knowledge, to dialogue about that which has been excluded.</w:t>
      </w:r>
      <w:r>
        <w:t xml:space="preserve"> Decolonial Thinking offers </w:t>
      </w:r>
      <w:proofErr w:type="gramStart"/>
      <w:r>
        <w:t>a number of</w:t>
      </w:r>
      <w:proofErr w:type="gramEnd"/>
      <w:r>
        <w:t xml:space="preserve"> valuable tools to build on this critique. Here we will focus on one key elements; the coloniality of power. We will address coloniality via three guiding questions. Firstly (I), we will discuss coloniality and ask if the involvement of the whole world in International Relations after </w:t>
      </w:r>
      <w:proofErr w:type="spellStart"/>
      <w:r>
        <w:t>decolonisation</w:t>
      </w:r>
      <w:proofErr w:type="spellEnd"/>
      <w:r>
        <w:t xml:space="preserve"> led to the </w:t>
      </w:r>
      <w:proofErr w:type="spellStart"/>
      <w:r>
        <w:t>decolonisation</w:t>
      </w:r>
      <w:proofErr w:type="spellEnd"/>
      <w:r>
        <w:t xml:space="preserve"> of power relations. Secondly (II), we will </w:t>
      </w:r>
      <w:proofErr w:type="spellStart"/>
      <w:r>
        <w:t>analyse</w:t>
      </w:r>
      <w:proofErr w:type="spellEnd"/>
      <w:r>
        <w:t xml:space="preserve"> whether </w:t>
      </w:r>
      <w:proofErr w:type="spellStart"/>
      <w:r>
        <w:t>decolonisation</w:t>
      </w:r>
      <w:proofErr w:type="spellEnd"/>
      <w:r>
        <w:t xml:space="preserve"> has radically changed the objectives of IR theory. Finally (III), to conclude, we will briefly discuss how coloniality is still found in power relations in the Post-Cold War era.</w:t>
      </w:r>
    </w:p>
    <w:p w14:paraId="50BC355D" w14:textId="77777777" w:rsidR="00F430AA" w:rsidRPr="00E23412" w:rsidRDefault="00F430AA" w:rsidP="00F430AA">
      <w:pPr>
        <w:pStyle w:val="Heading3"/>
        <w:rPr>
          <w:rFonts w:cs="Times New Roman"/>
        </w:rPr>
      </w:pPr>
      <w:r w:rsidRPr="00E23412">
        <w:rPr>
          <w:rFonts w:cs="Times New Roman"/>
        </w:rPr>
        <w:lastRenderedPageBreak/>
        <w:t xml:space="preserve">Epistemic Disobedience </w:t>
      </w:r>
    </w:p>
    <w:p w14:paraId="5F58005B" w14:textId="77777777" w:rsidR="00F430AA" w:rsidRPr="00E23412" w:rsidRDefault="00F430AA" w:rsidP="00F430AA">
      <w:pPr>
        <w:pStyle w:val="Nothing"/>
      </w:pPr>
    </w:p>
    <w:p w14:paraId="4E129F84" w14:textId="77777777" w:rsidR="00F430AA" w:rsidRPr="006F07DE" w:rsidRDefault="00F430AA" w:rsidP="00F430AA">
      <w:pPr>
        <w:pStyle w:val="Heading4"/>
      </w:pPr>
      <w:r w:rsidRPr="006F07DE">
        <w:t xml:space="preserve">Acts of epistemic disobedience uncover the invisible violence of modernity and create the space for the perspective of the Global South </w:t>
      </w:r>
    </w:p>
    <w:p w14:paraId="3B7E597B" w14:textId="77777777" w:rsidR="00F430AA" w:rsidRPr="006F07DE" w:rsidRDefault="00F430AA" w:rsidP="00F430AA">
      <w:pPr>
        <w:rPr>
          <w:rStyle w:val="Style13ptBold"/>
        </w:rPr>
      </w:pPr>
      <w:proofErr w:type="spellStart"/>
      <w:r w:rsidRPr="006F07DE">
        <w:rPr>
          <w:rStyle w:val="Style13ptBold"/>
        </w:rPr>
        <w:t>Mignolo</w:t>
      </w:r>
      <w:proofErr w:type="spellEnd"/>
      <w:r w:rsidRPr="006F07DE">
        <w:rPr>
          <w:rStyle w:val="Style13ptBold"/>
        </w:rPr>
        <w:t>, Professor of Literature in Duke University, Joint Appointments in Cultural Anthropology and Romance Studies, 12</w:t>
      </w:r>
    </w:p>
    <w:p w14:paraId="793B84F1" w14:textId="77777777" w:rsidR="00F430AA" w:rsidRPr="006F07DE" w:rsidRDefault="00F430AA" w:rsidP="00F430AA">
      <w:r w:rsidRPr="006F07DE">
        <w:t xml:space="preserve">Walter, “Epistemic Disobedience and the Decolonial Option: A Manifesto,” </w:t>
      </w:r>
      <w:proofErr w:type="spellStart"/>
      <w:r w:rsidRPr="006F07DE">
        <w:t>Transmodernity</w:t>
      </w:r>
      <w:proofErr w:type="spellEnd"/>
      <w:r w:rsidRPr="006F07DE">
        <w:t xml:space="preserve">: Journal of Peripheral Cultural Production of the </w:t>
      </w:r>
      <w:proofErr w:type="spellStart"/>
      <w:r w:rsidRPr="006F07DE">
        <w:t>Luso</w:t>
      </w:r>
      <w:proofErr w:type="spellEnd"/>
      <w:r w:rsidRPr="006F07DE">
        <w:t>-Hispanic World, 45-46)</w:t>
      </w:r>
    </w:p>
    <w:p w14:paraId="7B6819C4" w14:textId="77777777" w:rsidR="00F430AA" w:rsidRPr="00E23412" w:rsidRDefault="00F430AA" w:rsidP="00F430AA">
      <w:pPr>
        <w:pStyle w:val="Nothing"/>
      </w:pPr>
    </w:p>
    <w:p w14:paraId="63B17D18" w14:textId="3711C419" w:rsidR="00F430AA" w:rsidRDefault="00F430AA" w:rsidP="00F430AA">
      <w:pPr>
        <w:rPr>
          <w:rStyle w:val="StyleUnderline"/>
        </w:rPr>
      </w:pPr>
      <w:r w:rsidRPr="00E23412">
        <w:t xml:space="preserve">But the basic formulation of decolonial delinking (e.g., </w:t>
      </w:r>
      <w:proofErr w:type="spellStart"/>
      <w:r w:rsidRPr="00E23412">
        <w:t>desprendimiento</w:t>
      </w:r>
      <w:proofErr w:type="spellEnd"/>
      <w:r w:rsidRPr="00E23412">
        <w:t xml:space="preserve">) was advanced by </w:t>
      </w:r>
      <w:proofErr w:type="spellStart"/>
      <w:r w:rsidRPr="00E23412">
        <w:t>Aníbal</w:t>
      </w:r>
      <w:proofErr w:type="spellEnd"/>
      <w:r w:rsidRPr="00E23412">
        <w:t xml:space="preserve"> Quijano in his ground-breaking article “</w:t>
      </w:r>
      <w:proofErr w:type="spellStart"/>
      <w:r w:rsidRPr="00E23412">
        <w:t>Colonialidad</w:t>
      </w:r>
      <w:proofErr w:type="spellEnd"/>
      <w:r w:rsidRPr="00E23412">
        <w:t xml:space="preserve"> y </w:t>
      </w:r>
      <w:proofErr w:type="spellStart"/>
      <w:r w:rsidRPr="00E23412">
        <w:t>modernidad</w:t>
      </w:r>
      <w:proofErr w:type="spellEnd"/>
      <w:r w:rsidRPr="00E23412">
        <w:t>/</w:t>
      </w:r>
      <w:proofErr w:type="spellStart"/>
      <w:r w:rsidRPr="00E23412">
        <w:t>racionalidad</w:t>
      </w:r>
      <w:proofErr w:type="spellEnd"/>
      <w:r w:rsidRPr="00E23412">
        <w:t xml:space="preserve">” (1991) [Coloniality and modernity/rationality]. The argument was that, on the one hand, </w:t>
      </w:r>
      <w:r w:rsidRPr="00E23412">
        <w:rPr>
          <w:rStyle w:val="StyleUnderline"/>
        </w:rPr>
        <w:t xml:space="preserve">an analytic of the limits of Eurocentrism </w:t>
      </w:r>
      <w:r w:rsidRPr="00E23412">
        <w:t xml:space="preserve">(as a hegemonic structure of knowledge and beliefs) </w:t>
      </w:r>
      <w:r w:rsidRPr="00E23412">
        <w:rPr>
          <w:rStyle w:val="StyleUnderline"/>
        </w:rPr>
        <w:t>is needed</w:t>
      </w:r>
      <w:r w:rsidRPr="00E23412">
        <w:t xml:space="preserve">. But that analytic was considered necessary rather than </w:t>
      </w:r>
      <w:proofErr w:type="gramStart"/>
      <w:r w:rsidRPr="00E23412">
        <w:t>sufficient</w:t>
      </w:r>
      <w:proofErr w:type="gramEnd"/>
      <w:r w:rsidRPr="00E23412">
        <w:rPr>
          <w:rStyle w:val="StyleUnderline"/>
        </w:rPr>
        <w:t>. It was necessary</w:t>
      </w:r>
      <w:r w:rsidRPr="00E23412">
        <w:t>, Quijano asserted, “</w:t>
      </w:r>
      <w:proofErr w:type="spellStart"/>
      <w:r w:rsidRPr="00E23412">
        <w:t>desprenderse</w:t>
      </w:r>
      <w:proofErr w:type="spellEnd"/>
      <w:r w:rsidRPr="00E23412">
        <w:t xml:space="preserve"> de las </w:t>
      </w:r>
      <w:proofErr w:type="spellStart"/>
      <w:r w:rsidRPr="00E23412">
        <w:t>vinculaciones</w:t>
      </w:r>
      <w:proofErr w:type="spellEnd"/>
      <w:r w:rsidRPr="00E23412">
        <w:t xml:space="preserve"> de la </w:t>
      </w:r>
      <w:proofErr w:type="spellStart"/>
      <w:r w:rsidRPr="00E23412">
        <w:t>racionalidad-modernidad</w:t>
      </w:r>
      <w:proofErr w:type="spellEnd"/>
      <w:r w:rsidRPr="00E23412">
        <w:t xml:space="preserve"> con la </w:t>
      </w:r>
      <w:proofErr w:type="spellStart"/>
      <w:r w:rsidRPr="00E23412">
        <w:t>colonialidad</w:t>
      </w:r>
      <w:proofErr w:type="spellEnd"/>
      <w:r w:rsidRPr="00E23412">
        <w:t xml:space="preserve">, </w:t>
      </w:r>
      <w:proofErr w:type="spellStart"/>
      <w:r w:rsidRPr="00E23412">
        <w:t>en</w:t>
      </w:r>
      <w:proofErr w:type="spellEnd"/>
      <w:r w:rsidRPr="00E23412">
        <w:t xml:space="preserve"> primer </w:t>
      </w:r>
      <w:proofErr w:type="spellStart"/>
      <w:r w:rsidRPr="00E23412">
        <w:t>término</w:t>
      </w:r>
      <w:proofErr w:type="spellEnd"/>
      <w:r w:rsidRPr="00E23412">
        <w:t xml:space="preserve">, y </w:t>
      </w:r>
      <w:proofErr w:type="spellStart"/>
      <w:r w:rsidRPr="00E23412">
        <w:t>en</w:t>
      </w:r>
      <w:proofErr w:type="spellEnd"/>
      <w:r w:rsidRPr="00E23412">
        <w:t xml:space="preserve"> </w:t>
      </w:r>
      <w:proofErr w:type="spellStart"/>
      <w:r w:rsidRPr="00E23412">
        <w:t>definitiva</w:t>
      </w:r>
      <w:proofErr w:type="spellEnd"/>
      <w:r w:rsidRPr="00E23412">
        <w:t xml:space="preserve"> con </w:t>
      </w:r>
      <w:proofErr w:type="spellStart"/>
      <w:r w:rsidRPr="00E23412">
        <w:t>todo</w:t>
      </w:r>
      <w:proofErr w:type="spellEnd"/>
      <w:r w:rsidRPr="00E23412">
        <w:t xml:space="preserve"> </w:t>
      </w:r>
      <w:proofErr w:type="spellStart"/>
      <w:r w:rsidRPr="00E23412">
        <w:t>poder</w:t>
      </w:r>
      <w:proofErr w:type="spellEnd"/>
      <w:r w:rsidRPr="00E23412">
        <w:t xml:space="preserve"> no </w:t>
      </w:r>
      <w:proofErr w:type="spellStart"/>
      <w:r w:rsidRPr="00E23412">
        <w:t>constituido</w:t>
      </w:r>
      <w:proofErr w:type="spellEnd"/>
      <w:r w:rsidRPr="00E23412">
        <w:t xml:space="preserve"> </w:t>
      </w:r>
      <w:proofErr w:type="spellStart"/>
      <w:r w:rsidRPr="00E23412">
        <w:t>en</w:t>
      </w:r>
      <w:proofErr w:type="spellEnd"/>
      <w:r w:rsidRPr="00E23412">
        <w:t xml:space="preserve"> la </w:t>
      </w:r>
      <w:proofErr w:type="spellStart"/>
      <w:r w:rsidRPr="00E23412">
        <w:t>decisión</w:t>
      </w:r>
      <w:proofErr w:type="spellEnd"/>
      <w:r w:rsidRPr="00E23412">
        <w:t xml:space="preserve"> libre de </w:t>
      </w:r>
      <w:proofErr w:type="spellStart"/>
      <w:r w:rsidRPr="00E23412">
        <w:t>gentes</w:t>
      </w:r>
      <w:proofErr w:type="spellEnd"/>
      <w:r w:rsidRPr="00E23412">
        <w:t xml:space="preserve"> </w:t>
      </w:r>
      <w:proofErr w:type="spellStart"/>
      <w:r w:rsidRPr="00E23412">
        <w:t>libres</w:t>
      </w:r>
      <w:proofErr w:type="spellEnd"/>
      <w:r w:rsidRPr="00E23412">
        <w:t>” [“</w:t>
      </w:r>
      <w:r w:rsidRPr="00E23412">
        <w:rPr>
          <w:rStyle w:val="StyleUnderline"/>
        </w:rPr>
        <w:t>It is</w:t>
      </w:r>
      <w:r w:rsidRPr="00E23412">
        <w:t xml:space="preserve"> </w:t>
      </w:r>
      <w:r w:rsidRPr="00E23412">
        <w:rPr>
          <w:rStyle w:val="StyleUnderline"/>
        </w:rPr>
        <w:t>necessary to extricate oneself from the linkages between rationality/modernity and coloniality</w:t>
      </w:r>
      <w:r w:rsidRPr="00E23412">
        <w:t xml:space="preserve">, first of all, </w:t>
      </w:r>
      <w:r w:rsidRPr="00E23412">
        <w:rPr>
          <w:rStyle w:val="StyleUnderline"/>
        </w:rPr>
        <w:t>and</w:t>
      </w:r>
      <w:r w:rsidRPr="00E23412">
        <w:t xml:space="preserve"> definitely </w:t>
      </w:r>
      <w:r w:rsidRPr="00E23412">
        <w:rPr>
          <w:rStyle w:val="StyleUnderline"/>
        </w:rPr>
        <w:t>from all power which is not constituted by free decisions made by free people</w:t>
      </w:r>
      <w:r w:rsidRPr="00E23412">
        <w:t>”].4 “</w:t>
      </w:r>
      <w:proofErr w:type="spellStart"/>
      <w:r w:rsidRPr="00E23412">
        <w:t>Desprenderse</w:t>
      </w:r>
      <w:proofErr w:type="spellEnd"/>
      <w:r w:rsidRPr="00E23412">
        <w:t xml:space="preserve">” means epistemic de-linking or, in other words, epistemic disobedience. </w:t>
      </w:r>
      <w:r w:rsidRPr="00E23412">
        <w:rPr>
          <w:rStyle w:val="StyleUnderline"/>
        </w:rPr>
        <w:t xml:space="preserve">Epistemic disobedience leads us to decolonial options as a set of projects that have in common the effects experienced by all the inhabitants of the globe that were at the receiving end of global designs to colonize the economy </w:t>
      </w:r>
      <w:r w:rsidRPr="00E23412">
        <w:t xml:space="preserve">(appropriation of land and natural resources), </w:t>
      </w:r>
      <w:r w:rsidRPr="00E23412">
        <w:rPr>
          <w:rStyle w:val="StyleUnderline"/>
        </w:rPr>
        <w:t>authority</w:t>
      </w:r>
      <w:r w:rsidRPr="00E23412">
        <w:t xml:space="preserve"> (management by the Monarch, the State, or the Church), </w:t>
      </w:r>
      <w:r w:rsidRPr="00E23412">
        <w:rPr>
          <w:rStyle w:val="StyleUnderline"/>
        </w:rPr>
        <w:t>and police and military enforcement</w:t>
      </w:r>
      <w:r w:rsidRPr="00E23412">
        <w:t xml:space="preserve"> (coloniality of power), </w:t>
      </w:r>
      <w:r w:rsidRPr="00E23412">
        <w:rPr>
          <w:rStyle w:val="StyleUnderline"/>
        </w:rPr>
        <w:t>to colonize knowledges</w:t>
      </w:r>
      <w:r w:rsidRPr="00E23412">
        <w:t xml:space="preserve"> (languages, categories of thoughts, belief systems, etc.) </w:t>
      </w:r>
      <w:r w:rsidRPr="00E23412">
        <w:rPr>
          <w:rStyle w:val="StyleUnderline"/>
        </w:rPr>
        <w:t>and beings</w:t>
      </w:r>
      <w:r w:rsidRPr="00E23412">
        <w:t xml:space="preserve"> (subjectivity). “</w:t>
      </w:r>
      <w:r w:rsidRPr="00E23412">
        <w:rPr>
          <w:rStyle w:val="StyleUnderline"/>
        </w:rPr>
        <w:t>Delinking” is</w:t>
      </w:r>
      <w:r w:rsidRPr="00E23412">
        <w:t xml:space="preserve"> then </w:t>
      </w:r>
      <w:r w:rsidRPr="00E23412">
        <w:rPr>
          <w:rStyle w:val="StyleUnderline"/>
        </w:rPr>
        <w:t>necessary because there is no way out of the coloniality of power from within Western</w:t>
      </w:r>
      <w:r w:rsidRPr="00E23412">
        <w:t xml:space="preserve"> (Greek and Latin) categories of </w:t>
      </w:r>
      <w:r w:rsidRPr="00E23412">
        <w:rPr>
          <w:rStyle w:val="StyleUnderline"/>
        </w:rPr>
        <w:t>thought</w:t>
      </w:r>
      <w:r w:rsidRPr="00E23412">
        <w:t xml:space="preserve">. Consequently, </w:t>
      </w:r>
      <w:r w:rsidRPr="00E23412">
        <w:rPr>
          <w:rStyle w:val="StyleUnderline"/>
        </w:rPr>
        <w:t>de-linking implies epistemic disobedience</w:t>
      </w:r>
      <w:r w:rsidRPr="00E23412">
        <w:t xml:space="preserve"> rather than the constant search for “newness” (e.g., as if Michel Foucault’s concept of racism and power were “better” or more “appropriate” because they are “newer”—that is, post-modern—within the chronological history or archaeology of European ideas). </w:t>
      </w:r>
      <w:r w:rsidRPr="00E23412">
        <w:rPr>
          <w:rStyle w:val="StyleUnderline"/>
        </w:rPr>
        <w:t xml:space="preserve">Epistemic disobedience takes us to a </w:t>
      </w:r>
      <w:r w:rsidRPr="00E23412">
        <w:t xml:space="preserve">different place, to a </w:t>
      </w:r>
      <w:r w:rsidRPr="00E23412">
        <w:rPr>
          <w:rStyle w:val="StyleUnderline"/>
        </w:rPr>
        <w:t>different “beginning</w:t>
      </w:r>
      <w:r w:rsidRPr="00E23412">
        <w:t xml:space="preserve">” (not in Greece, but in the responses to the “conquest and colonization” of America and the massive trade of enslaved Africans), </w:t>
      </w:r>
      <w:r w:rsidRPr="00E23412">
        <w:rPr>
          <w:rStyle w:val="StyleUnderline"/>
        </w:rPr>
        <w:t>to spatial sites of struggles and building</w:t>
      </w:r>
      <w:r w:rsidRPr="00E23412">
        <w:t xml:space="preserve"> rather than to a new temporality </w:t>
      </w:r>
      <w:r w:rsidRPr="00E23412">
        <w:rPr>
          <w:rStyle w:val="StyleUnderline"/>
        </w:rPr>
        <w:t>within the same space</w:t>
      </w:r>
      <w:r w:rsidRPr="00E23412">
        <w:t xml:space="preserve"> (from Greece, to Rome, to Paris, to London, to Washington DC). I will explore the </w:t>
      </w:r>
      <w:proofErr w:type="gramStart"/>
      <w:r w:rsidRPr="00E23412">
        <w:t>opening up</w:t>
      </w:r>
      <w:proofErr w:type="gramEnd"/>
      <w:r w:rsidRPr="00E23412">
        <w:t xml:space="preserve"> of these spaces—the spatial paradigmatic breaks of epistemic disobedience—in Waman Puma de Ayala and </w:t>
      </w:r>
      <w:proofErr w:type="spellStart"/>
      <w:r w:rsidRPr="00E23412">
        <w:t>Ottabah</w:t>
      </w:r>
      <w:proofErr w:type="spellEnd"/>
      <w:r w:rsidRPr="00E23412">
        <w:t xml:space="preserve"> </w:t>
      </w:r>
      <w:proofErr w:type="spellStart"/>
      <w:r w:rsidRPr="00E23412">
        <w:t>Cugoano</w:t>
      </w:r>
      <w:proofErr w:type="spellEnd"/>
      <w:r w:rsidRPr="00E23412">
        <w:t>. The basic argument (almost a syllogism) that I will develop here is the following</w:t>
      </w:r>
      <w:r w:rsidRPr="00E23412">
        <w:rPr>
          <w:rStyle w:val="StyleUnderline"/>
        </w:rPr>
        <w:t>: if coloniality is constitutive of modernity</w:t>
      </w:r>
      <w:r w:rsidRPr="00E23412">
        <w:t xml:space="preserve"> since the salvationist rhetoric of modernity presupposes the oppressive and condemnatory logic of coloniality (from there come the </w:t>
      </w:r>
      <w:proofErr w:type="spellStart"/>
      <w:r w:rsidRPr="00E23412">
        <w:t>damnés</w:t>
      </w:r>
      <w:proofErr w:type="spellEnd"/>
      <w:r w:rsidRPr="00E23412">
        <w:t xml:space="preserve"> of Fanon), </w:t>
      </w:r>
      <w:r w:rsidRPr="00E23412">
        <w:rPr>
          <w:rStyle w:val="StyleUnderline"/>
        </w:rPr>
        <w:t>then this oppressive logic produces an energy of discontent, of distrust, of release within those who react against imperial violence.</w:t>
      </w:r>
      <w:r w:rsidRPr="00E23412">
        <w:t xml:space="preserve"> </w:t>
      </w:r>
      <w:r w:rsidRPr="00E23412">
        <w:rPr>
          <w:rStyle w:val="StyleUnderline"/>
        </w:rPr>
        <w:t xml:space="preserve">This energy is translated into decolonial projects </w:t>
      </w:r>
      <w:r w:rsidRPr="00E23412">
        <w:t xml:space="preserve">that, as a last resort, are also constitutive of modernity. </w:t>
      </w:r>
      <w:r w:rsidRPr="00E23412">
        <w:rPr>
          <w:rStyle w:val="StyleUnderline"/>
        </w:rPr>
        <w:t>Modernity is a three-headed hydra</w:t>
      </w:r>
      <w:r w:rsidRPr="00E23412">
        <w:t xml:space="preserve">, </w:t>
      </w:r>
      <w:r w:rsidRPr="00E23412">
        <w:rPr>
          <w:rStyle w:val="StyleUnderline"/>
        </w:rPr>
        <w:t>even though it only reveals one head:</w:t>
      </w:r>
      <w:r w:rsidRPr="00E23412">
        <w:t xml:space="preserve"> </w:t>
      </w:r>
      <w:r w:rsidRPr="00E23412">
        <w:rPr>
          <w:rStyle w:val="StyleUnderline"/>
        </w:rPr>
        <w:t>the</w:t>
      </w:r>
      <w:r w:rsidRPr="00E23412">
        <w:t xml:space="preserve"> </w:t>
      </w:r>
      <w:r w:rsidRPr="00E23412">
        <w:rPr>
          <w:rStyle w:val="StyleUnderline"/>
        </w:rPr>
        <w:t>rhetoric of</w:t>
      </w:r>
      <w:r w:rsidRPr="00E23412">
        <w:t xml:space="preserve"> </w:t>
      </w:r>
      <w:r w:rsidRPr="00E23412">
        <w:rPr>
          <w:rStyle w:val="StyleUnderline"/>
        </w:rPr>
        <w:t>salvation and progress</w:t>
      </w:r>
      <w:r w:rsidRPr="00E23412">
        <w:t xml:space="preserve">. </w:t>
      </w:r>
      <w:r w:rsidRPr="00E23412">
        <w:rPr>
          <w:rStyle w:val="StyleUnderline"/>
        </w:rPr>
        <w:t>Coloniality</w:t>
      </w:r>
      <w:r w:rsidRPr="00E23412">
        <w:t xml:space="preserve">, </w:t>
      </w:r>
      <w:r w:rsidRPr="00E23412">
        <w:rPr>
          <w:rStyle w:val="StyleUnderline"/>
        </w:rPr>
        <w:t>one of whose facets is poverty</w:t>
      </w:r>
      <w:r w:rsidRPr="00E23412">
        <w:t xml:space="preserve"> and the propagation of AIDS in Africa, </w:t>
      </w:r>
      <w:r w:rsidRPr="00E23412">
        <w:rPr>
          <w:rStyle w:val="StyleUnderline"/>
        </w:rPr>
        <w:t>does not appear in the rhetoric of modernity</w:t>
      </w:r>
      <w:r w:rsidRPr="00E23412">
        <w:t xml:space="preserve"> </w:t>
      </w:r>
      <w:r w:rsidRPr="00E23412">
        <w:rPr>
          <w:rStyle w:val="StyleUnderline"/>
        </w:rPr>
        <w:t>as its necessary counterpart, but rather as something that emanates from it.</w:t>
      </w:r>
      <w:r w:rsidRPr="00E23412">
        <w:t xml:space="preserve"> </w:t>
      </w:r>
      <w:r w:rsidRPr="00E23412">
        <w:rPr>
          <w:rStyle w:val="StyleUnderline"/>
        </w:rPr>
        <w:t>For example</w:t>
      </w:r>
      <w:r w:rsidRPr="00E23412">
        <w:t xml:space="preserve">, </w:t>
      </w:r>
      <w:r w:rsidRPr="00E23412">
        <w:rPr>
          <w:rStyle w:val="StyleUnderline"/>
        </w:rPr>
        <w:t>the Millennium Plan</w:t>
      </w:r>
      <w:r w:rsidRPr="00E23412">
        <w:t xml:space="preserve"> of the United Nations headed by Kofi Anan, </w:t>
      </w:r>
      <w:r w:rsidRPr="00E23412">
        <w:rPr>
          <w:rStyle w:val="StyleUnderline"/>
        </w:rPr>
        <w:t xml:space="preserve">and the </w:t>
      </w:r>
      <w:r w:rsidRPr="00E23412">
        <w:rPr>
          <w:rStyle w:val="StyleUnderline"/>
        </w:rPr>
        <w:lastRenderedPageBreak/>
        <w:t>Earth Institute</w:t>
      </w:r>
      <w:r w:rsidRPr="00E23412">
        <w:t xml:space="preserve"> at Columbia University headed by Jeffrey Sachs, </w:t>
      </w:r>
      <w:r w:rsidRPr="00E23412">
        <w:rPr>
          <w:rStyle w:val="StyleUnderline"/>
        </w:rPr>
        <w:t>work in collaboration to end poverty</w:t>
      </w:r>
      <w:r w:rsidRPr="00E23412">
        <w:t xml:space="preserve"> (as the title of </w:t>
      </w:r>
      <w:proofErr w:type="spellStart"/>
      <w:r w:rsidRPr="00E23412">
        <w:t>Sach’s</w:t>
      </w:r>
      <w:proofErr w:type="spellEnd"/>
      <w:r w:rsidRPr="00E23412">
        <w:t xml:space="preserve"> book announces).5 But, while </w:t>
      </w:r>
      <w:r w:rsidRPr="00E23412">
        <w:rPr>
          <w:rStyle w:val="StyleUnderline"/>
        </w:rPr>
        <w:t>they question the unfortunate consequences of modernity</w:t>
      </w:r>
      <w:r w:rsidRPr="00E23412">
        <w:t xml:space="preserve">, </w:t>
      </w:r>
      <w:r w:rsidRPr="00E23412">
        <w:rPr>
          <w:rStyle w:val="StyleUnderline"/>
        </w:rPr>
        <w:t>never for a moment is the ideology of modernity or the black pits that hide its rhetoric ever questioned</w:t>
      </w:r>
      <w:r w:rsidRPr="00E23412">
        <w:t xml:space="preserve">: the consequences of the very nature of the capitalist economy—by which such ideology is supported—in its various facets since the mercantilism of the sixteenth century, free trade of the following centuries, the Industrial Revolution of the nineteenth century, and the technological revolution of the twentieth century. On the other hand, despite all the debate in the media about the war against terrorism, on one side, and all types of uprisings, of protests and social movements, </w:t>
      </w:r>
      <w:r w:rsidRPr="00E23412">
        <w:rPr>
          <w:rStyle w:val="StyleUnderline"/>
        </w:rPr>
        <w:t>it is</w:t>
      </w:r>
      <w:r w:rsidRPr="00E23412">
        <w:t xml:space="preserve"> never suggested that </w:t>
      </w:r>
      <w:r w:rsidRPr="00E23412">
        <w:rPr>
          <w:rStyle w:val="StyleUnderline"/>
        </w:rPr>
        <w:t>the logic of</w:t>
      </w:r>
      <w:r w:rsidRPr="00E23412">
        <w:t xml:space="preserve"> </w:t>
      </w:r>
      <w:r w:rsidRPr="00E23412">
        <w:rPr>
          <w:rStyle w:val="StyleUnderline"/>
        </w:rPr>
        <w:t>coloniality</w:t>
      </w:r>
      <w:r w:rsidRPr="00E23412">
        <w:t xml:space="preserve"> that </w:t>
      </w:r>
      <w:r w:rsidRPr="00E23412">
        <w:rPr>
          <w:rStyle w:val="StyleUnderline"/>
        </w:rPr>
        <w:t>hides beneath the rhetoric of modernity necessarily generates the irreducible energy of humiliated, vilified, forgotten, or marginalized human beings.</w:t>
      </w:r>
      <w:r w:rsidRPr="00E23412">
        <w:t xml:space="preserve"> </w:t>
      </w:r>
      <w:r w:rsidRPr="00E23412">
        <w:rPr>
          <w:rStyle w:val="StyleUnderline"/>
        </w:rPr>
        <w:t>Decoloniality is</w:t>
      </w:r>
      <w:r w:rsidRPr="00E23412">
        <w:t xml:space="preserve"> therefore </w:t>
      </w:r>
      <w:r w:rsidRPr="00E23412">
        <w:rPr>
          <w:rStyle w:val="StyleUnderline"/>
        </w:rPr>
        <w:t>the energy that does not allow the operation of the logic of coloniality</w:t>
      </w:r>
      <w:r w:rsidRPr="00E23412">
        <w:t xml:space="preserve"> </w:t>
      </w:r>
      <w:r w:rsidRPr="00E23412">
        <w:rPr>
          <w:rStyle w:val="StyleUnderline"/>
        </w:rPr>
        <w:t>nor believes the fairy tales of the rhetoric of modernity</w:t>
      </w:r>
      <w:r w:rsidRPr="00E23412">
        <w:t xml:space="preserve">. Therefore, </w:t>
      </w:r>
      <w:r w:rsidRPr="00E23412">
        <w:rPr>
          <w:rStyle w:val="StyleUnderline"/>
        </w:rPr>
        <w:t>decoloniality has a varied range of manifestations</w:t>
      </w:r>
      <w:r w:rsidRPr="00E23412">
        <w:t>—some undesirable, such as those that Washington today describes as “terrorists”—</w:t>
      </w:r>
      <w:r w:rsidRPr="00E23412">
        <w:rPr>
          <w:rStyle w:val="StyleUnderline"/>
        </w:rPr>
        <w:t xml:space="preserve">and decolonial thinking is, </w:t>
      </w:r>
      <w:r w:rsidRPr="00E23412">
        <w:t xml:space="preserve">then, </w:t>
      </w:r>
      <w:r w:rsidRPr="00E23412">
        <w:rPr>
          <w:rStyle w:val="StyleUnderline"/>
        </w:rPr>
        <w:t>thinking that de-links and opens</w:t>
      </w:r>
      <w:r w:rsidRPr="00E23412">
        <w:t xml:space="preserve"> (de-linking and opening in the title come from here) </w:t>
      </w:r>
      <w:r w:rsidRPr="00E23412">
        <w:rPr>
          <w:rStyle w:val="StyleUnderline"/>
        </w:rPr>
        <w:t>to the possibilities hidden</w:t>
      </w:r>
      <w:r w:rsidRPr="00E23412">
        <w:t xml:space="preserve"> (colonized and discredited, such as the traditional, barbarian, primitive, mystic, etc.) </w:t>
      </w:r>
      <w:r w:rsidRPr="00E23412">
        <w:rPr>
          <w:rStyle w:val="StyleUnderline"/>
        </w:rPr>
        <w:t>by the modern rationality</w:t>
      </w:r>
      <w:r w:rsidRPr="00E23412">
        <w:t xml:space="preserve"> that is mounted and </w:t>
      </w:r>
      <w:r w:rsidRPr="00E23412">
        <w:rPr>
          <w:rStyle w:val="StyleUnderline"/>
        </w:rPr>
        <w:t xml:space="preserve">enclosed by categories of </w:t>
      </w:r>
      <w:r w:rsidRPr="00E23412">
        <w:t xml:space="preserve">Greek, Latin, and the six modern </w:t>
      </w:r>
      <w:r w:rsidRPr="00E23412">
        <w:rPr>
          <w:rStyle w:val="StyleUnderline"/>
        </w:rPr>
        <w:t>imperial European languages.</w:t>
      </w:r>
    </w:p>
    <w:p w14:paraId="3F9CCFD8" w14:textId="064E3B54" w:rsidR="00CB3632" w:rsidRPr="00CB3632" w:rsidRDefault="00CB3632" w:rsidP="00CB3632">
      <w:pPr>
        <w:pStyle w:val="Heading3"/>
      </w:pPr>
      <w:r>
        <w:lastRenderedPageBreak/>
        <w:t>Epistemological</w:t>
      </w:r>
      <w:r w:rsidRPr="00CB3632">
        <w:t xml:space="preserve"> solvency</w:t>
      </w:r>
    </w:p>
    <w:p w14:paraId="5A5A683B" w14:textId="77777777" w:rsidR="00CB3632" w:rsidRPr="0052064A" w:rsidRDefault="00CB3632" w:rsidP="00CB3632">
      <w:pPr>
        <w:pStyle w:val="Heading4"/>
      </w:pPr>
      <w:r w:rsidRPr="0052064A">
        <w:t>Breaking down boundaries of knowledge is key to counteract otherwise inevitable neo-imperialist violence</w:t>
      </w:r>
    </w:p>
    <w:p w14:paraId="595D7D64" w14:textId="4DBBC217" w:rsidR="00CB3632" w:rsidRPr="00CB3632" w:rsidRDefault="00CB3632" w:rsidP="00CB3632">
      <w:r w:rsidRPr="00CB3632">
        <w:rPr>
          <w:rStyle w:val="Style13ptBold"/>
        </w:rPr>
        <w:t>McLaren and Kincheloe 05</w:t>
      </w:r>
      <w:r w:rsidRPr="00CB3632">
        <w:t xml:space="preserve"> (Peter Professor of Education, Graduate School of Education and Information Studies @ UCLA and Joe, professor and Canada Research Chair at the Faculty of Education, McGill University in Montreal, Quebec, Canada. The Sage Handbook of Qualitative Research, Third Edition, Eds Norman Denzin and </w:t>
      </w:r>
      <w:proofErr w:type="spellStart"/>
      <w:r w:rsidRPr="00CB3632">
        <w:t>Yvonna</w:t>
      </w:r>
      <w:proofErr w:type="spellEnd"/>
      <w:r w:rsidRPr="00CB3632">
        <w:t xml:space="preserve"> Lincoln)</w:t>
      </w:r>
    </w:p>
    <w:p w14:paraId="72A05CFC" w14:textId="77777777" w:rsidR="00CB3632" w:rsidRPr="0052064A" w:rsidRDefault="00CB3632" w:rsidP="00CB3632">
      <w:pPr>
        <w:rPr>
          <w:rStyle w:val="StyleUnderline"/>
          <w:rFonts w:asciiTheme="majorHAnsi" w:hAnsiTheme="majorHAnsi"/>
          <w:b/>
          <w:bCs/>
        </w:rPr>
      </w:pPr>
      <w:r w:rsidRPr="0052064A">
        <w:t xml:space="preserve">In this context, it is important to note that </w:t>
      </w:r>
      <w:r w:rsidRPr="0052064A">
        <w:rPr>
          <w:rStyle w:val="StyleUnderline"/>
          <w:rFonts w:asciiTheme="majorHAnsi" w:hAnsiTheme="majorHAnsi"/>
        </w:rPr>
        <w:t xml:space="preserve">we understand </w:t>
      </w:r>
      <w:r w:rsidRPr="0052064A">
        <w:t xml:space="preserve">a </w:t>
      </w:r>
      <w:r w:rsidRPr="0052064A">
        <w:rPr>
          <w:rStyle w:val="StyleUnderline"/>
          <w:rFonts w:asciiTheme="majorHAnsi" w:hAnsiTheme="majorHAnsi"/>
        </w:rPr>
        <w:t xml:space="preserve">social theory as a </w:t>
      </w:r>
      <w:r w:rsidRPr="0052064A">
        <w:t xml:space="preserve">map or a </w:t>
      </w:r>
      <w:r w:rsidRPr="0052064A">
        <w:rPr>
          <w:rStyle w:val="StyleUnderline"/>
          <w:rFonts w:asciiTheme="majorHAnsi" w:hAnsiTheme="majorHAnsi"/>
        </w:rPr>
        <w:t>guide to the social sphere</w:t>
      </w:r>
      <w:r w:rsidRPr="0052064A">
        <w:t xml:space="preserve">. In a research context, </w:t>
      </w:r>
      <w:r w:rsidRPr="0052064A">
        <w:rPr>
          <w:rStyle w:val="StyleUnderline"/>
          <w:rFonts w:asciiTheme="majorHAnsi" w:hAnsiTheme="majorHAnsi"/>
        </w:rPr>
        <w:t xml:space="preserve">it </w:t>
      </w:r>
      <w:r w:rsidRPr="0052064A">
        <w:t xml:space="preserve">does not determine how we see the world but </w:t>
      </w:r>
      <w:r w:rsidRPr="0052064A">
        <w:rPr>
          <w:rStyle w:val="StyleUnderline"/>
          <w:rFonts w:asciiTheme="majorHAnsi" w:hAnsiTheme="majorHAnsi"/>
        </w:rPr>
        <w:t xml:space="preserve">helps us devise </w:t>
      </w:r>
      <w:r w:rsidRPr="0052064A">
        <w:t xml:space="preserve">questions and </w:t>
      </w:r>
      <w:r w:rsidRPr="0052064A">
        <w:rPr>
          <w:rStyle w:val="StyleUnderline"/>
          <w:rFonts w:asciiTheme="majorHAnsi" w:hAnsiTheme="majorHAnsi"/>
        </w:rPr>
        <w:t>strategies for exploring it</w:t>
      </w:r>
      <w:r w:rsidRPr="0052064A">
        <w:t xml:space="preserve">. </w:t>
      </w:r>
      <w:r w:rsidRPr="0052064A">
        <w:rPr>
          <w:rStyle w:val="StyleUnderline"/>
          <w:rFonts w:asciiTheme="majorHAnsi" w:hAnsiTheme="majorHAnsi"/>
        </w:rPr>
        <w:t xml:space="preserve">A critical </w:t>
      </w:r>
      <w:r w:rsidRPr="0052064A">
        <w:t xml:space="preserve">social </w:t>
      </w:r>
      <w:r w:rsidRPr="0052064A">
        <w:rPr>
          <w:rStyle w:val="StyleUnderline"/>
          <w:rFonts w:asciiTheme="majorHAnsi" w:hAnsiTheme="majorHAnsi"/>
        </w:rPr>
        <w:t xml:space="preserve">theory is concerned </w:t>
      </w:r>
      <w:r w:rsidRPr="0052064A">
        <w:t xml:space="preserve">in particular </w:t>
      </w:r>
      <w:r w:rsidRPr="0052064A">
        <w:rPr>
          <w:rStyle w:val="StyleUnderline"/>
          <w:rFonts w:asciiTheme="majorHAnsi" w:hAnsiTheme="majorHAnsi"/>
        </w:rPr>
        <w:t xml:space="preserve">with issues of power and justice and the ways </w:t>
      </w:r>
      <w:r w:rsidRPr="0052064A">
        <w:t xml:space="preserve">that the economy; matters of race, class, and gender; </w:t>
      </w:r>
      <w:r w:rsidRPr="0052064A">
        <w:rPr>
          <w:rStyle w:val="StyleUnderline"/>
          <w:rFonts w:asciiTheme="majorHAnsi" w:hAnsiTheme="majorHAnsi"/>
        </w:rPr>
        <w:t>ideologies; discourses</w:t>
      </w:r>
      <w:r w:rsidRPr="0052064A">
        <w:t xml:space="preserve">; education; religion </w:t>
      </w:r>
      <w:r w:rsidRPr="0052064A">
        <w:rPr>
          <w:rStyle w:val="StyleUnderline"/>
          <w:rFonts w:asciiTheme="majorHAnsi" w:hAnsiTheme="majorHAnsi"/>
        </w:rPr>
        <w:t xml:space="preserve">and other </w:t>
      </w:r>
      <w:r w:rsidRPr="0052064A">
        <w:t xml:space="preserve">social </w:t>
      </w:r>
      <w:r w:rsidRPr="0052064A">
        <w:rPr>
          <w:rStyle w:val="StyleUnderline"/>
          <w:rFonts w:asciiTheme="majorHAnsi" w:hAnsiTheme="majorHAnsi"/>
        </w:rPr>
        <w:t>institutions</w:t>
      </w:r>
      <w:r w:rsidRPr="0052064A">
        <w:t xml:space="preserve">; and cultural dynamics </w:t>
      </w:r>
      <w:r w:rsidRPr="0052064A">
        <w:rPr>
          <w:rStyle w:val="StyleUnderline"/>
          <w:rFonts w:asciiTheme="majorHAnsi" w:hAnsiTheme="majorHAnsi"/>
        </w:rPr>
        <w:t xml:space="preserve">interact to construct a social system </w:t>
      </w:r>
      <w:r w:rsidRPr="0052064A">
        <w:t>(Beck-</w:t>
      </w:r>
      <w:proofErr w:type="spellStart"/>
      <w:r w:rsidRPr="0052064A">
        <w:t>Gernsheim</w:t>
      </w:r>
      <w:proofErr w:type="spellEnd"/>
      <w:r w:rsidRPr="0052064A">
        <w:t xml:space="preserve">, Butler, &amp; </w:t>
      </w:r>
      <w:proofErr w:type="spellStart"/>
      <w:r w:rsidRPr="0052064A">
        <w:t>Puigvert</w:t>
      </w:r>
      <w:proofErr w:type="spellEnd"/>
      <w:r w:rsidRPr="0052064A">
        <w:t xml:space="preserve">, 2003; </w:t>
      </w:r>
      <w:proofErr w:type="spellStart"/>
      <w:r w:rsidRPr="0052064A">
        <w:t>Flccha</w:t>
      </w:r>
      <w:proofErr w:type="spellEnd"/>
      <w:r w:rsidRPr="0052064A">
        <w:t xml:space="preserve">, Gomez, &amp; </w:t>
      </w:r>
      <w:proofErr w:type="spellStart"/>
      <w:r w:rsidRPr="0052064A">
        <w:t>Puigvert</w:t>
      </w:r>
      <w:proofErr w:type="spellEnd"/>
      <w:r w:rsidRPr="0052064A">
        <w:t xml:space="preserve">, 2003). Thus, in this context we seek to provide a view of an evolving criticality or a reconceptualized critical theory. </w:t>
      </w:r>
      <w:r w:rsidRPr="0052064A">
        <w:rPr>
          <w:rStyle w:val="StyleUnderline"/>
          <w:rFonts w:asciiTheme="majorHAnsi" w:hAnsiTheme="majorHAnsi"/>
        </w:rPr>
        <w:t>Critical theory is never static</w:t>
      </w:r>
      <w:r w:rsidRPr="0052064A">
        <w:t xml:space="preserve">; it is always evolving, changing </w:t>
      </w:r>
      <w:proofErr w:type="gramStart"/>
      <w:r w:rsidRPr="0052064A">
        <w:t>in light of</w:t>
      </w:r>
      <w:proofErr w:type="gramEnd"/>
      <w:r w:rsidRPr="0052064A">
        <w:t xml:space="preserve"> both new theoretical insights and new problems and social circumstances.  The list of concepts elucidating our articulation of critical theory indicates a criticality informed by a variety of discourses emerging after the work of the Frankfurt School Indeed, some of the theoretical discourses, while referring to themselves as critical, directly call into question some of the work of Horkheimer, Adorno, and Marcuse. Thus, diverse theoretical traditions have informed our understanding of criticality and have demanded understanding of diverse forms of oppression including class, race, gender, sexual, cultural, religious, colonial, and ability-related concerns. The evolving notion of criticality we present is informed by, while critiquing, the post-discourses—for example, postmodernism, poststructuralism, and postcolonialism. In this context, critical </w:t>
      </w:r>
      <w:r w:rsidRPr="0052064A">
        <w:rPr>
          <w:rStyle w:val="StyleUnderline"/>
          <w:rFonts w:asciiTheme="majorHAnsi" w:hAnsiTheme="majorHAnsi"/>
        </w:rPr>
        <w:t>theorists become detectives of new theoretical insights, perpetually searching for new and interconnected ways of understanding power and oppression and the ways they shape everyday life</w:t>
      </w:r>
      <w:r w:rsidRPr="0052064A">
        <w:t xml:space="preserve"> and human experience. In this context, </w:t>
      </w:r>
      <w:r w:rsidRPr="0052064A">
        <w:rPr>
          <w:rStyle w:val="StyleUnderline"/>
          <w:rFonts w:asciiTheme="majorHAnsi" w:hAnsiTheme="majorHAnsi"/>
        </w:rPr>
        <w:t>criticality and the research it supports are always</w:t>
      </w:r>
      <w:r w:rsidRPr="0052064A">
        <w:t xml:space="preserve"> evolving, always </w:t>
      </w:r>
      <w:r w:rsidRPr="0052064A">
        <w:rPr>
          <w:rStyle w:val="StyleUnderline"/>
          <w:rFonts w:asciiTheme="majorHAnsi" w:hAnsiTheme="majorHAnsi"/>
        </w:rPr>
        <w:t>encountering new ways to irritate dominant forms of power, to provide more evocative and compelling insights.</w:t>
      </w:r>
      <w:r w:rsidRPr="0052064A">
        <w:t xml:space="preserve"> Operating in this way, an evolving criticality is always vulnerable to exclusion from the domain of approved modes of research. </w:t>
      </w:r>
      <w:r w:rsidRPr="0052064A">
        <w:rPr>
          <w:rStyle w:val="StyleUnderline"/>
          <w:rFonts w:asciiTheme="majorHAnsi" w:hAnsiTheme="majorHAnsi"/>
        </w:rPr>
        <w:t>The forms of social change it supports always position it in some places as an outsider, an awkward detective always interested in uncovering social structures, discourses, ideologies, and epistemologies that prop up both the status quo and a variety of forms of privilege. In the epistemological domain</w:t>
      </w:r>
      <w:r w:rsidRPr="0052064A">
        <w:t>, white, male, class elitist, heterosexist</w:t>
      </w:r>
      <w:r w:rsidRPr="0052064A">
        <w:rPr>
          <w:rStyle w:val="StyleUnderline"/>
          <w:rFonts w:asciiTheme="majorHAnsi" w:hAnsiTheme="majorHAnsi"/>
        </w:rPr>
        <w:t>, imperial, and colonial privilege often operates by asserting the power to claim objectivity and neutrality.</w:t>
      </w:r>
      <w:r w:rsidRPr="0052064A">
        <w:t xml:space="preserve"> Indeed</w:t>
      </w:r>
      <w:r w:rsidRPr="0052064A">
        <w:rPr>
          <w:rStyle w:val="StyleUnderline"/>
          <w:rFonts w:asciiTheme="majorHAnsi" w:hAnsiTheme="majorHAnsi"/>
        </w:rPr>
        <w:t>, the owners of such privilege often own the "franchise" on reason and rationality.</w:t>
      </w:r>
      <w:r w:rsidRPr="0052064A">
        <w:t xml:space="preserve"> </w:t>
      </w:r>
      <w:r w:rsidRPr="0052064A">
        <w:rPr>
          <w:rStyle w:val="StyleUnderline"/>
          <w:rFonts w:asciiTheme="majorHAnsi" w:hAnsiTheme="majorHAnsi"/>
        </w:rPr>
        <w:t>Proponents of an evolving criticality possess a variety of tools to expose such oppressive power politics.</w:t>
      </w:r>
      <w:r w:rsidRPr="0052064A">
        <w:t xml:space="preserve"> Such proponents assert that critical theory is well-served by drawing upon numerous </w:t>
      </w:r>
      <w:proofErr w:type="spellStart"/>
      <w:r w:rsidRPr="0052064A">
        <w:t>liberatory</w:t>
      </w:r>
      <w:proofErr w:type="spellEnd"/>
      <w:r w:rsidRPr="0052064A">
        <w:t xml:space="preserve"> discourses and including diverse groups of marginalized peoples and their allies in the nonhierarchical aggregation of critical analysts {Bello, 2003; Clark, 2002; Humphries, 1997). </w:t>
      </w:r>
      <w:r w:rsidRPr="0052064A">
        <w:rPr>
          <w:rStyle w:val="StyleUnderline"/>
          <w:rFonts w:asciiTheme="majorHAnsi" w:hAnsiTheme="majorHAnsi"/>
        </w:rPr>
        <w:t>In the present era, emerging forms of neocolonialism and neo-imperialism in the United States move critical theorists to examine the wavs American power operates under the cover of establishing democracies all over the world. Advocates of an evolving criticality argue</w:t>
      </w:r>
      <w:r w:rsidRPr="0052064A">
        <w:t>—as we do in more detail later in this chapter—</w:t>
      </w:r>
      <w:r w:rsidRPr="0052064A">
        <w:rPr>
          <w:rStyle w:val="StyleUnderline"/>
          <w:rFonts w:asciiTheme="majorHAnsi" w:hAnsiTheme="majorHAnsi"/>
        </w:rPr>
        <w:t>that such neocolonial power must be exposed so it can be opposed in the United States and around the world. The American Empires justification in the name of freedom for undermining democratically elected governments</w:t>
      </w:r>
      <w:r w:rsidRPr="0052064A">
        <w:t xml:space="preserve"> from Iran (Kincheloe, 2004), Chile, Nicaragua, and Venezuela to </w:t>
      </w:r>
      <w:r w:rsidRPr="0052064A">
        <w:lastRenderedPageBreak/>
        <w:t>Liberia (</w:t>
      </w:r>
      <w:r w:rsidRPr="0052064A">
        <w:rPr>
          <w:rStyle w:val="StyleUnderline"/>
          <w:rFonts w:asciiTheme="majorHAnsi" w:hAnsiTheme="majorHAnsi"/>
        </w:rPr>
        <w:t>when its real purpose is to acquire geopolitical advantage for future military assaults, economic leverage in international markets, and access to natural resources) must be exposed by critical-</w:t>
      </w:r>
      <w:proofErr w:type="spellStart"/>
      <w:r w:rsidRPr="0052064A">
        <w:rPr>
          <w:rStyle w:val="StyleUnderline"/>
          <w:rFonts w:asciiTheme="majorHAnsi" w:hAnsiTheme="majorHAnsi"/>
        </w:rPr>
        <w:t>ists</w:t>
      </w:r>
      <w:proofErr w:type="spellEnd"/>
      <w:r w:rsidRPr="0052064A">
        <w:rPr>
          <w:rStyle w:val="StyleUnderline"/>
          <w:rFonts w:asciiTheme="majorHAnsi" w:hAnsiTheme="majorHAnsi"/>
        </w:rPr>
        <w:t xml:space="preserve"> for what it is—a rank imperialist sham</w:t>
      </w:r>
      <w:r w:rsidRPr="0052064A">
        <w:t xml:space="preserve"> (McLaren, 2003a, 2003b; McLaren &amp; Jaramillo, 2002; McLaren &amp; Martin, 2003). </w:t>
      </w:r>
      <w:r w:rsidRPr="0052064A">
        <w:rPr>
          <w:rStyle w:val="StyleUnderline"/>
          <w:rFonts w:asciiTheme="majorHAnsi" w:hAnsiTheme="majorHAnsi"/>
        </w:rPr>
        <w:t>Critical researchers need to view their work in the context of living and working in a nation-state with the most powerful military-industrial complex in history</w:t>
      </w:r>
      <w:r w:rsidRPr="0052064A">
        <w:t xml:space="preserve"> that is shamefully using the terrorist attacks of September 11 to advance a ruthless imperialist agenda fueled by capitalist accumulation by means of the rule of force (McLaren &amp; Farahmandpur,2003). Chomsky (2003), for instance, has accused the U.S. government of the "supreme crime" of preventive war (in the case of its invasion of Iraq, the use of military force to destroy an invented or imagined threat) of the type that was condemned at </w:t>
      </w:r>
      <w:proofErr w:type="spellStart"/>
      <w:r w:rsidRPr="0052064A">
        <w:t>Kuremburg</w:t>
      </w:r>
      <w:proofErr w:type="spellEnd"/>
      <w:r w:rsidRPr="0052064A">
        <w:t xml:space="preserve">. Others, like historian Arthur Schlesinger (cited in Chomsky, 2003), have likened the invasion of Iraq to Japan's "day of infamy'' that is, to the policy that imperial Japan employed at the time of Pearl Harbor. David G. Smith (2003) argues </w:t>
      </w:r>
      <w:r w:rsidRPr="0052064A">
        <w:rPr>
          <w:rStyle w:val="StyleUnderline"/>
          <w:rFonts w:asciiTheme="majorHAnsi" w:hAnsiTheme="majorHAnsi"/>
        </w:rPr>
        <w:t xml:space="preserve">that such imperial dynamics are supported by </w:t>
      </w:r>
      <w:proofErr w:type="gramStart"/>
      <w:r w:rsidRPr="0052064A">
        <w:rPr>
          <w:rStyle w:val="StyleUnderline"/>
          <w:rFonts w:asciiTheme="majorHAnsi" w:hAnsiTheme="majorHAnsi"/>
        </w:rPr>
        <w:t>particular epistemological</w:t>
      </w:r>
      <w:proofErr w:type="gramEnd"/>
      <w:r w:rsidRPr="0052064A">
        <w:rPr>
          <w:rStyle w:val="StyleUnderline"/>
          <w:rFonts w:asciiTheme="majorHAnsi" w:hAnsiTheme="majorHAnsi"/>
        </w:rPr>
        <w:t xml:space="preserve"> forms. The United States is an epistemological empire based on a notion of truth that undermines the knowledges produced by those outside the good graces and benevolent authority of the empire.</w:t>
      </w:r>
      <w:r w:rsidRPr="0052064A">
        <w:t xml:space="preserve"> Thus, in the 21 </w:t>
      </w:r>
      <w:proofErr w:type="spellStart"/>
      <w:r w:rsidRPr="0052064A">
        <w:t>st</w:t>
      </w:r>
      <w:proofErr w:type="spellEnd"/>
      <w:r w:rsidRPr="0052064A">
        <w:t xml:space="preserve"> century, </w:t>
      </w:r>
      <w:r w:rsidRPr="0052064A">
        <w:rPr>
          <w:rStyle w:val="StyleUnderline"/>
          <w:rFonts w:asciiTheme="majorHAnsi" w:hAnsiTheme="majorHAnsi"/>
        </w:rPr>
        <w:t>critical theorists must develop sophisticated ways to address not only the brute material relations of class rule linked to the mode and relations of capitalist production and imperialist conquest (whether through direct military intervention or indirectly through the creation of client states) but also the epistemological violence that helps discipline the world Smith refers to this violence as a form of "information warfare" that spreads deliberate falsehoods</w:t>
      </w:r>
      <w:r w:rsidRPr="0052064A">
        <w:t xml:space="preserve"> about countries such as Iraq and Iran. </w:t>
      </w:r>
      <w:r w:rsidRPr="0052064A">
        <w:rPr>
          <w:rStyle w:val="StyleUnderline"/>
          <w:rFonts w:asciiTheme="majorHAnsi" w:hAnsiTheme="majorHAnsi"/>
        </w:rPr>
        <w:t xml:space="preserve">U.S. corporate and governmental agents become more sophisticated in the use of such </w:t>
      </w:r>
      <w:proofErr w:type="spellStart"/>
      <w:r w:rsidRPr="0052064A">
        <w:rPr>
          <w:rStyle w:val="StyleUnderline"/>
          <w:rFonts w:asciiTheme="majorHAnsi" w:hAnsiTheme="majorHAnsi"/>
        </w:rPr>
        <w:t>episto</w:t>
      </w:r>
      <w:proofErr w:type="spellEnd"/>
      <w:r w:rsidRPr="0052064A">
        <w:rPr>
          <w:rStyle w:val="StyleUnderline"/>
          <w:rFonts w:asciiTheme="majorHAnsi" w:hAnsiTheme="majorHAnsi"/>
        </w:rPr>
        <w:t>-weaponry with every day that passes.</w:t>
      </w:r>
      <w:r w:rsidRPr="0052064A">
        <w:t xml:space="preserve"> Obviously, </w:t>
      </w:r>
      <w:r w:rsidRPr="0052064A">
        <w:rPr>
          <w:rStyle w:val="StyleUnderline"/>
          <w:rFonts w:asciiTheme="majorHAnsi" w:hAnsiTheme="majorHAnsi"/>
        </w:rPr>
        <w:t>an evolving criticality</w:t>
      </w:r>
      <w:r w:rsidRPr="0052064A">
        <w:t xml:space="preserve"> does not promiscuously choose theoretical discourses to add to the bricolage of critical theories. It </w:t>
      </w:r>
      <w:r w:rsidRPr="0052064A">
        <w:rPr>
          <w:rStyle w:val="StyleUnderline"/>
          <w:rFonts w:asciiTheme="majorHAnsi" w:hAnsiTheme="majorHAnsi"/>
        </w:rPr>
        <w:t>is highly suspicious</w:t>
      </w:r>
      <w:r w:rsidRPr="0052064A">
        <w:t>—as we detail later—</w:t>
      </w:r>
      <w:r w:rsidRPr="0052064A">
        <w:rPr>
          <w:rStyle w:val="StyleUnderline"/>
          <w:rFonts w:asciiTheme="majorHAnsi" w:hAnsiTheme="majorHAnsi"/>
        </w:rPr>
        <w:t>of theories that fail to understand the malevolent workings of power, that fail to critique the blinders of Eurocentrism, that cultivate an elitism of insiders and outsiders, and that fail to discern a global system of inequity supported by diverse forms of ideology and violence. It is uninterested in any theory</w:t>
      </w:r>
      <w:r w:rsidRPr="0052064A">
        <w:t>—no matter how fashionable—</w:t>
      </w:r>
      <w:r w:rsidRPr="0052064A">
        <w:rPr>
          <w:rStyle w:val="StyleUnderline"/>
          <w:rFonts w:asciiTheme="majorHAnsi" w:hAnsiTheme="majorHAnsi"/>
        </w:rPr>
        <w:t>that does not directly address the needs of victims of oppression and the suffering they must endure.</w:t>
      </w:r>
      <w:r w:rsidRPr="0052064A">
        <w:t xml:space="preserve"> The following is an elastic, ever-evolving set of concepts included in our evolving notion of criticality. With theoretical innovations and shifting Zeitgeists, they evolve. The points that are deemed most important in one time period pale in relation to different points in a new era.</w:t>
      </w:r>
    </w:p>
    <w:p w14:paraId="21E7F2CD" w14:textId="77777777" w:rsidR="00CB3632" w:rsidRPr="00E23412" w:rsidRDefault="00CB3632" w:rsidP="00F430AA">
      <w:pPr>
        <w:rPr>
          <w:rStyle w:val="StyleUnderline"/>
        </w:rPr>
      </w:pPr>
    </w:p>
    <w:p w14:paraId="199E168C" w14:textId="5EB57813" w:rsidR="008F7540" w:rsidRDefault="00496255" w:rsidP="00496255">
      <w:pPr>
        <w:pStyle w:val="Heading2"/>
      </w:pPr>
      <w:r>
        <w:lastRenderedPageBreak/>
        <w:t>Framework</w:t>
      </w:r>
    </w:p>
    <w:p w14:paraId="72CC5994" w14:textId="6980DAD9" w:rsidR="002D5F11" w:rsidRDefault="002D5F11" w:rsidP="002D5F11">
      <w:pPr>
        <w:pStyle w:val="Heading3"/>
      </w:pPr>
      <w:r>
        <w:lastRenderedPageBreak/>
        <w:t xml:space="preserve">Role of the </w:t>
      </w:r>
      <w:r w:rsidR="001F6DDC">
        <w:t>Ballot/Judge</w:t>
      </w:r>
    </w:p>
    <w:p w14:paraId="4A7DE134" w14:textId="21308F0A" w:rsidR="001F6DDC" w:rsidRPr="001F6DDC" w:rsidRDefault="001F6DDC" w:rsidP="001F6DDC">
      <w:pPr>
        <w:pStyle w:val="Heading4"/>
      </w:pPr>
      <w:r>
        <w:t>Role of the ballot/judge as decolonial rhetorician</w:t>
      </w:r>
    </w:p>
    <w:p w14:paraId="06616F07" w14:textId="77777777" w:rsidR="002D5F11" w:rsidRPr="006335B2" w:rsidRDefault="002D5F11" w:rsidP="002D5F11">
      <w:pPr>
        <w:rPr>
          <w:rStyle w:val="Style13ptBold"/>
        </w:rPr>
      </w:pPr>
      <w:proofErr w:type="spellStart"/>
      <w:r w:rsidRPr="006335B2">
        <w:rPr>
          <w:rStyle w:val="Style13ptBold"/>
        </w:rPr>
        <w:t>Wanzer</w:t>
      </w:r>
      <w:proofErr w:type="spellEnd"/>
      <w:r w:rsidRPr="006335B2">
        <w:rPr>
          <w:rStyle w:val="Style13ptBold"/>
        </w:rPr>
        <w:t xml:space="preserve">, University of Iowa Communications Assistant Professor, 12 </w:t>
      </w:r>
    </w:p>
    <w:p w14:paraId="62ED2646" w14:textId="77777777" w:rsidR="002D5F11" w:rsidRPr="006335B2" w:rsidRDefault="002D5F11" w:rsidP="002D5F11">
      <w:r w:rsidRPr="006335B2">
        <w:t xml:space="preserve">(Darrel, “Delinking Rhetoric, or Revisiting </w:t>
      </w:r>
      <w:proofErr w:type="spellStart"/>
      <w:r w:rsidRPr="006335B2">
        <w:t>Mcgee’s</w:t>
      </w:r>
      <w:proofErr w:type="spellEnd"/>
      <w:r w:rsidRPr="006335B2">
        <w:t xml:space="preserve"> Fragmentation Thesis Through Decoloniality” Rhetoric and Public Affairs Page 654</w:t>
      </w:r>
      <w:r>
        <w:t>)</w:t>
      </w:r>
    </w:p>
    <w:p w14:paraId="3EE23740" w14:textId="77777777" w:rsidR="002D5F11" w:rsidRPr="00E23412" w:rsidRDefault="002D5F11" w:rsidP="002D5F11">
      <w:pPr>
        <w:rPr>
          <w:rStyle w:val="StyleUnderline"/>
          <w:rFonts w:eastAsiaTheme="majorEastAsia"/>
        </w:rPr>
      </w:pPr>
      <w:r w:rsidRPr="00E23412">
        <w:t xml:space="preserve">In short, I would submit that </w:t>
      </w:r>
      <w:r w:rsidRPr="00E23412">
        <w:rPr>
          <w:rStyle w:val="StyleUnderline"/>
          <w:rFonts w:eastAsiaTheme="majorEastAsia"/>
        </w:rPr>
        <w:t xml:space="preserve">we all </w:t>
      </w:r>
      <w:r w:rsidRPr="00E23412">
        <w:t>(regardless of whether we are interested in discursive con/texts explicitly marked by colonialism or imperialism</w:t>
      </w:r>
      <w:r w:rsidRPr="00E23412">
        <w:rPr>
          <w:rStyle w:val="StyleUnderline"/>
          <w:rFonts w:eastAsiaTheme="majorEastAsia"/>
        </w:rPr>
        <w:t>) must seek to become decolonial rhetoricians. Rather than be “at the service” of Continental philosophy as so many in our ranks seem to be, we should adopt a decolonial attitude that aids in “shifting the geography of reason, by unveiling and enacting geopolitics and body-politics of knowledge” by putting our disciplinary tools in rhetoric “at the service of the problem being addressed.” It is not enough</w:t>
      </w:r>
      <w:r w:rsidRPr="00E23412">
        <w:t>, however</w:t>
      </w:r>
      <w:r w:rsidRPr="00E23412">
        <w:rPr>
          <w:rStyle w:val="StyleUnderline"/>
          <w:rFonts w:eastAsiaTheme="majorEastAsia"/>
        </w:rPr>
        <w:t xml:space="preserve">, to leave this task to scholars of color. Such a move is dangerous insofar as it continues to relegate these important questions to the margins of the discipline while constructing a </w:t>
      </w:r>
      <w:proofErr w:type="spellStart"/>
      <w:r w:rsidRPr="00E23412">
        <w:rPr>
          <w:rStyle w:val="StyleUnderline"/>
          <w:rFonts w:eastAsiaTheme="majorEastAsia"/>
        </w:rPr>
        <w:t>fıction</w:t>
      </w:r>
      <w:proofErr w:type="spellEnd"/>
      <w:r w:rsidRPr="00E23412">
        <w:rPr>
          <w:rStyle w:val="StyleUnderline"/>
          <w:rFonts w:eastAsiaTheme="majorEastAsia"/>
        </w:rPr>
        <w:t xml:space="preserve"> of “inclusion” that remains authorized by the hubris of zero point epistemology.</w:t>
      </w:r>
      <w:r w:rsidRPr="00E23412">
        <w:t xml:space="preserve">45 </w:t>
      </w:r>
      <w:r w:rsidRPr="00E23412">
        <w:rPr>
          <w:rStyle w:val="StyleUnderline"/>
          <w:rFonts w:eastAsiaTheme="majorEastAsia"/>
        </w:rPr>
        <w:t xml:space="preserve">We who are colonized or function in some way Otherwise cannot be the only ones leading the charge to delink rhetoric from modern/coloniality. An ethic of decolonial love requires those who </w:t>
      </w:r>
      <w:proofErr w:type="spellStart"/>
      <w:r w:rsidRPr="00E23412">
        <w:rPr>
          <w:rStyle w:val="StyleUnderline"/>
          <w:rFonts w:eastAsiaTheme="majorEastAsia"/>
        </w:rPr>
        <w:t>benefıt</w:t>
      </w:r>
      <w:proofErr w:type="spellEnd"/>
      <w:r w:rsidRPr="00E23412">
        <w:rPr>
          <w:rStyle w:val="StyleUnderline"/>
          <w:rFonts w:eastAsiaTheme="majorEastAsia"/>
        </w:rPr>
        <w:t xml:space="preserve"> most from the epistemic violence of the West to renounce their privilege, give the gift of hearing, and engage in forms of praxis that can more productively negotiate the borderlands between inside and outside</w:t>
      </w:r>
      <w:r w:rsidRPr="00E23412">
        <w:t xml:space="preserve">, in thought and in being. We need not, as I have shown with McGee, throw out the baby with the bathwater; however, </w:t>
      </w:r>
      <w:r w:rsidRPr="00E23412">
        <w:rPr>
          <w:rStyle w:val="StyleUnderline"/>
          <w:rFonts w:eastAsiaTheme="majorEastAsia"/>
        </w:rPr>
        <w:t>it is crucial that rhetoricians begin to take the decolonial option seriously if we wish to do more than perpetuate “a permanent state of exception”</w:t>
      </w:r>
      <w:r w:rsidRPr="00E23412">
        <w:t>46</w:t>
      </w:r>
      <w:r w:rsidRPr="00E23412">
        <w:rPr>
          <w:rStyle w:val="StyleUnderline"/>
          <w:rFonts w:eastAsiaTheme="majorEastAsia"/>
        </w:rPr>
        <w:t xml:space="preserve"> that dehumanizes people of color and maintains the hubris of a totalizing and exclusionary episteme.</w:t>
      </w:r>
    </w:p>
    <w:p w14:paraId="6057F32B" w14:textId="270A42E5" w:rsidR="00330DEA" w:rsidRPr="00330DEA" w:rsidRDefault="00330DEA" w:rsidP="00330DEA">
      <w:pPr>
        <w:pStyle w:val="Heading3"/>
      </w:pPr>
      <w:r>
        <w:lastRenderedPageBreak/>
        <w:t>Turn - Colonialism DA</w:t>
      </w:r>
    </w:p>
    <w:p w14:paraId="31AED7D9" w14:textId="77777777" w:rsidR="00330DEA" w:rsidRPr="00330DEA" w:rsidRDefault="00330DEA" w:rsidP="00330DEA">
      <w:pPr>
        <w:keepNext/>
        <w:keepLines/>
        <w:spacing w:before="40" w:after="0" w:line="256" w:lineRule="auto"/>
        <w:outlineLvl w:val="3"/>
        <w:rPr>
          <w:rFonts w:eastAsia="MS Gothic"/>
          <w:b/>
          <w:iCs/>
          <w:sz w:val="26"/>
        </w:rPr>
      </w:pPr>
      <w:r w:rsidRPr="00330DEA">
        <w:rPr>
          <w:rFonts w:eastAsia="MS Gothic"/>
          <w:b/>
          <w:iCs/>
          <w:sz w:val="26"/>
        </w:rPr>
        <w:t xml:space="preserve">An anti-colonial framework begins by questioning institutionalized power and privilege. The use of our discursive agency is key to take power from the colonizer and the dominant in society </w:t>
      </w:r>
    </w:p>
    <w:p w14:paraId="3413AA20" w14:textId="54CC5E3D" w:rsidR="00330DEA" w:rsidRPr="00E05477" w:rsidRDefault="00330DEA" w:rsidP="00330DEA">
      <w:pPr>
        <w:rPr>
          <w:rFonts w:eastAsia="Calibri" w:cs="Times New Roman"/>
          <w:bdr w:val="none" w:sz="0" w:space="0" w:color="auto" w:frame="1"/>
        </w:rPr>
      </w:pPr>
      <w:r w:rsidRPr="00330DEA">
        <w:rPr>
          <w:rStyle w:val="Style13ptBold"/>
        </w:rPr>
        <w:t>Dei,</w:t>
      </w:r>
      <w:r>
        <w:rPr>
          <w:rStyle w:val="Style13ptBold"/>
        </w:rPr>
        <w:t xml:space="preserve"> </w:t>
      </w:r>
      <w:r w:rsidRPr="00330DEA">
        <w:rPr>
          <w:rStyle w:val="Style13ptBold"/>
        </w:rPr>
        <w:t xml:space="preserve">Professor of Sociology and Equity Studies@ Ontario Institute for Studies in Education of the University of Toronto, </w:t>
      </w:r>
      <w:proofErr w:type="gramStart"/>
      <w:r w:rsidRPr="00330DEA">
        <w:rPr>
          <w:rStyle w:val="Style13ptBold"/>
        </w:rPr>
        <w:t>2</w:t>
      </w:r>
      <w:r>
        <w:rPr>
          <w:rStyle w:val="Style13ptBold"/>
        </w:rPr>
        <w:t xml:space="preserve">  (</w:t>
      </w:r>
      <w:proofErr w:type="gramEnd"/>
      <w:r w:rsidRPr="00E05477">
        <w:rPr>
          <w:rFonts w:eastAsia="Calibri" w:cs="Times New Roman"/>
          <w:bdr w:val="none" w:sz="0" w:space="0" w:color="auto" w:frame="1"/>
        </w:rPr>
        <w:t xml:space="preserve">George Dei, George </w:t>
      </w:r>
      <w:proofErr w:type="spellStart"/>
      <w:r w:rsidRPr="00E05477">
        <w:rPr>
          <w:rFonts w:eastAsia="Calibri" w:cs="Times New Roman"/>
          <w:bdr w:val="none" w:sz="0" w:space="0" w:color="auto" w:frame="1"/>
        </w:rPr>
        <w:t>Sefa</w:t>
      </w:r>
      <w:proofErr w:type="spellEnd"/>
      <w:r w:rsidRPr="00E05477">
        <w:rPr>
          <w:rFonts w:eastAsia="Calibri" w:cs="Times New Roman"/>
          <w:bdr w:val="none" w:sz="0" w:space="0" w:color="auto" w:frame="1"/>
        </w:rPr>
        <w:t>, “Rethinking the role of Indigenous Knowledge in the Academy” (http://nall.oise.utoronto.ca/res/58GeorgeDei.pdf)</w:t>
      </w:r>
    </w:p>
    <w:p w14:paraId="71726969" w14:textId="77777777" w:rsidR="00330DEA" w:rsidRPr="00C516B0" w:rsidRDefault="00330DEA" w:rsidP="00330DEA">
      <w:pPr>
        <w:rPr>
          <w:rFonts w:eastAsia="Times New Roman" w:cs="Times New Roman"/>
        </w:rPr>
      </w:pPr>
      <w:r w:rsidRPr="00330DEA">
        <w:rPr>
          <w:rFonts w:eastAsia="Times New Roman" w:cs="Times New Roman"/>
          <w:b/>
          <w:u w:val="single"/>
        </w:rPr>
        <w:t>An anti-colonial discursive approach begins by questioning institutionalized power and privilege, and</w:t>
      </w:r>
      <w:r w:rsidRPr="00330DEA">
        <w:rPr>
          <w:rFonts w:eastAsia="Times New Roman" w:cs="Times New Roman"/>
        </w:rPr>
        <w:t xml:space="preserve"> the accompanying </w:t>
      </w:r>
      <w:r w:rsidRPr="00330DEA">
        <w:rPr>
          <w:rFonts w:eastAsia="Times New Roman" w:cs="Times New Roman"/>
          <w:b/>
          <w:u w:val="single"/>
        </w:rPr>
        <w:t>rationale for dominance in social relations. It acknowledges the role of societal/institutional structures in producing and reproducing inequalities that are based on race, class, sexual and gender location</w:t>
      </w:r>
      <w:r w:rsidRPr="00330DEA">
        <w:rPr>
          <w:rFonts w:eastAsia="Times New Roman" w:cs="Times New Roman"/>
        </w:rPr>
        <w:t xml:space="preserve">. A </w:t>
      </w:r>
      <w:proofErr w:type="gramStart"/>
      <w:r w:rsidRPr="00330DEA">
        <w:rPr>
          <w:rFonts w:eastAsia="Times New Roman" w:cs="Times New Roman"/>
        </w:rPr>
        <w:t>key  argument</w:t>
      </w:r>
      <w:proofErr w:type="gramEnd"/>
      <w:r w:rsidRPr="00330DEA">
        <w:rPr>
          <w:rFonts w:eastAsia="Times New Roman" w:cs="Times New Roman"/>
        </w:rPr>
        <w:t xml:space="preserve"> is that </w:t>
      </w:r>
      <w:r w:rsidRPr="00330DEA">
        <w:rPr>
          <w:rFonts w:eastAsia="Times New Roman" w:cs="Times New Roman"/>
          <w:b/>
          <w:u w:val="single"/>
        </w:rPr>
        <w:t xml:space="preserve">institutional structures are sanctioned by the state to serve the material, </w:t>
      </w:r>
      <w:proofErr w:type="spellStart"/>
      <w:r w:rsidRPr="00330DEA">
        <w:rPr>
          <w:rFonts w:eastAsia="Times New Roman" w:cs="Times New Roman"/>
          <w:b/>
          <w:u w:val="single"/>
        </w:rPr>
        <w:t>politi</w:t>
      </w:r>
      <w:proofErr w:type="spellEnd"/>
      <w:r w:rsidRPr="00330DEA">
        <w:rPr>
          <w:rFonts w:eastAsia="Times New Roman" w:cs="Times New Roman"/>
          <w:b/>
          <w:u w:val="single"/>
        </w:rPr>
        <w:t xml:space="preserve"> </w:t>
      </w:r>
      <w:proofErr w:type="spellStart"/>
      <w:r w:rsidRPr="00330DEA">
        <w:rPr>
          <w:rFonts w:eastAsia="Times New Roman" w:cs="Times New Roman"/>
          <w:b/>
          <w:u w:val="single"/>
        </w:rPr>
        <w:t>cal</w:t>
      </w:r>
      <w:proofErr w:type="spellEnd"/>
      <w:r w:rsidRPr="00330DEA">
        <w:rPr>
          <w:rFonts w:eastAsia="Times New Roman" w:cs="Times New Roman"/>
          <w:b/>
          <w:u w:val="single"/>
        </w:rPr>
        <w:t xml:space="preserve"> and ideological interests of the state and economic/social formation. However, power and discourse are not possessed entirely by the colonizer and the dominant. Discursive agency and power to resist also reside in/among colonized groups</w:t>
      </w:r>
      <w:r w:rsidRPr="00330DEA">
        <w:rPr>
          <w:rFonts w:eastAsia="Times New Roman" w:cs="Times New Roman"/>
        </w:rPr>
        <w:t xml:space="preserve"> (see also Bhabha,1995). </w:t>
      </w:r>
      <w:r w:rsidRPr="00330DEA">
        <w:rPr>
          <w:rFonts w:eastAsia="Times New Roman" w:cs="Times New Roman"/>
          <w:b/>
          <w:u w:val="single"/>
        </w:rPr>
        <w:t>For ex ample,</w:t>
      </w:r>
      <w:r w:rsidRPr="00330DEA">
        <w:rPr>
          <w:rFonts w:eastAsia="Times New Roman" w:cs="Times New Roman"/>
        </w:rPr>
        <w:t xml:space="preserve"> </w:t>
      </w:r>
      <w:r w:rsidRPr="00330DEA">
        <w:rPr>
          <w:rFonts w:eastAsia="Times New Roman" w:cs="Times New Roman"/>
          <w:b/>
          <w:u w:val="single"/>
        </w:rPr>
        <w:t xml:space="preserve">subordinated/colonized populations had a theoretical and practical conception of the col </w:t>
      </w:r>
      <w:proofErr w:type="spellStart"/>
      <w:r w:rsidRPr="00330DEA">
        <w:rPr>
          <w:rFonts w:eastAsia="Times New Roman" w:cs="Times New Roman"/>
          <w:b/>
          <w:u w:val="single"/>
        </w:rPr>
        <w:t>onizer</w:t>
      </w:r>
      <w:proofErr w:type="spellEnd"/>
      <w:r w:rsidRPr="00330DEA">
        <w:rPr>
          <w:rFonts w:eastAsia="Times New Roman" w:cs="Times New Roman"/>
          <w:b/>
          <w:u w:val="single"/>
        </w:rPr>
        <w:t xml:space="preserve"> with which to engage social and political practice and relations</w:t>
      </w:r>
      <w:r w:rsidRPr="00330DEA">
        <w:rPr>
          <w:rFonts w:eastAsia="Times New Roman" w:cs="Times New Roman"/>
        </w:rPr>
        <w:t xml:space="preserve">. Contact between </w:t>
      </w:r>
      <w:proofErr w:type="gramStart"/>
      <w:r w:rsidRPr="00330DEA">
        <w:rPr>
          <w:rFonts w:eastAsia="Times New Roman" w:cs="Times New Roman"/>
        </w:rPr>
        <w:t>the  ‘</w:t>
      </w:r>
      <w:proofErr w:type="gramEnd"/>
      <w:r w:rsidRPr="00330DEA">
        <w:rPr>
          <w:rFonts w:eastAsia="Times New Roman" w:cs="Times New Roman"/>
        </w:rPr>
        <w:t xml:space="preserve">imperial order’ and the ‘colonial’ periphery continues to involve complex and creative enc </w:t>
      </w:r>
      <w:proofErr w:type="spellStart"/>
      <w:r w:rsidRPr="00330DEA">
        <w:rPr>
          <w:rFonts w:eastAsia="Times New Roman" w:cs="Times New Roman"/>
        </w:rPr>
        <w:t>ounters</w:t>
      </w:r>
      <w:proofErr w:type="spellEnd"/>
      <w:r w:rsidRPr="00330DEA">
        <w:rPr>
          <w:rFonts w:eastAsia="Times New Roman" w:cs="Times New Roman"/>
        </w:rPr>
        <w:t xml:space="preserve">/resistances (Ashcroft, Griffiths and </w:t>
      </w:r>
      <w:proofErr w:type="spellStart"/>
      <w:r w:rsidRPr="00330DEA">
        <w:rPr>
          <w:rFonts w:eastAsia="Times New Roman" w:cs="Times New Roman"/>
        </w:rPr>
        <w:t>Thiopene</w:t>
      </w:r>
      <w:proofErr w:type="spellEnd"/>
      <w:r w:rsidRPr="00330DEA">
        <w:rPr>
          <w:rFonts w:eastAsia="Times New Roman" w:cs="Times New Roman"/>
        </w:rPr>
        <w:t xml:space="preserve">, 1995). The myriad resistances </w:t>
      </w:r>
      <w:proofErr w:type="gramStart"/>
      <w:r w:rsidRPr="00330DEA">
        <w:rPr>
          <w:rFonts w:eastAsia="Times New Roman" w:cs="Times New Roman"/>
        </w:rPr>
        <w:t>help  sustain</w:t>
      </w:r>
      <w:proofErr w:type="gramEnd"/>
      <w:r w:rsidRPr="00330DEA">
        <w:rPr>
          <w:rFonts w:eastAsia="Times New Roman" w:cs="Times New Roman"/>
        </w:rPr>
        <w:t xml:space="preserve"> the local human conditionalities of the colonized ‘other’</w:t>
      </w:r>
      <w:r w:rsidRPr="00E05477">
        <w:rPr>
          <w:rFonts w:eastAsia="Times New Roman" w:cs="Times New Roman"/>
        </w:rPr>
        <w:t>.</w:t>
      </w:r>
    </w:p>
    <w:p w14:paraId="1B3A9690" w14:textId="77777777" w:rsidR="00330DEA" w:rsidRPr="00330DEA" w:rsidRDefault="00330DEA" w:rsidP="00330DEA"/>
    <w:p w14:paraId="220B6684" w14:textId="2FF2A525" w:rsidR="00496255" w:rsidRPr="00496255" w:rsidRDefault="00496255" w:rsidP="00496255">
      <w:pPr>
        <w:pStyle w:val="Heading3"/>
      </w:pPr>
      <w:r>
        <w:lastRenderedPageBreak/>
        <w:t>Militarism &amp; Civil Society</w:t>
      </w:r>
    </w:p>
    <w:p w14:paraId="296CB47B" w14:textId="53142ED3" w:rsidR="00496255" w:rsidRDefault="00496255" w:rsidP="00496255">
      <w:pPr>
        <w:rPr>
          <w:rStyle w:val="Style13ptBold"/>
          <w:b w:val="0"/>
          <w:bCs w:val="0"/>
        </w:rPr>
      </w:pPr>
      <w:r w:rsidRPr="009D4106">
        <w:rPr>
          <w:rStyle w:val="Style13ptBold"/>
        </w:rPr>
        <w:t>Stavrian</w:t>
      </w:r>
      <w:r w:rsidR="00533C91">
        <w:rPr>
          <w:rStyle w:val="Style13ptBold"/>
        </w:rPr>
        <w:t>a</w:t>
      </w:r>
      <w:r w:rsidRPr="009D4106">
        <w:rPr>
          <w:rStyle w:val="Style13ptBold"/>
        </w:rPr>
        <w:t xml:space="preserve">kis, Lecturer in International Relations at the University of Sussex, Stern , Professor in Peace and Development Studies at the School of Global Studies (SGS), 17 </w:t>
      </w:r>
      <w:r w:rsidRPr="009D4106">
        <w:rPr>
          <w:rStyle w:val="Style13ptBold"/>
          <w:b w:val="0"/>
        </w:rPr>
        <w:t>(Anna &amp; Maria, Security Dialogue , “Militarism and Security: Dialogue, possibilities, and limits”, Vol. 49(</w:t>
      </w:r>
      <w:r>
        <w:rPr>
          <w:rStyle w:val="Style13ptBold"/>
          <w:b w:val="0"/>
        </w:rPr>
        <w:t xml:space="preserve"> </w:t>
      </w:r>
      <w:r w:rsidRPr="009D4106">
        <w:rPr>
          <w:rStyle w:val="Style13ptBold"/>
          <w:b w:val="0"/>
        </w:rPr>
        <w:t>1-2) 3–18</w:t>
      </w:r>
      <w:r>
        <w:rPr>
          <w:rStyle w:val="Style13ptBold"/>
          <w:b w:val="0"/>
        </w:rPr>
        <w:t xml:space="preserve"> pg.11</w:t>
      </w:r>
      <w:r w:rsidRPr="009D4106">
        <w:rPr>
          <w:rStyle w:val="Style13ptBold"/>
          <w:b w:val="0"/>
        </w:rPr>
        <w:t>, MK)</w:t>
      </w:r>
    </w:p>
    <w:p w14:paraId="4A54996A" w14:textId="77777777" w:rsidR="00496255" w:rsidRPr="009C5FEE" w:rsidRDefault="00496255" w:rsidP="00496255">
      <w:pPr>
        <w:rPr>
          <w:rStyle w:val="StyleUnderline"/>
        </w:rPr>
      </w:pPr>
      <w:r w:rsidRPr="008638E8">
        <w:rPr>
          <w:rFonts w:cs="Calibri"/>
        </w:rPr>
        <w:t>I</w:t>
      </w:r>
      <w:r w:rsidRPr="009C5FEE">
        <w:rPr>
          <w:rStyle w:val="StyleUnderline"/>
        </w:rPr>
        <w:t>f militarism and security are potentially everywhere, though, how are we to know whether or when we are seeing them – and when they are not in operation? The identity of the actor is only a partial answer: Does the taking on of more roles by the militar</w:t>
      </w:r>
      <w:r w:rsidRPr="008638E8">
        <w:rPr>
          <w:rFonts w:cs="Calibri"/>
        </w:rPr>
        <w:t>y (e.g. in disaster relief or crimefighting</w:t>
      </w:r>
      <w:r w:rsidRPr="009C5FEE">
        <w:rPr>
          <w:rStyle w:val="StyleUnderline"/>
        </w:rPr>
        <w:t>) or the increasing use of military weapons and tactics by the police signal the militarization of a previously civilian or police issue-area? Does the burgeoning of pastoral roles on the part of the military under counterinsurgency signal a civilianization of the military, a transformation of security practices or the militarization of development policy, or does it trouble the concepts of both security and militarism by indicating the imbrication of social engineering and war (see e.g. Khalili, 2012; Owens, 2015)? If disciplines and practices central to civilian and military life grew up together, is it appropriate to talk of militarization, as though ostensibly civilian practices were not always already enmeshed with military power, itself central to the constitution of social order and the state? Is security simply the term for certain forms of militarism? Can there be a non-militarized security?</w:t>
      </w:r>
      <w:r w:rsidRPr="008638E8">
        <w:rPr>
          <w:rFonts w:cs="Calibri"/>
        </w:rPr>
        <w:t xml:space="preserve"> </w:t>
      </w:r>
      <w:r w:rsidRPr="009C5FEE">
        <w:rPr>
          <w:rStyle w:val="StyleUnderline"/>
        </w:rPr>
        <w:t>Such lines of questioning invite us to reconsider the normative connotations that also ‘stick’ (Ahmed, 2004) to militarism. Is the task of critical military studies to critique violence, or at least martial forms of violence? Is militarism (as concept) so integrally dependent upon the binaries civilian–military, war–peace and militarism–pacifism that moving them beyond these terms seems difficult, at best? Can we, for example, conceive of a non-pacifist anti-militarism?</w:t>
      </w:r>
    </w:p>
    <w:p w14:paraId="2A8E6355" w14:textId="77777777" w:rsidR="00496255" w:rsidRPr="009C5FEE" w:rsidRDefault="00496255" w:rsidP="00496255">
      <w:pPr>
        <w:rPr>
          <w:rStyle w:val="StyleUnderline"/>
        </w:rPr>
      </w:pPr>
      <w:r w:rsidRPr="008638E8">
        <w:rPr>
          <w:rFonts w:cs="Calibri"/>
        </w:rPr>
        <w:t xml:space="preserve"> The conceptual caution espoused by much of the work cited above to continually refuse to definitively settle the meaning of militarism and to know a priori its workings or its subjects is visible in several of our contributions. </w:t>
      </w:r>
      <w:r w:rsidRPr="009C5FEE">
        <w:rPr>
          <w:rStyle w:val="StyleUnderline"/>
        </w:rPr>
        <w:t xml:space="preserve">For instance, in her article, Basham explores how militarism relies on the co-constitutive practices of the geopolitical and the everyday, thus reminding us to pay attention to the multiple scales through which military power operates. She queries how gendered and racialized logics underwrite the facilitation, justification and legitimation of British airstrikes in Syria to show us how war preparedness is also reproduced through social and political contestations, institutions, inequalities and the practices of everyday life. Hence, for Basham, all of these make up the object of militarism. Similarly, through a critical feminist lens, </w:t>
      </w:r>
      <w:proofErr w:type="spellStart"/>
      <w:r w:rsidRPr="009C5FEE">
        <w:rPr>
          <w:rStyle w:val="StyleUnderline"/>
        </w:rPr>
        <w:t>Wibben</w:t>
      </w:r>
      <w:proofErr w:type="spellEnd"/>
      <w:r w:rsidRPr="009C5FEE">
        <w:rPr>
          <w:rStyle w:val="StyleUnderline"/>
        </w:rPr>
        <w:t xml:space="preserve"> explores the intersections of oppression that are embedded in the everyday in her discussion of US militarism.</w:t>
      </w:r>
      <w:r w:rsidRPr="008638E8">
        <w:rPr>
          <w:rFonts w:cs="Calibri"/>
        </w:rPr>
        <w:t xml:space="preserve"> </w:t>
      </w:r>
      <w:r w:rsidRPr="009C5FEE">
        <w:rPr>
          <w:rStyle w:val="StyleUnderline"/>
        </w:rPr>
        <w:t xml:space="preserve">Feminist security studies never drew a sharp distinction between militarism and security, which is what allows </w:t>
      </w:r>
      <w:proofErr w:type="spellStart"/>
      <w:r w:rsidRPr="009C5FEE">
        <w:rPr>
          <w:rStyle w:val="StyleUnderline"/>
        </w:rPr>
        <w:t>Wibben</w:t>
      </w:r>
      <w:proofErr w:type="spellEnd"/>
      <w:r w:rsidRPr="009C5FEE">
        <w:rPr>
          <w:rStyle w:val="StyleUnderline"/>
        </w:rPr>
        <w:t xml:space="preserve"> to ask whether fighting for gender equality in wars of national security is really liberation. For </w:t>
      </w:r>
      <w:proofErr w:type="spellStart"/>
      <w:r w:rsidRPr="009C5FEE">
        <w:rPr>
          <w:rStyle w:val="StyleUnderline"/>
        </w:rPr>
        <w:t>Wibben</w:t>
      </w:r>
      <w:proofErr w:type="spellEnd"/>
      <w:r w:rsidRPr="009C5FEE">
        <w:rPr>
          <w:rStyle w:val="StyleUnderline"/>
        </w:rPr>
        <w:t>, the everyday becomes the object of analysis in order to understand the workings of security and militarism, along with their mutual dependence</w:t>
      </w:r>
    </w:p>
    <w:p w14:paraId="275D35D2" w14:textId="1C46D8DF" w:rsidR="004F6EA0" w:rsidRDefault="004F6EA0" w:rsidP="004F6EA0">
      <w:pPr>
        <w:pStyle w:val="Heading2"/>
      </w:pPr>
      <w:r>
        <w:lastRenderedPageBreak/>
        <w:t>Permutation</w:t>
      </w:r>
    </w:p>
    <w:p w14:paraId="585B2FF3" w14:textId="78D313B0" w:rsidR="00CD66C6" w:rsidRPr="00F30491" w:rsidRDefault="00CD66C6" w:rsidP="00CD66C6">
      <w:pPr>
        <w:pStyle w:val="Heading3"/>
      </w:pPr>
      <w:r w:rsidRPr="00F30491">
        <w:lastRenderedPageBreak/>
        <w:t>A</w:t>
      </w:r>
      <w:r w:rsidR="000733C0">
        <w:t xml:space="preserve">T: </w:t>
      </w:r>
      <w:r w:rsidRPr="00F30491">
        <w:t>perm</w:t>
      </w:r>
    </w:p>
    <w:p w14:paraId="3D4B5099" w14:textId="77777777" w:rsidR="00CD66C6" w:rsidRDefault="00CD66C6" w:rsidP="00CD66C6">
      <w:pPr>
        <w:pStyle w:val="Heading4"/>
      </w:pPr>
      <w:r>
        <w:t xml:space="preserve">A critical approach is necessary to understand the way in which humanitarianism is used to legitimate larger structures </w:t>
      </w:r>
    </w:p>
    <w:p w14:paraId="0D5FD6D3" w14:textId="77777777" w:rsidR="00CD66C6" w:rsidRPr="006E6FA3" w:rsidRDefault="00CD66C6" w:rsidP="00CD66C6">
      <w:pPr>
        <w:rPr>
          <w:rStyle w:val="Style13ptBold"/>
        </w:rPr>
      </w:pPr>
      <w:r w:rsidRPr="006E6FA3">
        <w:rPr>
          <w:rStyle w:val="Style13ptBold"/>
        </w:rPr>
        <w:t xml:space="preserve">Cooper, Bradford University International Relations and Security Studies Professor and Peace Studies &amp; International Development Head, 18 </w:t>
      </w:r>
    </w:p>
    <w:p w14:paraId="30C11CF1" w14:textId="77777777" w:rsidR="00CD66C6" w:rsidRDefault="00CD66C6" w:rsidP="00CD66C6">
      <w:r>
        <w:t xml:space="preserve">[Neil, 2018, Journal of Global Security Studies 3(4), “Race, Sovereignty, and Free Trade: Arms Trade Regulation and Humanitarian Arms Control in the Age of Empire”, 444-462, accessed 6/30 </w:t>
      </w:r>
      <w:proofErr w:type="spellStart"/>
      <w:r>
        <w:t>dwrs</w:t>
      </w:r>
      <w:proofErr w:type="spellEnd"/>
      <w:r>
        <w:t>]</w:t>
      </w:r>
    </w:p>
    <w:p w14:paraId="7CFA4F16" w14:textId="77777777" w:rsidR="00CD66C6" w:rsidRPr="00005522" w:rsidRDefault="00CD66C6" w:rsidP="00CD66C6">
      <w:pPr>
        <w:rPr>
          <w:rStyle w:val="StyleUnderline"/>
        </w:rPr>
      </w:pPr>
      <w:r>
        <w:t xml:space="preserve"> </w:t>
      </w:r>
      <w:r w:rsidRPr="00005522">
        <w:rPr>
          <w:rStyle w:val="Emphasis"/>
        </w:rPr>
        <w:t>This indicates the need to abandon the uncritical as-</w:t>
      </w:r>
      <w:proofErr w:type="spellStart"/>
      <w:r w:rsidRPr="00005522">
        <w:rPr>
          <w:rStyle w:val="Emphasis"/>
        </w:rPr>
        <w:t>sumption</w:t>
      </w:r>
      <w:proofErr w:type="spellEnd"/>
      <w:r w:rsidRPr="00005522">
        <w:rPr>
          <w:rStyle w:val="Emphasis"/>
        </w:rPr>
        <w:t xml:space="preserve"> of the optimists that the merging of arms con-</w:t>
      </w:r>
      <w:proofErr w:type="spellStart"/>
      <w:r w:rsidRPr="00005522">
        <w:rPr>
          <w:rStyle w:val="Emphasis"/>
        </w:rPr>
        <w:t>trol</w:t>
      </w:r>
      <w:proofErr w:type="spellEnd"/>
      <w:r w:rsidRPr="00005522">
        <w:rPr>
          <w:rStyle w:val="Emphasis"/>
        </w:rPr>
        <w:t xml:space="preserve"> and humanitarianism must, by definition, be both positive and transformative. As demonstrated here, the merging of the two is not necessarily incompatible with colonialism, racism, and imperial violence. </w:t>
      </w:r>
      <w:r w:rsidRPr="00005522">
        <w:rPr>
          <w:rStyle w:val="StyleUnderline"/>
        </w:rPr>
        <w:t>Moreover</w:t>
      </w:r>
      <w:r>
        <w:t xml:space="preserve">, both Brussels and </w:t>
      </w:r>
      <w:r w:rsidRPr="00005522">
        <w:rPr>
          <w:rStyle w:val="StyleUnderline"/>
        </w:rPr>
        <w:t>the</w:t>
      </w:r>
      <w:r>
        <w:t xml:space="preserve"> broader </w:t>
      </w:r>
      <w:r w:rsidRPr="00005522">
        <w:rPr>
          <w:rStyle w:val="StyleUnderline"/>
        </w:rPr>
        <w:t>operation of arms con-</w:t>
      </w:r>
      <w:proofErr w:type="spellStart"/>
      <w:r w:rsidRPr="00005522">
        <w:rPr>
          <w:rStyle w:val="StyleUnderline"/>
        </w:rPr>
        <w:t>trol</w:t>
      </w:r>
      <w:proofErr w:type="spellEnd"/>
      <w:r w:rsidRPr="00005522">
        <w:rPr>
          <w:rStyle w:val="StyleUnderline"/>
        </w:rPr>
        <w:t xml:space="preserve"> as governmentality illustrate how</w:t>
      </w:r>
      <w:r>
        <w:t xml:space="preserve"> HAC initiatives </w:t>
      </w:r>
      <w:r w:rsidRPr="00005522">
        <w:rPr>
          <w:rStyle w:val="Emphasis"/>
        </w:rPr>
        <w:t>may not represent a victory for "good norms" over 'bad norms" but the way in which such initiatives arc sit-</w:t>
      </w:r>
      <w:proofErr w:type="spellStart"/>
      <w:r w:rsidRPr="00005522">
        <w:rPr>
          <w:rStyle w:val="Emphasis"/>
        </w:rPr>
        <w:t>uated</w:t>
      </w:r>
      <w:proofErr w:type="spellEnd"/>
      <w:r w:rsidRPr="00005522">
        <w:rPr>
          <w:rStyle w:val="Emphasis"/>
        </w:rPr>
        <w:t xml:space="preserve"> within the regulatory logics produced by both.</w:t>
      </w:r>
      <w:r>
        <w:t xml:space="preserve"> Indeed, victories for I IAC may neither challenge nor re-constitute hegemonic practices of security and economy. </w:t>
      </w:r>
      <w:r w:rsidRPr="00005522">
        <w:rPr>
          <w:rStyle w:val="StyleUnderline"/>
        </w:rPr>
        <w:t>Instead, they may be achieved because apparently dis-</w:t>
      </w:r>
      <w:proofErr w:type="spellStart"/>
      <w:r w:rsidRPr="00005522">
        <w:rPr>
          <w:rStyle w:val="StyleUnderline"/>
        </w:rPr>
        <w:t>parate</w:t>
      </w:r>
      <w:proofErr w:type="spellEnd"/>
      <w:r w:rsidRPr="00005522">
        <w:rPr>
          <w:rStyle w:val="StyleUnderline"/>
        </w:rPr>
        <w:t xml:space="preserve"> and divergent normative frameworks constitute historically contingent norm hierarchies that produce the conditions of possibility for the emergence of </w:t>
      </w:r>
      <w:proofErr w:type="gramStart"/>
      <w:r w:rsidRPr="00005522">
        <w:rPr>
          <w:rStyle w:val="StyleUnderline"/>
        </w:rPr>
        <w:t>particular modes</w:t>
      </w:r>
      <w:proofErr w:type="gramEnd"/>
      <w:r w:rsidRPr="00005522">
        <w:rPr>
          <w:rStyle w:val="StyleUnderline"/>
        </w:rPr>
        <w:t xml:space="preserve"> of arms trade governance and their associated log-</w:t>
      </w:r>
      <w:proofErr w:type="spellStart"/>
      <w:r w:rsidRPr="00005522">
        <w:rPr>
          <w:rStyle w:val="StyleUnderline"/>
        </w:rPr>
        <w:t>ics</w:t>
      </w:r>
      <w:proofErr w:type="spellEnd"/>
      <w:r w:rsidRPr="00005522">
        <w:rPr>
          <w:rStyle w:val="StyleUnderline"/>
        </w:rPr>
        <w:t xml:space="preserve"> of permission and restraint. </w:t>
      </w:r>
    </w:p>
    <w:p w14:paraId="29B8E6EB" w14:textId="77777777" w:rsidR="00CD66C6" w:rsidRPr="00005522" w:rsidRDefault="00CD66C6" w:rsidP="00CD66C6">
      <w:pPr>
        <w:rPr>
          <w:rStyle w:val="Emphasis"/>
        </w:rPr>
      </w:pPr>
      <w:r w:rsidRPr="00005522">
        <w:rPr>
          <w:rStyle w:val="Emphasis"/>
        </w:rPr>
        <w:t>Certainly, arms trade regulation in the age of empire, including its humanitarian variants, never challenged the logic of liberal militarism and in many respects was har-</w:t>
      </w:r>
      <w:proofErr w:type="spellStart"/>
      <w:r w:rsidRPr="00005522">
        <w:rPr>
          <w:rStyle w:val="Emphasis"/>
        </w:rPr>
        <w:t>nessed</w:t>
      </w:r>
      <w:proofErr w:type="spellEnd"/>
      <w:r w:rsidRPr="00005522">
        <w:rPr>
          <w:rStyle w:val="Emphasis"/>
        </w:rPr>
        <w:t xml:space="preserve"> to it</w:t>
      </w:r>
      <w:r>
        <w:t xml:space="preserve">-The Brussels Act, in particular, represented </w:t>
      </w:r>
      <w:r w:rsidRPr="00005522">
        <w:rPr>
          <w:rStyle w:val="Emphasis"/>
        </w:rPr>
        <w:t xml:space="preserve">an early example of the "devil's bargain" in which </w:t>
      </w:r>
      <w:proofErr w:type="spellStart"/>
      <w:r w:rsidRPr="00005522">
        <w:rPr>
          <w:rStyle w:val="Emphasis"/>
        </w:rPr>
        <w:t>humani-tarian</w:t>
      </w:r>
      <w:proofErr w:type="spellEnd"/>
      <w:r w:rsidRPr="00005522">
        <w:rPr>
          <w:rStyle w:val="Emphasis"/>
        </w:rPr>
        <w:t xml:space="preserve"> restraint was achieved at the expense of </w:t>
      </w:r>
      <w:proofErr w:type="spellStart"/>
      <w:r w:rsidRPr="00005522">
        <w:rPr>
          <w:rStyle w:val="Emphasis"/>
        </w:rPr>
        <w:t>legitimic-ing</w:t>
      </w:r>
      <w:proofErr w:type="spellEnd"/>
      <w:r w:rsidRPr="00005522">
        <w:rPr>
          <w:rStyle w:val="Emphasis"/>
        </w:rPr>
        <w:t xml:space="preserve"> the arms, forms of violence, and ways of war </w:t>
      </w:r>
      <w:proofErr w:type="spellStart"/>
      <w:r w:rsidRPr="00005522">
        <w:rPr>
          <w:rStyle w:val="Emphasis"/>
        </w:rPr>
        <w:t>prac-ticed</w:t>
      </w:r>
      <w:proofErr w:type="spellEnd"/>
      <w:r w:rsidRPr="00005522">
        <w:rPr>
          <w:rStyle w:val="Emphasis"/>
        </w:rPr>
        <w:t xml:space="preserve"> by hegemonic powers. There are similarities here with many contemporary</w:t>
      </w:r>
      <w:r>
        <w:t xml:space="preserve"> </w:t>
      </w:r>
      <w:r w:rsidRPr="00005522">
        <w:rPr>
          <w:rStyle w:val="StyleUnderline"/>
        </w:rPr>
        <w:t>MAC</w:t>
      </w:r>
      <w:r>
        <w:t xml:space="preserve"> </w:t>
      </w:r>
      <w:r w:rsidRPr="00005522">
        <w:rPr>
          <w:rStyle w:val="Emphasis"/>
        </w:rPr>
        <w:t>campaigns, which have been equally focused on controlling violence in the pe-</w:t>
      </w:r>
      <w:proofErr w:type="spellStart"/>
      <w:r w:rsidRPr="00005522">
        <w:rPr>
          <w:rStyle w:val="Emphasis"/>
        </w:rPr>
        <w:t>ripheries</w:t>
      </w:r>
      <w:proofErr w:type="spellEnd"/>
      <w:r w:rsidRPr="00005522">
        <w:rPr>
          <w:rStyle w:val="Emphasis"/>
        </w:rPr>
        <w:t>.</w:t>
      </w:r>
      <w:r>
        <w:t xml:space="preserve"> Such campaigns have also been characterized by the way in which key groups such as the ICRC have Knight to distance themselves from disarmament activists and antimilitarism to make I IAC agendas more palatable to policymakers (Carpenter 2014, 105 and 117). </w:t>
      </w:r>
      <w:r w:rsidRPr="00005522">
        <w:rPr>
          <w:rStyle w:val="Emphasis"/>
        </w:rPr>
        <w:t>This in-</w:t>
      </w:r>
      <w:proofErr w:type="spellStart"/>
      <w:r w:rsidRPr="00005522">
        <w:rPr>
          <w:rStyle w:val="Emphasis"/>
        </w:rPr>
        <w:t>dicates</w:t>
      </w:r>
      <w:proofErr w:type="spellEnd"/>
      <w:r w:rsidRPr="00005522">
        <w:rPr>
          <w:rStyle w:val="Emphasis"/>
        </w:rPr>
        <w:t xml:space="preserve"> the need for caution in assuming that successive limited humanitarian initiatives can change the dominant logics of militarism whilst also extracting a critique of militarism from those same initiatives. </w:t>
      </w:r>
    </w:p>
    <w:p w14:paraId="357F9CD0" w14:textId="77777777" w:rsidR="00CD66C6" w:rsidRPr="000F4AE5" w:rsidRDefault="00CD66C6" w:rsidP="00CD66C6">
      <w:pPr>
        <w:rPr>
          <w:rStyle w:val="Emphasis"/>
        </w:rPr>
      </w:pPr>
      <w:r>
        <w:t xml:space="preserve">Of course, the recent </w:t>
      </w:r>
      <w:proofErr w:type="spellStart"/>
      <w:r>
        <w:t>suerge</w:t>
      </w:r>
      <w:proofErr w:type="spellEnd"/>
      <w:r>
        <w:t xml:space="preserve"> of the humanitarian campaign to ban nuclear weapons might suggest a shift in HAC towards a more effective merging of </w:t>
      </w:r>
      <w:proofErr w:type="gramStart"/>
      <w:r>
        <w:t>humanitarian-ism</w:t>
      </w:r>
      <w:proofErr w:type="gramEnd"/>
      <w:r>
        <w:t xml:space="preserve"> and antimilitarism. Even here, however, it is notable that </w:t>
      </w:r>
      <w:r w:rsidRPr="000F4AE5">
        <w:rPr>
          <w:rStyle w:val="StyleUnderline"/>
        </w:rPr>
        <w:t xml:space="preserve">campaigners have attempted to retain the </w:t>
      </w:r>
      <w:proofErr w:type="spellStart"/>
      <w:r w:rsidRPr="000F4AE5">
        <w:rPr>
          <w:rStyle w:val="StyleUnderline"/>
        </w:rPr>
        <w:t>distinc-tion</w:t>
      </w:r>
      <w:proofErr w:type="spellEnd"/>
      <w:r w:rsidRPr="000F4AE5">
        <w:rPr>
          <w:rStyle w:val="StyleUnderline"/>
        </w:rPr>
        <w:t xml:space="preserve"> between legitimate and illegitimate weapon; and the distinction between disarmament as an overarching goal and strategy and disarmament as a weapons-specific tac</w:t>
      </w:r>
      <w:r>
        <w:t>tic (</w:t>
      </w:r>
      <w:proofErr w:type="spellStart"/>
      <w:r>
        <w:t>Fihn</w:t>
      </w:r>
      <w:proofErr w:type="spellEnd"/>
      <w:r>
        <w:t xml:space="preserve"> 2017; UNIDIR 2017, 10). Moreover, it is notable that nuclear weapon states have neither signed the ban treaty nor abandoned expensive nuclear mod-</w:t>
      </w:r>
      <w:proofErr w:type="spellStart"/>
      <w:r>
        <w:t>ernization</w:t>
      </w:r>
      <w:proofErr w:type="spellEnd"/>
      <w:r>
        <w:t xml:space="preserve"> programs (</w:t>
      </w:r>
      <w:proofErr w:type="spellStart"/>
      <w:r>
        <w:t>Korb</w:t>
      </w:r>
      <w:proofErr w:type="spellEnd"/>
      <w:r>
        <w:t xml:space="preserve"> 2017). </w:t>
      </w:r>
      <w:r w:rsidRPr="000F4AE5">
        <w:rPr>
          <w:rStyle w:val="StyleUnderline"/>
        </w:rPr>
        <w:t>Thus</w:t>
      </w:r>
      <w:r>
        <w:t xml:space="preserve">, both Brussels and contemporary HAC </w:t>
      </w:r>
      <w:r w:rsidRPr="000F4AE5">
        <w:rPr>
          <w:rStyle w:val="StyleUnderline"/>
        </w:rPr>
        <w:t>initiatives</w:t>
      </w:r>
      <w:r>
        <w:t xml:space="preserve"> </w:t>
      </w:r>
      <w:r w:rsidRPr="000F4AE5">
        <w:rPr>
          <w:rStyle w:val="Emphasis"/>
        </w:rPr>
        <w:t>illustrate the "limits of possibility' inherent in pursuing the empty promise of tactical humanitarian "disarmament" without strategic demilitarization.</w:t>
      </w:r>
    </w:p>
    <w:p w14:paraId="7C5ACBDB" w14:textId="77777777" w:rsidR="00BC09A4" w:rsidRDefault="00BC09A4" w:rsidP="00BC09A4">
      <w:pPr>
        <w:pStyle w:val="Heading3"/>
      </w:pPr>
      <w:r>
        <w:lastRenderedPageBreak/>
        <w:t>At perm/link of omission</w:t>
      </w:r>
    </w:p>
    <w:p w14:paraId="424B82AD" w14:textId="77777777" w:rsidR="00BC09A4" w:rsidRDefault="00BC09A4" w:rsidP="00BC09A4">
      <w:r w:rsidRPr="002448E1">
        <w:rPr>
          <w:rStyle w:val="Style13ptBold"/>
        </w:rPr>
        <w:t>Jones, University of Leeds School of Politics and International Studies Lecturer, 6</w:t>
      </w:r>
      <w:r>
        <w:t xml:space="preserve"> (</w:t>
      </w:r>
      <w:proofErr w:type="spellStart"/>
      <w:r>
        <w:t>Branwen</w:t>
      </w:r>
      <w:proofErr w:type="spellEnd"/>
      <w:r>
        <w:t xml:space="preserve"> </w:t>
      </w:r>
      <w:proofErr w:type="spellStart"/>
      <w:r>
        <w:t>Gruffydd</w:t>
      </w:r>
      <w:proofErr w:type="spellEnd"/>
      <w:r>
        <w:t xml:space="preserve">, “Introduction: International Relations, Eurocentrism, and Imperialism”, Decolonizing International Relations, Edited by </w:t>
      </w:r>
      <w:proofErr w:type="spellStart"/>
      <w:r>
        <w:t>Branwen</w:t>
      </w:r>
      <w:proofErr w:type="spellEnd"/>
      <w:r>
        <w:t xml:space="preserve"> </w:t>
      </w:r>
      <w:proofErr w:type="spellStart"/>
      <w:r>
        <w:t>Gruffydd</w:t>
      </w:r>
      <w:proofErr w:type="spellEnd"/>
      <w:r>
        <w:t xml:space="preserve"> Jones, p. 10</w:t>
      </w:r>
    </w:p>
    <w:p w14:paraId="65E0F2E6" w14:textId="77777777" w:rsidR="00BC09A4" w:rsidRPr="003975DC" w:rsidRDefault="00BC09A4" w:rsidP="00BC09A4">
      <w:pPr>
        <w:rPr>
          <w:rStyle w:val="StyleUnderline"/>
        </w:rPr>
      </w:pPr>
      <w:r>
        <w:t xml:space="preserve">Over the past five years, critical IR scholars have suddenly discovered </w:t>
      </w:r>
      <w:proofErr w:type="spellStart"/>
      <w:r>
        <w:t>im</w:t>
      </w:r>
      <w:proofErr w:type="spellEnd"/>
      <w:r>
        <w:t xml:space="preserve">- </w:t>
      </w:r>
      <w:proofErr w:type="spellStart"/>
      <w:r>
        <w:t>perialism</w:t>
      </w:r>
      <w:proofErr w:type="spellEnd"/>
      <w:r>
        <w:t>: since September 2001, there has been a surge in publications about empire and “the new imperialism.” It is a major mistake to think of the present conjuncture in terms of a “return” of imperialism, however. This suggests a shallow understanding of imperialism in terms of obvious visible features of military invasion and occupation and overt racism. But imperialism and racism never went away despite the formally decolonized appearance of the modem international system. Neocolonialism has been suffered and recognized as such by non-Europeans throughout the twentieth century, yet only when its effects suddenly reverberate in the West does IR take notice</w:t>
      </w:r>
      <w:r w:rsidRPr="003975DC">
        <w:rPr>
          <w:rStyle w:val="StyleUnderline"/>
        </w:rPr>
        <w:t>. Decolonizing IR</w:t>
      </w:r>
      <w:r>
        <w:t xml:space="preserve"> thus </w:t>
      </w:r>
      <w:r w:rsidRPr="003975DC">
        <w:rPr>
          <w:rStyle w:val="StyleUnderline"/>
        </w:rPr>
        <w:t>requires exposing the unobvious imperial qualities of international relations, qualities that are not new and that are central to international order and have endured in changing form over five centuries.</w:t>
      </w:r>
    </w:p>
    <w:p w14:paraId="01D34969" w14:textId="77777777" w:rsidR="00BC09A4" w:rsidRDefault="00BC09A4" w:rsidP="00BC09A4">
      <w:pPr>
        <w:rPr>
          <w:rStyle w:val="StyleUnderline"/>
        </w:rPr>
      </w:pPr>
      <w:r>
        <w:t xml:space="preserve">How is it possible that IR has paid so little attention to race, colonialism, and imperialism, to the intertwined nature of the histories of the West and “the rest”? This question is important because </w:t>
      </w:r>
      <w:r w:rsidRPr="003975DC">
        <w:rPr>
          <w:rStyle w:val="StyleUnderline"/>
        </w:rPr>
        <w:t>the silences and omissions of IR do not arise from mere oversight or forgetfulness. It is not that IR knowledge is incomplete, and what is required is to fill in the gaps. Rather, there are systematic absences that are the product,</w:t>
      </w:r>
      <w:r>
        <w:t xml:space="preserve"> Sankaran Krishna argues, </w:t>
      </w:r>
      <w:r w:rsidRPr="003975DC">
        <w:rPr>
          <w:rStyle w:val="StyleUnderline"/>
        </w:rPr>
        <w:t>of a willful amnesia</w:t>
      </w:r>
      <w:r>
        <w:t xml:space="preserve">. Krishna exposes the methodological underpinnings of IR’s amnesia, the </w:t>
      </w:r>
      <w:proofErr w:type="gramStart"/>
      <w:r>
        <w:t>manner in which</w:t>
      </w:r>
      <w:proofErr w:type="gramEnd"/>
      <w:r>
        <w:t xml:space="preserve"> </w:t>
      </w:r>
      <w:r w:rsidRPr="003975DC">
        <w:rPr>
          <w:rStyle w:val="StyleUnderline"/>
        </w:rPr>
        <w:t>particular modes of abstraction serve to systematically tear or isolate the West from world history and its racialized structures.</w:t>
      </w:r>
      <w:r>
        <w:t xml:space="preserve"> In response, </w:t>
      </w:r>
      <w:r w:rsidRPr="003975DC">
        <w:rPr>
          <w:rStyle w:val="StyleUnderline"/>
        </w:rPr>
        <w:t>it is necessary to develop a different mode of abstraction that reveals and remembers that which IR is unembarrassed to forget</w:t>
      </w:r>
      <w:r>
        <w:t xml:space="preserve">. Krishna demonstrates the power of </w:t>
      </w:r>
      <w:r w:rsidRPr="003975DC">
        <w:rPr>
          <w:rStyle w:val="StyleUnderline"/>
        </w:rPr>
        <w:t>contrapuntal analysis</w:t>
      </w:r>
      <w:r>
        <w:t xml:space="preserve">, which, as Halperin has advocated, </w:t>
      </w:r>
      <w:r w:rsidRPr="003975DC">
        <w:rPr>
          <w:rStyle w:val="StyleUnderline"/>
        </w:rPr>
        <w:t>produces knowledge of international relations that cannot be assimilated to the mainstream.</w:t>
      </w:r>
    </w:p>
    <w:p w14:paraId="21B3EB2E" w14:textId="77777777" w:rsidR="00BC09A4" w:rsidRDefault="00BC09A4" w:rsidP="00BC09A4">
      <w:pPr>
        <w:rPr>
          <w:rStyle w:val="StyleUnderline"/>
        </w:rPr>
      </w:pPr>
    </w:p>
    <w:p w14:paraId="0E5219BC" w14:textId="77777777" w:rsidR="00BC09A4" w:rsidRDefault="00BC09A4" w:rsidP="00BC09A4">
      <w:r w:rsidRPr="002448E1">
        <w:rPr>
          <w:rStyle w:val="Style13ptBold"/>
        </w:rPr>
        <w:t>Jones, University of Leeds School of Politics and International Studies Lecturer, 6</w:t>
      </w:r>
      <w:r>
        <w:t xml:space="preserve"> (</w:t>
      </w:r>
      <w:proofErr w:type="spellStart"/>
      <w:r>
        <w:t>Branwen</w:t>
      </w:r>
      <w:proofErr w:type="spellEnd"/>
      <w:r>
        <w:t xml:space="preserve"> </w:t>
      </w:r>
      <w:proofErr w:type="spellStart"/>
      <w:r>
        <w:t>Gruffydd</w:t>
      </w:r>
      <w:proofErr w:type="spellEnd"/>
      <w:r>
        <w:t xml:space="preserve">, “Introduction: International Relations, Eurocentrism, and Imperialism”, Decolonizing International Relations, Edited by </w:t>
      </w:r>
      <w:proofErr w:type="spellStart"/>
      <w:r>
        <w:t>Branwen</w:t>
      </w:r>
      <w:proofErr w:type="spellEnd"/>
      <w:r>
        <w:t xml:space="preserve"> </w:t>
      </w:r>
      <w:proofErr w:type="spellStart"/>
      <w:r>
        <w:t>Gruffydd</w:t>
      </w:r>
      <w:proofErr w:type="spellEnd"/>
      <w:r>
        <w:t xml:space="preserve"> Jones, p. 12</w:t>
      </w:r>
    </w:p>
    <w:p w14:paraId="7EB1F97D" w14:textId="77777777" w:rsidR="00BC09A4" w:rsidRPr="0010302D" w:rsidRDefault="00BC09A4" w:rsidP="00BC09A4">
      <w:pPr>
        <w:rPr>
          <w:rStyle w:val="StyleUnderline"/>
        </w:rPr>
      </w:pPr>
      <w:r w:rsidRPr="0010302D">
        <w:rPr>
          <w:rStyle w:val="StyleUnderline"/>
        </w:rPr>
        <w:t xml:space="preserve">The success of mainstream IR in appearing to be </w:t>
      </w:r>
      <w:proofErr w:type="gramStart"/>
      <w:r w:rsidRPr="0010302D">
        <w:rPr>
          <w:rStyle w:val="StyleUnderline"/>
        </w:rPr>
        <w:t>sufficient</w:t>
      </w:r>
      <w:proofErr w:type="gramEnd"/>
      <w:r w:rsidRPr="0010302D">
        <w:rPr>
          <w:rStyle w:val="StyleUnderline"/>
        </w:rPr>
        <w:t xml:space="preserve"> with regard to understanding the world poses a heavy burden of critique and exposure</w:t>
      </w:r>
      <w:r w:rsidRPr="0010302D">
        <w:t>, and</w:t>
      </w:r>
      <w:r>
        <w:t xml:space="preserve"> </w:t>
      </w:r>
      <w:r w:rsidRPr="0010302D">
        <w:t xml:space="preserve">the chapters in the first two parts of this volume make important </w:t>
      </w:r>
      <w:proofErr w:type="spellStart"/>
      <w:r w:rsidRPr="0010302D">
        <w:t>contribu</w:t>
      </w:r>
      <w:proofErr w:type="spellEnd"/>
      <w:r w:rsidRPr="0010302D">
        <w:t>-</w:t>
      </w:r>
      <w:r>
        <w:t xml:space="preserve"> </w:t>
      </w:r>
      <w:proofErr w:type="spellStart"/>
      <w:r w:rsidRPr="0010302D">
        <w:t>tions</w:t>
      </w:r>
      <w:proofErr w:type="spellEnd"/>
      <w:r w:rsidRPr="0010302D">
        <w:t xml:space="preserve"> to this broader imperative. However, elaborating such </w:t>
      </w:r>
      <w:r w:rsidRPr="0010302D">
        <w:rPr>
          <w:rStyle w:val="StyleUnderline"/>
        </w:rPr>
        <w:t>critique</w:t>
      </w:r>
      <w:r w:rsidRPr="0010302D">
        <w:t xml:space="preserve"> must only</w:t>
      </w:r>
      <w:r>
        <w:t xml:space="preserve"> </w:t>
      </w:r>
      <w:r w:rsidRPr="0010302D">
        <w:t xml:space="preserve">be the beginning </w:t>
      </w:r>
      <w:r w:rsidRPr="0010302D">
        <w:rPr>
          <w:rStyle w:val="StyleUnderline"/>
        </w:rPr>
        <w:t xml:space="preserve">and is incomplete without confronting the moment of con- </w:t>
      </w:r>
      <w:proofErr w:type="spellStart"/>
      <w:r w:rsidRPr="0010302D">
        <w:rPr>
          <w:rStyle w:val="StyleUnderline"/>
        </w:rPr>
        <w:t>struction</w:t>
      </w:r>
      <w:proofErr w:type="spellEnd"/>
      <w:r w:rsidRPr="0010302D">
        <w:rPr>
          <w:rStyle w:val="StyleUnderline"/>
        </w:rPr>
        <w:t xml:space="preserve"> and reconstruction.</w:t>
      </w:r>
      <w:r w:rsidRPr="0010302D">
        <w:t xml:space="preserve"> How can the Eurocentrism of IR be overcome</w:t>
      </w:r>
      <w:r>
        <w:t xml:space="preserve"> </w:t>
      </w:r>
      <w:r w:rsidRPr="0010302D">
        <w:t xml:space="preserve">and transcended? </w:t>
      </w:r>
      <w:proofErr w:type="gramStart"/>
      <w:r w:rsidRPr="0010302D">
        <w:t>In light of</w:t>
      </w:r>
      <w:proofErr w:type="gramEnd"/>
      <w:r w:rsidRPr="0010302D">
        <w:t xml:space="preserve"> the preceding chapters</w:t>
      </w:r>
      <w:r w:rsidRPr="0010302D">
        <w:rPr>
          <w:rStyle w:val="StyleUnderline"/>
        </w:rPr>
        <w:t xml:space="preserve">, it is clear that </w:t>
      </w:r>
      <w:proofErr w:type="spellStart"/>
      <w:r w:rsidRPr="0010302D">
        <w:rPr>
          <w:rStyle w:val="StyleUnderline"/>
        </w:rPr>
        <w:t>Eurocen</w:t>
      </w:r>
      <w:proofErr w:type="spellEnd"/>
      <w:r w:rsidRPr="0010302D">
        <w:rPr>
          <w:rStyle w:val="StyleUnderline"/>
        </w:rPr>
        <w:t xml:space="preserve">- </w:t>
      </w:r>
      <w:proofErr w:type="spellStart"/>
      <w:r w:rsidRPr="0010302D">
        <w:rPr>
          <w:rStyle w:val="StyleUnderline"/>
        </w:rPr>
        <w:t>trism</w:t>
      </w:r>
      <w:proofErr w:type="spellEnd"/>
      <w:r w:rsidRPr="0010302D">
        <w:rPr>
          <w:rStyle w:val="StyleUnderline"/>
        </w:rPr>
        <w:t xml:space="preserve"> cannot be overcome by simply applying existing IR knowledge to the rest of the world, “bringing the regions in.”</w:t>
      </w:r>
      <w:r w:rsidRPr="0010302D">
        <w:t xml:space="preserve"> </w:t>
      </w:r>
      <w:r w:rsidRPr="0010302D">
        <w:rPr>
          <w:rStyle w:val="StyleUnderline"/>
        </w:rPr>
        <w:t>Any attempt to decolonize IR must confront the substantive, methodological and political distortions embedded within the mainstream in order to reconstruct non-Eurocentric, historically ad- equate knowledge about the global constitution of all regions of the world and the global constitution of the international itself.</w:t>
      </w:r>
    </w:p>
    <w:p w14:paraId="7B544572" w14:textId="77777777" w:rsidR="004F6EA0" w:rsidRDefault="004F6EA0" w:rsidP="004F6EA0">
      <w:pPr>
        <w:pStyle w:val="Heading3"/>
      </w:pPr>
      <w:r>
        <w:lastRenderedPageBreak/>
        <w:t>At perm</w:t>
      </w:r>
    </w:p>
    <w:p w14:paraId="6AF9106F" w14:textId="77777777" w:rsidR="004F6EA0" w:rsidRDefault="004F6EA0" w:rsidP="004F6EA0">
      <w:r w:rsidRPr="002448E1">
        <w:rPr>
          <w:rStyle w:val="Style13ptBold"/>
        </w:rPr>
        <w:t>Krishna, University of Hawaii International Relations Professor, 6</w:t>
      </w:r>
      <w:r>
        <w:t xml:space="preserve"> (Sankaran, “Race, Amnesia, and the Education of International Relations”, Decolonizing International Relations, Edited by </w:t>
      </w:r>
      <w:proofErr w:type="spellStart"/>
      <w:r>
        <w:t>Branwen</w:t>
      </w:r>
      <w:proofErr w:type="spellEnd"/>
      <w:r>
        <w:t xml:space="preserve"> </w:t>
      </w:r>
      <w:proofErr w:type="spellStart"/>
      <w:r>
        <w:t>Gruffydd</w:t>
      </w:r>
      <w:proofErr w:type="spellEnd"/>
      <w:r>
        <w:t xml:space="preserve"> Jones, p.93-4)</w:t>
      </w:r>
    </w:p>
    <w:p w14:paraId="6FF8736C" w14:textId="77777777" w:rsidR="004F6EA0" w:rsidRPr="00E8272C" w:rsidRDefault="004F6EA0" w:rsidP="004F6EA0">
      <w:pPr>
        <w:rPr>
          <w:rStyle w:val="StyleUnderline"/>
        </w:rPr>
      </w:pPr>
      <w:r>
        <w:t xml:space="preserve">In Jameson’s “strategy of containment,” one can discern clear echoes of Heidegger’s idea of knowledge as the simultaneous act of disclosure/ concealment. Founded on discourses that justified, abstracted, and rationalized the genocide of the populations of the new world, the enslavement of Africans, and colonization of the Asians, the discipline of IR is one giant strategy of con- </w:t>
      </w:r>
      <w:proofErr w:type="spellStart"/>
      <w:r>
        <w:t>tainment</w:t>
      </w:r>
      <w:proofErr w:type="spellEnd"/>
      <w:r>
        <w:t xml:space="preserve">, “a substitute truth that renders existence at least partly bearable.” It is also, then, a quintessentially white discipline. It is not that race disappears from IR; it is rather that race serves as the crucial epistemic silence around which the discipline is written and coheres. That which is made to appear in IR discourse is that which conceals the silent presence of race. “Postcolonial IR” is thus an oxymoron—a contradiction in terms. </w:t>
      </w:r>
      <w:r w:rsidRPr="00E8272C">
        <w:rPr>
          <w:rStyle w:val="StyleUnderline"/>
        </w:rPr>
        <w:t xml:space="preserve">To decolonize IR is to </w:t>
      </w:r>
      <w:proofErr w:type="spellStart"/>
      <w:r w:rsidRPr="00E8272C">
        <w:rPr>
          <w:rStyle w:val="StyleUnderline"/>
        </w:rPr>
        <w:t>deschool</w:t>
      </w:r>
      <w:proofErr w:type="spellEnd"/>
      <w:r w:rsidRPr="00E8272C">
        <w:rPr>
          <w:rStyle w:val="StyleUnderline"/>
        </w:rPr>
        <w:t xml:space="preserve"> oneself from the discipline in its current dominant manifestations: to remember international relations, one needs to forget IR.</w:t>
      </w:r>
    </w:p>
    <w:p w14:paraId="2970F53D" w14:textId="77777777" w:rsidR="004F6EA0" w:rsidRPr="00E8272C" w:rsidRDefault="004F6EA0" w:rsidP="004F6EA0">
      <w:pPr>
        <w:rPr>
          <w:rStyle w:val="StyleUnderline"/>
        </w:rPr>
      </w:pPr>
      <w:r w:rsidRPr="00E8272C">
        <w:rPr>
          <w:rStyle w:val="StyleUnderline"/>
        </w:rPr>
        <w:t>The disciplining moves within the pedagogy of IR—the taboo against overly historical and descriptive narratives</w:t>
      </w:r>
      <w:r>
        <w:t xml:space="preserve">; the fetish for </w:t>
      </w:r>
      <w:r w:rsidRPr="00E8272C">
        <w:rPr>
          <w:rStyle w:val="StyleUnderline"/>
        </w:rPr>
        <w:t>quantitative analyses that compress centuries of contested historical narratives into eviscerated numbers</w:t>
      </w:r>
      <w:r>
        <w:t xml:space="preserve">; the </w:t>
      </w:r>
      <w:r w:rsidRPr="00E8272C">
        <w:rPr>
          <w:rStyle w:val="StyleUnderline"/>
        </w:rPr>
        <w:t>reduction of socially sentient human beings into rational utility maximizers</w:t>
      </w:r>
      <w:r>
        <w:t xml:space="preserve">; the </w:t>
      </w:r>
      <w:r w:rsidRPr="00E8272C">
        <w:rPr>
          <w:rStyle w:val="StyleUnderline"/>
        </w:rPr>
        <w:t>preference for problem-solving theory (in the guise of policy relevance) rather than for critical or genealogical theory</w:t>
      </w:r>
      <w:r>
        <w:t xml:space="preserve">; </w:t>
      </w:r>
      <w:r w:rsidRPr="00E8272C">
        <w:rPr>
          <w:rStyle w:val="StyleUnderline"/>
        </w:rPr>
        <w:t>the putative anarchy of the system of nation-states that discredits possibilities of imagining nonnational ways of being</w:t>
      </w:r>
      <w:r>
        <w:t xml:space="preserve">; </w:t>
      </w:r>
      <w:r w:rsidRPr="00E8272C">
        <w:rPr>
          <w:rStyle w:val="StyleUnderline"/>
        </w:rPr>
        <w:t>the hypermasculine tetchiness and insecurity on questions of gender, androgyny, and queer identity; and, most significant, the elision of themes such as the theft of land, racism, slavery, and colonialism—these can be collectively understood as a series of extraordinarily effective moves that preserve the ideology of IR discourse.</w:t>
      </w:r>
    </w:p>
    <w:p w14:paraId="7E64C7DC" w14:textId="77777777" w:rsidR="004F6EA0" w:rsidRPr="004F6EA0" w:rsidRDefault="004F6EA0" w:rsidP="004F6EA0"/>
    <w:p w14:paraId="3F7C8A9F" w14:textId="7CAA7D83" w:rsidR="00BB6762" w:rsidRDefault="00BB6762" w:rsidP="00BB6762">
      <w:pPr>
        <w:pStyle w:val="Heading3"/>
      </w:pPr>
      <w:r>
        <w:lastRenderedPageBreak/>
        <w:t>AT: Perm</w:t>
      </w:r>
    </w:p>
    <w:p w14:paraId="4D9007D8" w14:textId="25A1EC30" w:rsidR="00BB6762" w:rsidRDefault="00BB6762" w:rsidP="00BB6762">
      <w:pPr>
        <w:pStyle w:val="Heading4"/>
      </w:pPr>
      <w:r>
        <w:t xml:space="preserve">Debates over </w:t>
      </w:r>
      <w:proofErr w:type="gramStart"/>
      <w:r>
        <w:t>whether or not</w:t>
      </w:r>
      <w:proofErr w:type="gramEnd"/>
      <w:r>
        <w:t xml:space="preserve"> we should restrict arms distract from the larger questions of who has arms and why – investments in minor oscillations in policy give a false sense of control internal to an unjust system, even as those systems themselves are ultimately mere pacifying symbols – </w:t>
      </w:r>
    </w:p>
    <w:p w14:paraId="2989B73F" w14:textId="77777777" w:rsidR="00BB6762" w:rsidRPr="006E6FA3" w:rsidRDefault="00BB6762" w:rsidP="00BB6762">
      <w:pPr>
        <w:rPr>
          <w:rStyle w:val="Style13ptBold"/>
        </w:rPr>
      </w:pPr>
      <w:r w:rsidRPr="006E6FA3">
        <w:rPr>
          <w:rStyle w:val="Style13ptBold"/>
        </w:rPr>
        <w:t xml:space="preserve">Cooper, Bradford University International Relations and Security Studies Professor and Peace Studies &amp; International Development Head, 18 </w:t>
      </w:r>
    </w:p>
    <w:p w14:paraId="2347B432" w14:textId="77777777" w:rsidR="00BB6762" w:rsidRDefault="00BB6762" w:rsidP="00BB6762">
      <w:r>
        <w:t xml:space="preserve">[Neil, 2018, Journal of Global Security Studies 3(4), “Race, Sovereignty, and Free Trade: Arms Trade Regulation and Humanitarian Arms Control in the Age of Empire”, 444-462, accessed 6/30 </w:t>
      </w:r>
      <w:proofErr w:type="spellStart"/>
      <w:r>
        <w:t>dwrs</w:t>
      </w:r>
      <w:proofErr w:type="spellEnd"/>
      <w:r>
        <w:t>]</w:t>
      </w:r>
    </w:p>
    <w:p w14:paraId="10D8A082" w14:textId="77777777" w:rsidR="00BB6762" w:rsidRDefault="00BB6762" w:rsidP="00BB6762">
      <w:pPr>
        <w:pStyle w:val="ListParagraph"/>
        <w:numPr>
          <w:ilvl w:val="0"/>
          <w:numId w:val="12"/>
        </w:numPr>
      </w:pPr>
      <w:r>
        <w:t xml:space="preserve">Clash over prohibition and proliferation are a sort of internal discussion which prevents us from talking about broader structures of militarism – first, that’s why the aff is necessary because we’re an injunction (needs an at: </w:t>
      </w:r>
      <w:proofErr w:type="spellStart"/>
      <w:r>
        <w:t>tva</w:t>
      </w:r>
      <w:proofErr w:type="spellEnd"/>
      <w:r>
        <w:t>)</w:t>
      </w:r>
    </w:p>
    <w:p w14:paraId="6192537F" w14:textId="77777777" w:rsidR="00BB6762" w:rsidRDefault="00BB6762" w:rsidP="00BB6762">
      <w:pPr>
        <w:pStyle w:val="ListParagraph"/>
        <w:numPr>
          <w:ilvl w:val="0"/>
          <w:numId w:val="12"/>
        </w:numPr>
      </w:pPr>
      <w:r>
        <w:t xml:space="preserve">but, the relative efficacy of certain things (literally, debating about plans) is basically a distraction from the broader ends  </w:t>
      </w:r>
    </w:p>
    <w:p w14:paraId="459A18C9" w14:textId="77777777" w:rsidR="00BB6762" w:rsidRDefault="00BB6762" w:rsidP="00BB6762">
      <w:pPr>
        <w:pStyle w:val="ListParagraph"/>
        <w:numPr>
          <w:ilvl w:val="0"/>
          <w:numId w:val="12"/>
        </w:numPr>
      </w:pPr>
      <w:r>
        <w:t>and arms are fundamentally about what or who is sovereign – that determination allows for bad things because that analysis itself is like bad (Heidegger gang)</w:t>
      </w:r>
    </w:p>
    <w:p w14:paraId="43B5B534" w14:textId="77777777" w:rsidR="00BB6762" w:rsidRDefault="00BB6762" w:rsidP="00BB6762">
      <w:pPr>
        <w:pStyle w:val="ListParagraph"/>
        <w:numPr>
          <w:ilvl w:val="0"/>
          <w:numId w:val="12"/>
        </w:numPr>
      </w:pPr>
      <w:r>
        <w:t xml:space="preserve">all reasons for </w:t>
      </w:r>
      <w:proofErr w:type="spellStart"/>
      <w:r>
        <w:t>affs</w:t>
      </w:r>
      <w:proofErr w:type="spellEnd"/>
      <w:r>
        <w:t xml:space="preserve"> (the idea for support in Africa about alcohol) are just the </w:t>
      </w:r>
      <w:proofErr w:type="spellStart"/>
      <w:r>
        <w:t>aff’s</w:t>
      </w:r>
      <w:proofErr w:type="spellEnd"/>
      <w:r>
        <w:t xml:space="preserve"> internal links – but, all of these things are puppets – all reasons in any direction are REVERSIBLE – all arguments are just an economy of sovereignty – which means our arguments [about the alt] precede, as the Other is interchangeable to evils (argument about elimination logics and the destruction of (Baudrillard’s) Evil)</w:t>
      </w:r>
    </w:p>
    <w:p w14:paraId="2CF57218" w14:textId="77777777" w:rsidR="00BB6762" w:rsidRDefault="00BB6762" w:rsidP="00BB6762">
      <w:pPr>
        <w:pStyle w:val="ListParagraph"/>
        <w:numPr>
          <w:ilvl w:val="0"/>
          <w:numId w:val="12"/>
        </w:numPr>
      </w:pPr>
      <w:r>
        <w:t xml:space="preserve">THE PERFORMANCE OF REGULATION AND GOVERNMENTALITY OVERWHELM AND PRECEDES ITS (REVERSIBLE) CONSEQUENCES – arms control is hyperreal because circumvention and the sort of legal impossibility of understanding the frameworks of the law is (demonstrably) impossible – turns the plan focus arguments because it’s naïve to assume we can know or control – it’s only a question of our orientation to those things </w:t>
      </w:r>
    </w:p>
    <w:p w14:paraId="5F26D344" w14:textId="77777777" w:rsidR="00BB6762" w:rsidRDefault="00BB6762" w:rsidP="00BB6762">
      <w:pPr>
        <w:pStyle w:val="ListParagraph"/>
        <w:numPr>
          <w:ilvl w:val="0"/>
          <w:numId w:val="12"/>
        </w:numPr>
      </w:pPr>
      <w:r>
        <w:t xml:space="preserve">a framework which can account for the necessary antagonism of imperialism and governmentality is necessary to understand the aff – the links turn education / idk what the implication of those “framework” args are but certainly people make them </w:t>
      </w:r>
    </w:p>
    <w:p w14:paraId="6F83BBA8" w14:textId="77777777" w:rsidR="00BB6762" w:rsidRDefault="00BB6762" w:rsidP="00BB6762"/>
    <w:p w14:paraId="2BC301B6" w14:textId="77777777" w:rsidR="00BB6762" w:rsidRDefault="00BB6762" w:rsidP="00BB6762">
      <w:r>
        <w:t xml:space="preserve">Similarly, </w:t>
      </w:r>
      <w:r w:rsidRPr="00351BE7">
        <w:rPr>
          <w:rStyle w:val="Emphasis"/>
        </w:rPr>
        <w:t xml:space="preserve">both the advocates for free trade in arms in the spats of empire and the advocates of </w:t>
      </w:r>
      <w:proofErr w:type="spellStart"/>
      <w:r w:rsidRPr="00351BE7">
        <w:rPr>
          <w:rStyle w:val="Emphasis"/>
        </w:rPr>
        <w:t>restric-tion</w:t>
      </w:r>
      <w:proofErr w:type="spellEnd"/>
      <w:r w:rsidRPr="00351BE7">
        <w:rPr>
          <w:rStyle w:val="Emphasis"/>
        </w:rPr>
        <w:t xml:space="preserve"> crafted their arguments by reference to the shared ideational frames of free trade, development, and the standard of civilization—each heavily imbricated in the other</w:t>
      </w:r>
      <w:r>
        <w:t xml:space="preserve">. In Africa, for example, </w:t>
      </w:r>
      <w:r w:rsidRPr="00351BE7">
        <w:rPr>
          <w:rStyle w:val="StyleUnderline"/>
        </w:rPr>
        <w:t>free trade advocates argued the offer of arms was essential for recruiting African la-borers and that arms proliferation would speed the de-population of local wildlife, thus hastening the day when natives switched from hunting and alcohol to legitimate trade</w:t>
      </w:r>
      <w:r>
        <w:t xml:space="preserve"> (</w:t>
      </w:r>
      <w:proofErr w:type="spellStart"/>
      <w:r>
        <w:t>Storey</w:t>
      </w:r>
      <w:proofErr w:type="spellEnd"/>
      <w:r>
        <w:t xml:space="preserve"> 2008, 196). Conversely, </w:t>
      </w:r>
      <w:r w:rsidRPr="00351BE7">
        <w:rPr>
          <w:rStyle w:val="StyleUnderline"/>
        </w:rPr>
        <w:t>proponents of re-</w:t>
      </w:r>
      <w:proofErr w:type="spellStart"/>
      <w:r w:rsidRPr="00351BE7">
        <w:rPr>
          <w:rStyle w:val="StyleUnderline"/>
        </w:rPr>
        <w:t>striction</w:t>
      </w:r>
      <w:proofErr w:type="spellEnd"/>
      <w:r w:rsidRPr="00351BE7">
        <w:rPr>
          <w:rStyle w:val="StyleUnderline"/>
        </w:rPr>
        <w:t xml:space="preserve"> such as Alexander Mackay</w:t>
      </w:r>
      <w:r>
        <w:t xml:space="preserve"> (1890, 42) of the Church Missionary Society </w:t>
      </w:r>
      <w:r w:rsidRPr="00351BE7">
        <w:rPr>
          <w:rStyle w:val="StyleUnderline"/>
        </w:rPr>
        <w:t xml:space="preserve">deplored the fact that "in the name of Christianity, free trade and civilization we see firewater and firearms pouring in every port tin </w:t>
      </w:r>
      <w:proofErr w:type="spellStart"/>
      <w:r w:rsidRPr="00351BE7">
        <w:rPr>
          <w:rStyle w:val="StyleUnderline"/>
        </w:rPr>
        <w:t>Africar</w:t>
      </w:r>
      <w:proofErr w:type="spellEnd"/>
      <w:r w:rsidRPr="00351BE7">
        <w:rPr>
          <w:rStyle w:val="StyleUnderline"/>
        </w:rPr>
        <w:t xml:space="preserve"> However, for Mackay, the solution lay not only in `for-bidding the import of arms and ammunition" but in pro-</w:t>
      </w:r>
      <w:proofErr w:type="spellStart"/>
      <w:r w:rsidRPr="00351BE7">
        <w:rPr>
          <w:rStyle w:val="StyleUnderline"/>
        </w:rPr>
        <w:t>moting</w:t>
      </w:r>
      <w:proofErr w:type="spellEnd"/>
      <w:r w:rsidRPr="00351BE7">
        <w:rPr>
          <w:rStyle w:val="StyleUnderline"/>
        </w:rPr>
        <w:t xml:space="preserve"> legitimate trade amongst Africans, "developing the resources of the </w:t>
      </w:r>
      <w:r w:rsidRPr="00351BE7">
        <w:rPr>
          <w:rStyle w:val="StyleUnderline"/>
        </w:rPr>
        <w:lastRenderedPageBreak/>
        <w:t>country, and ... promoting internal peace" so 'the natives will ... hussy themselves with grow-</w:t>
      </w:r>
      <w:proofErr w:type="spellStart"/>
      <w:r w:rsidRPr="00351BE7">
        <w:rPr>
          <w:rStyle w:val="StyleUnderline"/>
        </w:rPr>
        <w:t>ing</w:t>
      </w:r>
      <w:proofErr w:type="spellEnd"/>
      <w:r w:rsidRPr="00351BE7">
        <w:rPr>
          <w:rStyle w:val="StyleUnderline"/>
        </w:rPr>
        <w:t xml:space="preserve"> whatever they can get a fair price for instead of fight-</w:t>
      </w:r>
      <w:proofErr w:type="spellStart"/>
      <w:r w:rsidRPr="00351BE7">
        <w:rPr>
          <w:rStyle w:val="StyleUnderline"/>
        </w:rPr>
        <w:t>ing</w:t>
      </w:r>
      <w:proofErr w:type="spellEnd"/>
      <w:r w:rsidRPr="00351BE7">
        <w:rPr>
          <w:rStyle w:val="StyleUnderline"/>
        </w:rPr>
        <w:t>"</w:t>
      </w:r>
      <w:r>
        <w:t xml:space="preserve"> (Letter to The Times, May 8, 1889). In this sense, </w:t>
      </w:r>
      <w:r w:rsidRPr="00351BE7">
        <w:rPr>
          <w:rStyle w:val="StyleUnderline"/>
        </w:rPr>
        <w:t xml:space="preserve">the Brussels Act </w:t>
      </w:r>
      <w:r w:rsidRPr="00351BE7">
        <w:rPr>
          <w:rStyle w:val="Emphasis"/>
        </w:rPr>
        <w:t>represented the archetype of regulation in the spaces of empire, combining restrictions on the arms and liquor trades with calls for the development of "</w:t>
      </w:r>
      <w:proofErr w:type="spellStart"/>
      <w:r w:rsidRPr="00351BE7">
        <w:rPr>
          <w:rStyle w:val="Emphasis"/>
        </w:rPr>
        <w:t>agri</w:t>
      </w:r>
      <w:proofErr w:type="spellEnd"/>
      <w:r w:rsidRPr="00351BE7">
        <w:rPr>
          <w:rStyle w:val="Emphasis"/>
        </w:rPr>
        <w:t xml:space="preserve">-cultural </w:t>
      </w:r>
      <w:proofErr w:type="spellStart"/>
      <w:r w:rsidRPr="00351BE7">
        <w:rPr>
          <w:rStyle w:val="Emphasis"/>
        </w:rPr>
        <w:t>labour</w:t>
      </w:r>
      <w:proofErr w:type="spellEnd"/>
      <w:r w:rsidRPr="00351BE7">
        <w:rPr>
          <w:rStyle w:val="Emphasis"/>
        </w:rPr>
        <w:t xml:space="preserve"> and ... the industrial arts" amongst </w:t>
      </w:r>
      <w:proofErr w:type="spellStart"/>
      <w:r w:rsidRPr="00351BE7">
        <w:rPr>
          <w:rStyle w:val="Emphasis"/>
        </w:rPr>
        <w:t>na-tive</w:t>
      </w:r>
      <w:proofErr w:type="spellEnd"/>
      <w:r w:rsidRPr="00351BE7">
        <w:rPr>
          <w:rStyle w:val="Emphasis"/>
        </w:rPr>
        <w:t xml:space="preserve"> populations</w:t>
      </w:r>
      <w:r>
        <w:t xml:space="preserve"> (Article Two). At the same time, the pre-</w:t>
      </w:r>
      <w:proofErr w:type="spellStart"/>
      <w:r>
        <w:t>cise</w:t>
      </w:r>
      <w:proofErr w:type="spellEnd"/>
      <w:r>
        <w:t xml:space="preserve"> ways in which these twin processes of grafting and counter-grafting played out varied from region to region and over time. For example, in Singapore, </w:t>
      </w:r>
      <w:r w:rsidRPr="00351BE7">
        <w:rPr>
          <w:rStyle w:val="Emphasis"/>
        </w:rPr>
        <w:t>policy</w:t>
      </w:r>
      <w:r>
        <w:t xml:space="preserve"> from the 1820s onwards </w:t>
      </w:r>
      <w:r w:rsidRPr="00351BE7">
        <w:rPr>
          <w:rStyle w:val="Emphasis"/>
        </w:rPr>
        <w:t>oscillated between permission and pro-</w:t>
      </w:r>
      <w:proofErr w:type="spellStart"/>
      <w:r w:rsidRPr="00351BE7">
        <w:rPr>
          <w:rStyle w:val="Emphasis"/>
        </w:rPr>
        <w:t>scription</w:t>
      </w:r>
      <w:proofErr w:type="spellEnd"/>
      <w:r w:rsidRPr="00351BE7">
        <w:rPr>
          <w:rStyle w:val="Emphasis"/>
        </w:rPr>
        <w:t>, as free trade and merchant pressure on the one hand and concerns about the destabilizing impact of the firearms trade on the other hand were weighed in differ-</w:t>
      </w:r>
      <w:proofErr w:type="spellStart"/>
      <w:r w:rsidRPr="00351BE7">
        <w:rPr>
          <w:rStyle w:val="Emphasis"/>
        </w:rPr>
        <w:t>ent</w:t>
      </w:r>
      <w:proofErr w:type="spellEnd"/>
      <w:r w:rsidRPr="00351BE7">
        <w:rPr>
          <w:rStyle w:val="Emphasis"/>
        </w:rPr>
        <w:t xml:space="preserve"> ways at different times</w:t>
      </w:r>
      <w:r>
        <w:t xml:space="preserve"> (</w:t>
      </w:r>
      <w:proofErr w:type="spellStart"/>
      <w:r>
        <w:t>Tagliacoreo</w:t>
      </w:r>
      <w:proofErr w:type="spellEnd"/>
      <w:r>
        <w:t xml:space="preserve"> 2005, 270; Chew 2012, 174-79). At Muscat, commercial treaties between the sultan and various powers (particularly the French) enshrining free trade severely hampered Britain's ability to curtail the trade in the Persian Gulf. This was only finally resolved by the </w:t>
      </w:r>
      <w:proofErr w:type="gramStart"/>
      <w:r>
        <w:t>aforementioned 1913</w:t>
      </w:r>
      <w:proofErr w:type="gramEnd"/>
      <w:r>
        <w:t xml:space="preserve"> agreement between Britain and France. </w:t>
      </w:r>
      <w:r w:rsidRPr="00351BE7">
        <w:rPr>
          <w:rStyle w:val="Emphasis"/>
        </w:rPr>
        <w:t>Thus, free trade norms were constantly exposed to serial processes of grafting and counter-grafting</w:t>
      </w:r>
      <w:r w:rsidRPr="00351BE7">
        <w:t xml:space="preserve">. Nevertheless, as the nineteenth century merged into the early twentieth century, </w:t>
      </w:r>
      <w:r w:rsidRPr="00351BE7">
        <w:rPr>
          <w:rStyle w:val="Emphasis"/>
        </w:rPr>
        <w:t>arms trade reg-</w:t>
      </w:r>
      <w:proofErr w:type="spellStart"/>
      <w:r w:rsidRPr="00351BE7">
        <w:rPr>
          <w:rStyle w:val="Emphasis"/>
        </w:rPr>
        <w:t>ulation</w:t>
      </w:r>
      <w:proofErr w:type="spellEnd"/>
      <w:r w:rsidRPr="00351BE7">
        <w:rPr>
          <w:rStyle w:val="Emphasis"/>
        </w:rPr>
        <w:t xml:space="preserve"> in the spaces of empire was increasingly seen as consonant with a dominant imaginary of liberal market norms</w:t>
      </w:r>
      <w:r>
        <w:t xml:space="preserve"> (Mathew 2016). </w:t>
      </w:r>
    </w:p>
    <w:p w14:paraId="73256952" w14:textId="77777777" w:rsidR="00BB6762" w:rsidRDefault="00BB6762" w:rsidP="00BB6762">
      <w:r>
        <w:t xml:space="preserve">This is not to downplay the pressures for imperial powers to supply arms to local allies, or the way broader colonial conceptions of economic and geostrategic inter </w:t>
      </w:r>
      <w:proofErr w:type="spellStart"/>
      <w:r>
        <w:t>szt</w:t>
      </w:r>
      <w:proofErr w:type="spellEnd"/>
      <w:r>
        <w:t xml:space="preserve"> militated against cooperation to limit the arms traffic as at Djibouti and Muscat.31 However, such factors </w:t>
      </w:r>
      <w:proofErr w:type="spellStart"/>
      <w:r>
        <w:t>ulti-mately</w:t>
      </w:r>
      <w:proofErr w:type="spellEnd"/>
      <w:r>
        <w:t xml:space="preserve"> illustrate the way in which particular assemblages of norms, formal and informal practices, responses to evasions, and norm-derived conceptions of interest con-</w:t>
      </w:r>
      <w:proofErr w:type="spellStart"/>
      <w:r>
        <w:t>stituted</w:t>
      </w:r>
      <w:proofErr w:type="spellEnd"/>
      <w:r>
        <w:t xml:space="preserve"> colonial practices of arms control as </w:t>
      </w:r>
      <w:proofErr w:type="spellStart"/>
      <w:r>
        <w:t>governmen</w:t>
      </w:r>
      <w:proofErr w:type="spellEnd"/>
      <w:r>
        <w:t xml:space="preserve">-talky. Understood in this way, </w:t>
      </w:r>
      <w:r w:rsidRPr="00351BE7">
        <w:rPr>
          <w:rStyle w:val="Emphasis"/>
        </w:rPr>
        <w:t>oscillations in policy</w:t>
      </w:r>
      <w:r>
        <w:t xml:space="preserve"> </w:t>
      </w:r>
      <w:r w:rsidRPr="00351BE7">
        <w:rPr>
          <w:rStyle w:val="StyleUnderline"/>
        </w:rPr>
        <w:t>in the same region or between different spheres of colonial in-</w:t>
      </w:r>
      <w:proofErr w:type="spellStart"/>
      <w:r w:rsidRPr="00351BE7">
        <w:rPr>
          <w:rStyle w:val="StyleUnderline"/>
        </w:rPr>
        <w:t>terest</w:t>
      </w:r>
      <w:proofErr w:type="spellEnd"/>
      <w:r w:rsidRPr="00351BE7">
        <w:rPr>
          <w:rStyle w:val="StyleUnderline"/>
        </w:rPr>
        <w:t xml:space="preserve"> </w:t>
      </w:r>
      <w:r w:rsidRPr="00351BE7">
        <w:rPr>
          <w:rStyle w:val="Emphasis"/>
        </w:rPr>
        <w:t>reflected the attempt (always imperfect) to manage arms flows according to where people were placed in the racially inflected triple hierarchies of civilization, loyalty, and utility to imperial power—</w:t>
      </w:r>
      <w:r>
        <w:t>hierarchies that could be either mutually reinforcing or mutually opposed depend-</w:t>
      </w:r>
      <w:proofErr w:type="spellStart"/>
      <w:r>
        <w:t>ing</w:t>
      </w:r>
      <w:proofErr w:type="spellEnd"/>
      <w:r>
        <w:t xml:space="preserve"> on circumstance. </w:t>
      </w:r>
      <w:r w:rsidRPr="00351BE7">
        <w:rPr>
          <w:rStyle w:val="StyleUnderline"/>
        </w:rPr>
        <w:t xml:space="preserve">Pressures to arm or disarm locals also illustrated how judgements about what constituted interest were predicated on a particular moral economy in which European norms of racial superiority and </w:t>
      </w:r>
      <w:proofErr w:type="spellStart"/>
      <w:r w:rsidRPr="00351BE7">
        <w:rPr>
          <w:rStyle w:val="StyleUnderline"/>
        </w:rPr>
        <w:t>impe-rialism</w:t>
      </w:r>
      <w:proofErr w:type="spellEnd"/>
      <w:r w:rsidRPr="00351BE7">
        <w:rPr>
          <w:rStyle w:val="StyleUnderline"/>
        </w:rPr>
        <w:t xml:space="preserve"> framed the standards of appropriate behavior of the era</w:t>
      </w:r>
      <w:r>
        <w:t xml:space="preserve"> (</w:t>
      </w:r>
      <w:proofErr w:type="spellStart"/>
      <w:r>
        <w:t>Finnemore</w:t>
      </w:r>
      <w:proofErr w:type="spellEnd"/>
      <w:r>
        <w:t xml:space="preserve"> and </w:t>
      </w:r>
      <w:proofErr w:type="spellStart"/>
      <w:r>
        <w:t>Sikkink</w:t>
      </w:r>
      <w:proofErr w:type="spellEnd"/>
      <w:r>
        <w:t xml:space="preserve"> 1998, 892) </w:t>
      </w:r>
      <w:r w:rsidRPr="00351BE7">
        <w:rPr>
          <w:rStyle w:val="StyleUnderline"/>
        </w:rPr>
        <w:t>and the fluid but always subordinate identities of the other.</w:t>
      </w:r>
    </w:p>
    <w:p w14:paraId="7D46768E" w14:textId="77777777" w:rsidR="00BB6762" w:rsidRPr="00351BE7" w:rsidRDefault="00BB6762" w:rsidP="00BB6762">
      <w:pPr>
        <w:rPr>
          <w:rStyle w:val="Emphasis"/>
        </w:rPr>
      </w:pPr>
      <w:r>
        <w:t xml:space="preserve"> The centrality of European racial and imperial norms in arms governance was illustrated in the late 1870s when the Cape Colony in Southern Africa introduced a </w:t>
      </w:r>
      <w:proofErr w:type="spellStart"/>
      <w:r>
        <w:t>licens-ing</w:t>
      </w:r>
      <w:proofErr w:type="spellEnd"/>
      <w:r>
        <w:t xml:space="preserve"> system aimed at disarming supposedly disloyal </w:t>
      </w:r>
      <w:proofErr w:type="spellStart"/>
      <w:r>
        <w:t>na-tive</w:t>
      </w:r>
      <w:proofErr w:type="spellEnd"/>
      <w:r>
        <w:t xml:space="preserve"> tribes (</w:t>
      </w:r>
      <w:proofErr w:type="spellStart"/>
      <w:r>
        <w:t>Storey</w:t>
      </w:r>
      <w:proofErr w:type="spellEnd"/>
      <w:r>
        <w:t xml:space="preserve"> 2004, 707). In response, one tribe, the Basuto, proclaimed their loyalty to the Queen and asked whether ''we are to be disarmed because we are black."32 In British India, Acts in 1858,1860,1878, and 1909 con-</w:t>
      </w:r>
      <w:proofErr w:type="spellStart"/>
      <w:r>
        <w:t>stantly</w:t>
      </w:r>
      <w:proofErr w:type="spellEnd"/>
      <w:r>
        <w:t xml:space="preserve"> refined and revised who had the right to own, </w:t>
      </w:r>
      <w:proofErr w:type="spellStart"/>
      <w:r>
        <w:t>im</w:t>
      </w:r>
      <w:proofErr w:type="spellEnd"/>
      <w:r>
        <w:t xml:space="preserve">-port, export, and produce what kinds of arms, where they could be transferred to, and under what conditions. </w:t>
      </w:r>
      <w:r w:rsidRPr="00351BE7">
        <w:rPr>
          <w:rStyle w:val="StyleUnderline"/>
        </w:rPr>
        <w:t xml:space="preserve">Each act was also regularly amended via a series of </w:t>
      </w:r>
      <w:proofErr w:type="spellStart"/>
      <w:r w:rsidRPr="00351BE7">
        <w:rPr>
          <w:rStyle w:val="StyleUnderline"/>
        </w:rPr>
        <w:t>notifica-tions</w:t>
      </w:r>
      <w:proofErr w:type="spellEnd"/>
      <w:r>
        <w:t xml:space="preserve"> that led one official reviewing rules on exports to Aden to lament </w:t>
      </w:r>
      <w:r w:rsidRPr="00351BE7">
        <w:rPr>
          <w:rStyle w:val="Emphasis"/>
        </w:rPr>
        <w:t>it is impossible to say ... with absolute certainty what are now the precise powers of the Gov-</w:t>
      </w:r>
      <w:proofErr w:type="spellStart"/>
      <w:r w:rsidRPr="00351BE7">
        <w:rPr>
          <w:rStyle w:val="Emphasis"/>
        </w:rPr>
        <w:t>ernment</w:t>
      </w:r>
      <w:proofErr w:type="spellEnd"/>
      <w:r>
        <w:t xml:space="preserve"> of India under the 118781 Arms Act:43 This </w:t>
      </w:r>
      <w:proofErr w:type="spellStart"/>
      <w:r>
        <w:t>il</w:t>
      </w:r>
      <w:proofErr w:type="spellEnd"/>
      <w:r>
        <w:t xml:space="preserve">-lustrates how </w:t>
      </w:r>
      <w:r w:rsidRPr="00351BE7">
        <w:rPr>
          <w:rStyle w:val="StyleUnderline"/>
        </w:rPr>
        <w:t xml:space="preserve">such </w:t>
      </w:r>
      <w:r w:rsidRPr="00351BE7">
        <w:rPr>
          <w:rStyle w:val="Emphasis"/>
        </w:rPr>
        <w:t xml:space="preserve">regulations were not just about the effective management of arms flows but also an </w:t>
      </w:r>
      <w:proofErr w:type="spellStart"/>
      <w:r w:rsidRPr="00351BE7">
        <w:rPr>
          <w:rStyle w:val="Emphasis"/>
        </w:rPr>
        <w:t>intrin</w:t>
      </w:r>
      <w:proofErr w:type="spellEnd"/>
      <w:r w:rsidRPr="00351BE7">
        <w:rPr>
          <w:rStyle w:val="Emphasis"/>
        </w:rPr>
        <w:t>-sic part of the process by which imperial gradations of race, culture, and threat were actually produced.</w:t>
      </w:r>
      <w:r w:rsidRPr="00351BE7">
        <w:rPr>
          <w:rStyle w:val="StyleUnderline"/>
        </w:rPr>
        <w:t xml:space="preserve"> Indeed, in this context, </w:t>
      </w:r>
      <w:r w:rsidRPr="00351BE7">
        <w:rPr>
          <w:rStyle w:val="Emphasis"/>
        </w:rPr>
        <w:t>the performative of adherence to, and re-</w:t>
      </w:r>
      <w:proofErr w:type="spellStart"/>
      <w:r w:rsidRPr="00351BE7">
        <w:rPr>
          <w:rStyle w:val="Emphasis"/>
        </w:rPr>
        <w:t>finement</w:t>
      </w:r>
      <w:proofErr w:type="spellEnd"/>
      <w:r w:rsidRPr="00351BE7">
        <w:rPr>
          <w:rStyle w:val="Emphasis"/>
        </w:rPr>
        <w:t xml:space="preserve"> of, regulatory processes </w:t>
      </w:r>
      <w:proofErr w:type="gramStart"/>
      <w:r w:rsidRPr="00351BE7">
        <w:rPr>
          <w:rStyle w:val="Emphasis"/>
        </w:rPr>
        <w:t>was</w:t>
      </w:r>
      <w:proofErr w:type="gramEnd"/>
      <w:r w:rsidRPr="00351BE7">
        <w:rPr>
          <w:rStyle w:val="Emphasis"/>
        </w:rPr>
        <w:t xml:space="preserve"> as important as ac-</w:t>
      </w:r>
      <w:proofErr w:type="spellStart"/>
      <w:r w:rsidRPr="00351BE7">
        <w:rPr>
          <w:rStyle w:val="Emphasis"/>
        </w:rPr>
        <w:t>tually</w:t>
      </w:r>
      <w:proofErr w:type="spellEnd"/>
      <w:r w:rsidRPr="00351BE7">
        <w:rPr>
          <w:rStyle w:val="Emphasis"/>
        </w:rPr>
        <w:t xml:space="preserve"> achieving a concrete impact on arms flows. </w:t>
      </w:r>
    </w:p>
    <w:p w14:paraId="133F2AE3" w14:textId="77777777" w:rsidR="00BB6762" w:rsidRDefault="00BB6762" w:rsidP="00BB6762">
      <w:r>
        <w:lastRenderedPageBreak/>
        <w:t xml:space="preserve">In Somalia, imperial policy combined permission with prohibition. In 1894, Italy concluded an agreement un-der which the Somali Sultan of the </w:t>
      </w:r>
      <w:proofErr w:type="spellStart"/>
      <w:r>
        <w:t>Mjertin</w:t>
      </w:r>
      <w:proofErr w:type="spellEnd"/>
      <w:r>
        <w:t xml:space="preserve"> adhered to the terms of the Brussels Act (</w:t>
      </w:r>
      <w:proofErr w:type="spellStart"/>
      <w:r>
        <w:t>Hensler</w:t>
      </w:r>
      <w:proofErr w:type="spellEnd"/>
      <w:r>
        <w:t xml:space="preserve">/ 1967, 1119). Further measures, aimed at preventing arms reaching Sayyid Mohamed Abdullah Hassan, the so-called Mad Mullah of Somalia, included the 1902 Aden Sea </w:t>
      </w:r>
      <w:proofErr w:type="spellStart"/>
      <w:r>
        <w:t>Traf</w:t>
      </w:r>
      <w:proofErr w:type="spellEnd"/>
      <w:r>
        <w:t>-fic in Arms Regulation;34 the 1905 Big Agreement be-tween Italy and a then-weakened Sayyid prohibiting his import of firearms (</w:t>
      </w:r>
      <w:proofErr w:type="spellStart"/>
      <w:r>
        <w:t>Hertslett</w:t>
      </w:r>
      <w:proofErr w:type="spellEnd"/>
      <w:r>
        <w:t xml:space="preserve"> 1967, 1120-23; </w:t>
      </w:r>
      <w:proofErr w:type="spellStart"/>
      <w:r>
        <w:t>Katagiri</w:t>
      </w:r>
      <w:proofErr w:type="spellEnd"/>
      <w:r>
        <w:t xml:space="preserve"> 2010, 38); and the British Somaliland Firearms </w:t>
      </w:r>
      <w:proofErr w:type="spellStart"/>
      <w:r>
        <w:t>Regu-lation</w:t>
      </w:r>
      <w:proofErr w:type="spellEnd"/>
      <w:r>
        <w:t xml:space="preserve"> of 1905 regulating the import of arms into their Somaliland Protectorate 3sAt the same time, however, after 1909 the British combined arms restrictions with a policy of supplying arms to the "friendly tribes," a policy that backfired when they turned their newly ac-quired arms on each other." Worse was to follow in 1914 when, in direct contravention of his orders, Richard Corfield, the commander of the Camel Corps, launched an attack that led to the virtual annihilation of his troops and Corfield's own death. Although a military disaster, hack in England, Lord </w:t>
      </w:r>
      <w:proofErr w:type="spellStart"/>
      <w:r>
        <w:t>Emmot</w:t>
      </w:r>
      <w:proofErr w:type="spellEnd"/>
      <w:r>
        <w:t>, Under-Secretary of State for the Colonies, observed to the House of Lords that Corfield: "... was what is called in common parlance "white all through," precisely the sort of man one would desire to go tiger shooting with".37</w:t>
      </w:r>
    </w:p>
    <w:p w14:paraId="795CFF55" w14:textId="77777777" w:rsidR="00BB6762" w:rsidRDefault="00BB6762" w:rsidP="00BB6762">
      <w:pPr>
        <w:rPr>
          <w:rStyle w:val="StyleUnderline"/>
        </w:rPr>
      </w:pPr>
      <w:r>
        <w:t xml:space="preserve"> British </w:t>
      </w:r>
      <w:r w:rsidRPr="00C049E8">
        <w:rPr>
          <w:rStyle w:val="Emphasis"/>
        </w:rPr>
        <w:t>policy</w:t>
      </w:r>
      <w:r w:rsidRPr="00C049E8">
        <w:rPr>
          <w:rStyle w:val="StyleUnderline"/>
        </w:rPr>
        <w:t xml:space="preserve"> on Somalia therefore </w:t>
      </w:r>
      <w:r w:rsidRPr="00C049E8">
        <w:rPr>
          <w:rStyle w:val="Emphasis"/>
        </w:rPr>
        <w:t xml:space="preserve">illustrates the in-adequacy of humanitarian, free trade, or strategic </w:t>
      </w:r>
      <w:proofErr w:type="gramStart"/>
      <w:r w:rsidRPr="00C049E8">
        <w:rPr>
          <w:rStyle w:val="Emphasis"/>
        </w:rPr>
        <w:t>frame-works</w:t>
      </w:r>
      <w:proofErr w:type="gramEnd"/>
      <w:r w:rsidRPr="00C049E8">
        <w:rPr>
          <w:rStyle w:val="Emphasis"/>
        </w:rPr>
        <w:t xml:space="preserve"> alone for understanding regulation of the arms trade in Africa (and indeed elsewhere). In this case, </w:t>
      </w:r>
      <w:proofErr w:type="spellStart"/>
      <w:r w:rsidRPr="00C049E8">
        <w:rPr>
          <w:rStyle w:val="Emphasis"/>
        </w:rPr>
        <w:t>impe-rial</w:t>
      </w:r>
      <w:proofErr w:type="spellEnd"/>
      <w:r w:rsidRPr="00C049E8">
        <w:rPr>
          <w:rStyle w:val="Emphasis"/>
        </w:rPr>
        <w:t xml:space="preserve"> motivations were laid bare</w:t>
      </w:r>
      <w:r w:rsidRPr="00C049E8">
        <w:rPr>
          <w:rStyle w:val="StyleUnderline"/>
        </w:rPr>
        <w:t xml:space="preserve">—both proscription and permission were put to the service of making the spaces of empire safe for traders, administrators, loyal natives, and even visiting tiger hunters. </w:t>
      </w:r>
    </w:p>
    <w:p w14:paraId="339DF36A" w14:textId="77777777" w:rsidR="00BB6762" w:rsidRPr="00BB6762" w:rsidRDefault="00BB6762" w:rsidP="00BB6762"/>
    <w:p w14:paraId="0A7ECCA4" w14:textId="77777777" w:rsidR="00A310B1" w:rsidRDefault="00A310B1" w:rsidP="00A310B1">
      <w:pPr>
        <w:pStyle w:val="Heading3"/>
      </w:pPr>
      <w:r>
        <w:lastRenderedPageBreak/>
        <w:t>Generic AT Perm</w:t>
      </w:r>
    </w:p>
    <w:p w14:paraId="3D7D7603" w14:textId="77777777" w:rsidR="00A310B1" w:rsidRDefault="00A310B1" w:rsidP="00A310B1">
      <w:pPr>
        <w:pStyle w:val="Heading4"/>
      </w:pPr>
      <w:r>
        <w:t>Perm fails – human rights-based policies are thinly veiled examples of militarism, and the promotion of human security is coopted by Northern self-interest</w:t>
      </w:r>
    </w:p>
    <w:p w14:paraId="1125210B" w14:textId="77777777" w:rsidR="00A310B1" w:rsidRPr="005D21EA" w:rsidRDefault="00A310B1" w:rsidP="00A310B1">
      <w:pPr>
        <w:rPr>
          <w:b/>
          <w:bCs/>
          <w:sz w:val="26"/>
        </w:rPr>
      </w:pPr>
      <w:r w:rsidRPr="002E0BAC">
        <w:rPr>
          <w:rStyle w:val="Style13ptBold"/>
        </w:rPr>
        <w:t>Stavrianakis</w:t>
      </w:r>
      <w:r>
        <w:rPr>
          <w:rStyle w:val="Style13ptBold"/>
        </w:rPr>
        <w:t>,</w:t>
      </w:r>
      <w:r w:rsidRPr="002E0BAC">
        <w:rPr>
          <w:rStyle w:val="Style13ptBold"/>
        </w:rPr>
        <w:t xml:space="preserve"> Senior Lecturer in International Relations at the University of Sussex, 201</w:t>
      </w:r>
      <w:r>
        <w:rPr>
          <w:rStyle w:val="Style13ptBold"/>
        </w:rPr>
        <w:t xml:space="preserve">8 </w:t>
      </w:r>
      <w:r>
        <w:t xml:space="preserve">[Anna, 5-21-2018, “Controlling weapons circulation in a postcolonial </w:t>
      </w:r>
      <w:proofErr w:type="spellStart"/>
      <w:r>
        <w:t>militarised</w:t>
      </w:r>
      <w:proofErr w:type="spellEnd"/>
      <w:r>
        <w:t xml:space="preserve"> world,” </w:t>
      </w:r>
      <w:hyperlink r:id="rId18" w:history="1">
        <w:r w:rsidRPr="00E05BF9">
          <w:rPr>
            <w:rStyle w:val="Hyperlink"/>
          </w:rPr>
          <w:t>http://sro.sussex.ac.uk/id/eprint/76017/1/Controlling%20weapons%20circulation%20-%20SRO%20accepted%20version.pdf</w:t>
        </w:r>
      </w:hyperlink>
      <w:r>
        <w:t xml:space="preserve">, accessed 7-8-2019, </w:t>
      </w:r>
      <w:proofErr w:type="spellStart"/>
      <w:r>
        <w:t>AJackson</w:t>
      </w:r>
      <w:proofErr w:type="spellEnd"/>
      <w:r>
        <w:t>]</w:t>
      </w:r>
    </w:p>
    <w:p w14:paraId="58714F34" w14:textId="77777777" w:rsidR="00A310B1" w:rsidRPr="005D21EA" w:rsidRDefault="00A310B1" w:rsidP="00A310B1">
      <w:pPr>
        <w:rPr>
          <w:u w:val="single"/>
        </w:rPr>
      </w:pPr>
      <w:r>
        <w:t>The disagreements and silences of the ATT negotiations demonstrate the ways in which weapons circulation and regulation are marked by different forms of militarism. The human security agenda has made significant inroads to international public policy and social science scholarship, and was an explicit driver of the ATT. Whilst there is much in the treaty that optimists see as having the potential to better control the circulation of weapons, the argument put forward in this article is that it is a mistake to see the treaty as a victory for human security over militarism. Rather</w:t>
      </w:r>
      <w:r w:rsidRPr="005D21EA">
        <w:rPr>
          <w:u w:val="single"/>
        </w:rPr>
        <w:t>, human security has</w:t>
      </w:r>
      <w:r>
        <w:t xml:space="preserve"> both chipped away at some of the most egregious manifestations of militarism, been silent on others, and </w:t>
      </w:r>
      <w:r w:rsidRPr="005A2928">
        <w:rPr>
          <w:b/>
          <w:bCs/>
          <w:u w:val="single"/>
        </w:rPr>
        <w:t>proved to be an accommodation with global militarism in its various forms</w:t>
      </w:r>
      <w:r w:rsidRPr="005D21EA">
        <w:rPr>
          <w:u w:val="single"/>
        </w:rPr>
        <w:t>. Human security, political economy and sovereignty came into contestation</w:t>
      </w:r>
      <w:r>
        <w:t xml:space="preserve"> during the negotiations </w:t>
      </w:r>
      <w:r w:rsidRPr="005D21EA">
        <w:rPr>
          <w:u w:val="single"/>
        </w:rPr>
        <w:t>as expressions of different modes of militarism.</w:t>
      </w:r>
    </w:p>
    <w:p w14:paraId="0DF85E2D" w14:textId="77777777" w:rsidR="00A310B1" w:rsidRDefault="00A310B1" w:rsidP="00A310B1">
      <w:r>
        <w:t xml:space="preserve">Weapons circulation takes places within a system: there is a world arms market (including legal and illicit strands) marked by asymmetry, hierarchy and transnational practices, in which many major exporting states that claim to care about human security, in particular European states, already participate in regimes based on ATT-like principles. Those that </w:t>
      </w:r>
      <w:proofErr w:type="gramStart"/>
      <w:r>
        <w:t>don’t, or</w:t>
      </w:r>
      <w:proofErr w:type="gramEnd"/>
      <w:r>
        <w:t xml:space="preserve"> are ambivalent about such multilateralism – in particular Russia and China, and the USA, respectively – are </w:t>
      </w:r>
      <w:proofErr w:type="spellStart"/>
      <w:r>
        <w:t>sceptical</w:t>
      </w:r>
      <w:proofErr w:type="spellEnd"/>
      <w:r>
        <w:t xml:space="preserve"> about claims made on the basis of human rights and IHL. </w:t>
      </w:r>
      <w:r w:rsidRPr="005D21EA">
        <w:rPr>
          <w:u w:val="single"/>
        </w:rPr>
        <w:t xml:space="preserve">Claims to protect human security disconnect human rights and IHL violations from these patterns of military asymmetry and </w:t>
      </w:r>
      <w:proofErr w:type="gramStart"/>
      <w:r w:rsidRPr="005D21EA">
        <w:rPr>
          <w:u w:val="single"/>
        </w:rPr>
        <w:t>hierarchy, and</w:t>
      </w:r>
      <w:proofErr w:type="gramEnd"/>
      <w:r w:rsidRPr="005D21EA">
        <w:rPr>
          <w:u w:val="single"/>
        </w:rPr>
        <w:t xml:space="preserve"> generate resistance from non-liberal suppliers and recipients. So </w:t>
      </w:r>
      <w:r w:rsidRPr="005A2928">
        <w:rPr>
          <w:b/>
          <w:bCs/>
          <w:u w:val="single"/>
        </w:rPr>
        <w:t xml:space="preserve">the human security agenda rests on the assumption that international politics can remain </w:t>
      </w:r>
      <w:proofErr w:type="spellStart"/>
      <w:r w:rsidRPr="005A2928">
        <w:rPr>
          <w:b/>
          <w:bCs/>
          <w:u w:val="single"/>
        </w:rPr>
        <w:t>militarised</w:t>
      </w:r>
      <w:proofErr w:type="spellEnd"/>
      <w:r w:rsidRPr="005A2928">
        <w:rPr>
          <w:b/>
          <w:bCs/>
          <w:u w:val="single"/>
        </w:rPr>
        <w:t xml:space="preserve"> in one way</w:t>
      </w:r>
      <w:r w:rsidRPr="005D21EA">
        <w:rPr>
          <w:u w:val="single"/>
        </w:rPr>
        <w:t xml:space="preserve"> (the absence of efforts at disarmament or tackling military spending or military asymmetry) </w:t>
      </w:r>
      <w:r w:rsidRPr="005A2928">
        <w:rPr>
          <w:b/>
          <w:bCs/>
          <w:u w:val="single"/>
        </w:rPr>
        <w:t xml:space="preserve">and yet be </w:t>
      </w:r>
      <w:proofErr w:type="spellStart"/>
      <w:r w:rsidRPr="005A2928">
        <w:rPr>
          <w:b/>
          <w:bCs/>
          <w:u w:val="single"/>
        </w:rPr>
        <w:t>demilitarised</w:t>
      </w:r>
      <w:proofErr w:type="spellEnd"/>
      <w:r w:rsidRPr="005A2928">
        <w:rPr>
          <w:b/>
          <w:bCs/>
          <w:u w:val="single"/>
        </w:rPr>
        <w:t xml:space="preserve"> in another</w:t>
      </w:r>
      <w:r w:rsidRPr="005D21EA">
        <w:rPr>
          <w:u w:val="single"/>
        </w:rPr>
        <w:t xml:space="preserve"> (efforts to decrease the likelihood that weapons will be used in human rights or IHL violations), in ways that the examples discussed above suggest are untenable</w:t>
      </w:r>
      <w:r>
        <w:t>. Resistance to the ATT from a significant minority of Southern states may well be politically ugly, but needs to be understood in the context of asymmetry in the world military order, as does US dominance of the negotiations for a treaty to which it is a signatory but not a State Party.</w:t>
      </w:r>
    </w:p>
    <w:p w14:paraId="0C41A77D" w14:textId="6CD7A51D" w:rsidR="00A310B1" w:rsidRDefault="00A310B1" w:rsidP="00A310B1">
      <w:pPr>
        <w:rPr>
          <w:b/>
          <w:bCs/>
          <w:u w:val="single"/>
        </w:rPr>
      </w:pPr>
      <w:r>
        <w:t xml:space="preserve">In the desire to promote the spread of human security practices, there has been little attention to why an initiative such as the ATT might be resisted, beyond narrowly strategic or instrumental concerns or a failure to </w:t>
      </w:r>
      <w:proofErr w:type="spellStart"/>
      <w:r>
        <w:t>internalise</w:t>
      </w:r>
      <w:proofErr w:type="spellEnd"/>
      <w:r>
        <w:t xml:space="preserve"> human security norms. Thinking about modes of militarism, and the ways in </w:t>
      </w:r>
      <w:r w:rsidRPr="005D21EA">
        <w:rPr>
          <w:u w:val="single"/>
        </w:rPr>
        <w:t>which the human security agenda has transformed, but not necessarily diminished, militarism</w:t>
      </w:r>
      <w:r>
        <w:t xml:space="preserve">, can help us think more creatively, both analytically and politically, about what is at stake. We need to understand and explain patterns of militarism because of the paradoxical role of military power and systematic or </w:t>
      </w:r>
      <w:proofErr w:type="spellStart"/>
      <w:r>
        <w:t>organised</w:t>
      </w:r>
      <w:proofErr w:type="spellEnd"/>
      <w:r>
        <w:t xml:space="preserve"> violence in international relations</w:t>
      </w:r>
      <w:r w:rsidRPr="005D21EA">
        <w:rPr>
          <w:u w:val="single"/>
        </w:rPr>
        <w:t xml:space="preserve">. On the one hand, military power has historically been fundamental to the constitution of </w:t>
      </w:r>
      <w:proofErr w:type="spellStart"/>
      <w:r w:rsidRPr="005D21EA">
        <w:rPr>
          <w:u w:val="single"/>
        </w:rPr>
        <w:t>organised</w:t>
      </w:r>
      <w:proofErr w:type="spellEnd"/>
      <w:r w:rsidRPr="005D21EA">
        <w:rPr>
          <w:u w:val="single"/>
        </w:rPr>
        <w:t xml:space="preserve"> political power, be it in the form of the state or otherwise. On the other hand, </w:t>
      </w:r>
      <w:proofErr w:type="spellStart"/>
      <w:r w:rsidRPr="005D21EA">
        <w:rPr>
          <w:u w:val="single"/>
        </w:rPr>
        <w:t>demilitarisation</w:t>
      </w:r>
      <w:proofErr w:type="spellEnd"/>
      <w:r w:rsidRPr="005D21EA">
        <w:rPr>
          <w:u w:val="single"/>
        </w:rPr>
        <w:t xml:space="preserve"> from current levels and forms is a condition for improved human security</w:t>
      </w:r>
      <w:r>
        <w:t xml:space="preserve">. A contraction of the influence of the “social relations, institutions and values” of war and war </w:t>
      </w:r>
      <w:r>
        <w:lastRenderedPageBreak/>
        <w:t xml:space="preserve">preparation on social relations, institutions and values more generally 120 reduces the likelihood of violent responses to political problems, reduces the secrecy and corruption associated with military decisions or military involvement in the economy, and lowers the opportunity costs associated with high levels of military spending, to name a few reasons. But </w:t>
      </w:r>
      <w:r w:rsidRPr="005D21EA">
        <w:rPr>
          <w:u w:val="single"/>
        </w:rPr>
        <w:t xml:space="preserve">militarism has been pushed off the agenda, precisely because it strikes at the core issues around war preparation and the constitution of political community and political economy, and because </w:t>
      </w:r>
      <w:r w:rsidRPr="005A2928">
        <w:rPr>
          <w:b/>
          <w:bCs/>
          <w:u w:val="single"/>
        </w:rPr>
        <w:t>the maintenance of coercive capacities in the South is central</w:t>
      </w:r>
      <w:r w:rsidRPr="005D21EA">
        <w:rPr>
          <w:u w:val="single"/>
        </w:rPr>
        <w:t xml:space="preserve"> to aid donors’ and Southern elites’ interests, not to mention the </w:t>
      </w:r>
      <w:r w:rsidRPr="005A2928">
        <w:rPr>
          <w:b/>
          <w:bCs/>
          <w:u w:val="single"/>
        </w:rPr>
        <w:t xml:space="preserve">entrenched coercive orientation of Northern states’ foreign policies. </w:t>
      </w:r>
    </w:p>
    <w:p w14:paraId="46CD5ED2" w14:textId="77777777" w:rsidR="00F430AA" w:rsidRPr="006F07DE" w:rsidRDefault="00F430AA" w:rsidP="00F430AA">
      <w:pPr>
        <w:pStyle w:val="Heading3"/>
      </w:pPr>
      <w:r w:rsidRPr="006F07DE">
        <w:lastRenderedPageBreak/>
        <w:t>A2: Perm – State DA</w:t>
      </w:r>
    </w:p>
    <w:p w14:paraId="4FBB7B0D" w14:textId="77777777" w:rsidR="00F430AA" w:rsidRPr="00E23412" w:rsidRDefault="00F430AA" w:rsidP="00F430AA">
      <w:pPr>
        <w:pStyle w:val="Nothing"/>
      </w:pPr>
    </w:p>
    <w:p w14:paraId="666C769D" w14:textId="77777777" w:rsidR="00F430AA" w:rsidRDefault="00F430AA" w:rsidP="00F430AA">
      <w:pPr>
        <w:pStyle w:val="Heading4"/>
      </w:pPr>
      <w:r w:rsidRPr="00E23412">
        <w:t>The permutation’s inclusion of the state as part of the solution guts the alt.</w:t>
      </w:r>
    </w:p>
    <w:p w14:paraId="6A0F5D85" w14:textId="77777777" w:rsidR="00F430AA" w:rsidRPr="006F07DE" w:rsidRDefault="00F430AA" w:rsidP="00F430AA">
      <w:proofErr w:type="spellStart"/>
      <w:r w:rsidRPr="006F07DE">
        <w:rPr>
          <w:rStyle w:val="Style13ptBold"/>
        </w:rPr>
        <w:t>Grosfoguel</w:t>
      </w:r>
      <w:proofErr w:type="spellEnd"/>
      <w:r w:rsidRPr="006F07DE">
        <w:rPr>
          <w:rStyle w:val="Style13ptBold"/>
        </w:rPr>
        <w:t>, Associate Professor Ethnic Studies Department, Chicano/Latino Studies, 11</w:t>
      </w:r>
      <w:r>
        <w:t xml:space="preserve"> (</w:t>
      </w:r>
      <w:r w:rsidRPr="006F07DE">
        <w:t xml:space="preserve">Ramón. "Decolonizing Post-Colonial Studies and Paradigms of Political Economy: </w:t>
      </w:r>
      <w:proofErr w:type="spellStart"/>
      <w:r w:rsidRPr="006F07DE">
        <w:t>Transmodernity</w:t>
      </w:r>
      <w:proofErr w:type="spellEnd"/>
      <w:r w:rsidRPr="006F07DE">
        <w:t xml:space="preserve">, Decolonial Thinking, and Global Coloniality." TRANSMODERNITY: Journal of Peripheral Cultural Production of the </w:t>
      </w:r>
      <w:proofErr w:type="spellStart"/>
      <w:r w:rsidRPr="006F07DE">
        <w:t>Luso</w:t>
      </w:r>
      <w:proofErr w:type="spellEnd"/>
      <w:r w:rsidRPr="006F07DE">
        <w:t>-Hispanic World 1, no. 1 (2011): 21-22</w:t>
      </w:r>
      <w:r>
        <w:t>)</w:t>
      </w:r>
    </w:p>
    <w:p w14:paraId="6A839426" w14:textId="77777777" w:rsidR="00F430AA" w:rsidRDefault="00F430AA" w:rsidP="00F430AA">
      <w:pPr>
        <w:rPr>
          <w:rStyle w:val="StyleUnderline"/>
          <w:rFonts w:eastAsia="SimSun"/>
        </w:rPr>
      </w:pPr>
      <w:r w:rsidRPr="00E23412">
        <w:t xml:space="preserve">In the present world-system, a peripheral nation-state may experience transformations in its form of incorporation to the capitalist world-economy, a minority of which might even move to a semi-peripheral position. However, </w:t>
      </w:r>
      <w:r w:rsidRPr="00E23412">
        <w:rPr>
          <w:rStyle w:val="StyleUnderline"/>
          <w:rFonts w:eastAsia="SimSun"/>
        </w:rPr>
        <w:t>to break with, or transform, the whole system from a nation-state level is completely beyond their range of possibilities</w:t>
      </w:r>
      <w:r w:rsidRPr="00E23412">
        <w:t xml:space="preserve"> (Wallerstein, 1992a; 1992b). </w:t>
      </w:r>
      <w:r w:rsidRPr="00E23412">
        <w:rPr>
          <w:rStyle w:val="StyleUnderline"/>
          <w:rFonts w:eastAsia="SimSun"/>
        </w:rPr>
        <w:t>Therefore, a global problem cannot have a national solution</w:t>
      </w:r>
      <w:r w:rsidRPr="00E23412">
        <w:t xml:space="preserve">. This is not to deny the importance of political interventions at the nation-state level. The point here is not to reify the nation-state and to understand the limits of political interventions at this level for the long-term transformation of a system that operates at a world-scale. </w:t>
      </w:r>
      <w:r w:rsidRPr="00E23412">
        <w:rPr>
          <w:rStyle w:val="StyleUnderline"/>
          <w:rFonts w:eastAsia="SimSun"/>
        </w:rPr>
        <w:t>The nation-state</w:t>
      </w:r>
      <w:r w:rsidRPr="00E23412">
        <w:t xml:space="preserve">, although still an important institution of Historical Capitalism, </w:t>
      </w:r>
      <w:r w:rsidRPr="00E23412">
        <w:rPr>
          <w:rStyle w:val="StyleUnderline"/>
          <w:rFonts w:eastAsia="SimSun"/>
        </w:rPr>
        <w:t>is a limited</w:t>
      </w:r>
      <w:r w:rsidRPr="00E23412">
        <w:t xml:space="preserve"> but important </w:t>
      </w:r>
      <w:r w:rsidRPr="00E23412">
        <w:rPr>
          <w:rStyle w:val="StyleUnderline"/>
          <w:rFonts w:eastAsia="SimSun"/>
        </w:rPr>
        <w:t>space for radical political and social transformations</w:t>
      </w:r>
      <w:r w:rsidRPr="00E23412">
        <w:t xml:space="preserve">. Collective agencies in the periphery need a global scope in order to make an effective political intervention in the capitalist world-system. </w:t>
      </w:r>
      <w:r w:rsidRPr="00E23412">
        <w:rPr>
          <w:rStyle w:val="StyleUnderline"/>
          <w:rFonts w:eastAsia="SimSun"/>
        </w:rPr>
        <w:t>Social struggles below and above the nation-state are strategic spaces of political intervention that are frequently ignored when the focus of the movements privileges the nation-state</w:t>
      </w:r>
      <w:r w:rsidRPr="00E23412">
        <w:t>. Social movements’ local and global connections are crucial for effective political interventions</w:t>
      </w:r>
      <w:r w:rsidRPr="00E23412">
        <w:rPr>
          <w:rStyle w:val="StyleUnderline"/>
          <w:rFonts w:eastAsia="SimSun"/>
        </w:rPr>
        <w:t xml:space="preserve">. The </w:t>
      </w:r>
      <w:proofErr w:type="spellStart"/>
      <w:r w:rsidRPr="00E23412">
        <w:rPr>
          <w:rStyle w:val="StyleUnderline"/>
          <w:rFonts w:eastAsia="SimSun"/>
        </w:rPr>
        <w:t>dependentistas</w:t>
      </w:r>
      <w:proofErr w:type="spellEnd"/>
      <w:r w:rsidRPr="00E23412">
        <w:rPr>
          <w:rStyle w:val="StyleUnderline"/>
          <w:rFonts w:eastAsia="SimSun"/>
        </w:rPr>
        <w:t xml:space="preserve"> overlooked this due, in part, to their tendency to privilege the nation-state</w:t>
      </w:r>
      <w:r w:rsidRPr="00E23412">
        <w:t xml:space="preserve"> as the unit of analysis and to the economic reductionist emphasis of their approaches. </w:t>
      </w:r>
      <w:r w:rsidRPr="00E23412">
        <w:rPr>
          <w:rStyle w:val="StyleUnderline"/>
          <w:rFonts w:eastAsia="SimSun"/>
        </w:rPr>
        <w:t xml:space="preserve">This had terrible political consequences for the Latin American left and the credibility of the </w:t>
      </w:r>
      <w:proofErr w:type="spellStart"/>
      <w:r w:rsidRPr="00E23412">
        <w:rPr>
          <w:rStyle w:val="StyleUnderline"/>
          <w:rFonts w:eastAsia="SimSun"/>
        </w:rPr>
        <w:t>dependentista</w:t>
      </w:r>
      <w:proofErr w:type="spellEnd"/>
      <w:r w:rsidRPr="00E23412">
        <w:rPr>
          <w:rStyle w:val="StyleUnderline"/>
          <w:rFonts w:eastAsia="SimSun"/>
        </w:rPr>
        <w:t xml:space="preserve"> political project.</w:t>
      </w:r>
    </w:p>
    <w:p w14:paraId="7DD1BAB0" w14:textId="0AAEB67F" w:rsidR="004F6EA0" w:rsidRDefault="004F6EA0" w:rsidP="004F6EA0">
      <w:pPr>
        <w:pStyle w:val="Heading2"/>
      </w:pPr>
      <w:r>
        <w:lastRenderedPageBreak/>
        <w:t>Answers To</w:t>
      </w:r>
    </w:p>
    <w:p w14:paraId="5728B47D" w14:textId="77777777" w:rsidR="00F430AA" w:rsidRPr="009E3621" w:rsidRDefault="00F430AA" w:rsidP="00F430AA">
      <w:pPr>
        <w:pStyle w:val="Heading3"/>
        <w:rPr>
          <w:rFonts w:asciiTheme="minorHAnsi" w:hAnsiTheme="minorHAnsi" w:cs="Times New Roman"/>
        </w:rPr>
      </w:pPr>
      <w:r w:rsidRPr="009E3621">
        <w:rPr>
          <w:rFonts w:asciiTheme="minorHAnsi" w:hAnsiTheme="minorHAnsi" w:cs="Times New Roman"/>
        </w:rPr>
        <w:lastRenderedPageBreak/>
        <w:t>AT: Case Outweighs</w:t>
      </w:r>
    </w:p>
    <w:p w14:paraId="4FA0FAE6" w14:textId="77777777" w:rsidR="00F430AA" w:rsidRPr="009E3621" w:rsidRDefault="00F430AA" w:rsidP="00F430AA">
      <w:pPr>
        <w:pStyle w:val="Heading4"/>
        <w:rPr>
          <w:rFonts w:asciiTheme="minorHAnsi" w:hAnsiTheme="minorHAnsi" w:cs="Times New Roman"/>
        </w:rPr>
      </w:pPr>
      <w:r w:rsidRPr="009E3621">
        <w:rPr>
          <w:rFonts w:asciiTheme="minorHAnsi" w:hAnsiTheme="minorHAnsi" w:cs="Times New Roman"/>
        </w:rPr>
        <w:t>Aff claims are not “objectively true” but rather incomplete, self-serving claims within the closed loop of Eurocentric knowledge</w:t>
      </w:r>
    </w:p>
    <w:p w14:paraId="6DC61B13" w14:textId="77777777" w:rsidR="00F430AA" w:rsidRPr="009E3621" w:rsidRDefault="00F430AA" w:rsidP="00F430AA">
      <w:pPr>
        <w:rPr>
          <w:rStyle w:val="Style13ptBold"/>
          <w:rFonts w:asciiTheme="minorHAnsi" w:hAnsiTheme="minorHAnsi"/>
        </w:rPr>
      </w:pPr>
      <w:r w:rsidRPr="009E3621">
        <w:rPr>
          <w:rStyle w:val="Style13ptBold"/>
          <w:rFonts w:asciiTheme="minorHAnsi" w:hAnsiTheme="minorHAnsi"/>
        </w:rPr>
        <w:t>Lander, Central University of Venezuela Professor, 2k</w:t>
      </w:r>
    </w:p>
    <w:p w14:paraId="640999B7" w14:textId="77777777" w:rsidR="00F430AA" w:rsidRPr="009E3621" w:rsidRDefault="00F430AA" w:rsidP="00F430AA">
      <w:pPr>
        <w:rPr>
          <w:rFonts w:asciiTheme="minorHAnsi" w:hAnsiTheme="minorHAnsi"/>
        </w:rPr>
      </w:pPr>
      <w:r w:rsidRPr="009E3621">
        <w:rPr>
          <w:rFonts w:asciiTheme="minorHAnsi" w:hAnsiTheme="minorHAnsi"/>
        </w:rPr>
        <w:t xml:space="preserve">(Edgardo, Sociologist, Venezuelan, professor at the Central University of Venezuela and a Fellow of the Transnational Institute, 2000, </w:t>
      </w:r>
      <w:proofErr w:type="spellStart"/>
      <w:r w:rsidRPr="009E3621">
        <w:rPr>
          <w:rFonts w:asciiTheme="minorHAnsi" w:hAnsiTheme="minorHAnsi"/>
        </w:rPr>
        <w:t>Nepantla</w:t>
      </w:r>
      <w:proofErr w:type="spellEnd"/>
      <w:r w:rsidRPr="009E3621">
        <w:rPr>
          <w:rFonts w:asciiTheme="minorHAnsi" w:hAnsiTheme="minorHAnsi"/>
        </w:rPr>
        <w:t>: Views from South, Volume 1, Issue 3, “Eurocentrism and Colonialism in Latin American Social Thought”, pg. 527-228</w:t>
      </w:r>
      <w:r>
        <w:rPr>
          <w:rFonts w:asciiTheme="minorHAnsi" w:hAnsiTheme="minorHAnsi"/>
        </w:rPr>
        <w:t xml:space="preserve">, </w:t>
      </w:r>
      <w:r w:rsidRPr="009E3621">
        <w:rPr>
          <w:rFonts w:asciiTheme="minorHAnsi" w:hAnsiTheme="minorHAnsi"/>
        </w:rPr>
        <w:t>http://muse.jhu.edu/journals/nepantla/summary/v001/1.3lander.html</w:t>
      </w:r>
      <w:r>
        <w:rPr>
          <w:rFonts w:asciiTheme="minorHAnsi" w:hAnsiTheme="minorHAnsi"/>
        </w:rPr>
        <w:t>)</w:t>
      </w:r>
    </w:p>
    <w:p w14:paraId="5F5AFE62" w14:textId="77777777" w:rsidR="00F430AA" w:rsidRPr="009E3621" w:rsidRDefault="00F430AA" w:rsidP="00F430AA">
      <w:pPr>
        <w:rPr>
          <w:rFonts w:asciiTheme="minorHAnsi" w:hAnsiTheme="minorHAnsi"/>
        </w:rPr>
      </w:pPr>
      <w:r w:rsidRPr="009E3621">
        <w:rPr>
          <w:rFonts w:asciiTheme="minorHAnsi" w:hAnsiTheme="minorHAnsi"/>
        </w:rPr>
        <w:t xml:space="preserve">As the report points out, modern social sciences were developed in England, France, Italy ,Germany ,and the United States and were meant to deal with the social reality of those countries (Wallerstein 1996,23).From the fact that the rest of the world was segregated to be studied by other disciplines—anthropology and orientalism (23–28)—it is not possible, however, to conclude that those other territories, cultures, and peoples were not present as an implicit reference in all the disciplines. </w:t>
      </w:r>
      <w:r w:rsidRPr="009E3621">
        <w:rPr>
          <w:rStyle w:val="StyleUnderline"/>
          <w:rFonts w:asciiTheme="minorHAnsi" w:hAnsiTheme="minorHAnsi"/>
        </w:rPr>
        <w:t xml:space="preserve">The separation between the studies of the modern European North Americans and the rest is made </w:t>
      </w:r>
      <w:proofErr w:type="gramStart"/>
      <w:r w:rsidRPr="009E3621">
        <w:rPr>
          <w:rStyle w:val="StyleUnderline"/>
          <w:rFonts w:asciiTheme="minorHAnsi" w:hAnsiTheme="minorHAnsi"/>
        </w:rPr>
        <w:t>on the basis of</w:t>
      </w:r>
      <w:proofErr w:type="gramEnd"/>
      <w:r w:rsidRPr="009E3621">
        <w:rPr>
          <w:rStyle w:val="StyleUnderline"/>
          <w:rFonts w:asciiTheme="minorHAnsi" w:hAnsiTheme="minorHAnsi"/>
        </w:rPr>
        <w:t xml:space="preserve"> assumptions in relation to others, assumptions that define them as essentially different</w:t>
      </w:r>
      <w:r w:rsidRPr="009E3621">
        <w:rPr>
          <w:rFonts w:asciiTheme="minorHAnsi" w:hAnsiTheme="minorHAnsi"/>
        </w:rPr>
        <w:t>. The superiority of modern industrial societies is defined in contrast with the inferiority of the non-modern.</w:t>
      </w:r>
    </w:p>
    <w:p w14:paraId="40DDEDF0" w14:textId="77777777" w:rsidR="00F430AA" w:rsidRPr="009E3621" w:rsidRDefault="00F430AA" w:rsidP="00F430AA">
      <w:pPr>
        <w:rPr>
          <w:rFonts w:asciiTheme="minorHAnsi" w:hAnsiTheme="minorHAnsi"/>
        </w:rPr>
      </w:pPr>
      <w:r w:rsidRPr="009E3621">
        <w:rPr>
          <w:rStyle w:val="StyleUnderline"/>
          <w:rFonts w:asciiTheme="minorHAnsi" w:hAnsiTheme="minorHAnsi"/>
        </w:rPr>
        <w:t xml:space="preserve">The problem with Eurocentrism in the social sciences is not only that its fundamental categories were created for a </w:t>
      </w:r>
      <w:proofErr w:type="gramStart"/>
      <w:r w:rsidRPr="009E3621">
        <w:rPr>
          <w:rStyle w:val="StyleUnderline"/>
          <w:rFonts w:asciiTheme="minorHAnsi" w:hAnsiTheme="minorHAnsi"/>
        </w:rPr>
        <w:t>particular time</w:t>
      </w:r>
      <w:proofErr w:type="gramEnd"/>
      <w:r w:rsidRPr="009E3621">
        <w:rPr>
          <w:rStyle w:val="StyleUnderline"/>
          <w:rFonts w:asciiTheme="minorHAnsi" w:hAnsiTheme="minorHAnsi"/>
        </w:rPr>
        <w:t xml:space="preserve"> and place and later used in a more or less creative or rigid manner to study other realities. The problem lies in the colonial imaginary from which Western social sciences constructed its interpretation of the world. This imaginary has permeated the social sciences of the whole world, making a great part of the social knowledge of the peripheral world equally Eurocentric</w:t>
      </w:r>
      <w:r w:rsidRPr="009E3621">
        <w:rPr>
          <w:rFonts w:asciiTheme="minorHAnsi" w:hAnsiTheme="minorHAnsi"/>
        </w:rPr>
        <w:t xml:space="preserve">.7 </w:t>
      </w:r>
      <w:r w:rsidRPr="009E3621">
        <w:rPr>
          <w:rStyle w:val="StyleUnderline"/>
          <w:rFonts w:asciiTheme="minorHAnsi" w:hAnsiTheme="minorHAnsi"/>
        </w:rPr>
        <w:t>In those disciplines, the experience of European societies is naturalized: Its economic organization—the capitalist market—is the “natural form of organizing production. It corresponds to an individual universal psychology</w:t>
      </w:r>
      <w:r w:rsidRPr="009E3621">
        <w:rPr>
          <w:rFonts w:asciiTheme="minorHAnsi" w:hAnsiTheme="minorHAnsi"/>
        </w:rPr>
        <w:t xml:space="preserve">” (Wallerstein 1996,20). </w:t>
      </w:r>
      <w:r w:rsidRPr="009E3621">
        <w:rPr>
          <w:rStyle w:val="StyleUnderline"/>
          <w:rFonts w:asciiTheme="minorHAnsi" w:hAnsiTheme="minorHAnsi"/>
        </w:rPr>
        <w:t xml:space="preserve">Its political organization—the modern European nation state— is the “natural” form of political existence. The different peoples of the planet are organized according to a notion of progress: on one hand the more advanced, </w:t>
      </w:r>
      <w:proofErr w:type="gramStart"/>
      <w:r w:rsidRPr="009E3621">
        <w:rPr>
          <w:rStyle w:val="StyleUnderline"/>
          <w:rFonts w:asciiTheme="minorHAnsi" w:hAnsiTheme="minorHAnsi"/>
        </w:rPr>
        <w:t>superior ,modern</w:t>
      </w:r>
      <w:proofErr w:type="gramEnd"/>
      <w:r w:rsidRPr="009E3621">
        <w:rPr>
          <w:rStyle w:val="StyleUnderline"/>
          <w:rFonts w:asciiTheme="minorHAnsi" w:hAnsiTheme="minorHAnsi"/>
        </w:rPr>
        <w:t xml:space="preserve"> societies; on the other, backward, traditional, nonmodern societies</w:t>
      </w:r>
      <w:r w:rsidRPr="009E3621">
        <w:rPr>
          <w:rFonts w:asciiTheme="minorHAnsi" w:hAnsiTheme="minorHAnsi"/>
        </w:rPr>
        <w:t xml:space="preserve">. In this sense, sociology, political theory, and economics have not been any less colonial or less liberal than anthropology or orientalism, disciplines where these assumptions have been more readily acknowledged. </w:t>
      </w:r>
      <w:r w:rsidRPr="009E3621">
        <w:rPr>
          <w:rStyle w:val="StyleUnderline"/>
          <w:rFonts w:asciiTheme="minorHAnsi" w:hAnsiTheme="minorHAnsi"/>
        </w:rPr>
        <w:t>This is the basis of the cognitive and institutional network of development and of structural adjustment politics</w:t>
      </w:r>
      <w:r w:rsidRPr="009E3621">
        <w:rPr>
          <w:rFonts w:asciiTheme="minorHAnsi" w:hAnsiTheme="minorHAnsi"/>
        </w:rPr>
        <w:t xml:space="preserve"> promoted by The Washington consensus.8</w:t>
      </w:r>
    </w:p>
    <w:p w14:paraId="1CFDDF17" w14:textId="77777777" w:rsidR="00F430AA" w:rsidRPr="009E3621" w:rsidRDefault="00F430AA" w:rsidP="00F430AA">
      <w:pPr>
        <w:rPr>
          <w:rFonts w:asciiTheme="minorHAnsi" w:hAnsiTheme="minorHAnsi"/>
        </w:rPr>
      </w:pPr>
      <w:r w:rsidRPr="009E3621">
        <w:rPr>
          <w:rStyle w:val="StyleUnderline"/>
          <w:rFonts w:asciiTheme="minorHAnsi" w:hAnsiTheme="minorHAnsi"/>
        </w:rPr>
        <w:t>It is a colonial system of knowledge that expresses and legitimizes the modern colonial world-system. Europe’s dominating position in the world structure of colonialism established a monopoly of the locus of enunciation of “objective,” scientific knowledge about the modern world</w:t>
      </w:r>
      <w:r w:rsidRPr="009E3621">
        <w:rPr>
          <w:rFonts w:asciiTheme="minorHAnsi" w:hAnsiTheme="minorHAnsi"/>
        </w:rPr>
        <w:t xml:space="preserve"> (Mignolo1995,329). It is a perspective with only one subject (white, European, with the exclusion of every other subject and every other form or style of knowledge). </w:t>
      </w:r>
      <w:r w:rsidRPr="009E3621">
        <w:rPr>
          <w:rStyle w:val="StyleUnderline"/>
          <w:rFonts w:asciiTheme="minorHAnsi" w:hAnsiTheme="minorHAnsi"/>
        </w:rPr>
        <w:t>This leads to the naturalization of this power structure, which comes to be explained as resulting from hierarchical differences in race, culture, or other classifying systems, which always envision the modern West as the maximum expression of human development.</w:t>
      </w:r>
      <w:r w:rsidRPr="009E3621">
        <w:rPr>
          <w:rFonts w:asciiTheme="minorHAnsi" w:hAnsiTheme="minorHAnsi"/>
        </w:rPr>
        <w:t xml:space="preserve"> </w:t>
      </w:r>
      <w:r w:rsidRPr="009E3621">
        <w:rPr>
          <w:rStyle w:val="StyleUnderline"/>
          <w:rFonts w:asciiTheme="minorHAnsi" w:hAnsiTheme="minorHAnsi"/>
        </w:rPr>
        <w:t>Any difference between the cultural patterns of the hegemonic powers and the rest of the world is seen as the expression of the intrinsic inferiority of all others,</w:t>
      </w:r>
      <w:r w:rsidRPr="009E3621">
        <w:rPr>
          <w:rFonts w:asciiTheme="minorHAnsi" w:hAnsiTheme="minorHAnsi"/>
        </w:rPr>
        <w:t xml:space="preserve"> or as hindrances to be supplanted (forcefully if necessary) </w:t>
      </w:r>
      <w:r w:rsidRPr="009E3621">
        <w:rPr>
          <w:rStyle w:val="StyleUnderline"/>
          <w:rFonts w:asciiTheme="minorHAnsi" w:hAnsiTheme="minorHAnsi"/>
        </w:rPr>
        <w:t xml:space="preserve">through the European-led civilizing or modernizing process. This system of knowledge has </w:t>
      </w:r>
      <w:r w:rsidRPr="009E3621">
        <w:rPr>
          <w:rStyle w:val="StyleUnderline"/>
          <w:rFonts w:asciiTheme="minorHAnsi" w:hAnsiTheme="minorHAnsi"/>
        </w:rPr>
        <w:lastRenderedPageBreak/>
        <w:t>proved to be long lasting and has outlived colonialism as a foundation of today’s worldwide hegemonic structure of power</w:t>
      </w:r>
      <w:r w:rsidRPr="009E3621">
        <w:rPr>
          <w:rFonts w:asciiTheme="minorHAnsi" w:hAnsiTheme="minorHAnsi"/>
        </w:rPr>
        <w:t xml:space="preserve"> (Quijano 2000).</w:t>
      </w:r>
    </w:p>
    <w:p w14:paraId="68F4FC09" w14:textId="0EB538D3" w:rsidR="004F6EA0" w:rsidRDefault="004F6EA0" w:rsidP="004F6EA0">
      <w:pPr>
        <w:pStyle w:val="Heading3"/>
      </w:pPr>
      <w:r>
        <w:lastRenderedPageBreak/>
        <w:t xml:space="preserve">At k just reverses </w:t>
      </w:r>
      <w:r w:rsidR="00F430AA">
        <w:t xml:space="preserve">colonial </w:t>
      </w:r>
      <w:r>
        <w:t>binary</w:t>
      </w:r>
    </w:p>
    <w:p w14:paraId="5951BDC2" w14:textId="2441A055" w:rsidR="003A62BD" w:rsidRPr="003A62BD" w:rsidRDefault="003A62BD" w:rsidP="003A62BD">
      <w:pPr>
        <w:pStyle w:val="Heading4"/>
      </w:pPr>
      <w:r>
        <w:t>This misunderstands the criticism -it broadens perspectives rather than simply reversing a binary</w:t>
      </w:r>
    </w:p>
    <w:p w14:paraId="1975C1CF" w14:textId="77777777" w:rsidR="004F6EA0" w:rsidRDefault="004F6EA0" w:rsidP="004F6EA0">
      <w:r w:rsidRPr="002448E1">
        <w:rPr>
          <w:rStyle w:val="Style13ptBold"/>
        </w:rPr>
        <w:t>Jones, University of Leeds School of Politics and International Studies Lecturer, 6</w:t>
      </w:r>
      <w:r>
        <w:t xml:space="preserve"> (</w:t>
      </w:r>
      <w:proofErr w:type="spellStart"/>
      <w:r>
        <w:t>Branwen</w:t>
      </w:r>
      <w:proofErr w:type="spellEnd"/>
      <w:r>
        <w:t xml:space="preserve"> </w:t>
      </w:r>
      <w:proofErr w:type="spellStart"/>
      <w:r>
        <w:t>Gruffydd</w:t>
      </w:r>
      <w:proofErr w:type="spellEnd"/>
      <w:r>
        <w:t xml:space="preserve">, “Imperatives, Possibilities, and Limitations”, Decolonizing International Relations, Edited by </w:t>
      </w:r>
      <w:proofErr w:type="spellStart"/>
      <w:r>
        <w:t>Branwen</w:t>
      </w:r>
      <w:proofErr w:type="spellEnd"/>
      <w:r>
        <w:t xml:space="preserve"> </w:t>
      </w:r>
      <w:proofErr w:type="spellStart"/>
      <w:r>
        <w:t>Gruffydd</w:t>
      </w:r>
      <w:proofErr w:type="spellEnd"/>
      <w:r>
        <w:t xml:space="preserve"> Jones, p.226)</w:t>
      </w:r>
    </w:p>
    <w:p w14:paraId="5598E230" w14:textId="77777777" w:rsidR="004F6EA0" w:rsidRPr="002448E1" w:rsidRDefault="004F6EA0" w:rsidP="004F6EA0">
      <w:r>
        <w:t xml:space="preserve">A broader vision therefore critically judges all histories, Western or non- </w:t>
      </w:r>
      <w:proofErr w:type="spellStart"/>
      <w:r>
        <w:t>estem</w:t>
      </w:r>
      <w:proofErr w:type="spellEnd"/>
      <w:r>
        <w:t xml:space="preserve">, on their own merits and in terms of the human condition as such, he </w:t>
      </w:r>
      <w:proofErr w:type="spellStart"/>
      <w:r>
        <w:t>anticolomal</w:t>
      </w:r>
      <w:proofErr w:type="spellEnd"/>
      <w:r>
        <w:t xml:space="preserve"> response ought not to privilege the non-</w:t>
      </w:r>
      <w:proofErr w:type="spellStart"/>
      <w:r>
        <w:t>Westem</w:t>
      </w:r>
      <w:proofErr w:type="spellEnd"/>
      <w:r>
        <w:t xml:space="preserve"> as a matter of principle—to do so simply mirrors in reverse the logic of imperial value. So </w:t>
      </w:r>
      <w:proofErr w:type="spellStart"/>
      <w:r>
        <w:t>Grovogui</w:t>
      </w:r>
      <w:proofErr w:type="spellEnd"/>
      <w:r>
        <w:t xml:space="preserve"> acknowledges that the Haitian Revolution was not unique but part of a broader genealogy of modernity alongside the French and American revolutions. However, the problem is that the Haitian Revolution has been ignored and Western history elevated as </w:t>
      </w:r>
      <w:proofErr w:type="spellStart"/>
      <w:r>
        <w:t>originary</w:t>
      </w:r>
      <w:proofErr w:type="spellEnd"/>
      <w:r>
        <w:t xml:space="preserve"> and universal. In countering this legacy, it is necessary to transcend such logic altogether and to approach all histories, values, practices, and institutions with an equally critical method.</w:t>
      </w:r>
    </w:p>
    <w:p w14:paraId="114EB893" w14:textId="26274793" w:rsidR="00BC09A4" w:rsidRDefault="00BC09A4" w:rsidP="00BC09A4">
      <w:pPr>
        <w:pStyle w:val="Heading3"/>
      </w:pPr>
      <w:r>
        <w:lastRenderedPageBreak/>
        <w:t xml:space="preserve">AT: K Non </w:t>
      </w:r>
      <w:proofErr w:type="spellStart"/>
      <w:r>
        <w:t>Fallsifiable</w:t>
      </w:r>
      <w:proofErr w:type="spellEnd"/>
    </w:p>
    <w:p w14:paraId="4BF192EA" w14:textId="5B84BF8C" w:rsidR="003A62BD" w:rsidRPr="003A62BD" w:rsidRDefault="003A62BD" w:rsidP="003A62BD">
      <w:pPr>
        <w:pStyle w:val="Heading4"/>
      </w:pPr>
      <w:r>
        <w:t>Claims are testable</w:t>
      </w:r>
    </w:p>
    <w:p w14:paraId="140BAA42" w14:textId="77777777" w:rsidR="00BC09A4" w:rsidRDefault="00BC09A4" w:rsidP="00BC09A4">
      <w:proofErr w:type="spellStart"/>
      <w:r w:rsidRPr="002448E1">
        <w:rPr>
          <w:rStyle w:val="Style13ptBold"/>
        </w:rPr>
        <w:t>Saurin</w:t>
      </w:r>
      <w:proofErr w:type="spellEnd"/>
      <w:r w:rsidRPr="002448E1">
        <w:rPr>
          <w:rStyle w:val="Style13ptBold"/>
        </w:rPr>
        <w:t>, University of Sussex International Relations Professor 6</w:t>
      </w:r>
      <w:r>
        <w:t xml:space="preserve"> (Julian, “International Relations as the Imperial Illusion; or, the Need to Decolonize IR”, Decolonizing International Relations, Edited by </w:t>
      </w:r>
      <w:proofErr w:type="spellStart"/>
      <w:r>
        <w:t>Branwen</w:t>
      </w:r>
      <w:proofErr w:type="spellEnd"/>
      <w:r>
        <w:t xml:space="preserve"> </w:t>
      </w:r>
      <w:proofErr w:type="spellStart"/>
      <w:r>
        <w:t>Gruffydd</w:t>
      </w:r>
      <w:proofErr w:type="spellEnd"/>
      <w:r>
        <w:t xml:space="preserve"> Jones, p. 32-</w:t>
      </w:r>
      <w:proofErr w:type="gramStart"/>
      <w:r>
        <w:t>3 )</w:t>
      </w:r>
      <w:proofErr w:type="gramEnd"/>
    </w:p>
    <w:p w14:paraId="1E8F6B10" w14:textId="77777777" w:rsidR="00BC09A4" w:rsidRDefault="00BC09A4" w:rsidP="00BC09A4">
      <w:r>
        <w:t xml:space="preserve">There is to begin with </w:t>
      </w:r>
      <w:proofErr w:type="gramStart"/>
      <w:r>
        <w:t>a number of</w:t>
      </w:r>
      <w:proofErr w:type="gramEnd"/>
      <w:r>
        <w:t xml:space="preserve"> simple empirical tests for assessing the veracity of the contention that informs this chapter, namely, the claim that IR theory is an expression of Western supremacism and therein perpetuates the epochal illusion. This test could be undertaken through </w:t>
      </w:r>
      <w:proofErr w:type="gramStart"/>
      <w:r>
        <w:t>a number of</w:t>
      </w:r>
      <w:proofErr w:type="gramEnd"/>
      <w:r>
        <w:t xml:space="preserve"> iterations, each slightly varied. Thus, we could ask how many works in international theory take as their historical referent or object of inquiry any non-</w:t>
      </w:r>
      <w:proofErr w:type="spellStart"/>
      <w:r>
        <w:t>Westem</w:t>
      </w:r>
      <w:proofErr w:type="spellEnd"/>
      <w:r>
        <w:t xml:space="preserve"> states. Next we could ask how many and what proportion of works in IR are published in Western journals and publishing houses. We could also exam- </w:t>
      </w:r>
      <w:proofErr w:type="spellStart"/>
      <w:r>
        <w:t>ine</w:t>
      </w:r>
      <w:proofErr w:type="spellEnd"/>
      <w:r>
        <w:t xml:space="preserve"> how many theoretical traditions or perspectives are Western in origin or derivation. Further, we could ask how many authors from non-</w:t>
      </w:r>
      <w:proofErr w:type="spellStart"/>
      <w:r>
        <w:t>Westem</w:t>
      </w:r>
      <w:proofErr w:type="spellEnd"/>
      <w:r>
        <w:t xml:space="preserve"> </w:t>
      </w:r>
      <w:proofErr w:type="spellStart"/>
      <w:r>
        <w:t>coun</w:t>
      </w:r>
      <w:proofErr w:type="spellEnd"/>
      <w:r>
        <w:t xml:space="preserve">- tries have published in IR journals. In asking these historical questions, which can, in principle, be resolved empirically (and later statistically), we would be well on the way to outlining a profound and chronically structured </w:t>
      </w:r>
      <w:proofErr w:type="spellStart"/>
      <w:r>
        <w:t>distri</w:t>
      </w:r>
      <w:proofErr w:type="spellEnd"/>
      <w:r>
        <w:t xml:space="preserve">- </w:t>
      </w:r>
      <w:proofErr w:type="spellStart"/>
      <w:r>
        <w:t>bution</w:t>
      </w:r>
      <w:proofErr w:type="spellEnd"/>
      <w:r>
        <w:t xml:space="preserve"> of scientific power. To be sure, the problem of isolating and defining what was meant by the “West” or what counts as “an object of inquiry” or a Western theoretical perspective” might remain problematic but certainly not something that those well versed in methodological positivism couldn’t settle through careful technical specification. It is at this point, if you will, that a sociology of knowledge production would reveal that it is not a North-South split or any other geographical or spatial distinction that is the primary deter- </w:t>
      </w:r>
      <w:proofErr w:type="spellStart"/>
      <w:r>
        <w:t>minant</w:t>
      </w:r>
      <w:proofErr w:type="spellEnd"/>
      <w:r>
        <w:t xml:space="preserve"> of the current structure of IR knowledge but rather one determined by the ownership of the means of production. There is an intimate relationship between the development of capitalism on a global scale, the development of imperialism (including colonialism), and the theoretical expression of Western supremacism. Through no accident, the structure of the knowledge economy of the world maps rather neatly onto the structure of imperial dispossession and appropriation.24</w:t>
      </w:r>
    </w:p>
    <w:p w14:paraId="23615B36" w14:textId="77777777" w:rsidR="004F6EA0" w:rsidRDefault="004F6EA0" w:rsidP="00A310B1">
      <w:pPr>
        <w:rPr>
          <w:b/>
          <w:bCs/>
          <w:u w:val="single"/>
        </w:rPr>
      </w:pPr>
    </w:p>
    <w:p w14:paraId="34EBA0E1" w14:textId="73C10786" w:rsidR="008F7540" w:rsidRDefault="008F7540" w:rsidP="00A51A8F">
      <w:pPr>
        <w:pStyle w:val="Heading1"/>
      </w:pPr>
      <w:r>
        <w:lastRenderedPageBreak/>
        <w:t>Aff</w:t>
      </w:r>
    </w:p>
    <w:p w14:paraId="4F4A9FE2" w14:textId="09ECD72E" w:rsidR="007246CE" w:rsidRPr="007246CE" w:rsidRDefault="007246CE" w:rsidP="007246CE">
      <w:pPr>
        <w:pStyle w:val="Heading3"/>
      </w:pPr>
      <w:r>
        <w:lastRenderedPageBreak/>
        <w:t>No Link – Knowledge Production</w:t>
      </w:r>
    </w:p>
    <w:p w14:paraId="5B3584DF" w14:textId="77777777" w:rsidR="007246CE" w:rsidRPr="006F07DE" w:rsidRDefault="007246CE" w:rsidP="007246CE">
      <w:pPr>
        <w:pStyle w:val="Heading4"/>
      </w:pPr>
      <w:r w:rsidRPr="006F07DE">
        <w:t xml:space="preserve">Eurocentrism is key to multicultural knowledge production- </w:t>
      </w:r>
      <w:proofErr w:type="spellStart"/>
      <w:r w:rsidRPr="006F07DE">
        <w:t>its</w:t>
      </w:r>
      <w:proofErr w:type="spellEnd"/>
      <w:r w:rsidRPr="006F07DE">
        <w:t xml:space="preserve"> just a locus point- it doesn’t produce “evil” or “westernized” knowledge</w:t>
      </w:r>
    </w:p>
    <w:p w14:paraId="2F3738B4" w14:textId="77777777" w:rsidR="007246CE" w:rsidRPr="009E3621" w:rsidRDefault="007246CE" w:rsidP="007246CE">
      <w:pPr>
        <w:rPr>
          <w:rStyle w:val="Style13ptBold"/>
          <w:rFonts w:asciiTheme="minorHAnsi" w:hAnsiTheme="minorHAnsi"/>
        </w:rPr>
      </w:pPr>
      <w:r w:rsidRPr="009E3621">
        <w:rPr>
          <w:rStyle w:val="Style13ptBold"/>
          <w:rFonts w:asciiTheme="minorHAnsi" w:hAnsiTheme="minorHAnsi"/>
        </w:rPr>
        <w:t>O’Brien, Professor of Economic History, London School of Economics, 10</w:t>
      </w:r>
    </w:p>
    <w:p w14:paraId="7487151F" w14:textId="77777777" w:rsidR="007246CE" w:rsidRPr="009E3621" w:rsidRDefault="007246CE" w:rsidP="007246CE">
      <w:pPr>
        <w:rPr>
          <w:rFonts w:asciiTheme="minorHAnsi" w:hAnsiTheme="minorHAnsi"/>
        </w:rPr>
      </w:pPr>
      <w:r w:rsidRPr="009E3621">
        <w:rPr>
          <w:rFonts w:asciiTheme="minorHAnsi" w:hAnsiTheme="minorHAnsi"/>
        </w:rPr>
        <w:t xml:space="preserve">(Patrick Karl, Centennial Professor of Economic History, London School of Economics, Fellow of the British Academy and Academia </w:t>
      </w:r>
      <w:proofErr w:type="spellStart"/>
      <w:proofErr w:type="gramStart"/>
      <w:r w:rsidRPr="009E3621">
        <w:rPr>
          <w:rFonts w:asciiTheme="minorHAnsi" w:hAnsiTheme="minorHAnsi"/>
        </w:rPr>
        <w:t>Europaea</w:t>
      </w:r>
      <w:proofErr w:type="spellEnd"/>
      <w:r w:rsidRPr="009E3621">
        <w:rPr>
          <w:rFonts w:asciiTheme="minorHAnsi" w:hAnsiTheme="minorHAnsi"/>
        </w:rPr>
        <w:t>,.</w:t>
      </w:r>
      <w:proofErr w:type="gramEnd"/>
      <w:r w:rsidRPr="009E3621">
        <w:rPr>
          <w:rFonts w:asciiTheme="minorHAnsi" w:hAnsiTheme="minorHAnsi"/>
        </w:rPr>
        <w:t xml:space="preserve"> Doctorates honoris causa from Carlos III University Madrid and Uppsala University, Sweden; Fellow of the Royal Historical Society, Fellow of the Royal Society of Arts, President of British Economic History Society, 9/7/10, Global History for the London School of Economics, “How Do You Study Global History? Comparisons, Connections, Entanglement’s and Eurocentrism,” </w:t>
      </w:r>
      <w:hyperlink r:id="rId19" w:history="1">
        <w:r w:rsidRPr="009E3621">
          <w:rPr>
            <w:rStyle w:val="Hyperlink"/>
            <w:rFonts w:asciiTheme="minorHAnsi" w:hAnsiTheme="minorHAnsi"/>
          </w:rPr>
          <w:t>http://globalhistoryatlse.wordpress.com/2010/10/07/how-do-you-study-global-history-comparisons-connections-entanglements-and-eurocentrism/</w:t>
        </w:r>
      </w:hyperlink>
      <w:r>
        <w:rPr>
          <w:rFonts w:asciiTheme="minorHAnsi" w:hAnsiTheme="minorHAnsi"/>
        </w:rPr>
        <w:t>)</w:t>
      </w:r>
    </w:p>
    <w:p w14:paraId="7D424E41" w14:textId="23C850A1" w:rsidR="007246CE" w:rsidRDefault="007246CE" w:rsidP="007246CE">
      <w:pPr>
        <w:rPr>
          <w:rFonts w:asciiTheme="minorHAnsi" w:hAnsiTheme="minorHAnsi"/>
        </w:rPr>
      </w:pPr>
      <w:r w:rsidRPr="009E3621">
        <w:rPr>
          <w:rFonts w:asciiTheme="minorHAnsi" w:hAnsiTheme="minorHAnsi"/>
          <w:sz w:val="12"/>
        </w:rPr>
        <w:t xml:space="preserve">¶ </w:t>
      </w:r>
      <w:r w:rsidRPr="009E3621">
        <w:rPr>
          <w:rFonts w:asciiTheme="minorHAnsi" w:hAnsiTheme="minorHAnsi"/>
        </w:rPr>
        <w:t xml:space="preserve">The US is the </w:t>
      </w:r>
      <w:proofErr w:type="spellStart"/>
      <w:r w:rsidRPr="009E3621">
        <w:rPr>
          <w:rFonts w:asciiTheme="minorHAnsi" w:hAnsiTheme="minorHAnsi"/>
        </w:rPr>
        <w:t>uebermost</w:t>
      </w:r>
      <w:proofErr w:type="spellEnd"/>
      <w:r w:rsidRPr="009E3621">
        <w:rPr>
          <w:rFonts w:asciiTheme="minorHAnsi" w:hAnsiTheme="minorHAnsi"/>
        </w:rPr>
        <w:t xml:space="preserve"> case of a nation defined on a </w:t>
      </w:r>
      <w:proofErr w:type="spellStart"/>
      <w:r w:rsidRPr="009E3621">
        <w:rPr>
          <w:rFonts w:asciiTheme="minorHAnsi" w:hAnsiTheme="minorHAnsi"/>
        </w:rPr>
        <w:t>centred</w:t>
      </w:r>
      <w:proofErr w:type="spellEnd"/>
      <w:r w:rsidRPr="009E3621">
        <w:rPr>
          <w:rFonts w:asciiTheme="minorHAnsi" w:hAnsiTheme="minorHAnsi"/>
        </w:rPr>
        <w:t xml:space="preserve"> historical and ideological construct. Anyone can become American if they sign up to this founding </w:t>
      </w:r>
      <w:proofErr w:type="gramStart"/>
      <w:r w:rsidRPr="009E3621">
        <w:rPr>
          <w:rFonts w:asciiTheme="minorHAnsi" w:hAnsiTheme="minorHAnsi"/>
        </w:rPr>
        <w:t>mythology.</w:t>
      </w:r>
      <w:r w:rsidRPr="009E3621">
        <w:rPr>
          <w:rFonts w:asciiTheme="minorHAnsi" w:hAnsiTheme="minorHAnsi"/>
          <w:sz w:val="12"/>
        </w:rPr>
        <w:t>¶</w:t>
      </w:r>
      <w:proofErr w:type="gramEnd"/>
      <w:r w:rsidRPr="009E3621">
        <w:rPr>
          <w:rFonts w:asciiTheme="minorHAnsi" w:hAnsiTheme="minorHAnsi"/>
          <w:sz w:val="12"/>
        </w:rPr>
        <w:t xml:space="preserve"> </w:t>
      </w:r>
      <w:r w:rsidRPr="009E3621">
        <w:rPr>
          <w:rFonts w:asciiTheme="minorHAnsi" w:hAnsiTheme="minorHAnsi"/>
        </w:rPr>
        <w:t xml:space="preserve">Is </w:t>
      </w:r>
      <w:proofErr w:type="spellStart"/>
      <w:r w:rsidRPr="009E3621">
        <w:rPr>
          <w:rFonts w:asciiTheme="minorHAnsi" w:hAnsiTheme="minorHAnsi"/>
        </w:rPr>
        <w:t>Centred</w:t>
      </w:r>
      <w:proofErr w:type="spellEnd"/>
      <w:r w:rsidRPr="009E3621">
        <w:rPr>
          <w:rFonts w:asciiTheme="minorHAnsi" w:hAnsiTheme="minorHAnsi"/>
        </w:rPr>
        <w:t xml:space="preserve"> History good History?</w:t>
      </w:r>
      <w:r w:rsidRPr="009E3621">
        <w:rPr>
          <w:rFonts w:asciiTheme="minorHAnsi" w:hAnsiTheme="minorHAnsi"/>
          <w:sz w:val="12"/>
        </w:rPr>
        <w:t xml:space="preserve">¶ </w:t>
      </w:r>
      <w:r w:rsidRPr="009E3621">
        <w:rPr>
          <w:rStyle w:val="StyleUnderline"/>
          <w:rFonts w:asciiTheme="minorHAnsi" w:hAnsiTheme="minorHAnsi"/>
        </w:rPr>
        <w:t xml:space="preserve">A </w:t>
      </w:r>
      <w:proofErr w:type="spellStart"/>
      <w:r w:rsidRPr="009E3621">
        <w:rPr>
          <w:rStyle w:val="StyleUnderline"/>
          <w:rFonts w:asciiTheme="minorHAnsi" w:hAnsiTheme="minorHAnsi"/>
        </w:rPr>
        <w:t>centred</w:t>
      </w:r>
      <w:proofErr w:type="spellEnd"/>
      <w:r w:rsidRPr="009E3621">
        <w:rPr>
          <w:rStyle w:val="StyleUnderline"/>
          <w:rFonts w:asciiTheme="minorHAnsi" w:hAnsiTheme="minorHAnsi"/>
        </w:rPr>
        <w:t xml:space="preserve"> history has flaws because it must create distinct events in order for its narrative arc to work. However, events are not </w:t>
      </w:r>
      <w:proofErr w:type="spellStart"/>
      <w:r w:rsidRPr="009E3621">
        <w:rPr>
          <w:rStyle w:val="StyleUnderline"/>
          <w:rFonts w:asciiTheme="minorHAnsi" w:hAnsiTheme="minorHAnsi"/>
        </w:rPr>
        <w:t>centred</w:t>
      </w:r>
      <w:proofErr w:type="spellEnd"/>
      <w:r w:rsidRPr="009E3621">
        <w:rPr>
          <w:rStyle w:val="StyleUnderline"/>
          <w:rFonts w:asciiTheme="minorHAnsi" w:hAnsiTheme="minorHAnsi"/>
        </w:rPr>
        <w:t xml:space="preserve"> and so each </w:t>
      </w:r>
      <w:proofErr w:type="spellStart"/>
      <w:r w:rsidRPr="009E3621">
        <w:rPr>
          <w:rStyle w:val="StyleUnderline"/>
          <w:rFonts w:asciiTheme="minorHAnsi" w:hAnsiTheme="minorHAnsi"/>
        </w:rPr>
        <w:t>centred</w:t>
      </w:r>
      <w:proofErr w:type="spellEnd"/>
      <w:r w:rsidRPr="009E3621">
        <w:rPr>
          <w:rStyle w:val="StyleUnderline"/>
          <w:rFonts w:asciiTheme="minorHAnsi" w:hAnsiTheme="minorHAnsi"/>
        </w:rPr>
        <w:t xml:space="preserve"> history much obscure one thing when it tries to focus on another.</w:t>
      </w:r>
      <w:r w:rsidRPr="009E3621">
        <w:rPr>
          <w:rStyle w:val="StyleUnderline"/>
          <w:rFonts w:asciiTheme="minorHAnsi" w:hAnsiTheme="minorHAnsi"/>
          <w:sz w:val="12"/>
        </w:rPr>
        <w:t xml:space="preserve">¶ </w:t>
      </w:r>
      <w:r w:rsidRPr="009E3621">
        <w:rPr>
          <w:rStyle w:val="StyleUnderline"/>
          <w:rFonts w:asciiTheme="minorHAnsi" w:hAnsiTheme="minorHAnsi"/>
        </w:rPr>
        <w:t xml:space="preserve">For example, the Renaissance was only possible because the Arabs preserved knowledge of the Ancient Greeks which Europe had lost </w:t>
      </w:r>
      <w:r w:rsidRPr="009E3621">
        <w:rPr>
          <w:rFonts w:asciiTheme="minorHAnsi" w:hAnsiTheme="minorHAnsi"/>
        </w:rPr>
        <w:t>(I almost wrote “which we lost”, naughty).</w:t>
      </w:r>
      <w:r w:rsidRPr="009E3621">
        <w:rPr>
          <w:rStyle w:val="StyleUnderline"/>
          <w:rFonts w:asciiTheme="minorHAnsi" w:hAnsiTheme="minorHAnsi"/>
        </w:rPr>
        <w:t xml:space="preserve"> </w:t>
      </w:r>
      <w:proofErr w:type="spellStart"/>
      <w:r w:rsidRPr="009E3621">
        <w:rPr>
          <w:rStyle w:val="StyleUnderline"/>
          <w:rFonts w:asciiTheme="minorHAnsi" w:hAnsiTheme="minorHAnsi"/>
        </w:rPr>
        <w:t>Focussing</w:t>
      </w:r>
      <w:proofErr w:type="spellEnd"/>
      <w:r w:rsidRPr="009E3621">
        <w:rPr>
          <w:rStyle w:val="StyleUnderline"/>
          <w:rFonts w:asciiTheme="minorHAnsi" w:hAnsiTheme="minorHAnsi"/>
        </w:rPr>
        <w:t xml:space="preserve"> on a narrative of the Renaissance risks ignoring the rest of the </w:t>
      </w:r>
      <w:proofErr w:type="gramStart"/>
      <w:r w:rsidRPr="009E3621">
        <w:rPr>
          <w:rStyle w:val="StyleUnderline"/>
          <w:rFonts w:asciiTheme="minorHAnsi" w:hAnsiTheme="minorHAnsi"/>
        </w:rPr>
        <w:t>world.</w:t>
      </w:r>
      <w:r w:rsidRPr="009E3621">
        <w:rPr>
          <w:rStyle w:val="StyleUnderline"/>
          <w:rFonts w:asciiTheme="minorHAnsi" w:hAnsiTheme="minorHAnsi"/>
          <w:sz w:val="12"/>
        </w:rPr>
        <w:t>¶</w:t>
      </w:r>
      <w:proofErr w:type="gramEnd"/>
      <w:r w:rsidRPr="009E3621">
        <w:rPr>
          <w:rStyle w:val="StyleUnderline"/>
          <w:rFonts w:asciiTheme="minorHAnsi" w:hAnsiTheme="minorHAnsi"/>
          <w:sz w:val="12"/>
        </w:rPr>
        <w:t xml:space="preserve"> </w:t>
      </w:r>
      <w:r w:rsidRPr="009E3621">
        <w:rPr>
          <w:rStyle w:val="StyleUnderline"/>
          <w:rFonts w:asciiTheme="minorHAnsi" w:hAnsiTheme="minorHAnsi"/>
        </w:rPr>
        <w:t>Are all histories equal?</w:t>
      </w:r>
      <w:r w:rsidRPr="009E3621">
        <w:rPr>
          <w:rFonts w:asciiTheme="minorHAnsi" w:hAnsiTheme="minorHAnsi"/>
        </w:rPr>
        <w:t xml:space="preserve"> Some would say </w:t>
      </w:r>
      <w:r w:rsidRPr="009E3621">
        <w:rPr>
          <w:rStyle w:val="StyleUnderline"/>
          <w:rFonts w:asciiTheme="minorHAnsi" w:hAnsiTheme="minorHAnsi"/>
        </w:rPr>
        <w:t>yes.</w:t>
      </w:r>
      <w:r w:rsidRPr="009E3621">
        <w:rPr>
          <w:rFonts w:asciiTheme="minorHAnsi" w:hAnsiTheme="minorHAnsi"/>
        </w:rPr>
        <w:t xml:space="preserve"> A Global History Scholar from Malaysia attended a conference on Global History and requested that non-Islamic scholars admit the Koran as a historical source. Is the History of the Koran </w:t>
      </w:r>
      <w:proofErr w:type="gramStart"/>
      <w:r w:rsidRPr="009E3621">
        <w:rPr>
          <w:rFonts w:asciiTheme="minorHAnsi" w:hAnsiTheme="minorHAnsi"/>
        </w:rPr>
        <w:t>admissible?</w:t>
      </w:r>
      <w:r w:rsidRPr="009E3621">
        <w:rPr>
          <w:rFonts w:asciiTheme="minorHAnsi" w:hAnsiTheme="minorHAnsi"/>
          <w:sz w:val="12"/>
        </w:rPr>
        <w:t>¶</w:t>
      </w:r>
      <w:proofErr w:type="gramEnd"/>
      <w:r w:rsidRPr="009E3621">
        <w:rPr>
          <w:rFonts w:asciiTheme="minorHAnsi" w:hAnsiTheme="minorHAnsi"/>
          <w:sz w:val="12"/>
        </w:rPr>
        <w:t xml:space="preserve"> </w:t>
      </w:r>
      <w:r w:rsidRPr="009E3621">
        <w:rPr>
          <w:rStyle w:val="StyleUnderline"/>
          <w:rFonts w:asciiTheme="minorHAnsi" w:hAnsiTheme="minorHAnsi"/>
        </w:rPr>
        <w:t xml:space="preserve">What is good history? Is it a matter of the quantity of sources? The quality of the sources </w:t>
      </w:r>
      <w:proofErr w:type="gramStart"/>
      <w:r w:rsidRPr="009E3621">
        <w:rPr>
          <w:rStyle w:val="StyleUnderline"/>
          <w:rFonts w:asciiTheme="minorHAnsi" w:hAnsiTheme="minorHAnsi"/>
        </w:rPr>
        <w:t>provided?</w:t>
      </w:r>
      <w:proofErr w:type="gramEnd"/>
      <w:r w:rsidRPr="009E3621">
        <w:rPr>
          <w:rStyle w:val="StyleUnderline"/>
          <w:rFonts w:asciiTheme="minorHAnsi" w:hAnsiTheme="minorHAnsi"/>
        </w:rPr>
        <w:t xml:space="preserve"> There are a multitude of sources on most subjects saying contrary things, very often from very good authorities too. This way lies rampant </w:t>
      </w:r>
      <w:proofErr w:type="spellStart"/>
      <w:r w:rsidRPr="009E3621">
        <w:rPr>
          <w:rStyle w:val="StyleUnderline"/>
          <w:rFonts w:asciiTheme="minorHAnsi" w:hAnsiTheme="minorHAnsi"/>
        </w:rPr>
        <w:t>relavatism</w:t>
      </w:r>
      <w:proofErr w:type="spellEnd"/>
      <w:r w:rsidRPr="009E3621">
        <w:rPr>
          <w:rStyle w:val="StyleUnderline"/>
          <w:rFonts w:asciiTheme="minorHAnsi" w:hAnsiTheme="minorHAnsi"/>
        </w:rPr>
        <w:t xml:space="preserve">, from which it is difficult to learn </w:t>
      </w:r>
      <w:proofErr w:type="gramStart"/>
      <w:r w:rsidRPr="009E3621">
        <w:rPr>
          <w:rStyle w:val="StyleUnderline"/>
          <w:rFonts w:asciiTheme="minorHAnsi" w:hAnsiTheme="minorHAnsi"/>
        </w:rPr>
        <w:t>anything.</w:t>
      </w:r>
      <w:r w:rsidRPr="009E3621">
        <w:rPr>
          <w:rStyle w:val="StyleUnderline"/>
          <w:rFonts w:asciiTheme="minorHAnsi" w:hAnsiTheme="minorHAnsi"/>
          <w:sz w:val="12"/>
        </w:rPr>
        <w:t>¶</w:t>
      </w:r>
      <w:proofErr w:type="gramEnd"/>
      <w:r w:rsidRPr="009E3621">
        <w:rPr>
          <w:rStyle w:val="StyleUnderline"/>
          <w:rFonts w:asciiTheme="minorHAnsi" w:hAnsiTheme="minorHAnsi"/>
          <w:sz w:val="12"/>
        </w:rPr>
        <w:t xml:space="preserve"> </w:t>
      </w:r>
      <w:r w:rsidRPr="009E3621">
        <w:rPr>
          <w:rFonts w:asciiTheme="minorHAnsi" w:hAnsiTheme="minorHAnsi"/>
        </w:rPr>
        <w:t xml:space="preserve">The problem with </w:t>
      </w:r>
      <w:proofErr w:type="spellStart"/>
      <w:r w:rsidRPr="009E3621">
        <w:rPr>
          <w:rFonts w:asciiTheme="minorHAnsi" w:hAnsiTheme="minorHAnsi"/>
        </w:rPr>
        <w:t>centred</w:t>
      </w:r>
      <w:proofErr w:type="spellEnd"/>
      <w:r w:rsidRPr="009E3621">
        <w:rPr>
          <w:rFonts w:asciiTheme="minorHAnsi" w:hAnsiTheme="minorHAnsi"/>
        </w:rPr>
        <w:t xml:space="preserve"> history is that because it is highly </w:t>
      </w:r>
      <w:proofErr w:type="spellStart"/>
      <w:r w:rsidRPr="009E3621">
        <w:rPr>
          <w:rFonts w:asciiTheme="minorHAnsi" w:hAnsiTheme="minorHAnsi"/>
        </w:rPr>
        <w:t>specialised</w:t>
      </w:r>
      <w:proofErr w:type="spellEnd"/>
      <w:r w:rsidRPr="009E3621">
        <w:rPr>
          <w:rFonts w:asciiTheme="minorHAnsi" w:hAnsiTheme="minorHAnsi"/>
        </w:rPr>
        <w:t xml:space="preserve"> and necessarily fragmented it risks only being able to explain itself; it becomes arcane knowledge. History as a </w:t>
      </w:r>
      <w:proofErr w:type="gramStart"/>
      <w:r w:rsidRPr="009E3621">
        <w:rPr>
          <w:rFonts w:asciiTheme="minorHAnsi" w:hAnsiTheme="minorHAnsi"/>
        </w:rPr>
        <w:t>discourse  becomes</w:t>
      </w:r>
      <w:proofErr w:type="gramEnd"/>
      <w:r w:rsidRPr="009E3621">
        <w:rPr>
          <w:rFonts w:asciiTheme="minorHAnsi" w:hAnsiTheme="minorHAnsi"/>
        </w:rPr>
        <w:t xml:space="preserve"> history as rhetoric. History of “exceptionalism” from American to Chinese fails to help us explain the </w:t>
      </w:r>
      <w:proofErr w:type="gramStart"/>
      <w:r w:rsidRPr="009E3621">
        <w:rPr>
          <w:rFonts w:asciiTheme="minorHAnsi" w:hAnsiTheme="minorHAnsi"/>
        </w:rPr>
        <w:t>world.</w:t>
      </w:r>
      <w:r w:rsidRPr="009E3621">
        <w:rPr>
          <w:rFonts w:asciiTheme="minorHAnsi" w:hAnsiTheme="minorHAnsi"/>
          <w:sz w:val="12"/>
        </w:rPr>
        <w:t>¶</w:t>
      </w:r>
      <w:proofErr w:type="gramEnd"/>
      <w:r w:rsidRPr="009E3621">
        <w:rPr>
          <w:rFonts w:asciiTheme="minorHAnsi" w:hAnsiTheme="minorHAnsi"/>
          <w:sz w:val="12"/>
        </w:rPr>
        <w:t xml:space="preserve"> </w:t>
      </w:r>
      <w:r w:rsidRPr="009E3621">
        <w:rPr>
          <w:rFonts w:asciiTheme="minorHAnsi" w:hAnsiTheme="minorHAnsi"/>
        </w:rPr>
        <w:t xml:space="preserve">Global History attempts to overcome this by being a completely cosmopolitan exercise. Not only that but by </w:t>
      </w:r>
      <w:proofErr w:type="spellStart"/>
      <w:r w:rsidRPr="009E3621">
        <w:rPr>
          <w:rFonts w:asciiTheme="minorHAnsi" w:hAnsiTheme="minorHAnsi"/>
        </w:rPr>
        <w:t>focussing</w:t>
      </w:r>
      <w:proofErr w:type="spellEnd"/>
      <w:r w:rsidRPr="009E3621">
        <w:rPr>
          <w:rFonts w:asciiTheme="minorHAnsi" w:hAnsiTheme="minorHAnsi"/>
        </w:rPr>
        <w:t xml:space="preserve"> on a very long time scale it avoids the risk of being beholden to a dominant narrative of any one historian or school of historians.</w:t>
      </w:r>
      <w:r w:rsidRPr="009E3621">
        <w:rPr>
          <w:rFonts w:asciiTheme="minorHAnsi" w:hAnsiTheme="minorHAnsi"/>
          <w:sz w:val="12"/>
        </w:rPr>
        <w:t xml:space="preserve">¶ </w:t>
      </w:r>
      <w:r w:rsidRPr="009E3621">
        <w:rPr>
          <w:rFonts w:asciiTheme="minorHAnsi" w:hAnsiTheme="minorHAnsi"/>
        </w:rPr>
        <w:t>Comparisons, connections, interactions and entanglements</w:t>
      </w:r>
      <w:r w:rsidRPr="009E3621">
        <w:rPr>
          <w:rFonts w:asciiTheme="minorHAnsi" w:hAnsiTheme="minorHAnsi"/>
          <w:sz w:val="12"/>
        </w:rPr>
        <w:t xml:space="preserve">¶ </w:t>
      </w:r>
      <w:r w:rsidRPr="009E3621">
        <w:rPr>
          <w:rFonts w:asciiTheme="minorHAnsi" w:hAnsiTheme="minorHAnsi"/>
        </w:rPr>
        <w:t xml:space="preserve">Connections are important because we need to understand the webs and flows of goods, knowledge and people between distant (in space and time) others. This information is revealed in different channels; trade; diffusion of ideas; exchange; encounters; dislocation; </w:t>
      </w:r>
      <w:proofErr w:type="spellStart"/>
      <w:r w:rsidRPr="009E3621">
        <w:rPr>
          <w:rFonts w:asciiTheme="minorHAnsi" w:hAnsiTheme="minorHAnsi"/>
        </w:rPr>
        <w:t>aculturation</w:t>
      </w:r>
      <w:proofErr w:type="spellEnd"/>
      <w:r w:rsidRPr="009E3621">
        <w:rPr>
          <w:rFonts w:asciiTheme="minorHAnsi" w:hAnsiTheme="minorHAnsi"/>
        </w:rPr>
        <w:t xml:space="preserve">. There are also vectors that determine how these connections are made, technological, scientific and </w:t>
      </w:r>
      <w:proofErr w:type="gramStart"/>
      <w:r w:rsidRPr="009E3621">
        <w:rPr>
          <w:rFonts w:asciiTheme="minorHAnsi" w:hAnsiTheme="minorHAnsi"/>
        </w:rPr>
        <w:t>epidemiological.</w:t>
      </w:r>
      <w:r w:rsidRPr="009E3621">
        <w:rPr>
          <w:rFonts w:asciiTheme="minorHAnsi" w:hAnsiTheme="minorHAnsi"/>
          <w:sz w:val="12"/>
        </w:rPr>
        <w:t>¶</w:t>
      </w:r>
      <w:proofErr w:type="gramEnd"/>
      <w:r w:rsidRPr="009E3621">
        <w:rPr>
          <w:rFonts w:asciiTheme="minorHAnsi" w:hAnsiTheme="minorHAnsi"/>
          <w:sz w:val="12"/>
        </w:rPr>
        <w:t xml:space="preserve"> </w:t>
      </w:r>
      <w:r w:rsidRPr="009E3621">
        <w:rPr>
          <w:rStyle w:val="StyleUnderline"/>
          <w:rFonts w:asciiTheme="minorHAnsi" w:hAnsiTheme="minorHAnsi"/>
        </w:rPr>
        <w:t xml:space="preserve">All history is Comparative history. With reciprocal comparisons we can try to avoid some of the flaws of euro- and western- centric histories. </w:t>
      </w:r>
      <w:r w:rsidRPr="009E3621">
        <w:rPr>
          <w:rFonts w:asciiTheme="minorHAnsi" w:hAnsiTheme="minorHAnsi"/>
        </w:rPr>
        <w:t xml:space="preserve">Rather than ask “why didn’t China end up like England,” we can ask “why didn’t England end up like China?” </w:t>
      </w:r>
      <w:r w:rsidRPr="009E3621">
        <w:rPr>
          <w:rStyle w:val="StyleUnderline"/>
          <w:rFonts w:asciiTheme="minorHAnsi" w:hAnsiTheme="minorHAnsi"/>
        </w:rPr>
        <w:t xml:space="preserve">This allows us to surmount the tyranny of local detail. It also prevents us from taking ownership of a topic and allowing this to cloud our judgement. We can aggregate and average features over large areas and examine their similarities and </w:t>
      </w:r>
      <w:proofErr w:type="gramStart"/>
      <w:r w:rsidRPr="009E3621">
        <w:rPr>
          <w:rStyle w:val="StyleUnderline"/>
          <w:rFonts w:asciiTheme="minorHAnsi" w:hAnsiTheme="minorHAnsi"/>
        </w:rPr>
        <w:t>differences.</w:t>
      </w:r>
      <w:r w:rsidRPr="009E3621">
        <w:rPr>
          <w:rStyle w:val="StyleUnderline"/>
          <w:rFonts w:asciiTheme="minorHAnsi" w:hAnsiTheme="minorHAnsi"/>
          <w:sz w:val="12"/>
        </w:rPr>
        <w:t>¶</w:t>
      </w:r>
      <w:proofErr w:type="gramEnd"/>
      <w:r w:rsidRPr="009E3621">
        <w:rPr>
          <w:rStyle w:val="StyleUnderline"/>
          <w:rFonts w:asciiTheme="minorHAnsi" w:hAnsiTheme="minorHAnsi"/>
          <w:sz w:val="12"/>
        </w:rPr>
        <w:t xml:space="preserve"> </w:t>
      </w:r>
      <w:r w:rsidRPr="009E3621">
        <w:rPr>
          <w:rFonts w:asciiTheme="minorHAnsi" w:hAnsiTheme="minorHAnsi"/>
        </w:rPr>
        <w:t xml:space="preserve">Interactions and entanglements also give us a way to examine things without a </w:t>
      </w:r>
      <w:proofErr w:type="spellStart"/>
      <w:r w:rsidRPr="009E3621">
        <w:rPr>
          <w:rFonts w:asciiTheme="minorHAnsi" w:hAnsiTheme="minorHAnsi"/>
        </w:rPr>
        <w:t>centre</w:t>
      </w:r>
      <w:proofErr w:type="spellEnd"/>
      <w:r w:rsidRPr="009E3621">
        <w:rPr>
          <w:rFonts w:asciiTheme="minorHAnsi" w:hAnsiTheme="minorHAnsi"/>
        </w:rPr>
        <w:t xml:space="preserve">. For example, Iberia, Southeast Asia and the US/Mexico border all give us opportunities to look at competing narratives and identities. This is not to accept </w:t>
      </w:r>
      <w:proofErr w:type="spellStart"/>
      <w:r w:rsidRPr="009E3621">
        <w:rPr>
          <w:rFonts w:asciiTheme="minorHAnsi" w:hAnsiTheme="minorHAnsi"/>
        </w:rPr>
        <w:t>relavatism</w:t>
      </w:r>
      <w:proofErr w:type="spellEnd"/>
      <w:r w:rsidRPr="009E3621">
        <w:rPr>
          <w:rFonts w:asciiTheme="minorHAnsi" w:hAnsiTheme="minorHAnsi"/>
        </w:rPr>
        <w:t xml:space="preserve">, but rather to enable us to accept and </w:t>
      </w:r>
      <w:proofErr w:type="spellStart"/>
      <w:r w:rsidRPr="009E3621">
        <w:rPr>
          <w:rFonts w:asciiTheme="minorHAnsi" w:hAnsiTheme="minorHAnsi"/>
        </w:rPr>
        <w:t>analyse</w:t>
      </w:r>
      <w:proofErr w:type="spellEnd"/>
      <w:r w:rsidRPr="009E3621">
        <w:rPr>
          <w:rFonts w:asciiTheme="minorHAnsi" w:hAnsiTheme="minorHAnsi"/>
        </w:rPr>
        <w:t xml:space="preserve"> the existence of completing and complimentary identities</w:t>
      </w:r>
      <w:r w:rsidRPr="009E3621">
        <w:rPr>
          <w:rStyle w:val="StyleUnderline"/>
          <w:rFonts w:asciiTheme="minorHAnsi" w:hAnsiTheme="minorHAnsi"/>
        </w:rPr>
        <w:t xml:space="preserve">. Global History allows us to examine the </w:t>
      </w:r>
      <w:r w:rsidRPr="009E3621">
        <w:rPr>
          <w:rStyle w:val="StyleUnderline"/>
          <w:rFonts w:asciiTheme="minorHAnsi" w:hAnsiTheme="minorHAnsi"/>
        </w:rPr>
        <w:lastRenderedPageBreak/>
        <w:t xml:space="preserve">diversity of human experience and enables us to challenge the cultural and political enterprises of </w:t>
      </w:r>
      <w:proofErr w:type="gramStart"/>
      <w:r w:rsidRPr="009E3621">
        <w:rPr>
          <w:rStyle w:val="StyleUnderline"/>
          <w:rFonts w:asciiTheme="minorHAnsi" w:hAnsiTheme="minorHAnsi"/>
        </w:rPr>
        <w:t>hegemony.</w:t>
      </w:r>
      <w:r w:rsidRPr="009E3621">
        <w:rPr>
          <w:rStyle w:val="StyleUnderline"/>
          <w:rFonts w:asciiTheme="minorHAnsi" w:hAnsiTheme="minorHAnsi"/>
          <w:sz w:val="12"/>
        </w:rPr>
        <w:t>¶</w:t>
      </w:r>
      <w:proofErr w:type="gramEnd"/>
      <w:r w:rsidRPr="009E3621">
        <w:rPr>
          <w:rStyle w:val="StyleUnderline"/>
          <w:rFonts w:asciiTheme="minorHAnsi" w:hAnsiTheme="minorHAnsi"/>
          <w:sz w:val="12"/>
        </w:rPr>
        <w:t xml:space="preserve"> </w:t>
      </w:r>
      <w:r w:rsidRPr="009E3621">
        <w:rPr>
          <w:rFonts w:asciiTheme="minorHAnsi" w:hAnsiTheme="minorHAnsi"/>
        </w:rPr>
        <w:t>Virtues of Global History</w:t>
      </w:r>
      <w:r w:rsidRPr="009E3621">
        <w:rPr>
          <w:rFonts w:asciiTheme="minorHAnsi" w:hAnsiTheme="minorHAnsi"/>
          <w:sz w:val="12"/>
        </w:rPr>
        <w:t xml:space="preserve">¶ </w:t>
      </w:r>
      <w:r w:rsidRPr="009E3621">
        <w:rPr>
          <w:rFonts w:asciiTheme="minorHAnsi" w:hAnsiTheme="minorHAnsi"/>
        </w:rPr>
        <w:t xml:space="preserve">It revisits common denominators of chronology, concepts and causality across as much of time and space as possible. </w:t>
      </w:r>
      <w:r w:rsidRPr="009E3621">
        <w:rPr>
          <w:rStyle w:val="StyleUnderline"/>
          <w:rFonts w:asciiTheme="minorHAnsi" w:hAnsiTheme="minorHAnsi"/>
        </w:rPr>
        <w:t>It helps us to deal with the facts on the grounds while accepting diversity to avoid describing contingent events as universal experiences.</w:t>
      </w:r>
      <w:r w:rsidRPr="009E3621">
        <w:rPr>
          <w:rStyle w:val="StyleUnderline"/>
          <w:rFonts w:asciiTheme="minorHAnsi" w:hAnsiTheme="minorHAnsi"/>
          <w:sz w:val="12"/>
        </w:rPr>
        <w:t xml:space="preserve">¶ </w:t>
      </w:r>
      <w:r w:rsidRPr="009E3621">
        <w:rPr>
          <w:rFonts w:asciiTheme="minorHAnsi" w:hAnsiTheme="minorHAnsi"/>
        </w:rPr>
        <w:t xml:space="preserve">This </w:t>
      </w:r>
      <w:proofErr w:type="spellStart"/>
      <w:r w:rsidRPr="009E3621">
        <w:rPr>
          <w:rFonts w:asciiTheme="minorHAnsi" w:hAnsiTheme="minorHAnsi"/>
        </w:rPr>
        <w:t>decentred</w:t>
      </w:r>
      <w:proofErr w:type="spellEnd"/>
      <w:r w:rsidRPr="009E3621">
        <w:rPr>
          <w:rFonts w:asciiTheme="minorHAnsi" w:hAnsiTheme="minorHAnsi"/>
        </w:rPr>
        <w:t xml:space="preserve"> history helps us to understand the process of change rather than merely explain how we got to where we are, however narrowly or broadly “we” are defined</w:t>
      </w:r>
      <w:r>
        <w:rPr>
          <w:rFonts w:asciiTheme="minorHAnsi" w:hAnsiTheme="minorHAnsi"/>
        </w:rPr>
        <w:t>.</w:t>
      </w:r>
    </w:p>
    <w:p w14:paraId="26C35386" w14:textId="7AC23711" w:rsidR="00F46CDE" w:rsidRDefault="00F46CDE" w:rsidP="00F46CDE">
      <w:pPr>
        <w:pStyle w:val="Heading3"/>
      </w:pPr>
      <w:r>
        <w:lastRenderedPageBreak/>
        <w:t>Link Turn -</w:t>
      </w:r>
      <w:r w:rsidR="006B4469">
        <w:t xml:space="preserve"> Arms Control Good</w:t>
      </w:r>
    </w:p>
    <w:p w14:paraId="2E67F527" w14:textId="77777777" w:rsidR="00F46CDE" w:rsidRPr="00160E60" w:rsidRDefault="00F46CDE" w:rsidP="00F46CDE">
      <w:pPr>
        <w:pStyle w:val="Heading4"/>
      </w:pPr>
      <w:r>
        <w:t>Turn – decrease arms sales is move away from colonial security models towards prioritizing human security, necessary to solve K impacts</w:t>
      </w:r>
    </w:p>
    <w:p w14:paraId="653498DB" w14:textId="77777777" w:rsidR="00F46CDE" w:rsidRPr="003D691F" w:rsidRDefault="00F46CDE" w:rsidP="00F46CDE">
      <w:proofErr w:type="spellStart"/>
      <w:r w:rsidRPr="003D691F">
        <w:rPr>
          <w:rStyle w:val="Style13ptBold"/>
        </w:rPr>
        <w:t>Wisotzki</w:t>
      </w:r>
      <w:proofErr w:type="spellEnd"/>
      <w:r w:rsidRPr="003D691F">
        <w:rPr>
          <w:rStyle w:val="Style13ptBold"/>
        </w:rPr>
        <w:t>, Peace Research Institute Frankfurt, 9</w:t>
      </w:r>
      <w:r>
        <w:t xml:space="preserve"> (Simone, PRIF-Reports No. 92, “Between Morality and Military Interests: Norm Setting in Humanitarian Arms Control”, https://www.hsfk.de/fileadmin/HSFK/hsfk_downloads/prif92.pdf.pdf</w:t>
      </w:r>
    </w:p>
    <w:p w14:paraId="2DD8F289" w14:textId="77777777" w:rsidR="00F46CDE" w:rsidRDefault="00F46CDE" w:rsidP="00F46CDE">
      <w:r>
        <w:t xml:space="preserve">The </w:t>
      </w:r>
      <w:r w:rsidRPr="00160E60">
        <w:rPr>
          <w:rStyle w:val="StyleUnderline"/>
        </w:rPr>
        <w:t>change of perspective on arms control</w:t>
      </w:r>
      <w:r>
        <w:t xml:space="preserve"> also </w:t>
      </w:r>
      <w:r w:rsidRPr="00160E60">
        <w:rPr>
          <w:rStyle w:val="StyleUnderline"/>
        </w:rPr>
        <w:t>becomes visible in a differen</w:t>
      </w:r>
      <w:r>
        <w:t xml:space="preserve">t, individualized </w:t>
      </w:r>
      <w:r w:rsidRPr="00160E60">
        <w:rPr>
          <w:rStyle w:val="StyleUnderline"/>
        </w:rPr>
        <w:t>understanding of security. Instead of concentrating exclusively on improving state’s security, attention is now being increasingly directed towards human security.</w:t>
      </w:r>
      <w:r>
        <w:t xml:space="preserve"> </w:t>
      </w:r>
      <w:r w:rsidRPr="00160E60">
        <w:t>Embedded in the concept of “human security”, one</w:t>
      </w:r>
      <w:r>
        <w:t xml:space="preserve"> finds references to larger concepts such as development aims and conflict resolution practices. Humanitarian arms control is concerned with mitigating the consequences of the use of weapons as well as their deliberate misuse during and following intra-state conflicts. This new understanding of arms control lies within the wider context of security sector reform, which seeks to make fragile states capable of guaranteeing public security again, but it also addresses individual human needs in post-conflict situations such as victim rehabilitation and reintegration.</w:t>
      </w:r>
    </w:p>
    <w:p w14:paraId="76DD379A" w14:textId="77777777" w:rsidR="00F46CDE" w:rsidRDefault="00F46CDE" w:rsidP="00F46CDE">
      <w:r w:rsidRPr="00160E60">
        <w:rPr>
          <w:rStyle w:val="StyleUnderline"/>
        </w:rPr>
        <w:t>The new arms control and disarmament agreements are an outcome of specific norm- generating processes which are to be seen in the context of “new humanitarianism</w:t>
      </w:r>
      <w:r>
        <w:t xml:space="preserve">”. The most visible expression and, at the same time, probably the most controversial expression of this new humanitarianism </w:t>
      </w:r>
      <w:proofErr w:type="gramStart"/>
      <w:r>
        <w:t>are</w:t>
      </w:r>
      <w:proofErr w:type="gramEnd"/>
      <w:r>
        <w:t xml:space="preserve"> a number of military interventions in response to gross violations of human rights and the deliberate disregard of international humanitarian law, as for example in Ruanda or Bosnia. Questions of justice are becoming the direct legitimization for state action and have also inspired and triggered norm-generation processes in other policy fields - for example, the establishment of the International Criminal Court (ICC). </w:t>
      </w:r>
      <w:r w:rsidRPr="00160E60">
        <w:rPr>
          <w:rStyle w:val="StyleUnderline"/>
        </w:rPr>
        <w:t>Moral convictions or questions of justice</w:t>
      </w:r>
      <w:r>
        <w:t xml:space="preserve"> also </w:t>
      </w:r>
      <w:r w:rsidRPr="00160E60">
        <w:rPr>
          <w:rStyle w:val="StyleUnderline"/>
        </w:rPr>
        <w:t>motivated norm generating actors in the field of humanitarian arms control</w:t>
      </w:r>
      <w:r>
        <w:t xml:space="preserve">. In all three cases under consideration, the need for a new institution was determined </w:t>
      </w:r>
      <w:r w:rsidRPr="00160E60">
        <w:rPr>
          <w:rStyle w:val="StyleUnderline"/>
        </w:rPr>
        <w:t>by the moral conviction that action must be taken against numerous incidents of severe injustice where innocent people and civilians were killed or wounded by the indiscriminate use of these weapons in cases of intra-state conflicts</w:t>
      </w:r>
      <w:r>
        <w:t xml:space="preserve">. </w:t>
      </w:r>
      <w:r w:rsidRPr="00160E60">
        <w:rPr>
          <w:rStyle w:val="StyleUnderline"/>
        </w:rPr>
        <w:t>This conviction is based on one of the few global concepts of justice in international relations</w:t>
      </w:r>
      <w:r>
        <w:t xml:space="preserve"> which is also anchored in international humanitarian law, such as the principle of need and proportionality. At the same time, this moral conviction has provided the basis for norm development in the field of humanitarian arms control: The suffering of the civilian population as a result of the use of anti- personnel mines or cluster munitions prompted non-governmental organizations to demand of states to take action and seek a norm banning the use of such weapons. </w:t>
      </w:r>
    </w:p>
    <w:p w14:paraId="1FAAF3E0" w14:textId="77777777" w:rsidR="00F46CDE" w:rsidRDefault="00F46CDE" w:rsidP="00F46CDE">
      <w:r>
        <w:t>Certain convictions of justice, which seem to be shared in the international system of states, were finally enshrined in the principles, norms and procedures of the three regimes. According to the principle of equality, for example, all states parties must renounce the use of anti-personnel mines or cluster munitions and compile an overview of their national stocks of small arms. A further characteristic of humanitarian arms control is the comprehensive application of the principles of proportionality, need and compensation. For example, the costs-by-</w:t>
      </w:r>
      <w:proofErr w:type="gramStart"/>
      <w:r>
        <w:t>cause</w:t>
      </w:r>
      <w:proofErr w:type="gramEnd"/>
      <w:r>
        <w:t xml:space="preserve"> principle applies to the clearance of cluster munitions. Those states which are particularly affected can rely on technical as well as financial support under the Ban on Anti-Personnel Mines and the </w:t>
      </w:r>
      <w:proofErr w:type="spellStart"/>
      <w:r>
        <w:t>Programme</w:t>
      </w:r>
      <w:proofErr w:type="spellEnd"/>
      <w:r>
        <w:t xml:space="preserve"> of Action on Small Arms and Light Weapons.</w:t>
      </w:r>
    </w:p>
    <w:p w14:paraId="7C5AA59F" w14:textId="77777777" w:rsidR="00F46CDE" w:rsidRDefault="00F46CDE" w:rsidP="00F46CDE">
      <w:r>
        <w:lastRenderedPageBreak/>
        <w:t xml:space="preserve">This structural change towards humanitarian arms control is significant for arms control and for </w:t>
      </w:r>
      <w:proofErr w:type="gramStart"/>
      <w:r>
        <w:t>disarmament as a whole</w:t>
      </w:r>
      <w:proofErr w:type="gramEnd"/>
      <w:r>
        <w:t xml:space="preserve">. However, the moral convictions and the principles of justice demanded by the NGOs </w:t>
      </w:r>
      <w:proofErr w:type="gramStart"/>
      <w:r>
        <w:t>in particular touched</w:t>
      </w:r>
      <w:proofErr w:type="gramEnd"/>
      <w:r>
        <w:t xml:space="preserve"> the limits of national and national security interests. Normative conflicts occurred in the negotiating processes of all three regimes; particularly over question of the appropriate definition of weapons categories, but also </w:t>
      </w:r>
      <w:proofErr w:type="gramStart"/>
      <w:r>
        <w:t>with regard to</w:t>
      </w:r>
      <w:proofErr w:type="gramEnd"/>
      <w:r>
        <w:t xml:space="preserve"> the possible renunciation of sovereignty, for example banning transfers of arms to non-state actors or prohibiting the private possession of weapons. Although the principles of proportionality, necessity and compensation and the recognition of the special needs of the affected states provided an important impetus for the negotiations, the actual implementation process, particularly of the </w:t>
      </w:r>
      <w:proofErr w:type="spellStart"/>
      <w:r>
        <w:t>PoA</w:t>
      </w:r>
      <w:proofErr w:type="spellEnd"/>
      <w:r>
        <w:t>, has been very slow.</w:t>
      </w:r>
    </w:p>
    <w:p w14:paraId="3C90CF61" w14:textId="77777777" w:rsidR="00F46CDE" w:rsidRPr="00160E60" w:rsidRDefault="00F46CDE" w:rsidP="00F46CDE">
      <w:pPr>
        <w:rPr>
          <w:rStyle w:val="StyleUnderline"/>
        </w:rPr>
      </w:pPr>
      <w:r>
        <w:t xml:space="preserve">Despite this ambivalence, </w:t>
      </w:r>
      <w:r w:rsidRPr="00160E60">
        <w:rPr>
          <w:rStyle w:val="StyleUnderline"/>
        </w:rPr>
        <w:t>the need for further norms and institutions in humanitarian arms control remains high. One of the core gaps is the lack of global norms limiting global arms transfer</w:t>
      </w:r>
      <w:r>
        <w:t xml:space="preserve">. The seizure of a ship – headed for Zimbabwe carrying weapons from China – by dock workers in South Africa once again revealed those regulatory gaps, which the Arms Trade Treaty (ATT) is now attempting to close. This initiative was also prompted by a transnational network of non-governmental organizations and is supported by </w:t>
      </w:r>
      <w:proofErr w:type="gramStart"/>
      <w:r>
        <w:t>a number of</w:t>
      </w:r>
      <w:proofErr w:type="gramEnd"/>
      <w:r>
        <w:t xml:space="preserve"> states, including the Member States of the European Union, which adopted the EU Code of Conduct for Arms Exports in 2008. The ATT could become an important touchstone for </w:t>
      </w:r>
      <w:r w:rsidRPr="00160E60">
        <w:rPr>
          <w:rStyle w:val="StyleUnderline"/>
        </w:rPr>
        <w:t>humanitarian arms control</w:t>
      </w:r>
      <w:r>
        <w:t xml:space="preserve"> as its </w:t>
      </w:r>
      <w:r w:rsidRPr="00160E60">
        <w:rPr>
          <w:rStyle w:val="StyleUnderline"/>
        </w:rPr>
        <w:t xml:space="preserve">global principles for arms transfers hit the very nerve of state security interests: State representatives must now show their colors and reveal what importance they attach to the moral convictions of global justice and legal principles of a future world society. </w:t>
      </w:r>
    </w:p>
    <w:p w14:paraId="29E0E780" w14:textId="77777777" w:rsidR="00F46CDE" w:rsidRDefault="00F46CDE" w:rsidP="00F46CDE">
      <w:pPr>
        <w:pStyle w:val="Heading3"/>
      </w:pPr>
      <w:r>
        <w:lastRenderedPageBreak/>
        <w:t>Small Arms Turn – Arms Control o/w K</w:t>
      </w:r>
    </w:p>
    <w:p w14:paraId="341DF0F1" w14:textId="77777777" w:rsidR="00F46CDE" w:rsidRPr="00F32234" w:rsidRDefault="00F46CDE" w:rsidP="00F46CDE">
      <w:pPr>
        <w:pStyle w:val="Heading4"/>
      </w:pPr>
      <w:r>
        <w:t xml:space="preserve">Controlling small arms outweighs and is </w:t>
      </w:r>
      <w:proofErr w:type="gramStart"/>
      <w:r>
        <w:t>pre requisite</w:t>
      </w:r>
      <w:proofErr w:type="gramEnd"/>
      <w:r>
        <w:t xml:space="preserve"> to resolving K impacts</w:t>
      </w:r>
    </w:p>
    <w:p w14:paraId="7BB1266A" w14:textId="77777777" w:rsidR="00F46CDE" w:rsidRPr="00276074" w:rsidRDefault="00F46CDE" w:rsidP="00F46CDE">
      <w:proofErr w:type="spellStart"/>
      <w:r w:rsidRPr="00276074">
        <w:rPr>
          <w:rStyle w:val="Style13ptBold"/>
        </w:rPr>
        <w:t>Muggah</w:t>
      </w:r>
      <w:proofErr w:type="spellEnd"/>
      <w:r>
        <w:rPr>
          <w:rStyle w:val="Style13ptBold"/>
        </w:rPr>
        <w:t xml:space="preserve">, </w:t>
      </w:r>
      <w:r w:rsidRPr="00276074">
        <w:rPr>
          <w:rStyle w:val="Style13ptBold"/>
        </w:rPr>
        <w:t>Senior Researcher at the Small Arms Survey, Geneva 3</w:t>
      </w:r>
      <w:r>
        <w:t xml:space="preserve"> (Robert, “Why should we have a humanitarian perspective on small arms?”, June, https://odihpn.org/magazine/why-should-we-have-a-humanitarian-perspective-on-small-arms/</w:t>
      </w:r>
    </w:p>
    <w:p w14:paraId="561B9AAE" w14:textId="77777777" w:rsidR="00F46CDE" w:rsidRPr="00F32234" w:rsidRDefault="00F46CDE" w:rsidP="00F46CDE">
      <w:pPr>
        <w:rPr>
          <w:rStyle w:val="StyleUnderline"/>
        </w:rPr>
      </w:pPr>
      <w:r w:rsidRPr="00F32234">
        <w:rPr>
          <w:rStyle w:val="StyleUnderline"/>
        </w:rPr>
        <w:t xml:space="preserve">While not the cause, small arms are the primary means by which states, non-state actors and civilians are able to violate international humanitarian law on a massive scale. More than 300,000 civilians are killed directly by small arms in conflict each year </w:t>
      </w:r>
      <w:r w:rsidRPr="00F32234">
        <w:rPr>
          <w:rStyle w:val="StyleUnderline"/>
          <w:rFonts w:cs="Calibri"/>
        </w:rPr>
        <w:t>–</w:t>
      </w:r>
      <w:r w:rsidRPr="00F32234">
        <w:rPr>
          <w:rStyle w:val="StyleUnderline"/>
        </w:rPr>
        <w:t xml:space="preserve"> and many millions more die from injuries and secondary illnesses or disease. As the technology and lethality of weaponry have evolved, so complex emergencies, internal conflicts and state collapse have exacerbated the scale and pace of human suffering</w:t>
      </w:r>
      <w:r>
        <w:t xml:space="preserve">. Furthermore, the growing availability of small arms in societies embroiled in, or emerging from, war indicates a long-term threat to the humanitarian community. </w:t>
      </w:r>
      <w:r w:rsidRPr="00F32234">
        <w:rPr>
          <w:rStyle w:val="StyleUnderline"/>
        </w:rPr>
        <w:t xml:space="preserve">Evidence from </w:t>
      </w:r>
      <w:r w:rsidRPr="00F32234">
        <w:rPr>
          <w:rStyle w:val="StyleUnderline"/>
          <w:rFonts w:cs="Calibri"/>
        </w:rPr>
        <w:t>‘</w:t>
      </w:r>
      <w:r w:rsidRPr="00F32234">
        <w:rPr>
          <w:rStyle w:val="StyleUnderline"/>
        </w:rPr>
        <w:t>peaceful</w:t>
      </w:r>
      <w:r w:rsidRPr="00F32234">
        <w:rPr>
          <w:rStyle w:val="StyleUnderline"/>
          <w:rFonts w:cs="Calibri"/>
        </w:rPr>
        <w:t>’</w:t>
      </w:r>
      <w:r w:rsidRPr="00F32234">
        <w:rPr>
          <w:rStyle w:val="StyleUnderline"/>
        </w:rPr>
        <w:t>, conflict-affected and post-conflict societies alike suggests that armed violence, criminality and displacement increase where there is an abundance of small arms</w:t>
      </w:r>
      <w:r>
        <w:t xml:space="preserve">. Unregulated arms availability also threatens the physical safety and security of humanitarian personnel and agencies. Due to the increasing perception of risk in the field, scarce resources are diverted to security management, logistics, monitoring and evaluation. Indirectly, the presence of large quantities of small arms contributes to a culture of intimidation, violence and, ipso facto, humanitarian withdrawal. </w:t>
      </w:r>
      <w:r w:rsidRPr="00F32234">
        <w:rPr>
          <w:rStyle w:val="StyleUnderline"/>
        </w:rPr>
        <w:t xml:space="preserve">Pervasive arms-related insecurity hampers a </w:t>
      </w:r>
      <w:r w:rsidRPr="00F32234">
        <w:rPr>
          <w:rStyle w:val="StyleUnderline"/>
          <w:rFonts w:cs="Calibri"/>
        </w:rPr>
        <w:t>‘</w:t>
      </w:r>
      <w:r w:rsidRPr="00F32234">
        <w:rPr>
          <w:rStyle w:val="StyleUnderline"/>
        </w:rPr>
        <w:t>return</w:t>
      </w:r>
      <w:r w:rsidRPr="00F32234">
        <w:rPr>
          <w:rStyle w:val="StyleUnderline"/>
          <w:rFonts w:cs="Calibri"/>
        </w:rPr>
        <w:t>’</w:t>
      </w:r>
      <w:r w:rsidRPr="00F32234">
        <w:rPr>
          <w:rStyle w:val="StyleUnderline"/>
        </w:rPr>
        <w:t xml:space="preserve"> to stability or human security, much less the creation of an environment conducive to reconstruction or development.</w:t>
      </w:r>
    </w:p>
    <w:p w14:paraId="1A709794" w14:textId="2949C879" w:rsidR="00F46CDE" w:rsidRDefault="00F46CDE" w:rsidP="00F46CDE">
      <w:pPr>
        <w:pStyle w:val="Heading3"/>
      </w:pPr>
      <w:r>
        <w:lastRenderedPageBreak/>
        <w:t>Small Arms – Permutation</w:t>
      </w:r>
    </w:p>
    <w:p w14:paraId="0E9C8827" w14:textId="55DAEBE2" w:rsidR="0081461A" w:rsidRPr="0081461A" w:rsidRDefault="0081461A" w:rsidP="0081461A">
      <w:pPr>
        <w:pStyle w:val="Heading4"/>
      </w:pPr>
      <w:r>
        <w:t xml:space="preserve">Small arms unique – only permutations </w:t>
      </w:r>
      <w:proofErr w:type="gramStart"/>
      <w:r>
        <w:t>solves</w:t>
      </w:r>
      <w:proofErr w:type="gramEnd"/>
      <w:r>
        <w:t xml:space="preserve"> – must encompass multiple interconnected perspectives</w:t>
      </w:r>
    </w:p>
    <w:p w14:paraId="6C73CC59" w14:textId="77777777" w:rsidR="00F46CDE" w:rsidRPr="00F32234" w:rsidRDefault="00F46CDE" w:rsidP="00F46CDE">
      <w:proofErr w:type="spellStart"/>
      <w:r w:rsidRPr="00B64F08">
        <w:rPr>
          <w:rStyle w:val="Style13ptBold"/>
        </w:rPr>
        <w:t>Borrie</w:t>
      </w:r>
      <w:proofErr w:type="spellEnd"/>
      <w:r w:rsidRPr="00B64F08">
        <w:rPr>
          <w:rStyle w:val="Style13ptBold"/>
        </w:rPr>
        <w:t>, chief of research at the United Nations Institute for Disarmament Research, 6</w:t>
      </w:r>
      <w:r>
        <w:t xml:space="preserve"> (John, “Chapter 6 Small arms and the Geneva Forum: disarmament as humanitarian action?”, United Nations Institute for Disarmament Research UNIDIR: Disarmament as Humanitarian Action From Perspective to Practice, John </w:t>
      </w:r>
      <w:proofErr w:type="spellStart"/>
      <w:r>
        <w:t>Borrie</w:t>
      </w:r>
      <w:proofErr w:type="spellEnd"/>
      <w:r>
        <w:t xml:space="preserve"> and Vanessa Martin </w:t>
      </w:r>
      <w:proofErr w:type="spellStart"/>
      <w:r>
        <w:t>Randin</w:t>
      </w:r>
      <w:proofErr w:type="spellEnd"/>
      <w:r>
        <w:t>, Editors, http://www.unidir.org/files/publications/pdfs/disarmament-as-humanitarian-action-from-perspective-to-practice-288.pdf</w:t>
      </w:r>
    </w:p>
    <w:p w14:paraId="31736C64" w14:textId="77777777" w:rsidR="00F46CDE" w:rsidRDefault="00F46CDE" w:rsidP="00F46CDE">
      <w:r w:rsidRPr="0081461A">
        <w:rPr>
          <w:rStyle w:val="StyleUnderline"/>
        </w:rPr>
        <w:t>Issues associated with the illicit trade in small arms differ from many of the traditional topics handled in the arms control domain. Understanding illicit trade and its consequences with a view to framing effective policy responses depends, to a large extent, on recognizing that this phenomenon is shaped by an aggregation of widely differing and local, individual interconnections</w:t>
      </w:r>
      <w:r>
        <w:t xml:space="preserve">. </w:t>
      </w:r>
      <w:r w:rsidRPr="0081461A">
        <w:rPr>
          <w:rStyle w:val="StyleUnderline"/>
        </w:rPr>
        <w:t>This is still poorly understood in research terms (</w:t>
      </w:r>
      <w:r>
        <w:t>it is not easy to collect data on illicit small arms trafficking) and the illicit trade's dynamic characteristics may well be counter-intuitive to arms control negotiators and others. Mastering it will require looking at individual intent and local perceptions of insecurity and why people want to have, and to use, guns. In other words, it entails recognizing individuals as additional referent points for security.</w:t>
      </w:r>
    </w:p>
    <w:p w14:paraId="34120E1F" w14:textId="4432897C" w:rsidR="00F46CDE" w:rsidRPr="0081461A" w:rsidRDefault="00F46CDE" w:rsidP="00F46CDE">
      <w:pPr>
        <w:rPr>
          <w:rStyle w:val="StyleUnderline"/>
        </w:rPr>
      </w:pPr>
      <w:r w:rsidRPr="0081461A">
        <w:rPr>
          <w:rStyle w:val="StyleUnderline"/>
        </w:rPr>
        <w:t>One of the</w:t>
      </w:r>
      <w:r>
        <w:t xml:space="preserve"> Geneva Forum's </w:t>
      </w:r>
      <w:r w:rsidRPr="0081461A">
        <w:rPr>
          <w:rStyle w:val="StyleUnderline"/>
        </w:rPr>
        <w:t>biggest contributions over the long run has been in consistently showing the arms control community that there is a major human security dimension to their work, which requires multidisciplinary thinking and input from a wide range of perspectives</w:t>
      </w:r>
      <w:r>
        <w:t xml:space="preserve"> if the </w:t>
      </w:r>
      <w:proofErr w:type="spellStart"/>
      <w:r>
        <w:t>Programme</w:t>
      </w:r>
      <w:proofErr w:type="spellEnd"/>
      <w:r>
        <w:t xml:space="preserve"> of Action is to be successfully implemented. It is not a message all participants in the Geneva Forum's activities on small arms understand— or want to hear. This makes it no less difficult to quantify the Geneva Forum's influence. Nevertheless, </w:t>
      </w:r>
      <w:r w:rsidRPr="0081461A">
        <w:rPr>
          <w:rStyle w:val="StyleUnderline"/>
        </w:rPr>
        <w:t>there is no doubt that</w:t>
      </w:r>
      <w:r>
        <w:t xml:space="preserve"> its </w:t>
      </w:r>
      <w:r w:rsidRPr="0081461A">
        <w:rPr>
          <w:rStyle w:val="StyleUnderline"/>
        </w:rPr>
        <w:t>work on small arms does count as disarmament as humanitarian action.</w:t>
      </w:r>
    </w:p>
    <w:p w14:paraId="61D145DE" w14:textId="1B1A537F" w:rsidR="00567250" w:rsidRDefault="00567250" w:rsidP="00567250">
      <w:pPr>
        <w:pStyle w:val="Heading3"/>
      </w:pPr>
      <w:r>
        <w:lastRenderedPageBreak/>
        <w:t>No Impact</w:t>
      </w:r>
      <w:r w:rsidR="00A000A3">
        <w:t xml:space="preserve"> -Colonialism/Imperialism</w:t>
      </w:r>
    </w:p>
    <w:p w14:paraId="46F70A0B" w14:textId="77777777" w:rsidR="00567250" w:rsidRPr="0052064A" w:rsidRDefault="00567250" w:rsidP="00567250">
      <w:pPr>
        <w:pStyle w:val="Heading4"/>
      </w:pPr>
      <w:r w:rsidRPr="0052064A">
        <w:t>US imperialism is benevolent—not the same type of imperialism your authors are talking about</w:t>
      </w:r>
    </w:p>
    <w:p w14:paraId="248A589A" w14:textId="124E4977" w:rsidR="00567250" w:rsidRPr="0052064A" w:rsidRDefault="00567250" w:rsidP="00567250">
      <w:r w:rsidRPr="00567250">
        <w:rPr>
          <w:rStyle w:val="Style13ptBold"/>
        </w:rPr>
        <w:t>Boot, senior fellow at the Council on Foreign Relations 06</w:t>
      </w:r>
      <w:r w:rsidRPr="00567250">
        <w:t xml:space="preserve"> (Max, "Power for Good", The Weekly Standard. 10 April. Vol. 11, Issue 28, Factiva</w:t>
      </w:r>
      <w:r w:rsidRPr="0052064A">
        <w:t>)</w:t>
      </w:r>
    </w:p>
    <w:p w14:paraId="6A75C257" w14:textId="77777777" w:rsidR="00567250" w:rsidRPr="0052064A" w:rsidRDefault="00567250" w:rsidP="00567250">
      <w:pPr>
        <w:rPr>
          <w:b/>
          <w:u w:val="single"/>
        </w:rPr>
      </w:pPr>
      <w:r w:rsidRPr="0052064A">
        <w:t xml:space="preserve">Ever since the end of the Cold War, experts of various stripes have been grappling with the nature of American power. Clearly, with the demise of its only major rival, the United States became really, </w:t>
      </w:r>
      <w:proofErr w:type="gramStart"/>
      <w:r w:rsidRPr="0052064A">
        <w:t>really powerful</w:t>
      </w:r>
      <w:proofErr w:type="gramEnd"/>
      <w:r w:rsidRPr="0052064A">
        <w:t>. So powerful that the old term “superpower” doesn’t seem to cut it anymore. A French foreign minister suggested that “hyperpower” was more appropriate, but that hasn’t caught on. Other analysts have called the United States a hegemon, a global policeman, even an empire. I’ve been known to use the latter label myself, even though</w:t>
      </w:r>
      <w:r w:rsidRPr="0052064A">
        <w:rPr>
          <w:sz w:val="16"/>
        </w:rPr>
        <w:t xml:space="preserve"> </w:t>
      </w:r>
      <w:r w:rsidRPr="0052064A">
        <w:rPr>
          <w:rStyle w:val="StyleUnderline"/>
          <w:rFonts w:asciiTheme="majorHAnsi" w:hAnsiTheme="majorHAnsi"/>
        </w:rPr>
        <w:t>t</w:t>
      </w:r>
      <w:r w:rsidRPr="00567250">
        <w:rPr>
          <w:rStyle w:val="StyleUnderline"/>
        </w:rPr>
        <w:t>he United States is no longer a territorial empire of the Roman type (as it was in the days of Manifest Destiny).</w:t>
      </w:r>
      <w:r w:rsidRPr="0052064A">
        <w:rPr>
          <w:sz w:val="16"/>
        </w:rPr>
        <w:t xml:space="preserve">  </w:t>
      </w:r>
      <w:r w:rsidRPr="0052064A">
        <w:t>Michael Mandelbaum, professor of American foreign policy at the Johns Hopkins School of Advanced International Studies, doesn’t think much of those who want to cloak the old Republic in imperial ermine. “American influence in the world is certainly considerable,” he writes, “but the United States does not control, directly or indirectly, the politics and economics of other societies</w:t>
      </w:r>
      <w:r w:rsidRPr="0052064A">
        <w:rPr>
          <w:sz w:val="16"/>
        </w:rPr>
        <w:t xml:space="preserve">, </w:t>
      </w:r>
      <w:r w:rsidRPr="0052064A">
        <w:t>as empires have always done, save for a few special cases that turn out to be the exceptions that prove the rule.”  He prefers to label the United States the “world’s government,” though it’s hard to see why that’s much of an improvement. As Mandelbaum himself admits, “There are…many governments in the world and the global role of the United States, expansive though it is, does not look much like any of them.”  His case for labeling the United States a global government, rather than a global empire, rests on a rickety foundation.</w:t>
      </w:r>
      <w:r w:rsidRPr="0052064A">
        <w:rPr>
          <w:sz w:val="16"/>
        </w:rPr>
        <w:t xml:space="preserve"> “</w:t>
      </w:r>
      <w:r w:rsidRPr="00567250">
        <w:rPr>
          <w:rStyle w:val="StyleUnderline"/>
        </w:rPr>
        <w:t xml:space="preserve">Traditionally,” he notes, “the imperial power has </w:t>
      </w:r>
      <w:proofErr w:type="gramStart"/>
      <w:r w:rsidRPr="00567250">
        <w:rPr>
          <w:rStyle w:val="StyleUnderline"/>
        </w:rPr>
        <w:t>been seen as</w:t>
      </w:r>
      <w:proofErr w:type="gramEnd"/>
      <w:r w:rsidRPr="00567250">
        <w:rPr>
          <w:rStyle w:val="StyleUnderline"/>
        </w:rPr>
        <w:t xml:space="preserve"> a predator, drawing economic profit and political gain from its control of the imperial possession, while the members of the society it controls suffer.” The United States, he correctly notes, does not exploit any states in this way. Instead, it provides the whole world with valuable “public goods”—principally protection from predators—that are welcomed by most of the world’s states.</w:t>
      </w:r>
      <w:r w:rsidRPr="0052064A">
        <w:t xml:space="preserve"> But that hardly makes it that different from the British Empire, which also performed all sorts of public services, such as stamping out the slave trade and piracy. Mandelbaum may see the United States as a particularly benign great power, and he is not wrong to do so; but most empires of the past also saw themselves as advancing a mission </w:t>
      </w:r>
      <w:proofErr w:type="spellStart"/>
      <w:r w:rsidRPr="0052064A">
        <w:t>civilisatrice</w:t>
      </w:r>
      <w:proofErr w:type="spellEnd"/>
      <w:r w:rsidRPr="0052064A">
        <w:t>.  His assurance that the United States means it—</w:t>
      </w:r>
      <w:proofErr w:type="gramStart"/>
      <w:r w:rsidRPr="0052064A">
        <w:t>honestly!—</w:t>
      </w:r>
      <w:proofErr w:type="gramEnd"/>
      <w:r w:rsidRPr="0052064A">
        <w:t xml:space="preserve">is not likely to mollify America’s critics. Nor is his choice of terminology particularly reassuring. I can’t see some mandarin at the Quai d’Orsay (the French foreign ministry) slapping himself on the forehead and exclaiming, “So they are not an empire after all. They’re only the world’s government. What a relief. </w:t>
      </w:r>
      <w:proofErr w:type="spellStart"/>
      <w:r w:rsidRPr="0052064A">
        <w:t>Vive</w:t>
      </w:r>
      <w:proofErr w:type="spellEnd"/>
      <w:r w:rsidRPr="0052064A">
        <w:t xml:space="preserve"> les </w:t>
      </w:r>
      <w:proofErr w:type="spellStart"/>
      <w:r w:rsidRPr="0052064A">
        <w:t>Etats-Unis</w:t>
      </w:r>
      <w:proofErr w:type="spellEnd"/>
      <w:r w:rsidRPr="0052064A">
        <w:t>!”  The value of The Case for Goliath does not lie in its central conceit—the United States as the world’s government—but in the arguments Mandelbaum advances for why American power serves the interests of other countries. The case he makes is not particularly novel (William Odom and Robert Dujarric made similar points in their 2004 book, America’s Inadvertent Empire), but it bears repeating at a time when the publishing industry is churning out reams of paranoid tomes with titles like Rogue Nation, The Sorrows of Empire, and The New American Militarism.  Mandelbaum begins by listing five security benefits the United States offers the world.  First, the continuing</w:t>
      </w:r>
      <w:r w:rsidRPr="0052064A">
        <w:rPr>
          <w:sz w:val="16"/>
        </w:rPr>
        <w:t xml:space="preserve"> </w:t>
      </w:r>
      <w:r w:rsidRPr="00567250">
        <w:t>deployment of American troops in Europe is a reassurance that “no sudden shifts in Europe’s security arrangements would occur.” Second</w:t>
      </w:r>
      <w:r w:rsidRPr="0052064A">
        <w:t>, the</w:t>
      </w:r>
      <w:r w:rsidRPr="0052064A">
        <w:rPr>
          <w:sz w:val="16"/>
        </w:rPr>
        <w:t xml:space="preserve"> </w:t>
      </w:r>
      <w:r w:rsidRPr="0052064A">
        <w:rPr>
          <w:rStyle w:val="StyleUnderline"/>
          <w:rFonts w:asciiTheme="majorHAnsi" w:hAnsiTheme="majorHAnsi"/>
        </w:rPr>
        <w:t>U</w:t>
      </w:r>
      <w:r w:rsidRPr="00567250">
        <w:rPr>
          <w:rStyle w:val="StyleUnderline"/>
        </w:rPr>
        <w:t xml:space="preserve">nited States has “reduced the demand for nuclear weapons, and the number of nuclear-armed countries, to levels considerably below what they otherwise have reached,” both by attempting to stop rogue states from acquiring nukes and by </w:t>
      </w:r>
      <w:r w:rsidRPr="00567250">
        <w:rPr>
          <w:rStyle w:val="StyleUnderline"/>
        </w:rPr>
        <w:lastRenderedPageBreak/>
        <w:t>providing nuclear protection to countries such as Japan, South Korea, and Taiwan that would otherwise go nuclear.  Third, the United States has fought terrorists across the world and waged preventive war in Iraq to remove the threat posed by Saddam Hussein</w:t>
      </w:r>
      <w:r w:rsidRPr="0052064A">
        <w:t>. Fourth, the United States has undertaken humanitarian interventions in such places as Bosnia and Kosovo, which Mandelbaum likens to the “practice, increasingly common in Western countries, of removing children from the custody of parents who are abusing them.” Fifth, the</w:t>
      </w:r>
      <w:r w:rsidRPr="0052064A">
        <w:rPr>
          <w:sz w:val="16"/>
        </w:rPr>
        <w:t xml:space="preserve"> </w:t>
      </w:r>
      <w:r w:rsidRPr="00567250">
        <w:rPr>
          <w:rStyle w:val="StyleUnderline"/>
        </w:rPr>
        <w:t>United States has attempted to create “the apparatus of a working, effective, decent government” in such dysfunctional places as Haiti and Afghanistan.  Mandelbaum also points to five economic benefits of American power. First, the United States provides the security essential for international commerce by, for instance, policing Atlantic and Pacific shipping lanes. Second, the United States safeguards the extraction and export of Middle Eastern oil, the lifeblood of the global economy. Third, in the monetary realm, the United States has made the dollar “the world’s ’reserve’ currency” and supplied loans to “governments in the throes of currency crises.”  Fourth, the United States has pushed for the expansion of international trade</w:t>
      </w:r>
      <w:r w:rsidRPr="0052064A">
        <w:rPr>
          <w:sz w:val="16"/>
        </w:rPr>
        <w:t xml:space="preserve"> </w:t>
      </w:r>
      <w:r w:rsidRPr="0052064A">
        <w:t>by midwifing the World Trade Organization, the North American Free Trade Agreement, and other instruments of liberalization. And fifth, by providing a ready market for goods exported by such countries as China and Japan, the United States “became the indispensable supplier of demand to the world.”  Naturally, the United States gets scant thanks for all these services provided gratis. But Mandelbaum</w:t>
      </w:r>
      <w:r w:rsidRPr="0052064A">
        <w:rPr>
          <w:sz w:val="16"/>
        </w:rPr>
        <w:t xml:space="preserve"> </w:t>
      </w:r>
      <w:r w:rsidRPr="0052064A">
        <w:t>points out that</w:t>
      </w:r>
      <w:r w:rsidRPr="0052064A">
        <w:rPr>
          <w:rStyle w:val="StyleUnderline"/>
          <w:rFonts w:asciiTheme="majorHAnsi" w:hAnsiTheme="majorHAnsi"/>
        </w:rPr>
        <w:t xml:space="preserve">, </w:t>
      </w:r>
      <w:r w:rsidRPr="00567250">
        <w:t>for all their griping, other countries have not pooled “their resources to confront the enormous power of the United States because</w:t>
      </w:r>
      <w:r w:rsidRPr="00567250">
        <w:rPr>
          <w:rStyle w:val="StyleUnderline"/>
        </w:rPr>
        <w:t xml:space="preserve">, unlike the supremely powerful countries of the past, the United States [does] not threaten them.” Instead, the United States </w:t>
      </w:r>
      <w:proofErr w:type="gramStart"/>
      <w:r w:rsidRPr="00567250">
        <w:rPr>
          <w:rStyle w:val="StyleUnderline"/>
        </w:rPr>
        <w:t>actually helps</w:t>
      </w:r>
      <w:proofErr w:type="gramEnd"/>
      <w:r w:rsidRPr="00567250">
        <w:rPr>
          <w:rStyle w:val="StyleUnderline"/>
        </w:rPr>
        <w:t xml:space="preserve"> other nations achieve shared goals such as democracy, peace, and prosperity.</w:t>
      </w:r>
    </w:p>
    <w:p w14:paraId="2FBB51A2" w14:textId="128DC565" w:rsidR="007246CE" w:rsidRPr="009E3621" w:rsidRDefault="007246CE" w:rsidP="007246CE">
      <w:pPr>
        <w:pStyle w:val="Heading3"/>
        <w:rPr>
          <w:rFonts w:asciiTheme="minorHAnsi" w:hAnsiTheme="minorHAnsi"/>
        </w:rPr>
      </w:pPr>
      <w:r w:rsidRPr="009E3621">
        <w:rPr>
          <w:rFonts w:asciiTheme="minorHAnsi" w:hAnsiTheme="minorHAnsi"/>
        </w:rPr>
        <w:lastRenderedPageBreak/>
        <w:t xml:space="preserve">Perm </w:t>
      </w:r>
      <w:r w:rsidR="00A000A3">
        <w:rPr>
          <w:rFonts w:asciiTheme="minorHAnsi" w:hAnsiTheme="minorHAnsi"/>
        </w:rPr>
        <w:t>–</w:t>
      </w:r>
      <w:r w:rsidRPr="009E3621">
        <w:rPr>
          <w:rFonts w:asciiTheme="minorHAnsi" w:hAnsiTheme="minorHAnsi"/>
        </w:rPr>
        <w:t xml:space="preserve"> </w:t>
      </w:r>
      <w:r w:rsidR="00A000A3">
        <w:rPr>
          <w:rFonts w:asciiTheme="minorHAnsi" w:hAnsiTheme="minorHAnsi"/>
        </w:rPr>
        <w:t>Do Both</w:t>
      </w:r>
    </w:p>
    <w:p w14:paraId="40378C58" w14:textId="2488D0BE" w:rsidR="007246CE" w:rsidRPr="009E3621" w:rsidRDefault="007246CE" w:rsidP="007246CE">
      <w:pPr>
        <w:pStyle w:val="Heading4"/>
        <w:rPr>
          <w:rFonts w:asciiTheme="minorHAnsi" w:hAnsiTheme="minorHAnsi" w:cs="Times New Roman"/>
        </w:rPr>
      </w:pPr>
      <w:r w:rsidRPr="009E3621">
        <w:rPr>
          <w:rFonts w:asciiTheme="minorHAnsi" w:hAnsiTheme="minorHAnsi" w:cs="Times New Roman"/>
        </w:rPr>
        <w:t xml:space="preserve">Permutation do both – an approach will </w:t>
      </w:r>
      <w:proofErr w:type="gramStart"/>
      <w:r w:rsidRPr="009E3621">
        <w:rPr>
          <w:rFonts w:asciiTheme="minorHAnsi" w:hAnsiTheme="minorHAnsi" w:cs="Times New Roman"/>
        </w:rPr>
        <w:t>facilitates</w:t>
      </w:r>
      <w:proofErr w:type="gramEnd"/>
      <w:r w:rsidRPr="009E3621">
        <w:rPr>
          <w:rFonts w:asciiTheme="minorHAnsi" w:hAnsiTheme="minorHAnsi" w:cs="Times New Roman"/>
        </w:rPr>
        <w:t xml:space="preserve"> policy action is key to re-conceptualize power. The alt alone ensures co</w:t>
      </w:r>
      <w:r w:rsidR="00BF5BC2">
        <w:rPr>
          <w:rFonts w:asciiTheme="minorHAnsi" w:hAnsiTheme="minorHAnsi" w:cs="Times New Roman"/>
        </w:rPr>
        <w:t>-</w:t>
      </w:r>
      <w:r w:rsidRPr="009E3621">
        <w:rPr>
          <w:rFonts w:asciiTheme="minorHAnsi" w:hAnsiTheme="minorHAnsi" w:cs="Times New Roman"/>
        </w:rPr>
        <w:t>optio</w:t>
      </w:r>
      <w:r w:rsidR="00BF5BC2">
        <w:rPr>
          <w:rFonts w:asciiTheme="minorHAnsi" w:hAnsiTheme="minorHAnsi" w:cs="Times New Roman"/>
        </w:rPr>
        <w:t>n</w:t>
      </w:r>
    </w:p>
    <w:p w14:paraId="2E0FEA4E" w14:textId="77777777" w:rsidR="007246CE" w:rsidRPr="009E3621" w:rsidRDefault="007246CE" w:rsidP="007246CE">
      <w:pPr>
        <w:rPr>
          <w:rStyle w:val="Style13ptBold"/>
          <w:rFonts w:asciiTheme="minorHAnsi" w:hAnsiTheme="minorHAnsi"/>
        </w:rPr>
      </w:pPr>
      <w:r w:rsidRPr="009E3621">
        <w:rPr>
          <w:rStyle w:val="Style13ptBold"/>
          <w:rFonts w:asciiTheme="minorHAnsi" w:hAnsiTheme="minorHAnsi"/>
        </w:rPr>
        <w:t xml:space="preserve">Park, University of Oklahoma and Wilkins, University of Texas, 5 </w:t>
      </w:r>
    </w:p>
    <w:p w14:paraId="339C801D" w14:textId="5F65A605" w:rsidR="007246CE" w:rsidRPr="009E3621" w:rsidRDefault="007246CE" w:rsidP="007246CE">
      <w:pPr>
        <w:rPr>
          <w:rFonts w:asciiTheme="minorHAnsi" w:hAnsiTheme="minorHAnsi"/>
        </w:rPr>
      </w:pPr>
      <w:r w:rsidRPr="009E3621">
        <w:rPr>
          <w:rFonts w:asciiTheme="minorHAnsi" w:hAnsiTheme="minorHAnsi"/>
        </w:rPr>
        <w:t xml:space="preserve">(Jane, Univ. of Oklahoma, Karin, Univ of Texas @ Austin, Global Media Journal, “Re-orienting the Orientalist Gaze”, </w:t>
      </w:r>
      <w:hyperlink r:id="rId20" w:history="1">
        <w:r w:rsidRPr="009E3621">
          <w:rPr>
            <w:rStyle w:val="Hyperlink"/>
            <w:rFonts w:asciiTheme="minorHAnsi" w:hAnsiTheme="minorHAnsi"/>
          </w:rPr>
          <w:t>http://lass.purduecal.edu/cca/gmj/sp05/gmj-sp05-park-wilkins.htm</w:t>
        </w:r>
      </w:hyperlink>
      <w:r w:rsidR="00A000A3">
        <w:rPr>
          <w:rFonts w:asciiTheme="minorHAnsi" w:hAnsiTheme="minorHAnsi"/>
        </w:rPr>
        <w:t>)</w:t>
      </w:r>
    </w:p>
    <w:p w14:paraId="0B863CD0" w14:textId="77777777" w:rsidR="007246CE" w:rsidRPr="009E3621" w:rsidRDefault="007246CE" w:rsidP="007246CE">
      <w:pPr>
        <w:rPr>
          <w:rFonts w:asciiTheme="minorHAnsi" w:hAnsiTheme="minorHAnsi"/>
        </w:rPr>
      </w:pPr>
      <w:r w:rsidRPr="009E3621">
        <w:rPr>
          <w:rFonts w:asciiTheme="minorHAnsi" w:hAnsiTheme="minorHAnsi"/>
        </w:rPr>
        <w:t xml:space="preserve">By implication, the north/south and west/east divisions conventionally understood as the way to organize national settings within a global system are now less relevant. </w:t>
      </w:r>
      <w:r w:rsidRPr="009E3621">
        <w:rPr>
          <w:rStyle w:val="StyleUnderline"/>
          <w:rFonts w:asciiTheme="minorHAnsi" w:hAnsiTheme="minorHAnsi"/>
        </w:rPr>
        <w:t xml:space="preserve">A dominant geometry of development </w:t>
      </w:r>
      <w:r w:rsidRPr="009E3621">
        <w:rPr>
          <w:rFonts w:asciiTheme="minorHAnsi" w:hAnsiTheme="minorHAnsi"/>
        </w:rPr>
        <w:t xml:space="preserve">(Shah &amp; Wilkins, 2004), </w:t>
      </w:r>
      <w:r w:rsidRPr="009E3621">
        <w:rPr>
          <w:rStyle w:val="StyleUnderline"/>
          <w:rFonts w:asciiTheme="minorHAnsi" w:hAnsiTheme="minorHAnsi"/>
        </w:rPr>
        <w:t>divides countries along political</w:t>
      </w:r>
      <w:r w:rsidRPr="009E3621">
        <w:rPr>
          <w:rFonts w:asciiTheme="minorHAnsi" w:hAnsiTheme="minorHAnsi"/>
        </w:rPr>
        <w:t xml:space="preserve"> (communism in east vs. democracy in west), </w:t>
      </w:r>
      <w:r w:rsidRPr="009E3621">
        <w:rPr>
          <w:rStyle w:val="StyleUnderline"/>
          <w:rFonts w:asciiTheme="minorHAnsi" w:hAnsiTheme="minorHAnsi"/>
        </w:rPr>
        <w:t>economic</w:t>
      </w:r>
      <w:r w:rsidRPr="009E3621">
        <w:rPr>
          <w:rFonts w:asciiTheme="minorHAnsi" w:hAnsiTheme="minorHAnsi"/>
        </w:rPr>
        <w:t xml:space="preserve"> (industrialized north vs. agricultural south), </w:t>
      </w:r>
      <w:r w:rsidRPr="009E3621">
        <w:rPr>
          <w:rStyle w:val="StyleUnderline"/>
          <w:rFonts w:asciiTheme="minorHAnsi" w:hAnsiTheme="minorHAnsi"/>
        </w:rPr>
        <w:t>cultural</w:t>
      </w:r>
      <w:r w:rsidRPr="009E3621">
        <w:rPr>
          <w:rFonts w:asciiTheme="minorHAnsi" w:hAnsiTheme="minorHAnsi"/>
        </w:rPr>
        <w:t xml:space="preserve"> (modern vs. traditional), </w:t>
      </w:r>
      <w:r w:rsidRPr="009E3621">
        <w:rPr>
          <w:rStyle w:val="StyleUnderline"/>
          <w:rFonts w:asciiTheme="minorHAnsi" w:hAnsiTheme="minorHAnsi"/>
        </w:rPr>
        <w:t>and hierarchical</w:t>
      </w:r>
      <w:r w:rsidRPr="009E3621">
        <w:rPr>
          <w:rFonts w:asciiTheme="minorHAnsi" w:hAnsiTheme="minorHAnsi"/>
        </w:rPr>
        <w:t xml:space="preserve"> (first =west; second =east, and third=south)</w:t>
      </w:r>
      <w:r w:rsidRPr="009E3621">
        <w:rPr>
          <w:rStyle w:val="StyleUnderline"/>
          <w:rFonts w:asciiTheme="minorHAnsi" w:hAnsiTheme="minorHAnsi"/>
        </w:rPr>
        <w:t xml:space="preserve"> lines</w:t>
      </w:r>
      <w:r w:rsidRPr="009E3621">
        <w:rPr>
          <w:rFonts w:asciiTheme="minorHAnsi" w:hAnsiTheme="minorHAnsi"/>
        </w:rPr>
        <w:t xml:space="preserve">. However, the validity of these regional distinctions should be questioned. </w:t>
      </w:r>
      <w:r w:rsidRPr="009E3621">
        <w:rPr>
          <w:rStyle w:val="StyleUnderline"/>
          <w:rFonts w:asciiTheme="minorHAnsi" w:hAnsiTheme="minorHAnsi"/>
        </w:rPr>
        <w:t>This model has been critiqued for its ethnocentric and arrogant vision, collapsing diverse communities with a wide range of cultural histories into monolithic groups</w:t>
      </w:r>
      <w:r w:rsidRPr="009E3621">
        <w:rPr>
          <w:rFonts w:asciiTheme="minorHAnsi" w:hAnsiTheme="minorHAnsi"/>
        </w:rPr>
        <w:t xml:space="preserve">. </w:t>
      </w:r>
      <w:proofErr w:type="gramStart"/>
      <w:r w:rsidRPr="009E3621">
        <w:rPr>
          <w:rFonts w:asciiTheme="minorHAnsi" w:hAnsiTheme="minorHAnsi"/>
        </w:rPr>
        <w:t>More often than not</w:t>
      </w:r>
      <w:proofErr w:type="gramEnd"/>
      <w:r w:rsidRPr="009E3621">
        <w:rPr>
          <w:rFonts w:asciiTheme="minorHAnsi" w:hAnsiTheme="minorHAnsi"/>
        </w:rPr>
        <w:t xml:space="preserve">, the interests of domestic elites in poorer countries are identical to the interests of the elite in the wealthier countries. These categorizations, such as West/East, are problematic, given rapidly shifting political-economic contexts involving changing patterns of political and economic dominance among national actors, the strengthening of regional institutions and identities, the globalization of economic and communication systems, and the privatization of industries (Hagopian, 2000; Schuurman, 2000). </w:t>
      </w:r>
      <w:r w:rsidRPr="009E3621">
        <w:rPr>
          <w:rStyle w:val="StyleUnderline"/>
          <w:rFonts w:asciiTheme="minorHAnsi" w:hAnsiTheme="minorHAnsi"/>
        </w:rPr>
        <w:t>New global categorizations may need to focus on access to resources, whether economic, political, social or cultural, within and across geopolitical territories</w:t>
      </w:r>
      <w:r w:rsidRPr="009E3621">
        <w:rPr>
          <w:rFonts w:asciiTheme="minorHAnsi" w:hAnsiTheme="minorHAnsi"/>
        </w:rPr>
        <w:t>. Inequity in terms of access to resources then becomes the overarching concern (Schuurman, 2000). Although we need to foreground tangible issues related to basic human needs, the broader concern with access to resources addresses the intangible as well, touching on social, cultural, political and spiritual resources (</w:t>
      </w:r>
      <w:proofErr w:type="spellStart"/>
      <w:r w:rsidRPr="009E3621">
        <w:rPr>
          <w:rFonts w:asciiTheme="minorHAnsi" w:hAnsiTheme="minorHAnsi"/>
        </w:rPr>
        <w:t>Steeves</w:t>
      </w:r>
      <w:proofErr w:type="spellEnd"/>
      <w:r w:rsidRPr="009E3621">
        <w:rPr>
          <w:rFonts w:asciiTheme="minorHAnsi" w:hAnsiTheme="minorHAnsi"/>
        </w:rPr>
        <w:t xml:space="preserve">, 2002). Access to resources builds from one’s position within a socio-political network. </w:t>
      </w:r>
      <w:r w:rsidRPr="009E3621">
        <w:rPr>
          <w:rStyle w:val="StyleUnderline"/>
          <w:rFonts w:asciiTheme="minorHAnsi" w:hAnsiTheme="minorHAnsi"/>
        </w:rPr>
        <w:t>This vision offers a more nuanced framework of power, in which networks offer the possibility for some to reach certain goals</w:t>
      </w:r>
      <w:r w:rsidRPr="009E3621">
        <w:rPr>
          <w:rFonts w:asciiTheme="minorHAnsi" w:hAnsiTheme="minorHAnsi"/>
        </w:rPr>
        <w:t xml:space="preserve">, </w:t>
      </w:r>
      <w:r w:rsidRPr="009E3621">
        <w:rPr>
          <w:rStyle w:val="StyleUnderline"/>
          <w:rFonts w:asciiTheme="minorHAnsi" w:hAnsiTheme="minorHAnsi"/>
        </w:rPr>
        <w:t xml:space="preserve">such as </w:t>
      </w:r>
      <w:r w:rsidRPr="009E3621">
        <w:rPr>
          <w:rFonts w:asciiTheme="minorHAnsi" w:hAnsiTheme="minorHAnsi"/>
        </w:rPr>
        <w:t xml:space="preserve">employment, </w:t>
      </w:r>
      <w:r w:rsidRPr="009E3621">
        <w:rPr>
          <w:rStyle w:val="StyleUnderline"/>
          <w:rFonts w:asciiTheme="minorHAnsi" w:hAnsiTheme="minorHAnsi"/>
        </w:rPr>
        <w:t>education</w:t>
      </w:r>
      <w:r w:rsidRPr="009E3621">
        <w:rPr>
          <w:rFonts w:asciiTheme="minorHAnsi" w:hAnsiTheme="minorHAnsi"/>
        </w:rPr>
        <w:t xml:space="preserve">, media production, </w:t>
      </w:r>
      <w:r w:rsidRPr="009E3621">
        <w:rPr>
          <w:rStyle w:val="StyleUnderline"/>
          <w:rFonts w:asciiTheme="minorHAnsi" w:hAnsiTheme="minorHAnsi"/>
        </w:rPr>
        <w:t>policy making, and more.</w:t>
      </w:r>
      <w:r w:rsidRPr="009E3621">
        <w:rPr>
          <w:rFonts w:asciiTheme="minorHAnsi" w:hAnsiTheme="minorHAnsi"/>
        </w:rPr>
        <w:t xml:space="preserve"> </w:t>
      </w:r>
      <w:r w:rsidRPr="009E3621">
        <w:rPr>
          <w:rStyle w:val="StyleUnderline"/>
          <w:rFonts w:asciiTheme="minorHAnsi" w:hAnsiTheme="minorHAnsi"/>
        </w:rPr>
        <w:t>Power is not only activated within state and corporate institutions, but also within social groups, though these networks tightly intersect.</w:t>
      </w:r>
      <w:r w:rsidRPr="009E3621">
        <w:rPr>
          <w:rFonts w:asciiTheme="minorHAnsi" w:hAnsiTheme="minorHAnsi"/>
        </w:rPr>
        <w:t xml:space="preserve"> While issues of territory are still relevant, particularly when clearly many groups, such as Palestinians, are struggling for a sovereignty rooted in place, and </w:t>
      </w:r>
      <w:r w:rsidRPr="009E3621">
        <w:rPr>
          <w:rStyle w:val="StyleUnderline"/>
          <w:rFonts w:asciiTheme="minorHAnsi" w:hAnsiTheme="minorHAnsi"/>
        </w:rPr>
        <w:t>nation-states are still critical actors in the global sphere</w:t>
      </w:r>
      <w:r w:rsidRPr="009E3621">
        <w:rPr>
          <w:rFonts w:asciiTheme="minorHAnsi" w:hAnsiTheme="minorHAnsi"/>
        </w:rPr>
        <w:t xml:space="preserve"> (Morris &amp; </w:t>
      </w:r>
      <w:proofErr w:type="spellStart"/>
      <w:r w:rsidRPr="009E3621">
        <w:rPr>
          <w:rFonts w:asciiTheme="minorHAnsi" w:hAnsiTheme="minorHAnsi"/>
        </w:rPr>
        <w:t>Waisbord</w:t>
      </w:r>
      <w:proofErr w:type="spellEnd"/>
      <w:r w:rsidRPr="009E3621">
        <w:rPr>
          <w:rFonts w:asciiTheme="minorHAnsi" w:hAnsiTheme="minorHAnsi"/>
        </w:rPr>
        <w:t xml:space="preserve">, 2001), </w:t>
      </w:r>
      <w:r w:rsidRPr="009E3621">
        <w:rPr>
          <w:rStyle w:val="StyleUnderline"/>
          <w:rFonts w:asciiTheme="minorHAnsi" w:hAnsiTheme="minorHAnsi"/>
        </w:rPr>
        <w:t>we need to rethink relationships of power as partly connected with spatial arrangements</w:t>
      </w:r>
      <w:r w:rsidRPr="009E3621">
        <w:rPr>
          <w:rFonts w:asciiTheme="minorHAnsi" w:hAnsiTheme="minorHAnsi"/>
        </w:rPr>
        <w:t xml:space="preserve"> (Escobar, 2000; Escobar et al., 2002), </w:t>
      </w:r>
      <w:r w:rsidRPr="009E3621">
        <w:rPr>
          <w:rStyle w:val="StyleUnderline"/>
          <w:rFonts w:asciiTheme="minorHAnsi" w:hAnsiTheme="minorHAnsi"/>
        </w:rPr>
        <w:t>and not just in terms of place. And when we do consider place, we may need to attend to the critical role of regional actors and not just the US.</w:t>
      </w:r>
    </w:p>
    <w:p w14:paraId="37D7AFD6" w14:textId="77777777" w:rsidR="007246CE" w:rsidRPr="009E3621" w:rsidRDefault="007246CE" w:rsidP="007246CE">
      <w:pPr>
        <w:pStyle w:val="Heading4"/>
        <w:rPr>
          <w:rFonts w:asciiTheme="minorHAnsi" w:hAnsiTheme="minorHAnsi" w:cs="Times New Roman"/>
        </w:rPr>
      </w:pPr>
      <w:r w:rsidRPr="009E3621">
        <w:rPr>
          <w:rFonts w:asciiTheme="minorHAnsi" w:hAnsiTheme="minorHAnsi" w:cs="Times New Roman"/>
        </w:rPr>
        <w:t>Permutation do both – action is a prerequisite to change. Exclusively criticizing a problem obscures the effects of imperialism</w:t>
      </w:r>
    </w:p>
    <w:p w14:paraId="68816807" w14:textId="77777777" w:rsidR="007246CE" w:rsidRPr="009E3621" w:rsidRDefault="007246CE" w:rsidP="007246CE">
      <w:pPr>
        <w:rPr>
          <w:rStyle w:val="Style13ptBold"/>
          <w:rFonts w:asciiTheme="minorHAnsi" w:hAnsiTheme="minorHAnsi"/>
        </w:rPr>
      </w:pPr>
      <w:r w:rsidRPr="009E3621">
        <w:rPr>
          <w:rStyle w:val="Style13ptBold"/>
          <w:rFonts w:asciiTheme="minorHAnsi" w:hAnsiTheme="minorHAnsi"/>
        </w:rPr>
        <w:t>Lander, Central University of Venezuela Professor, 2k</w:t>
      </w:r>
    </w:p>
    <w:p w14:paraId="4780B2BA" w14:textId="77777777" w:rsidR="007246CE" w:rsidRPr="009E3621" w:rsidRDefault="007246CE" w:rsidP="007246CE">
      <w:pPr>
        <w:rPr>
          <w:rFonts w:asciiTheme="minorHAnsi" w:hAnsiTheme="minorHAnsi"/>
        </w:rPr>
      </w:pPr>
      <w:r w:rsidRPr="009E3621">
        <w:rPr>
          <w:rFonts w:asciiTheme="minorHAnsi" w:hAnsiTheme="minorHAnsi"/>
        </w:rPr>
        <w:t xml:space="preserve">(Edgardo, Sociologist, Venezuelan, professor at the Central University of Venezuela and a Fellow of the Transnational Institute, 2000, </w:t>
      </w:r>
      <w:proofErr w:type="spellStart"/>
      <w:r w:rsidRPr="009E3621">
        <w:rPr>
          <w:rFonts w:asciiTheme="minorHAnsi" w:hAnsiTheme="minorHAnsi"/>
        </w:rPr>
        <w:t>Nepantla</w:t>
      </w:r>
      <w:proofErr w:type="spellEnd"/>
      <w:r w:rsidRPr="009E3621">
        <w:rPr>
          <w:rFonts w:asciiTheme="minorHAnsi" w:hAnsiTheme="minorHAnsi"/>
        </w:rPr>
        <w:t>: Views from South, Volume 1, Issue 3, “Eurocentrism and Colonialism in Latin American Social Thought”, pp. 519-523, http://muse.jhu.edu/journals/nepantla/summary/v001/1.3lander.html, Accessed 7/5/13, JB)</w:t>
      </w:r>
    </w:p>
    <w:p w14:paraId="7BADCF79" w14:textId="77777777" w:rsidR="007246CE" w:rsidRPr="009E3621" w:rsidRDefault="007246CE" w:rsidP="007246CE">
      <w:pPr>
        <w:rPr>
          <w:rFonts w:asciiTheme="minorHAnsi" w:hAnsiTheme="minorHAnsi"/>
        </w:rPr>
      </w:pPr>
      <w:r w:rsidRPr="009E3621">
        <w:rPr>
          <w:rFonts w:asciiTheme="minorHAnsi" w:hAnsiTheme="minorHAnsi"/>
        </w:rPr>
        <w:lastRenderedPageBreak/>
        <w:t>The main currents in postmodernism have not been able to escape</w:t>
      </w:r>
      <w:r w:rsidRPr="009E3621">
        <w:rPr>
          <w:rFonts w:asciiTheme="minorHAnsi" w:hAnsiTheme="minorHAnsi"/>
          <w:sz w:val="12"/>
        </w:rPr>
        <w:t xml:space="preserve">¶ </w:t>
      </w:r>
      <w:r w:rsidRPr="009E3621">
        <w:rPr>
          <w:rFonts w:asciiTheme="minorHAnsi" w:hAnsiTheme="minorHAnsi"/>
        </w:rPr>
        <w:t>from the limits of a grand Western, Eurocentric narrative</w:t>
      </w:r>
      <w:r w:rsidRPr="009E3621">
        <w:rPr>
          <w:rStyle w:val="StyleUnderline"/>
          <w:rFonts w:asciiTheme="minorHAnsi" w:hAnsiTheme="minorHAnsi"/>
        </w:rPr>
        <w:t>. The recognition of the colonial experience is essentially absent</w:t>
      </w:r>
      <w:r w:rsidRPr="009E3621">
        <w:rPr>
          <w:rFonts w:asciiTheme="minorHAnsi" w:hAnsiTheme="minorHAnsi"/>
        </w:rPr>
        <w:t>.</w:t>
      </w:r>
      <w:r w:rsidRPr="009E3621">
        <w:rPr>
          <w:rFonts w:asciiTheme="minorHAnsi" w:hAnsiTheme="minorHAnsi"/>
          <w:sz w:val="12"/>
        </w:rPr>
        <w:t xml:space="preserve">¶ </w:t>
      </w:r>
      <w:r w:rsidRPr="009E3621">
        <w:rPr>
          <w:rFonts w:asciiTheme="minorHAnsi" w:hAnsiTheme="minorHAnsi"/>
        </w:rPr>
        <w:t>4</w:t>
      </w:r>
      <w:r w:rsidRPr="009E3621">
        <w:rPr>
          <w:rFonts w:asciiTheme="minorHAnsi" w:hAnsiTheme="minorHAnsi"/>
          <w:sz w:val="12"/>
        </w:rPr>
        <w:t xml:space="preserve">¶ </w:t>
      </w:r>
      <w:r w:rsidRPr="009E3621">
        <w:rPr>
          <w:rFonts w:asciiTheme="minorHAnsi" w:hAnsiTheme="minorHAnsi"/>
        </w:rPr>
        <w:t>According to Gayatri</w:t>
      </w:r>
      <w:r w:rsidRPr="009E3621">
        <w:rPr>
          <w:rFonts w:asciiTheme="minorHAnsi" w:hAnsiTheme="minorHAnsi"/>
          <w:sz w:val="12"/>
        </w:rPr>
        <w:t xml:space="preserve"> </w:t>
      </w:r>
      <w:proofErr w:type="spellStart"/>
      <w:r w:rsidRPr="009E3621">
        <w:rPr>
          <w:rFonts w:asciiTheme="minorHAnsi" w:hAnsiTheme="minorHAnsi"/>
        </w:rPr>
        <w:t>Chakravorty</w:t>
      </w:r>
      <w:proofErr w:type="spellEnd"/>
      <w:r w:rsidRPr="009E3621">
        <w:rPr>
          <w:rFonts w:asciiTheme="minorHAnsi" w:hAnsiTheme="minorHAnsi"/>
        </w:rPr>
        <w:t xml:space="preserve"> Spivak (1994,66),“</w:t>
      </w:r>
      <w:r w:rsidRPr="009E3621">
        <w:rPr>
          <w:rStyle w:val="StyleUnderline"/>
          <w:rFonts w:asciiTheme="minorHAnsi" w:hAnsiTheme="minorHAnsi"/>
        </w:rPr>
        <w:t>Some of the most radical criticisms coming out of the West today is the result of an interested desire to conserve¶ the subject of the West, or the West as Subject.</w:t>
      </w:r>
      <w:r w:rsidRPr="009E3621">
        <w:rPr>
          <w:rFonts w:asciiTheme="minorHAnsi" w:hAnsiTheme="minorHAnsi"/>
        </w:rPr>
        <w:t>...Although the history of</w:t>
      </w:r>
      <w:r w:rsidRPr="009E3621">
        <w:rPr>
          <w:rFonts w:asciiTheme="minorHAnsi" w:hAnsiTheme="minorHAnsi"/>
          <w:sz w:val="12"/>
        </w:rPr>
        <w:t xml:space="preserve">¶ </w:t>
      </w:r>
      <w:r w:rsidRPr="009E3621">
        <w:rPr>
          <w:rFonts w:asciiTheme="minorHAnsi" w:hAnsiTheme="minorHAnsi"/>
        </w:rPr>
        <w:t>524</w:t>
      </w:r>
      <w:r w:rsidRPr="009E3621">
        <w:rPr>
          <w:rFonts w:asciiTheme="minorHAnsi" w:hAnsiTheme="minorHAnsi"/>
          <w:sz w:val="12"/>
        </w:rPr>
        <w:t xml:space="preserve">¶ </w:t>
      </w:r>
      <w:proofErr w:type="spellStart"/>
      <w:r w:rsidRPr="009E3621">
        <w:rPr>
          <w:rFonts w:asciiTheme="minorHAnsi" w:hAnsiTheme="minorHAnsi"/>
        </w:rPr>
        <w:t>Nepantla</w:t>
      </w:r>
      <w:proofErr w:type="spellEnd"/>
      <w:r w:rsidRPr="009E3621">
        <w:rPr>
          <w:rFonts w:asciiTheme="minorHAnsi" w:hAnsiTheme="minorHAnsi"/>
          <w:sz w:val="12"/>
        </w:rPr>
        <w:t xml:space="preserve">¶ </w:t>
      </w:r>
      <w:r w:rsidRPr="009E3621">
        <w:rPr>
          <w:rFonts w:asciiTheme="minorHAnsi" w:hAnsiTheme="minorHAnsi"/>
        </w:rPr>
        <w:t>Europe as subject is narrativized by the law, political economy and ideology</w:t>
      </w:r>
      <w:r w:rsidRPr="009E3621">
        <w:rPr>
          <w:rFonts w:asciiTheme="minorHAnsi" w:hAnsiTheme="minorHAnsi"/>
          <w:sz w:val="12"/>
        </w:rPr>
        <w:t xml:space="preserve">¶ </w:t>
      </w:r>
      <w:r w:rsidRPr="009E3621">
        <w:rPr>
          <w:rFonts w:asciiTheme="minorHAnsi" w:hAnsiTheme="minorHAnsi"/>
        </w:rPr>
        <w:t>of the West, this concealed Subject pretends it has no ‘geo-political determinations.’ ” Exploring Foucault’s and Gilles Deleuze’s contributions, she concludes that their findings are drastically limited by ignoring the epistemic</w:t>
      </w:r>
      <w:r w:rsidRPr="009E3621">
        <w:rPr>
          <w:rFonts w:asciiTheme="minorHAnsi" w:hAnsiTheme="minorHAnsi"/>
          <w:sz w:val="12"/>
        </w:rPr>
        <w:t xml:space="preserve">¶ </w:t>
      </w:r>
      <w:r w:rsidRPr="009E3621">
        <w:rPr>
          <w:rFonts w:asciiTheme="minorHAnsi" w:hAnsiTheme="minorHAnsi"/>
        </w:rPr>
        <w:t>violence of imperialism, as well as the international division of labor. Spivak</w:t>
      </w:r>
      <w:r w:rsidRPr="009E3621">
        <w:rPr>
          <w:rFonts w:asciiTheme="minorHAnsi" w:hAnsiTheme="minorHAnsi"/>
          <w:sz w:val="12"/>
        </w:rPr>
        <w:t xml:space="preserve">¶ </w:t>
      </w:r>
      <w:r w:rsidRPr="009E3621">
        <w:rPr>
          <w:rFonts w:asciiTheme="minorHAnsi" w:hAnsiTheme="minorHAnsi"/>
        </w:rPr>
        <w:t xml:space="preserve">argues that </w:t>
      </w:r>
      <w:r w:rsidRPr="009E3621">
        <w:rPr>
          <w:rStyle w:val="StyleUnderline"/>
          <w:rFonts w:asciiTheme="minorHAnsi" w:hAnsiTheme="minorHAnsi"/>
        </w:rPr>
        <w:t xml:space="preserve">once the version of a self-contained Western world is </w:t>
      </w:r>
      <w:proofErr w:type="gramStart"/>
      <w:r w:rsidRPr="009E3621">
        <w:rPr>
          <w:rStyle w:val="StyleUnderline"/>
          <w:rFonts w:asciiTheme="minorHAnsi" w:hAnsiTheme="minorHAnsi"/>
        </w:rPr>
        <w:t>assumed,¶</w:t>
      </w:r>
      <w:proofErr w:type="gramEnd"/>
      <w:r w:rsidRPr="009E3621">
        <w:rPr>
          <w:rStyle w:val="StyleUnderline"/>
          <w:rFonts w:asciiTheme="minorHAnsi" w:hAnsiTheme="minorHAnsi"/>
        </w:rPr>
        <w:t xml:space="preserve"> its production by the imperialist project is ignored</w:t>
      </w:r>
      <w:r w:rsidRPr="009E3621">
        <w:rPr>
          <w:rFonts w:asciiTheme="minorHAnsi" w:hAnsiTheme="minorHAnsi"/>
        </w:rPr>
        <w:t xml:space="preserve"> (86). Through these¶ visions, the crisis of European history—assumed as universal—becomes¶ the crisis of all history. The crisis of the metanarratives of the philosophy¶ of history, of the certainty of its laws, becomes the crisis of the future as</w:t>
      </w:r>
      <w:r w:rsidRPr="009E3621">
        <w:rPr>
          <w:rFonts w:asciiTheme="minorHAnsi" w:hAnsiTheme="minorHAnsi"/>
          <w:sz w:val="12"/>
        </w:rPr>
        <w:t xml:space="preserve">¶ </w:t>
      </w:r>
      <w:r w:rsidRPr="009E3621">
        <w:rPr>
          <w:rFonts w:asciiTheme="minorHAnsi" w:hAnsiTheme="minorHAnsi"/>
        </w:rPr>
        <w:t>such. The crisis of the subjects of that history turns into the dissolution of</w:t>
      </w:r>
      <w:r w:rsidRPr="009E3621">
        <w:rPr>
          <w:rFonts w:asciiTheme="minorHAnsi" w:hAnsiTheme="minorHAnsi"/>
          <w:sz w:val="12"/>
        </w:rPr>
        <w:t xml:space="preserve">¶ </w:t>
      </w:r>
      <w:r w:rsidRPr="009E3621">
        <w:rPr>
          <w:rFonts w:asciiTheme="minorHAnsi" w:hAnsiTheme="minorHAnsi"/>
        </w:rPr>
        <w:t xml:space="preserve">all subjects. The </w:t>
      </w:r>
      <w:r w:rsidRPr="009E3621">
        <w:rPr>
          <w:rStyle w:val="StyleUnderline"/>
          <w:rFonts w:asciiTheme="minorHAnsi" w:hAnsiTheme="minorHAnsi"/>
        </w:rPr>
        <w:t>disenchantment of a Marxist generation that experienced¶ in its own flesh the political and theoretical collapse of Marxism and socialism</w:t>
      </w:r>
      <w:r w:rsidRPr="009E3621">
        <w:rPr>
          <w:rFonts w:asciiTheme="minorHAnsi" w:hAnsiTheme="minorHAnsi"/>
        </w:rPr>
        <w:t xml:space="preserve"> and lived through the existential trauma of the recognition of the</w:t>
      </w:r>
      <w:r w:rsidRPr="009E3621">
        <w:rPr>
          <w:rFonts w:asciiTheme="minorHAnsi" w:hAnsiTheme="minorHAnsi"/>
          <w:sz w:val="12"/>
        </w:rPr>
        <w:t xml:space="preserve">¶ </w:t>
      </w:r>
      <w:r w:rsidRPr="009E3621">
        <w:rPr>
          <w:rFonts w:asciiTheme="minorHAnsi" w:hAnsiTheme="minorHAnsi"/>
        </w:rPr>
        <w:t xml:space="preserve">gulag </w:t>
      </w:r>
      <w:r w:rsidRPr="009E3621">
        <w:rPr>
          <w:rStyle w:val="StyleUnderline"/>
          <w:rFonts w:asciiTheme="minorHAnsi" w:hAnsiTheme="minorHAnsi"/>
        </w:rPr>
        <w:t>evolves into universal skepticism and the end of collective projects¶ and politics</w:t>
      </w:r>
      <w:r w:rsidRPr="009E3621">
        <w:rPr>
          <w:rFonts w:asciiTheme="minorHAnsi" w:hAnsiTheme="minorHAnsi"/>
        </w:rPr>
        <w:t xml:space="preserve">. </w:t>
      </w:r>
      <w:r w:rsidRPr="009E3621">
        <w:rPr>
          <w:rStyle w:val="StyleUnderline"/>
          <w:rFonts w:asciiTheme="minorHAnsi" w:hAnsiTheme="minorHAnsi"/>
        </w:rPr>
        <w:t>This justifies a “cool” attitude of noninvolvement, where all¶ ethical indignation in the face of injustice is absent</w:t>
      </w:r>
      <w:r w:rsidRPr="009E3621">
        <w:rPr>
          <w:rFonts w:asciiTheme="minorHAnsi" w:hAnsiTheme="minorHAnsi"/>
        </w:rPr>
        <w:t xml:space="preserve">. </w:t>
      </w:r>
      <w:r w:rsidRPr="009E3621">
        <w:rPr>
          <w:rStyle w:val="StyleUnderline"/>
          <w:rFonts w:asciiTheme="minorHAnsi" w:hAnsiTheme="minorHAnsi"/>
        </w:rPr>
        <w:t xml:space="preserve">In reaction to structuralism, </w:t>
      </w:r>
      <w:proofErr w:type="spellStart"/>
      <w:r w:rsidRPr="009E3621">
        <w:rPr>
          <w:rStyle w:val="StyleUnderline"/>
          <w:rFonts w:asciiTheme="minorHAnsi" w:hAnsiTheme="minorHAnsi"/>
        </w:rPr>
        <w:t>economism</w:t>
      </w:r>
      <w:proofErr w:type="spellEnd"/>
      <w:r w:rsidRPr="009E3621">
        <w:rPr>
          <w:rStyle w:val="StyleUnderline"/>
          <w:rFonts w:asciiTheme="minorHAnsi" w:hAnsiTheme="minorHAnsi"/>
        </w:rPr>
        <w:t>, and determinism, the discursive processes and the¶ construction of meanings are unilaterally emphasized</w:t>
      </w:r>
      <w:r w:rsidRPr="009E3621">
        <w:rPr>
          <w:rFonts w:asciiTheme="minorHAnsi" w:hAnsiTheme="minorHAnsi"/>
        </w:rPr>
        <w:t>. Economic relations</w:t>
      </w:r>
      <w:r w:rsidRPr="009E3621">
        <w:rPr>
          <w:rFonts w:asciiTheme="minorHAnsi" w:hAnsiTheme="minorHAnsi"/>
          <w:sz w:val="12"/>
        </w:rPr>
        <w:t xml:space="preserve">¶ </w:t>
      </w:r>
      <w:r w:rsidRPr="009E3621">
        <w:rPr>
          <w:rFonts w:asciiTheme="minorHAnsi" w:hAnsiTheme="minorHAnsi"/>
        </w:rPr>
        <w:t xml:space="preserve">and all notions of exploitation disappear from the cognitive map. </w:t>
      </w:r>
      <w:r w:rsidRPr="009E3621">
        <w:rPr>
          <w:rStyle w:val="StyleUnderline"/>
          <w:rFonts w:asciiTheme="minorHAnsi" w:hAnsiTheme="minorHAnsi"/>
        </w:rPr>
        <w:t>The crisis¶ of the political and epistemological totalizing models leads to a withdrawal¶ toward the partial and local, rendering the role of centralized political, military, and economic powers opaque</w:t>
      </w:r>
      <w:r w:rsidRPr="009E3621">
        <w:rPr>
          <w:rFonts w:asciiTheme="minorHAnsi" w:hAnsiTheme="minorHAnsi"/>
        </w:rPr>
        <w:t xml:space="preserve">. The Gulf War thus becomes no more¶ than a grand show, a televised </w:t>
      </w:r>
      <w:proofErr w:type="spellStart"/>
      <w:r w:rsidRPr="009E3621">
        <w:rPr>
          <w:rFonts w:asciiTheme="minorHAnsi" w:hAnsiTheme="minorHAnsi"/>
        </w:rPr>
        <w:t>superproduction</w:t>
      </w:r>
      <w:proofErr w:type="spellEnd"/>
      <w:r w:rsidRPr="009E3621">
        <w:rPr>
          <w:rFonts w:asciiTheme="minorHAnsi" w:hAnsiTheme="minorHAnsi"/>
        </w:rPr>
        <w:t>.</w:t>
      </w:r>
    </w:p>
    <w:p w14:paraId="55FD5F46" w14:textId="77777777" w:rsidR="007246CE" w:rsidRPr="009E3621" w:rsidRDefault="007246CE" w:rsidP="007246CE">
      <w:pPr>
        <w:rPr>
          <w:rFonts w:asciiTheme="minorHAnsi" w:hAnsiTheme="minorHAnsi"/>
        </w:rPr>
      </w:pPr>
      <w:r w:rsidRPr="009E3621">
        <w:rPr>
          <w:rFonts w:asciiTheme="minorHAnsi" w:hAnsiTheme="minorHAnsi"/>
        </w:rPr>
        <w:t xml:space="preserve">For these perspectives, </w:t>
      </w:r>
      <w:r w:rsidRPr="009E3621">
        <w:rPr>
          <w:rStyle w:val="StyleUnderline"/>
          <w:rFonts w:asciiTheme="minorHAnsi" w:hAnsiTheme="minorHAnsi"/>
        </w:rPr>
        <w:t>the crisis is not of modernity as such</w:t>
      </w:r>
      <w:r w:rsidRPr="009E3621">
        <w:rPr>
          <w:rFonts w:asciiTheme="minorHAnsi" w:hAnsiTheme="minorHAnsi"/>
        </w:rPr>
        <w:t>, but of</w:t>
      </w:r>
      <w:r w:rsidRPr="009E3621">
        <w:rPr>
          <w:rFonts w:asciiTheme="minorHAnsi" w:hAnsiTheme="minorHAnsi"/>
          <w:sz w:val="12"/>
        </w:rPr>
        <w:t xml:space="preserve">¶ </w:t>
      </w:r>
      <w:r w:rsidRPr="009E3621">
        <w:rPr>
          <w:rFonts w:asciiTheme="minorHAnsi" w:hAnsiTheme="minorHAnsi"/>
        </w:rPr>
        <w:t>one of its constitutive dimensions: historical reason (Quijano 1990). Its other</w:t>
      </w:r>
      <w:r w:rsidRPr="009E3621">
        <w:rPr>
          <w:rFonts w:asciiTheme="minorHAnsi" w:hAnsiTheme="minorHAnsi"/>
          <w:sz w:val="12"/>
        </w:rPr>
        <w:t xml:space="preserve">¶ </w:t>
      </w:r>
      <w:r w:rsidRPr="009E3621">
        <w:rPr>
          <w:rFonts w:asciiTheme="minorHAnsi" w:hAnsiTheme="minorHAnsi"/>
        </w:rPr>
        <w:t xml:space="preserve">dimension, </w:t>
      </w:r>
      <w:r w:rsidRPr="009E3621">
        <w:rPr>
          <w:rStyle w:val="StyleUnderline"/>
          <w:rFonts w:asciiTheme="minorHAnsi" w:hAnsiTheme="minorHAnsi"/>
        </w:rPr>
        <w:t>instrumental reason</w:t>
      </w:r>
      <w:r w:rsidRPr="009E3621">
        <w:rPr>
          <w:rFonts w:asciiTheme="minorHAnsi" w:hAnsiTheme="minorHAnsi"/>
        </w:rPr>
        <w:t xml:space="preserve"> (scientific and technological </w:t>
      </w:r>
      <w:proofErr w:type="gramStart"/>
      <w:r w:rsidRPr="009E3621">
        <w:rPr>
          <w:rFonts w:asciiTheme="minorHAnsi" w:hAnsiTheme="minorHAnsi"/>
        </w:rPr>
        <w:t>development,</w:t>
      </w:r>
      <w:r w:rsidRPr="009E3621">
        <w:rPr>
          <w:rFonts w:asciiTheme="minorHAnsi" w:hAnsiTheme="minorHAnsi"/>
          <w:sz w:val="12"/>
        </w:rPr>
        <w:t>¶</w:t>
      </w:r>
      <w:proofErr w:type="gramEnd"/>
      <w:r w:rsidRPr="009E3621">
        <w:rPr>
          <w:rFonts w:asciiTheme="minorHAnsi" w:hAnsiTheme="minorHAnsi"/>
          <w:sz w:val="12"/>
        </w:rPr>
        <w:t xml:space="preserve"> </w:t>
      </w:r>
      <w:r w:rsidRPr="009E3621">
        <w:rPr>
          <w:rFonts w:asciiTheme="minorHAnsi" w:hAnsiTheme="minorHAnsi"/>
        </w:rPr>
        <w:t>limitless progress, and the universal logic of the market),</w:t>
      </w:r>
      <w:r w:rsidRPr="009E3621">
        <w:rPr>
          <w:rStyle w:val="StyleUnderline"/>
          <w:rFonts w:asciiTheme="minorHAnsi" w:hAnsiTheme="minorHAnsi"/>
        </w:rPr>
        <w:t>finds neither¶ criticism nor resistance</w:t>
      </w:r>
      <w:r w:rsidRPr="009E3621">
        <w:rPr>
          <w:rFonts w:asciiTheme="minorHAnsi" w:hAnsiTheme="minorHAnsi"/>
        </w:rPr>
        <w:t xml:space="preserve">. History continues to exist only in a limited </w:t>
      </w:r>
      <w:proofErr w:type="gramStart"/>
      <w:r w:rsidRPr="009E3621">
        <w:rPr>
          <w:rFonts w:asciiTheme="minorHAnsi" w:hAnsiTheme="minorHAnsi"/>
        </w:rPr>
        <w:t>sense:</w:t>
      </w:r>
      <w:r w:rsidRPr="009E3621">
        <w:rPr>
          <w:rFonts w:asciiTheme="minorHAnsi" w:hAnsiTheme="minorHAnsi"/>
          <w:sz w:val="12"/>
        </w:rPr>
        <w:t>¶</w:t>
      </w:r>
      <w:proofErr w:type="gramEnd"/>
      <w:r w:rsidRPr="009E3621">
        <w:rPr>
          <w:rFonts w:asciiTheme="minorHAnsi" w:hAnsiTheme="minorHAnsi"/>
          <w:sz w:val="12"/>
        </w:rPr>
        <w:t xml:space="preserve"> </w:t>
      </w:r>
      <w:r w:rsidRPr="009E3621">
        <w:rPr>
          <w:rStyle w:val="StyleUnderline"/>
          <w:rFonts w:asciiTheme="minorHAnsi" w:hAnsiTheme="minorHAnsi"/>
        </w:rPr>
        <w:t>the underdeveloped countries still have some way to go before reaching¶ the finish line where the winners of the great universal competition toward¶ progress await them</w:t>
      </w:r>
      <w:r w:rsidRPr="009E3621">
        <w:rPr>
          <w:rFonts w:asciiTheme="minorHAnsi" w:hAnsiTheme="minorHAnsi"/>
        </w:rPr>
        <w:t>. It seems a matter of little importance that the majority</w:t>
      </w:r>
      <w:r w:rsidRPr="009E3621">
        <w:rPr>
          <w:rFonts w:asciiTheme="minorHAnsi" w:hAnsiTheme="minorHAnsi"/>
          <w:sz w:val="12"/>
        </w:rPr>
        <w:t xml:space="preserve">¶ </w:t>
      </w:r>
      <w:r w:rsidRPr="009E3621">
        <w:rPr>
          <w:rFonts w:asciiTheme="minorHAnsi" w:hAnsiTheme="minorHAnsi"/>
        </w:rPr>
        <w:t>of the world’s inhabitants may never reach that goal, due to the fact that</w:t>
      </w:r>
      <w:r w:rsidRPr="009E3621">
        <w:rPr>
          <w:rFonts w:asciiTheme="minorHAnsi" w:hAnsiTheme="minorHAnsi"/>
          <w:sz w:val="12"/>
        </w:rPr>
        <w:t xml:space="preserve">¶ </w:t>
      </w:r>
      <w:r w:rsidRPr="009E3621">
        <w:rPr>
          <w:rFonts w:asciiTheme="minorHAnsi" w:hAnsiTheme="minorHAnsi"/>
        </w:rPr>
        <w:t>the consumer patterns and the levels of material well-being of the central</w:t>
      </w:r>
      <w:r w:rsidRPr="009E3621">
        <w:rPr>
          <w:rFonts w:asciiTheme="minorHAnsi" w:hAnsiTheme="minorHAnsi"/>
          <w:sz w:val="12"/>
        </w:rPr>
        <w:t xml:space="preserve">¶ </w:t>
      </w:r>
      <w:r w:rsidRPr="009E3621">
        <w:rPr>
          <w:rFonts w:asciiTheme="minorHAnsi" w:hAnsiTheme="minorHAnsi"/>
        </w:rPr>
        <w:t>countries are possible only as a consequence of an absolutely lopsided use of</w:t>
      </w:r>
      <w:r w:rsidRPr="009E3621">
        <w:rPr>
          <w:rFonts w:asciiTheme="minorHAnsi" w:hAnsiTheme="minorHAnsi"/>
          <w:sz w:val="12"/>
        </w:rPr>
        <w:t xml:space="preserve">¶ </w:t>
      </w:r>
      <w:r w:rsidRPr="009E3621">
        <w:rPr>
          <w:rFonts w:asciiTheme="minorHAnsi" w:hAnsiTheme="minorHAnsi"/>
        </w:rPr>
        <w:t>the resources and the planet’s carrying capacity.</w:t>
      </w:r>
    </w:p>
    <w:p w14:paraId="5F5A460B" w14:textId="77777777" w:rsidR="007246CE" w:rsidRPr="009E3621" w:rsidRDefault="007246CE" w:rsidP="007246CE">
      <w:pPr>
        <w:pStyle w:val="Heading4"/>
        <w:rPr>
          <w:rFonts w:asciiTheme="minorHAnsi" w:hAnsiTheme="minorHAnsi"/>
        </w:rPr>
      </w:pPr>
      <w:r w:rsidRPr="009E3621">
        <w:rPr>
          <w:rFonts w:asciiTheme="minorHAnsi" w:hAnsiTheme="minorHAnsi"/>
        </w:rPr>
        <w:t>Theory alone can’t solve – an understanding of the role of IR in creating change is key to effective criticism</w:t>
      </w:r>
    </w:p>
    <w:p w14:paraId="253E0CB5" w14:textId="77777777" w:rsidR="007246CE" w:rsidRPr="009E3621" w:rsidRDefault="007246CE" w:rsidP="007246CE">
      <w:pPr>
        <w:rPr>
          <w:rFonts w:asciiTheme="minorHAnsi" w:hAnsiTheme="minorHAnsi"/>
        </w:rPr>
      </w:pPr>
      <w:proofErr w:type="spellStart"/>
      <w:r w:rsidRPr="009E3621">
        <w:rPr>
          <w:rStyle w:val="Style13ptBold"/>
          <w:rFonts w:asciiTheme="minorHAnsi" w:hAnsiTheme="minorHAnsi"/>
        </w:rPr>
        <w:t>Matin</w:t>
      </w:r>
      <w:proofErr w:type="spellEnd"/>
      <w:r w:rsidRPr="009E3621">
        <w:rPr>
          <w:rStyle w:val="Style13ptBold"/>
          <w:rFonts w:asciiTheme="minorHAnsi" w:hAnsiTheme="minorHAnsi"/>
        </w:rPr>
        <w:t>, committee member of Centre for Advanced International Theory, 12</w:t>
      </w:r>
      <w:r w:rsidRPr="009E3621">
        <w:rPr>
          <w:rFonts w:asciiTheme="minorHAnsi" w:hAnsiTheme="minorHAnsi"/>
        </w:rPr>
        <w:t xml:space="preserve"> (Kamran, European Journal of International Relations 2013 19: 353</w:t>
      </w:r>
    </w:p>
    <w:p w14:paraId="587A4721" w14:textId="77777777" w:rsidR="007246CE" w:rsidRPr="009E3621" w:rsidRDefault="007246CE" w:rsidP="007246CE">
      <w:pPr>
        <w:rPr>
          <w:rFonts w:asciiTheme="minorHAnsi" w:hAnsiTheme="minorHAnsi"/>
        </w:rPr>
      </w:pPr>
      <w:r w:rsidRPr="009E3621">
        <w:rPr>
          <w:rFonts w:asciiTheme="minorHAnsi" w:hAnsiTheme="minorHAnsi"/>
        </w:rPr>
        <w:t xml:space="preserve">“Redeeming the universal: Postcolonialism and the inner life of Eurocentrism”, </w:t>
      </w:r>
      <w:hyperlink r:id="rId21" w:history="1">
        <w:r w:rsidRPr="009E3621">
          <w:rPr>
            <w:rStyle w:val="Hyperlink"/>
            <w:rFonts w:asciiTheme="minorHAnsi" w:hAnsiTheme="minorHAnsi"/>
          </w:rPr>
          <w:t>http://ejt.sagepub.com/content/19/2/353</w:t>
        </w:r>
      </w:hyperlink>
      <w:r w:rsidRPr="009E3621">
        <w:rPr>
          <w:rFonts w:asciiTheme="minorHAnsi" w:hAnsiTheme="minorHAnsi"/>
        </w:rPr>
        <w:t xml:space="preserve"> pg. 355, date accessed 7/7/13 IGM)</w:t>
      </w:r>
    </w:p>
    <w:p w14:paraId="50652452" w14:textId="77777777" w:rsidR="007246CE" w:rsidRPr="009E3621" w:rsidRDefault="007246CE" w:rsidP="007246CE">
      <w:pPr>
        <w:rPr>
          <w:rStyle w:val="StyleUnderline"/>
          <w:rFonts w:asciiTheme="minorHAnsi" w:hAnsiTheme="minorHAnsi"/>
        </w:rPr>
      </w:pPr>
      <w:r w:rsidRPr="009E3621">
        <w:rPr>
          <w:rFonts w:asciiTheme="minorHAnsi" w:hAnsiTheme="minorHAnsi"/>
        </w:rPr>
        <w:t xml:space="preserve">My core argument is that </w:t>
      </w:r>
      <w:r w:rsidRPr="009E3621">
        <w:rPr>
          <w:rStyle w:val="StyleUnderline"/>
          <w:rFonts w:asciiTheme="minorHAnsi" w:hAnsiTheme="minorHAnsi"/>
        </w:rPr>
        <w:t>there is a fundamental tension between theory and method ¶ in postcolonialism that prevents the translation of its critique of Eurocentrism into an ¶ alternative non-ethnocentric social theory.</w:t>
      </w:r>
      <w:r w:rsidRPr="009E3621">
        <w:rPr>
          <w:rFonts w:asciiTheme="minorHAnsi" w:hAnsiTheme="minorHAnsi"/>
        </w:rPr>
        <w:t xml:space="preserve"> For on the one hand, </w:t>
      </w:r>
      <w:r w:rsidRPr="009E3621">
        <w:rPr>
          <w:rStyle w:val="StyleUnderline"/>
          <w:rFonts w:asciiTheme="minorHAnsi" w:hAnsiTheme="minorHAnsi"/>
        </w:rPr>
        <w:t>postcolonialism declares ¶ macro-theoretical agnosticism toward the social</w:t>
      </w:r>
      <w:r w:rsidRPr="009E3621">
        <w:rPr>
          <w:rFonts w:asciiTheme="minorHAnsi" w:hAnsiTheme="minorHAnsi"/>
        </w:rPr>
        <w:t xml:space="preserve"> in general, which is manifest in its categorical rejection of, or deep </w:t>
      </w:r>
      <w:r w:rsidRPr="009E3621">
        <w:rPr>
          <w:rFonts w:asciiTheme="minorHAnsi" w:hAnsiTheme="minorHAnsi"/>
        </w:rPr>
        <w:lastRenderedPageBreak/>
        <w:t xml:space="preserve">skepticism toward, the concept of the universal identified </w:t>
      </w:r>
      <w:r w:rsidRPr="009E3621">
        <w:rPr>
          <w:rFonts w:asciiTheme="minorHAnsi" w:hAnsiTheme="minorHAnsi"/>
          <w:sz w:val="12"/>
        </w:rPr>
        <w:t xml:space="preserve">¶ </w:t>
      </w:r>
      <w:r w:rsidRPr="009E3621">
        <w:rPr>
          <w:rFonts w:asciiTheme="minorHAnsi" w:hAnsiTheme="minorHAnsi"/>
        </w:rPr>
        <w:t xml:space="preserve">with Eurocentric anticipation and violent pursuit of global socio-cultural homogeneity. </w:t>
      </w:r>
      <w:r w:rsidRPr="009E3621">
        <w:rPr>
          <w:rFonts w:asciiTheme="minorHAnsi" w:hAnsiTheme="minorHAnsi"/>
          <w:sz w:val="12"/>
        </w:rPr>
        <w:t xml:space="preserve">¶ </w:t>
      </w:r>
      <w:r w:rsidRPr="009E3621">
        <w:rPr>
          <w:rFonts w:asciiTheme="minorHAnsi" w:hAnsiTheme="minorHAnsi"/>
        </w:rPr>
        <w:t xml:space="preserve">On the other hand, postcolonialism comprehends colonial </w:t>
      </w:r>
      <w:proofErr w:type="spellStart"/>
      <w:r w:rsidRPr="009E3621">
        <w:rPr>
          <w:rFonts w:asciiTheme="minorHAnsi" w:hAnsiTheme="minorHAnsi"/>
        </w:rPr>
        <w:t>socialities</w:t>
      </w:r>
      <w:proofErr w:type="spellEnd"/>
      <w:r w:rsidRPr="009E3621">
        <w:rPr>
          <w:rFonts w:asciiTheme="minorHAnsi" w:hAnsiTheme="minorHAnsi"/>
        </w:rPr>
        <w:t xml:space="preserve"> in terms of their </w:t>
      </w:r>
      <w:r w:rsidRPr="009E3621">
        <w:rPr>
          <w:rFonts w:asciiTheme="minorHAnsi" w:hAnsiTheme="minorHAnsi"/>
          <w:sz w:val="12"/>
        </w:rPr>
        <w:t xml:space="preserve">¶ </w:t>
      </w:r>
      <w:r w:rsidRPr="009E3621">
        <w:rPr>
          <w:rFonts w:asciiTheme="minorHAnsi" w:hAnsiTheme="minorHAnsi"/>
        </w:rPr>
        <w:t xml:space="preserve">interactive constitution through a method whose strategic site of operation is specifically </w:t>
      </w:r>
      <w:r w:rsidRPr="009E3621">
        <w:rPr>
          <w:rFonts w:asciiTheme="minorHAnsi" w:hAnsiTheme="minorHAnsi"/>
          <w:sz w:val="12"/>
        </w:rPr>
        <w:t xml:space="preserve">¶ </w:t>
      </w:r>
      <w:r w:rsidRPr="009E3621">
        <w:rPr>
          <w:rFonts w:asciiTheme="minorHAnsi" w:hAnsiTheme="minorHAnsi"/>
        </w:rPr>
        <w:t xml:space="preserve">the </w:t>
      </w:r>
      <w:proofErr w:type="spellStart"/>
      <w:r w:rsidRPr="009E3621">
        <w:rPr>
          <w:rFonts w:asciiTheme="minorHAnsi" w:hAnsiTheme="minorHAnsi"/>
        </w:rPr>
        <w:t>intersocietal</w:t>
      </w:r>
      <w:proofErr w:type="spellEnd"/>
      <w:r w:rsidRPr="009E3621">
        <w:rPr>
          <w:rFonts w:asciiTheme="minorHAnsi" w:hAnsiTheme="minorHAnsi"/>
        </w:rPr>
        <w:t xml:space="preserve"> or the international.</w:t>
      </w:r>
      <w:r w:rsidRPr="009E3621">
        <w:rPr>
          <w:rFonts w:asciiTheme="minorHAnsi" w:hAnsiTheme="minorHAnsi"/>
          <w:sz w:val="12"/>
        </w:rPr>
        <w:t xml:space="preserve">¶ </w:t>
      </w:r>
      <w:r w:rsidRPr="009E3621">
        <w:rPr>
          <w:rFonts w:asciiTheme="minorHAnsi" w:hAnsiTheme="minorHAnsi"/>
        </w:rPr>
        <w:t xml:space="preserve">But </w:t>
      </w:r>
      <w:r w:rsidRPr="009E3621">
        <w:rPr>
          <w:rStyle w:val="StyleUnderline"/>
          <w:rFonts w:asciiTheme="minorHAnsi" w:hAnsiTheme="minorHAnsi"/>
        </w:rPr>
        <w:t>the idea of the international logically requires ¶ a general conception of the social in general whose historical referent bursts the empirical bounds of any notion of the social in the singular</w:t>
      </w:r>
      <w:r w:rsidRPr="009E3621">
        <w:rPr>
          <w:rFonts w:asciiTheme="minorHAnsi" w:hAnsiTheme="minorHAnsi"/>
        </w:rPr>
        <w:t xml:space="preserve">, whether society, culture, or civilization. </w:t>
      </w:r>
      <w:r w:rsidRPr="009E3621">
        <w:rPr>
          <w:rStyle w:val="StyleUnderline"/>
          <w:rFonts w:asciiTheme="minorHAnsi" w:hAnsiTheme="minorHAnsi"/>
        </w:rPr>
        <w:t>This is for the simple reason that the idea of the international</w:t>
      </w:r>
      <w:r w:rsidRPr="009E3621">
        <w:rPr>
          <w:rFonts w:asciiTheme="minorHAnsi" w:hAnsiTheme="minorHAnsi"/>
        </w:rPr>
        <w:t xml:space="preserve"> encompasses, or rather </w:t>
      </w:r>
      <w:r w:rsidRPr="009E3621">
        <w:rPr>
          <w:rFonts w:asciiTheme="minorHAnsi" w:hAnsiTheme="minorHAnsi"/>
          <w:sz w:val="12"/>
        </w:rPr>
        <w:t xml:space="preserve">¶ </w:t>
      </w:r>
      <w:r w:rsidRPr="009E3621">
        <w:rPr>
          <w:rStyle w:val="StyleUnderline"/>
          <w:rFonts w:asciiTheme="minorHAnsi" w:hAnsiTheme="minorHAnsi"/>
        </w:rPr>
        <w:t>ought to encompass, the interconnected multiplicity of the social as an ontological property</w:t>
      </w:r>
      <w:r w:rsidRPr="009E3621">
        <w:rPr>
          <w:rFonts w:asciiTheme="minorHAnsi" w:hAnsiTheme="minorHAnsi"/>
        </w:rPr>
        <w:t xml:space="preserve">. This mutually constitutive relation between the social and the international escapes </w:t>
      </w:r>
      <w:r w:rsidRPr="009E3621">
        <w:rPr>
          <w:rFonts w:asciiTheme="minorHAnsi" w:hAnsiTheme="minorHAnsi"/>
          <w:sz w:val="12"/>
        </w:rPr>
        <w:t xml:space="preserve">¶ </w:t>
      </w:r>
      <w:r w:rsidRPr="009E3621">
        <w:rPr>
          <w:rFonts w:asciiTheme="minorHAnsi" w:hAnsiTheme="minorHAnsi"/>
        </w:rPr>
        <w:t xml:space="preserve">any theory that is strategically anchored in only one of these two dimensions of social </w:t>
      </w:r>
      <w:r w:rsidRPr="009E3621">
        <w:rPr>
          <w:rFonts w:asciiTheme="minorHAnsi" w:hAnsiTheme="minorHAnsi"/>
          <w:sz w:val="12"/>
        </w:rPr>
        <w:t xml:space="preserve">¶ </w:t>
      </w:r>
      <w:r w:rsidRPr="009E3621">
        <w:rPr>
          <w:rFonts w:asciiTheme="minorHAnsi" w:hAnsiTheme="minorHAnsi"/>
        </w:rPr>
        <w:t xml:space="preserve">reality. The apparent theoretical incommensurability of classical IR and social and political theories is a testimony to this claim (Waltz, 1979; Wight, 1966). </w:t>
      </w:r>
      <w:r w:rsidRPr="009E3621">
        <w:rPr>
          <w:rStyle w:val="StyleUnderline"/>
          <w:rFonts w:asciiTheme="minorHAnsi" w:hAnsiTheme="minorHAnsi"/>
        </w:rPr>
        <w:t>A unified theoretical ¶ comprehension of the social and the international must</w:t>
      </w:r>
      <w:r w:rsidRPr="009E3621">
        <w:rPr>
          <w:rFonts w:asciiTheme="minorHAnsi" w:hAnsiTheme="minorHAnsi"/>
        </w:rPr>
        <w:t xml:space="preserve">, I therefore contend, </w:t>
      </w:r>
      <w:r w:rsidRPr="009E3621">
        <w:rPr>
          <w:rStyle w:val="StyleUnderline"/>
          <w:rFonts w:asciiTheme="minorHAnsi" w:hAnsiTheme="minorHAnsi"/>
        </w:rPr>
        <w:t xml:space="preserve">be central to ¶ any attempt at supplanting Eurocentrism. This requires an explicit theoretical incorporation of the universal. But a conception of the universal that is fundamentally rethought ¶ away from being an immanent self-transcendence of </w:t>
      </w:r>
      <w:proofErr w:type="gramStart"/>
      <w:r w:rsidRPr="009E3621">
        <w:rPr>
          <w:rStyle w:val="StyleUnderline"/>
          <w:rFonts w:asciiTheme="minorHAnsi" w:hAnsiTheme="minorHAnsi"/>
        </w:rPr>
        <w:t>the particular, and</w:t>
      </w:r>
      <w:proofErr w:type="gramEnd"/>
      <w:r w:rsidRPr="009E3621">
        <w:rPr>
          <w:rStyle w:val="StyleUnderline"/>
          <w:rFonts w:asciiTheme="minorHAnsi" w:hAnsiTheme="minorHAnsi"/>
        </w:rPr>
        <w:t xml:space="preserve"> re-comprehended ¶ as a radical amenability to, and </w:t>
      </w:r>
      <w:proofErr w:type="spellStart"/>
      <w:r w:rsidRPr="009E3621">
        <w:rPr>
          <w:rStyle w:val="StyleUnderline"/>
          <w:rFonts w:asciiTheme="minorHAnsi" w:hAnsiTheme="minorHAnsi"/>
        </w:rPr>
        <w:t>constitutiveness</w:t>
      </w:r>
      <w:proofErr w:type="spellEnd"/>
      <w:r w:rsidRPr="009E3621">
        <w:rPr>
          <w:rStyle w:val="StyleUnderline"/>
          <w:rFonts w:asciiTheme="minorHAnsi" w:hAnsiTheme="minorHAnsi"/>
        </w:rPr>
        <w:t xml:space="preserve"> of, alterity (</w:t>
      </w:r>
      <w:r w:rsidRPr="009E3621">
        <w:rPr>
          <w:rFonts w:asciiTheme="minorHAnsi" w:hAnsiTheme="minorHAnsi"/>
        </w:rPr>
        <w:t xml:space="preserve">Cheah, 2008; cf. </w:t>
      </w:r>
      <w:proofErr w:type="spellStart"/>
      <w:r w:rsidRPr="009E3621">
        <w:rPr>
          <w:rFonts w:asciiTheme="minorHAnsi" w:hAnsiTheme="minorHAnsi"/>
        </w:rPr>
        <w:t>Chernilo</w:t>
      </w:r>
      <w:proofErr w:type="spellEnd"/>
      <w:r w:rsidRPr="009E3621">
        <w:rPr>
          <w:rFonts w:asciiTheme="minorHAnsi" w:hAnsiTheme="minorHAnsi"/>
        </w:rPr>
        <w:t xml:space="preserve">, </w:t>
      </w:r>
      <w:r w:rsidRPr="009E3621">
        <w:rPr>
          <w:rFonts w:asciiTheme="minorHAnsi" w:hAnsiTheme="minorHAnsi"/>
          <w:sz w:val="12"/>
        </w:rPr>
        <w:t xml:space="preserve">¶ </w:t>
      </w:r>
      <w:r w:rsidRPr="009E3621">
        <w:rPr>
          <w:rFonts w:asciiTheme="minorHAnsi" w:hAnsiTheme="minorHAnsi"/>
        </w:rPr>
        <w:t xml:space="preserve">2006). IR with its paradigmatic focus on the condition and consequences of political </w:t>
      </w:r>
      <w:r w:rsidRPr="009E3621">
        <w:rPr>
          <w:rFonts w:asciiTheme="minorHAnsi" w:hAnsiTheme="minorHAnsi"/>
          <w:sz w:val="12"/>
        </w:rPr>
        <w:t xml:space="preserve">¶ </w:t>
      </w:r>
      <w:r w:rsidRPr="009E3621">
        <w:rPr>
          <w:rFonts w:asciiTheme="minorHAnsi" w:hAnsiTheme="minorHAnsi"/>
        </w:rPr>
        <w:t xml:space="preserve">multiplicity is arguably a, if not the most, fertile intellectual ground for pursuing such a </w:t>
      </w:r>
      <w:r w:rsidRPr="009E3621">
        <w:rPr>
          <w:rFonts w:asciiTheme="minorHAnsi" w:hAnsiTheme="minorHAnsi"/>
          <w:sz w:val="12"/>
        </w:rPr>
        <w:t xml:space="preserve">¶ </w:t>
      </w:r>
      <w:r w:rsidRPr="009E3621">
        <w:rPr>
          <w:rFonts w:asciiTheme="minorHAnsi" w:hAnsiTheme="minorHAnsi"/>
        </w:rPr>
        <w:t xml:space="preserve">theoretical project. </w:t>
      </w:r>
      <w:r w:rsidRPr="009E3621">
        <w:rPr>
          <w:rStyle w:val="StyleUnderline"/>
          <w:rFonts w:asciiTheme="minorHAnsi" w:hAnsiTheme="minorHAnsi"/>
        </w:rPr>
        <w:t>That this intellectual potential has not been realized has a great deal ¶ to do with the supra-social and non-historical conception of the international by main¶ stream IR theory;</w:t>
      </w:r>
      <w:r w:rsidRPr="009E3621">
        <w:rPr>
          <w:rFonts w:asciiTheme="minorHAnsi" w:hAnsiTheme="minorHAnsi"/>
        </w:rPr>
        <w:t xml:space="preserve"> a problem that recent historical sociological scholarship in IR has </w:t>
      </w:r>
      <w:r w:rsidRPr="009E3621">
        <w:rPr>
          <w:rFonts w:asciiTheme="minorHAnsi" w:hAnsiTheme="minorHAnsi"/>
          <w:sz w:val="12"/>
        </w:rPr>
        <w:t xml:space="preserve">¶ </w:t>
      </w:r>
      <w:r w:rsidRPr="009E3621">
        <w:rPr>
          <w:rFonts w:asciiTheme="minorHAnsi" w:hAnsiTheme="minorHAnsi"/>
        </w:rPr>
        <w:t xml:space="preserve">thrown in to sharp relief (e.g. Lawson, 2006; Rosenberg, 1994; </w:t>
      </w:r>
      <w:proofErr w:type="spellStart"/>
      <w:r w:rsidRPr="009E3621">
        <w:rPr>
          <w:rFonts w:asciiTheme="minorHAnsi" w:hAnsiTheme="minorHAnsi"/>
        </w:rPr>
        <w:t>Teschke</w:t>
      </w:r>
      <w:proofErr w:type="spellEnd"/>
      <w:r w:rsidRPr="009E3621">
        <w:rPr>
          <w:rFonts w:asciiTheme="minorHAnsi" w:hAnsiTheme="minorHAnsi"/>
        </w:rPr>
        <w:t>, 2003</w:t>
      </w:r>
      <w:r w:rsidRPr="009E3621">
        <w:rPr>
          <w:rStyle w:val="StyleUnderline"/>
          <w:rFonts w:asciiTheme="minorHAnsi" w:hAnsiTheme="minorHAnsi"/>
        </w:rPr>
        <w:t xml:space="preserve">). But a ¶ historical sociological IR in and of itself cannot succeed in exorcizing IR’s Eurocentric ¶ spirit. The historicization of international relations </w:t>
      </w:r>
      <w:proofErr w:type="gramStart"/>
      <w:r w:rsidRPr="009E3621">
        <w:rPr>
          <w:rStyle w:val="StyleUnderline"/>
          <w:rFonts w:asciiTheme="minorHAnsi" w:hAnsiTheme="minorHAnsi"/>
        </w:rPr>
        <w:t>has to</w:t>
      </w:r>
      <w:proofErr w:type="gramEnd"/>
      <w:r w:rsidRPr="009E3621">
        <w:rPr>
          <w:rStyle w:val="StyleUnderline"/>
          <w:rFonts w:asciiTheme="minorHAnsi" w:hAnsiTheme="minorHAnsi"/>
        </w:rPr>
        <w:t xml:space="preserve"> be dialectically complemented ¶ with the internationalization of the social, </w:t>
      </w:r>
      <w:r w:rsidRPr="009E3621">
        <w:rPr>
          <w:rFonts w:asciiTheme="minorHAnsi" w:hAnsiTheme="minorHAnsi"/>
        </w:rPr>
        <w:t xml:space="preserve">that is, the theoretical articulation of the constitutive impact of the interactive coexistence of multiple societies on internal processes </w:t>
      </w:r>
      <w:r w:rsidRPr="009E3621">
        <w:rPr>
          <w:rFonts w:asciiTheme="minorHAnsi" w:hAnsiTheme="minorHAnsi"/>
          <w:sz w:val="12"/>
        </w:rPr>
        <w:t xml:space="preserve">¶ </w:t>
      </w:r>
      <w:r w:rsidRPr="009E3621">
        <w:rPr>
          <w:rFonts w:asciiTheme="minorHAnsi" w:hAnsiTheme="minorHAnsi"/>
        </w:rPr>
        <w:t>of social change (</w:t>
      </w:r>
      <w:proofErr w:type="spellStart"/>
      <w:r w:rsidRPr="009E3621">
        <w:rPr>
          <w:rFonts w:asciiTheme="minorHAnsi" w:hAnsiTheme="minorHAnsi"/>
        </w:rPr>
        <w:t>Matin</w:t>
      </w:r>
      <w:proofErr w:type="spellEnd"/>
      <w:r w:rsidRPr="009E3621">
        <w:rPr>
          <w:rFonts w:asciiTheme="minorHAnsi" w:hAnsiTheme="minorHAnsi"/>
        </w:rPr>
        <w:t xml:space="preserve">, 2007). </w:t>
      </w:r>
      <w:r w:rsidRPr="009E3621">
        <w:rPr>
          <w:rStyle w:val="StyleUnderline"/>
          <w:rFonts w:asciiTheme="minorHAnsi" w:hAnsiTheme="minorHAnsi"/>
        </w:rPr>
        <w:t>The idea of ‘uneven and combined development’</w:t>
      </w:r>
      <w:r w:rsidRPr="009E3621">
        <w:rPr>
          <w:rFonts w:asciiTheme="minorHAnsi" w:hAnsiTheme="minorHAnsi"/>
        </w:rPr>
        <w:t xml:space="preserve"> </w:t>
      </w:r>
      <w:r w:rsidRPr="009E3621">
        <w:rPr>
          <w:rFonts w:asciiTheme="minorHAnsi" w:hAnsiTheme="minorHAnsi"/>
          <w:sz w:val="12"/>
        </w:rPr>
        <w:t xml:space="preserve">¶ </w:t>
      </w:r>
      <w:r w:rsidRPr="009E3621">
        <w:rPr>
          <w:rFonts w:asciiTheme="minorHAnsi" w:hAnsiTheme="minorHAnsi"/>
        </w:rPr>
        <w:t xml:space="preserve">(Trotsky, 1985), I argue, </w:t>
      </w:r>
      <w:r w:rsidRPr="009E3621">
        <w:rPr>
          <w:rStyle w:val="StyleUnderline"/>
          <w:rFonts w:asciiTheme="minorHAnsi" w:hAnsiTheme="minorHAnsi"/>
        </w:rPr>
        <w:t>contains the organic integration of these two intellectual moves ¶ involving an interactive and heterogeneous notion of the universal</w:t>
      </w:r>
      <w:r w:rsidRPr="009E3621">
        <w:rPr>
          <w:rFonts w:asciiTheme="minorHAnsi" w:hAnsiTheme="minorHAnsi"/>
        </w:rPr>
        <w:t xml:space="preserve">. </w:t>
      </w:r>
      <w:r w:rsidRPr="009E3621">
        <w:rPr>
          <w:rStyle w:val="StyleUnderline"/>
          <w:rFonts w:asciiTheme="minorHAnsi" w:hAnsiTheme="minorHAnsi"/>
        </w:rPr>
        <w:t>It is therefore imbued ¶ with a radical potential for generating a positive non-ethnocentric international social ¶ theory.</w:t>
      </w:r>
    </w:p>
    <w:p w14:paraId="7BF7599B" w14:textId="153316DB" w:rsidR="007246CE" w:rsidRDefault="007246CE" w:rsidP="007246CE">
      <w:pPr>
        <w:pStyle w:val="Heading3"/>
      </w:pPr>
      <w:r>
        <w:lastRenderedPageBreak/>
        <w:t>Alt Links to K Impact</w:t>
      </w:r>
    </w:p>
    <w:p w14:paraId="548337C3" w14:textId="30D0F888" w:rsidR="007246CE" w:rsidRPr="009E3621" w:rsidRDefault="007246CE" w:rsidP="007246CE">
      <w:pPr>
        <w:pStyle w:val="Heading4"/>
        <w:rPr>
          <w:rFonts w:asciiTheme="minorHAnsi" w:hAnsiTheme="minorHAnsi"/>
        </w:rPr>
      </w:pPr>
      <w:r w:rsidRPr="009E3621">
        <w:rPr>
          <w:rFonts w:asciiTheme="minorHAnsi" w:hAnsiTheme="minorHAnsi"/>
        </w:rPr>
        <w:t xml:space="preserve">Neg employs </w:t>
      </w:r>
      <w:r w:rsidR="00DD6AA0">
        <w:rPr>
          <w:rFonts w:asciiTheme="minorHAnsi" w:hAnsiTheme="minorHAnsi"/>
        </w:rPr>
        <w:t>Eurocentric knowledge production -</w:t>
      </w:r>
    </w:p>
    <w:p w14:paraId="48FF06C9" w14:textId="77777777" w:rsidR="007246CE" w:rsidRPr="009E3621" w:rsidRDefault="007246CE" w:rsidP="007246CE">
      <w:pPr>
        <w:rPr>
          <w:rStyle w:val="Style13ptBold"/>
          <w:rFonts w:asciiTheme="minorHAnsi" w:hAnsiTheme="minorHAnsi"/>
        </w:rPr>
      </w:pPr>
      <w:r w:rsidRPr="009E3621">
        <w:rPr>
          <w:rStyle w:val="Style13ptBold"/>
          <w:rFonts w:asciiTheme="minorHAnsi" w:hAnsiTheme="minorHAnsi"/>
        </w:rPr>
        <w:t>El-</w:t>
      </w:r>
      <w:proofErr w:type="spellStart"/>
      <w:r w:rsidRPr="009E3621">
        <w:rPr>
          <w:rStyle w:val="Style13ptBold"/>
          <w:rFonts w:asciiTheme="minorHAnsi" w:hAnsiTheme="minorHAnsi"/>
        </w:rPr>
        <w:t>Affendi</w:t>
      </w:r>
      <w:proofErr w:type="spellEnd"/>
      <w:r w:rsidRPr="009E3621">
        <w:rPr>
          <w:rStyle w:val="Style13ptBold"/>
          <w:rFonts w:asciiTheme="minorHAnsi" w:hAnsiTheme="minorHAnsi"/>
        </w:rPr>
        <w:t>, Cambridge University Islamic Studies Professor, 12</w:t>
      </w:r>
    </w:p>
    <w:p w14:paraId="7AB429C7" w14:textId="5702E555" w:rsidR="007246CE" w:rsidRPr="009E3621" w:rsidRDefault="007246CE" w:rsidP="007246CE">
      <w:pPr>
        <w:rPr>
          <w:rFonts w:asciiTheme="minorHAnsi" w:hAnsiTheme="minorHAnsi"/>
        </w:rPr>
      </w:pPr>
      <w:r w:rsidRPr="009E3621">
        <w:rPr>
          <w:rFonts w:asciiTheme="minorHAnsi" w:hAnsiTheme="minorHAnsi"/>
        </w:rPr>
        <w:t>(</w:t>
      </w:r>
      <w:proofErr w:type="spellStart"/>
      <w:r w:rsidRPr="009E3621">
        <w:rPr>
          <w:rFonts w:asciiTheme="minorHAnsi" w:hAnsiTheme="minorHAnsi"/>
        </w:rPr>
        <w:t>Abdelwahab</w:t>
      </w:r>
      <w:proofErr w:type="spellEnd"/>
      <w:r w:rsidRPr="009E3621">
        <w:rPr>
          <w:rFonts w:asciiTheme="minorHAnsi" w:hAnsiTheme="minorHAnsi"/>
        </w:rPr>
        <w:t xml:space="preserve"> el-</w:t>
      </w:r>
      <w:proofErr w:type="spellStart"/>
      <w:r w:rsidRPr="009E3621">
        <w:rPr>
          <w:rFonts w:asciiTheme="minorHAnsi" w:hAnsiTheme="minorHAnsi"/>
        </w:rPr>
        <w:t>Affendi</w:t>
      </w:r>
      <w:proofErr w:type="spellEnd"/>
      <w:r w:rsidRPr="009E3621">
        <w:rPr>
          <w:rFonts w:asciiTheme="minorHAnsi" w:hAnsiTheme="minorHAnsi"/>
        </w:rPr>
        <w:t>, October 14, 2012, Economic and Social Research Council, “Narratives of Insecurity, Democratization and the Justification of (Mass) Violence,” http://www.esrc.ac.uk/my-esrc/grants/RES-071-27-0010/outputs/Read/58ab38e7-50c3-4211-805f-a2af2e3cca91</w:t>
      </w:r>
      <w:r>
        <w:rPr>
          <w:rFonts w:asciiTheme="minorHAnsi" w:hAnsiTheme="minorHAnsi"/>
        </w:rPr>
        <w:t>)</w:t>
      </w:r>
    </w:p>
    <w:p w14:paraId="44D59D6B" w14:textId="77777777" w:rsidR="007246CE" w:rsidRPr="009E3621" w:rsidRDefault="007246CE" w:rsidP="007246CE">
      <w:pPr>
        <w:rPr>
          <w:rStyle w:val="StyleUnderline"/>
          <w:rFonts w:asciiTheme="minorHAnsi" w:hAnsiTheme="minorHAnsi"/>
        </w:rPr>
      </w:pPr>
      <w:r w:rsidRPr="009E3621">
        <w:rPr>
          <w:rStyle w:val="StyleUnderline"/>
          <w:rFonts w:asciiTheme="minorHAnsi" w:hAnsiTheme="minorHAnsi"/>
        </w:rPr>
        <w:t xml:space="preserve">By complaining about </w:t>
      </w:r>
      <w:r w:rsidRPr="009E3621">
        <w:rPr>
          <w:rFonts w:asciiTheme="minorHAnsi" w:hAnsiTheme="minorHAnsi"/>
        </w:rPr>
        <w:t xml:space="preserve">the </w:t>
      </w:r>
      <w:r w:rsidRPr="009E3621">
        <w:rPr>
          <w:rStyle w:val="StyleUnderline"/>
          <w:rFonts w:asciiTheme="minorHAnsi" w:hAnsiTheme="minorHAnsi"/>
        </w:rPr>
        <w:t>Eurocentrism</w:t>
      </w:r>
      <w:r w:rsidRPr="009E3621">
        <w:rPr>
          <w:rFonts w:asciiTheme="minorHAnsi" w:hAnsiTheme="minorHAnsi"/>
        </w:rPr>
        <w:t xml:space="preserve"> of the Europeans, </w:t>
      </w:r>
      <w:r w:rsidRPr="009E3621">
        <w:rPr>
          <w:rStyle w:val="StyleUnderline"/>
          <w:rFonts w:asciiTheme="minorHAnsi" w:hAnsiTheme="minorHAnsi"/>
        </w:rPr>
        <w:t>as we are doing here, are we not ourselves directly promoting Eurocentric narratives</w:t>
      </w:r>
      <w:r w:rsidRPr="009E3621">
        <w:rPr>
          <w:rFonts w:asciiTheme="minorHAnsi" w:hAnsiTheme="minorHAnsi"/>
        </w:rPr>
        <w:t xml:space="preserve">? </w:t>
      </w:r>
      <w:r w:rsidRPr="009E3621">
        <w:rPr>
          <w:rStyle w:val="StyleUnderline"/>
          <w:rFonts w:asciiTheme="minorHAnsi" w:hAnsiTheme="minorHAnsi"/>
        </w:rPr>
        <w:t xml:space="preserve">There is an implicit acceptance here of the post-Enlightenment universalist claims of western narratives. </w:t>
      </w:r>
      <w:r w:rsidRPr="009E3621">
        <w:rPr>
          <w:rFonts w:asciiTheme="minorHAnsi" w:hAnsiTheme="minorHAnsi"/>
        </w:rPr>
        <w:t xml:space="preserve">We can be Afro-centric, Arabo-centric or </w:t>
      </w:r>
      <w:proofErr w:type="spellStart"/>
      <w:r w:rsidRPr="009E3621">
        <w:rPr>
          <w:rFonts w:asciiTheme="minorHAnsi" w:hAnsiTheme="minorHAnsi"/>
        </w:rPr>
        <w:t>Islamo</w:t>
      </w:r>
      <w:proofErr w:type="spellEnd"/>
      <w:r w:rsidRPr="009E3621">
        <w:rPr>
          <w:rFonts w:asciiTheme="minorHAnsi" w:hAnsiTheme="minorHAnsi"/>
        </w:rPr>
        <w:t xml:space="preserve">-centric, or </w:t>
      </w:r>
      <w:r w:rsidRPr="009E3621">
        <w:rPr>
          <w:rStyle w:val="StyleUnderline"/>
          <w:rFonts w:asciiTheme="minorHAnsi" w:hAnsiTheme="minorHAnsi"/>
        </w:rPr>
        <w:t xml:space="preserve">we can speak for the Third Word. But ‘they’ cannot be Eurocentric: ‘they’ speak for </w:t>
      </w:r>
      <w:proofErr w:type="gramStart"/>
      <w:r w:rsidRPr="009E3621">
        <w:rPr>
          <w:rStyle w:val="StyleUnderline"/>
          <w:rFonts w:asciiTheme="minorHAnsi" w:hAnsiTheme="minorHAnsi"/>
        </w:rPr>
        <w:t>humanity as a whole</w:t>
      </w:r>
      <w:proofErr w:type="gramEnd"/>
      <w:r w:rsidRPr="009E3621">
        <w:rPr>
          <w:rStyle w:val="StyleUnderline"/>
          <w:rFonts w:asciiTheme="minorHAnsi" w:hAnsiTheme="minorHAnsi"/>
        </w:rPr>
        <w:t xml:space="preserve">. </w:t>
      </w:r>
      <w:proofErr w:type="gramStart"/>
      <w:r w:rsidRPr="009E3621">
        <w:rPr>
          <w:rStyle w:val="StyleUnderline"/>
          <w:rFonts w:asciiTheme="minorHAnsi" w:hAnsiTheme="minorHAnsi"/>
        </w:rPr>
        <w:t>So</w:t>
      </w:r>
      <w:proofErr w:type="gramEnd"/>
      <w:r w:rsidRPr="009E3621">
        <w:rPr>
          <w:rStyle w:val="StyleUnderline"/>
          <w:rFonts w:asciiTheme="minorHAnsi" w:hAnsiTheme="minorHAnsi"/>
        </w:rPr>
        <w:t xml:space="preserve"> they are cannot be permitted to be Eurocentric, and must live up to their universalist image and role. </w:t>
      </w:r>
      <w:proofErr w:type="gramStart"/>
      <w:r w:rsidRPr="009E3621">
        <w:rPr>
          <w:rStyle w:val="StyleUnderline"/>
          <w:rFonts w:asciiTheme="minorHAnsi" w:hAnsiTheme="minorHAnsi"/>
        </w:rPr>
        <w:t>So</w:t>
      </w:r>
      <w:proofErr w:type="gramEnd"/>
      <w:r w:rsidRPr="009E3621">
        <w:rPr>
          <w:rStyle w:val="StyleUnderline"/>
          <w:rFonts w:asciiTheme="minorHAnsi" w:hAnsiTheme="minorHAnsi"/>
        </w:rPr>
        <w:t xml:space="preserve"> Eurocentrism is built in even in the critical narratives deploring it.</w:t>
      </w:r>
    </w:p>
    <w:p w14:paraId="5204F5C0" w14:textId="77777777" w:rsidR="007246CE" w:rsidRPr="009E3621" w:rsidRDefault="007246CE" w:rsidP="007246CE">
      <w:pPr>
        <w:pStyle w:val="Heading4"/>
      </w:pPr>
      <w:r>
        <w:t>K links to itself – their knowledge relies on European structures too, and thus shouldn’t be universalized</w:t>
      </w:r>
    </w:p>
    <w:p w14:paraId="2354A576" w14:textId="77777777" w:rsidR="007246CE" w:rsidRPr="007246CE" w:rsidRDefault="007246CE" w:rsidP="007246CE">
      <w:pPr>
        <w:rPr>
          <w:rStyle w:val="Style13ptBold"/>
        </w:rPr>
      </w:pPr>
      <w:r w:rsidRPr="007246CE">
        <w:rPr>
          <w:rStyle w:val="Style13ptBold"/>
        </w:rPr>
        <w:t>Wood, advisory editor of Solidarity.org ‘1</w:t>
      </w:r>
    </w:p>
    <w:p w14:paraId="015C6A20" w14:textId="1BA6D702" w:rsidR="007246CE" w:rsidRPr="007246CE" w:rsidRDefault="007246CE" w:rsidP="007246CE">
      <w:r w:rsidRPr="007246CE">
        <w:t xml:space="preserve">(Ellen Meiksins, an advisory editor of Against the Current, Solidarity.org,   A new, revised and substantially expanded edition of Wood's latest book, The Origin of Capitalism, was be published by Verso in 2001, May-June, 2001, Solidarity, “Eurocentric Anti-Eurocentric,” </w:t>
      </w:r>
      <w:hyperlink r:id="rId22" w:history="1">
        <w:r w:rsidRPr="007246CE">
          <w:rPr>
            <w:rStyle w:val="Hyperlink"/>
          </w:rPr>
          <w:t>http://www.solidarity-us.org/site/node/993</w:t>
        </w:r>
      </w:hyperlink>
      <w:r w:rsidRPr="007246CE">
        <w:t>)</w:t>
      </w:r>
    </w:p>
    <w:p w14:paraId="51600153" w14:textId="63DA9DA8" w:rsidR="007246CE" w:rsidRDefault="007246CE" w:rsidP="007246CE">
      <w:pPr>
        <w:rPr>
          <w:rFonts w:asciiTheme="minorHAnsi" w:hAnsiTheme="minorHAnsi"/>
        </w:rPr>
      </w:pPr>
      <w:r w:rsidRPr="009E3621">
        <w:rPr>
          <w:rFonts w:asciiTheme="minorHAnsi" w:hAnsiTheme="minorHAnsi"/>
          <w:sz w:val="12"/>
        </w:rPr>
        <w:t xml:space="preserve"> </w:t>
      </w:r>
      <w:r w:rsidRPr="009E3621">
        <w:rPr>
          <w:rStyle w:val="StyleUnderline"/>
          <w:rFonts w:asciiTheme="minorHAnsi" w:hAnsiTheme="minorHAnsi"/>
        </w:rPr>
        <w:t>Of course, in these narratives it is the West that was most successful in removing such obstacles.  The main impediments have been "parasitic" political and legal forms, like</w:t>
      </w:r>
      <w:r w:rsidRPr="009E3621">
        <w:rPr>
          <w:rFonts w:asciiTheme="minorHAnsi" w:hAnsiTheme="minorHAnsi"/>
        </w:rPr>
        <w:t xml:space="preserve"> feudalism or certain kinds of monarchy, which were cast off by the West. There have also been certain external barriers, like the closing of trade routes by "barbarian" invasions of one kind or another, so that capitalism really took off when the trade routes were reopened.</w:t>
      </w:r>
      <w:r w:rsidRPr="009E3621">
        <w:rPr>
          <w:rFonts w:asciiTheme="minorHAnsi" w:hAnsiTheme="minorHAnsi"/>
          <w:sz w:val="12"/>
        </w:rPr>
        <w:t xml:space="preserve">  </w:t>
      </w:r>
      <w:r w:rsidRPr="009E3621">
        <w:rPr>
          <w:rFonts w:asciiTheme="minorHAnsi" w:hAnsiTheme="minorHAnsi"/>
        </w:rPr>
        <w:t xml:space="preserve">Other impediments often cited in the conventional accounts are "irrational" superstitions and certain kinds of religious or cultural beliefs and practices.  </w:t>
      </w:r>
      <w:proofErr w:type="gramStart"/>
      <w:r w:rsidRPr="009E3621">
        <w:rPr>
          <w:rFonts w:asciiTheme="minorHAnsi" w:hAnsiTheme="minorHAnsi"/>
        </w:rPr>
        <w:t>So</w:t>
      </w:r>
      <w:proofErr w:type="gramEnd"/>
      <w:r w:rsidRPr="009E3621">
        <w:rPr>
          <w:rFonts w:asciiTheme="minorHAnsi" w:hAnsiTheme="minorHAnsi"/>
        </w:rPr>
        <w:t xml:space="preserve"> another common corollary of this view is that economic development in the West was associated with the progress of "reason," which means anything from Enlightenment philosophy to scientific and technological advances and the "rational" (i.e., capitalist) organization of production.  It tends to follow from these accounts that the agents of progress were merchants or "bourgeois," the bearers of reason and freedom, who only needed to be liberated from feudal obstruction so that they could move history forward along its natural and preordained path.</w:t>
      </w:r>
      <w:r w:rsidRPr="009E3621">
        <w:rPr>
          <w:rFonts w:asciiTheme="minorHAnsi" w:hAnsiTheme="minorHAnsi"/>
          <w:sz w:val="12"/>
        </w:rPr>
        <w:t xml:space="preserve">  </w:t>
      </w:r>
      <w:r w:rsidRPr="009E3621">
        <w:rPr>
          <w:rFonts w:asciiTheme="minorHAnsi" w:hAnsiTheme="minorHAnsi"/>
        </w:rPr>
        <w:t>How, then, do anti-Eurocentric histories differ from these classic explanations of the origin of capitalism?  The critiques generally take one or both of two forms.</w:t>
      </w:r>
      <w:r w:rsidRPr="009E3621">
        <w:rPr>
          <w:rFonts w:asciiTheme="minorHAnsi" w:hAnsiTheme="minorHAnsi"/>
          <w:sz w:val="12"/>
        </w:rPr>
        <w:t xml:space="preserve">  </w:t>
      </w:r>
      <w:r w:rsidRPr="009E3621">
        <w:rPr>
          <w:rFonts w:asciiTheme="minorHAnsi" w:hAnsiTheme="minorHAnsi"/>
        </w:rPr>
        <w:t xml:space="preserve">First, they deny </w:t>
      </w:r>
      <w:r w:rsidRPr="009E3621">
        <w:rPr>
          <w:rStyle w:val="StyleUnderline"/>
          <w:rFonts w:asciiTheme="minorHAnsi" w:hAnsiTheme="minorHAnsi"/>
        </w:rPr>
        <w:t>the "superiority" of Europe and emphasize the importance, in fact the dominance, of non-European economies and trading networks throughout most of human history,</w:t>
      </w:r>
      <w:r w:rsidRPr="009E3621">
        <w:rPr>
          <w:rFonts w:asciiTheme="minorHAnsi" w:hAnsiTheme="minorHAnsi"/>
        </w:rPr>
        <w:t xml:space="preserve"> as well as the level of technological development achieved by some of the main actors (for example, Andre </w:t>
      </w:r>
      <w:proofErr w:type="spellStart"/>
      <w:r w:rsidRPr="009E3621">
        <w:rPr>
          <w:rFonts w:asciiTheme="minorHAnsi" w:hAnsiTheme="minorHAnsi"/>
        </w:rPr>
        <w:t>Gunder</w:t>
      </w:r>
      <w:proofErr w:type="spellEnd"/>
      <w:r w:rsidRPr="009E3621">
        <w:rPr>
          <w:rFonts w:asciiTheme="minorHAnsi" w:hAnsiTheme="minorHAnsi"/>
        </w:rPr>
        <w:t xml:space="preserve"> Frank's argument about the Asian-dominated world economy, which, he argues, lasted until 1750-1800 [See note 1]); and/or second, they emphasize the importance of European imperialism in the development of capitalism.</w:t>
      </w:r>
      <w:r w:rsidRPr="009E3621">
        <w:rPr>
          <w:rFonts w:asciiTheme="minorHAnsi" w:hAnsiTheme="minorHAnsi"/>
          <w:sz w:val="12"/>
        </w:rPr>
        <w:t xml:space="preserve">  </w:t>
      </w:r>
      <w:r w:rsidRPr="009E3621">
        <w:rPr>
          <w:rFonts w:asciiTheme="minorHAnsi" w:hAnsiTheme="minorHAnsi"/>
        </w:rPr>
        <w:t xml:space="preserve">Often this second thesis has to do with the role of British imperialism, particularly the profits of sugar plantations and the slave trade, in the development of industrial capitalism, though 1492 is also a major milestone in the earlier rise of capitalism, as it is for J.M. </w:t>
      </w:r>
      <w:proofErr w:type="spellStart"/>
      <w:r w:rsidRPr="009E3621">
        <w:rPr>
          <w:rFonts w:asciiTheme="minorHAnsi" w:hAnsiTheme="minorHAnsi"/>
        </w:rPr>
        <w:t>Blaut</w:t>
      </w:r>
      <w:proofErr w:type="spellEnd"/>
      <w:r w:rsidRPr="009E3621">
        <w:rPr>
          <w:rFonts w:asciiTheme="minorHAnsi" w:hAnsiTheme="minorHAnsi"/>
        </w:rPr>
        <w:t xml:space="preserve">, </w:t>
      </w:r>
      <w:r w:rsidRPr="009E3621">
        <w:rPr>
          <w:rFonts w:asciiTheme="minorHAnsi" w:hAnsiTheme="minorHAnsi"/>
        </w:rPr>
        <w:lastRenderedPageBreak/>
        <w:t>who attributes European economic development in large part to the riches plundered from the Americas.[See note 2]</w:t>
      </w:r>
      <w:r w:rsidRPr="009E3621">
        <w:rPr>
          <w:rFonts w:asciiTheme="minorHAnsi" w:hAnsiTheme="minorHAnsi"/>
          <w:sz w:val="12"/>
        </w:rPr>
        <w:t xml:space="preserve">  </w:t>
      </w:r>
      <w:r w:rsidRPr="009E3621">
        <w:rPr>
          <w:rStyle w:val="StyleUnderline"/>
          <w:rFonts w:asciiTheme="minorHAnsi" w:hAnsiTheme="minorHAnsi"/>
        </w:rPr>
        <w:t>These two theses may be combined in the argument that the dominant non-European trading powers could and probably would have produced capitalism (or maybe even did, though further development was thwarted), if only they hadn't been ripped off by Western imperialism.</w:t>
      </w:r>
      <w:r w:rsidRPr="009E3621">
        <w:rPr>
          <w:rFonts w:asciiTheme="minorHAnsi" w:hAnsiTheme="minorHAnsi"/>
          <w:sz w:val="12"/>
        </w:rPr>
        <w:t xml:space="preserve"> </w:t>
      </w:r>
      <w:r w:rsidRPr="009E3621">
        <w:rPr>
          <w:rFonts w:asciiTheme="minorHAnsi" w:hAnsiTheme="minorHAnsi"/>
        </w:rPr>
        <w:t>Now clearly, no serious historian today would deny the importance of trade and technology in Asia and other parts of the non-European world, or, for that matter, the relatively modest level of development attained by Europeans before the rise of capitalism. Nor would any such historian, especially on the left, deny the importance of imperialism in European history and the tremendous damage it has done. The question, though, is what this has to do with capitalism, and on that score, the anti-Eurocentric arguments tend to fall into precisely those Eurocentric (and bourgeois) traps they are meant to avoid.</w:t>
      </w:r>
      <w:r w:rsidRPr="009E3621">
        <w:rPr>
          <w:rFonts w:asciiTheme="minorHAnsi" w:hAnsiTheme="minorHAnsi"/>
          <w:sz w:val="12"/>
        </w:rPr>
        <w:t xml:space="preserve"> </w:t>
      </w:r>
      <w:r w:rsidRPr="009E3621">
        <w:rPr>
          <w:rFonts w:asciiTheme="minorHAnsi" w:hAnsiTheme="minorHAnsi"/>
        </w:rPr>
        <w:t xml:space="preserve">The remarkable thing about anti-Eurocentric critiques is that they start from the same premises as do the standard Eurocentric explanations, the same commercialization model and the same conception of primitive accumulation. Traders or merchants anywhere and everywhere </w:t>
      </w:r>
      <w:proofErr w:type="gramStart"/>
      <w:r w:rsidRPr="009E3621">
        <w:rPr>
          <w:rFonts w:asciiTheme="minorHAnsi" w:hAnsiTheme="minorHAnsi"/>
        </w:rPr>
        <w:t>are seen as</w:t>
      </w:r>
      <w:proofErr w:type="gramEnd"/>
      <w:r w:rsidRPr="009E3621">
        <w:rPr>
          <w:rFonts w:asciiTheme="minorHAnsi" w:hAnsiTheme="minorHAnsi"/>
        </w:rPr>
        <w:t xml:space="preserve"> potential, if not actual, capitalists, and the more active, wide-ranging, and wealthy they are, the further they are along the road of capitalist development. In that sense, many parts of Asia, Africa, and the Americas were well on their way to capitalism before European imperialism, in one way or another, blocked their path.</w:t>
      </w:r>
      <w:r w:rsidRPr="009E3621">
        <w:rPr>
          <w:rFonts w:asciiTheme="minorHAnsi" w:hAnsiTheme="minorHAnsi"/>
          <w:sz w:val="12"/>
        </w:rPr>
        <w:t xml:space="preserve"> </w:t>
      </w:r>
      <w:r w:rsidRPr="009E3621">
        <w:rPr>
          <w:rFonts w:asciiTheme="minorHAnsi" w:hAnsiTheme="minorHAnsi"/>
        </w:rPr>
        <w:t xml:space="preserve">None of these critics seems to deny that at some point, Europe did diverge from other parts of the world, but this divergence is associated with "bourgeois revolution" and/or with the advent of industrial capitalism, once enough wealth had been accumulated by means of trade and imperial expropriation. Since trade was widespread in other parts of the world, imperialism was the </w:t>
      </w:r>
      <w:proofErr w:type="gramStart"/>
      <w:r w:rsidRPr="009E3621">
        <w:rPr>
          <w:rFonts w:asciiTheme="minorHAnsi" w:hAnsiTheme="minorHAnsi"/>
        </w:rPr>
        <w:t>really essential</w:t>
      </w:r>
      <w:proofErr w:type="gramEnd"/>
      <w:r w:rsidRPr="009E3621">
        <w:rPr>
          <w:rFonts w:asciiTheme="minorHAnsi" w:hAnsiTheme="minorHAnsi"/>
        </w:rPr>
        <w:t xml:space="preserve"> factor in distinguishing Europe from the rest, because it gave European powers the critical mass of wealth that finally differentiated them from other commercial powers.</w:t>
      </w:r>
      <w:r w:rsidRPr="009E3621">
        <w:rPr>
          <w:rFonts w:asciiTheme="minorHAnsi" w:hAnsiTheme="minorHAnsi"/>
          <w:sz w:val="12"/>
        </w:rPr>
        <w:t xml:space="preserve"> </w:t>
      </w:r>
      <w:r w:rsidRPr="009E3621">
        <w:rPr>
          <w:rFonts w:asciiTheme="minorHAnsi" w:hAnsiTheme="minorHAnsi"/>
        </w:rPr>
        <w:t xml:space="preserve">So, for instance, J.M. </w:t>
      </w:r>
      <w:proofErr w:type="spellStart"/>
      <w:r w:rsidRPr="009E3621">
        <w:rPr>
          <w:rFonts w:asciiTheme="minorHAnsi" w:hAnsiTheme="minorHAnsi"/>
        </w:rPr>
        <w:t>Blaut</w:t>
      </w:r>
      <w:proofErr w:type="spellEnd"/>
      <w:r w:rsidRPr="009E3621">
        <w:rPr>
          <w:rFonts w:asciiTheme="minorHAnsi" w:hAnsiTheme="minorHAnsi"/>
        </w:rPr>
        <w:t xml:space="preserve"> talks about "</w:t>
      </w:r>
      <w:proofErr w:type="spellStart"/>
      <w:r w:rsidRPr="009E3621">
        <w:rPr>
          <w:rFonts w:asciiTheme="minorHAnsi" w:hAnsiTheme="minorHAnsi"/>
        </w:rPr>
        <w:t>protocapitalism</w:t>
      </w:r>
      <w:proofErr w:type="spellEnd"/>
      <w:r w:rsidRPr="009E3621">
        <w:rPr>
          <w:rFonts w:asciiTheme="minorHAnsi" w:hAnsiTheme="minorHAnsi"/>
        </w:rPr>
        <w:t>" in Asia, Africa, and Europe and argues that the break which distinguished Europe from the rest occurred only after wealth acquired by looting the Americas made possible two types of revolution in Europe, first the "bourgeois" and then the "industrial." "I use the word `</w:t>
      </w:r>
      <w:proofErr w:type="spellStart"/>
      <w:r w:rsidRPr="009E3621">
        <w:rPr>
          <w:rFonts w:asciiTheme="minorHAnsi" w:hAnsiTheme="minorHAnsi"/>
        </w:rPr>
        <w:t>protocapitalism</w:t>
      </w:r>
      <w:proofErr w:type="spellEnd"/>
      <w:r w:rsidRPr="009E3621">
        <w:rPr>
          <w:rFonts w:asciiTheme="minorHAnsi" w:hAnsiTheme="minorHAnsi"/>
        </w:rPr>
        <w:t>'," he says, "not to introduce a technical term but to avoid the problem of defining another term, `capitalism.'"[See note 3]</w:t>
      </w:r>
      <w:r w:rsidRPr="009E3621">
        <w:rPr>
          <w:rFonts w:asciiTheme="minorHAnsi" w:hAnsiTheme="minorHAnsi"/>
          <w:sz w:val="12"/>
        </w:rPr>
        <w:t xml:space="preserve"> </w:t>
      </w:r>
      <w:r w:rsidRPr="009E3621">
        <w:rPr>
          <w:rFonts w:asciiTheme="minorHAnsi" w:hAnsiTheme="minorHAnsi"/>
        </w:rPr>
        <w:t xml:space="preserve">This evasion is disarmingly candid, but also revealing. Since </w:t>
      </w:r>
      <w:proofErr w:type="spellStart"/>
      <w:r w:rsidRPr="009E3621">
        <w:rPr>
          <w:rFonts w:asciiTheme="minorHAnsi" w:hAnsiTheme="minorHAnsi"/>
        </w:rPr>
        <w:t>Blaut</w:t>
      </w:r>
      <w:proofErr w:type="spellEnd"/>
      <w:r w:rsidRPr="009E3621">
        <w:rPr>
          <w:rFonts w:asciiTheme="minorHAnsi" w:hAnsiTheme="minorHAnsi"/>
        </w:rPr>
        <w:t xml:space="preserve"> does not conceive of capitalism as a specific social form, he can have no clear conception of non- or </w:t>
      </w:r>
      <w:proofErr w:type="spellStart"/>
      <w:r w:rsidRPr="009E3621">
        <w:rPr>
          <w:rFonts w:asciiTheme="minorHAnsi" w:hAnsiTheme="minorHAnsi"/>
        </w:rPr>
        <w:t>precapitalist</w:t>
      </w:r>
      <w:proofErr w:type="spellEnd"/>
      <w:r w:rsidRPr="009E3621">
        <w:rPr>
          <w:rFonts w:asciiTheme="minorHAnsi" w:hAnsiTheme="minorHAnsi"/>
        </w:rPr>
        <w:t xml:space="preserve"> modes of production with different operating principles, and no conception of a transition from one to the other. Commercial practices shade into "</w:t>
      </w:r>
      <w:proofErr w:type="spellStart"/>
      <w:r w:rsidRPr="009E3621">
        <w:rPr>
          <w:rFonts w:asciiTheme="minorHAnsi" w:hAnsiTheme="minorHAnsi"/>
        </w:rPr>
        <w:t>protocapitalism</w:t>
      </w:r>
      <w:proofErr w:type="spellEnd"/>
      <w:r w:rsidRPr="009E3621">
        <w:rPr>
          <w:rFonts w:asciiTheme="minorHAnsi" w:hAnsiTheme="minorHAnsi"/>
        </w:rPr>
        <w:t>," which grows into "modern" capitalism.</w:t>
      </w:r>
      <w:r w:rsidRPr="009E3621">
        <w:rPr>
          <w:rFonts w:asciiTheme="minorHAnsi" w:hAnsiTheme="minorHAnsi"/>
          <w:sz w:val="12"/>
        </w:rPr>
        <w:t xml:space="preserve"> </w:t>
      </w:r>
      <w:r w:rsidRPr="009E3621">
        <w:rPr>
          <w:rFonts w:asciiTheme="minorHAnsi" w:hAnsiTheme="minorHAnsi"/>
        </w:rPr>
        <w:t>"</w:t>
      </w:r>
      <w:proofErr w:type="spellStart"/>
      <w:r w:rsidRPr="009E3621">
        <w:rPr>
          <w:rFonts w:asciiTheme="minorHAnsi" w:hAnsiTheme="minorHAnsi"/>
        </w:rPr>
        <w:t>Protocapitalism</w:t>
      </w:r>
      <w:proofErr w:type="spellEnd"/>
      <w:r w:rsidRPr="009E3621">
        <w:rPr>
          <w:rFonts w:asciiTheme="minorHAnsi" w:hAnsiTheme="minorHAnsi"/>
        </w:rPr>
        <w:t xml:space="preserve">," argues </w:t>
      </w:r>
      <w:proofErr w:type="spellStart"/>
      <w:r w:rsidRPr="009E3621">
        <w:rPr>
          <w:rFonts w:asciiTheme="minorHAnsi" w:hAnsiTheme="minorHAnsi"/>
        </w:rPr>
        <w:t>Blaut</w:t>
      </w:r>
      <w:proofErr w:type="spellEnd"/>
      <w:r w:rsidRPr="009E3621">
        <w:rPr>
          <w:rFonts w:asciiTheme="minorHAnsi" w:hAnsiTheme="minorHAnsi"/>
        </w:rPr>
        <w:t xml:space="preserve">, finally matured in "modern" capitalism because of wealth accumulated from the colonies. Here, Europe had a distinct "locational" advantage because the Americas were relatively accessible to European empires. It was this crucial geographic advantage, </w:t>
      </w:r>
      <w:proofErr w:type="spellStart"/>
      <w:r w:rsidRPr="009E3621">
        <w:rPr>
          <w:rFonts w:asciiTheme="minorHAnsi" w:hAnsiTheme="minorHAnsi"/>
        </w:rPr>
        <w:t>Blaut</w:t>
      </w:r>
      <w:proofErr w:type="spellEnd"/>
      <w:r w:rsidRPr="009E3621">
        <w:rPr>
          <w:rFonts w:asciiTheme="minorHAnsi" w:hAnsiTheme="minorHAnsi"/>
        </w:rPr>
        <w:t xml:space="preserve"> believes, that gave Europe privileged access to the wealth required to jump-start their bourgeois and industrial revolutions.</w:t>
      </w:r>
      <w:r w:rsidRPr="009E3621">
        <w:rPr>
          <w:rFonts w:asciiTheme="minorHAnsi" w:hAnsiTheme="minorHAnsi"/>
          <w:sz w:val="12"/>
        </w:rPr>
        <w:t xml:space="preserve"> </w:t>
      </w:r>
      <w:r w:rsidRPr="009E3621">
        <w:rPr>
          <w:rFonts w:asciiTheme="minorHAnsi" w:hAnsiTheme="minorHAnsi"/>
        </w:rPr>
        <w:t xml:space="preserve">The "bourgeois revolutions," which, according to </w:t>
      </w:r>
      <w:proofErr w:type="spellStart"/>
      <w:r w:rsidRPr="009E3621">
        <w:rPr>
          <w:rFonts w:asciiTheme="minorHAnsi" w:hAnsiTheme="minorHAnsi"/>
        </w:rPr>
        <w:t>Blaut</w:t>
      </w:r>
      <w:proofErr w:type="spellEnd"/>
      <w:r w:rsidRPr="009E3621">
        <w:rPr>
          <w:rFonts w:asciiTheme="minorHAnsi" w:hAnsiTheme="minorHAnsi"/>
        </w:rPr>
        <w:t>, first truly distinguished Europe from the rest of the world, finally gave political power to the classes that had been enriched especially by colonial wealth, and allowed them to get on with the business of capitalist development unhindered by non-capitalist forces. Once they took power, they were able to mobilize the state to facilitate accumulation and create the infrastructure for industrial development. From then on, the Industrial Revolution, though it did not happen overnight, was inevitable.</w:t>
      </w:r>
      <w:r w:rsidRPr="009E3621">
        <w:rPr>
          <w:rFonts w:asciiTheme="minorHAnsi" w:hAnsiTheme="minorHAnsi"/>
          <w:sz w:val="12"/>
        </w:rPr>
        <w:t xml:space="preserve"> </w:t>
      </w:r>
      <w:r w:rsidRPr="009E3621">
        <w:rPr>
          <w:rFonts w:asciiTheme="minorHAnsi" w:hAnsiTheme="minorHAnsi"/>
        </w:rPr>
        <w:t xml:space="preserve">In this version, the echoes of the old Eurocentric and bourgeois narrative are truly uncanny: Not only is European development basically the rise to power of the bourgeoisie, but advanced and wealthy non-European civilizations seem to be cases of arrested development because, even if through no fault of their own, they never did throw off their shackles by means of bourgeois revolution. And here too, just as in classical political economy and its </w:t>
      </w:r>
      <w:r w:rsidRPr="009E3621">
        <w:rPr>
          <w:rFonts w:asciiTheme="minorHAnsi" w:hAnsiTheme="minorHAnsi"/>
        </w:rPr>
        <w:lastRenderedPageBreak/>
        <w:t xml:space="preserve">notion of "primitive accumulation," the leap forward to "modern" capitalism occurred because the bourgeoisie had managed, in one way or another, to accumulate </w:t>
      </w:r>
      <w:proofErr w:type="gramStart"/>
      <w:r w:rsidRPr="009E3621">
        <w:rPr>
          <w:rFonts w:asciiTheme="minorHAnsi" w:hAnsiTheme="minorHAnsi"/>
        </w:rPr>
        <w:t>sufficient</w:t>
      </w:r>
      <w:proofErr w:type="gramEnd"/>
      <w:r w:rsidRPr="009E3621">
        <w:rPr>
          <w:rFonts w:asciiTheme="minorHAnsi" w:hAnsiTheme="minorHAnsi"/>
        </w:rPr>
        <w:t xml:space="preserve"> wealth.</w:t>
      </w:r>
      <w:r w:rsidRPr="009E3621">
        <w:rPr>
          <w:rFonts w:asciiTheme="minorHAnsi" w:hAnsiTheme="minorHAnsi"/>
          <w:sz w:val="12"/>
        </w:rPr>
        <w:t xml:space="preserve"> </w:t>
      </w:r>
      <w:proofErr w:type="spellStart"/>
      <w:r w:rsidRPr="009E3621">
        <w:rPr>
          <w:rFonts w:asciiTheme="minorHAnsi" w:hAnsiTheme="minorHAnsi"/>
        </w:rPr>
        <w:t>Blaut</w:t>
      </w:r>
      <w:proofErr w:type="spellEnd"/>
      <w:r w:rsidRPr="009E3621">
        <w:rPr>
          <w:rFonts w:asciiTheme="minorHAnsi" w:hAnsiTheme="minorHAnsi"/>
        </w:rPr>
        <w:t xml:space="preserve"> tries to dissociate himself from the notion of "primitive accumulation" but seems to miss the point completely.[See note 4] Accumulation from the American colonies, he argues, was not some "primitive" form of accumulation but, from the start, "capital accumulation: of profit." But this proposition simply confirms his affinity to the classic conception, in which "primitive accumulation" is indeed the accumulation of "capital."</w:t>
      </w:r>
      <w:r w:rsidRPr="009E3621">
        <w:rPr>
          <w:rFonts w:asciiTheme="minorHAnsi" w:hAnsiTheme="minorHAnsi"/>
          <w:sz w:val="12"/>
        </w:rPr>
        <w:t xml:space="preserve"> </w:t>
      </w:r>
      <w:r w:rsidRPr="009E3621">
        <w:rPr>
          <w:rFonts w:asciiTheme="minorHAnsi" w:hAnsiTheme="minorHAnsi"/>
        </w:rPr>
        <w:t xml:space="preserve">"Capital," in that conception, is indistinguishable from any other kind of wealth or profit, and capitalism is basically more of the same, just as it is for </w:t>
      </w:r>
      <w:proofErr w:type="spellStart"/>
      <w:r w:rsidRPr="009E3621">
        <w:rPr>
          <w:rFonts w:asciiTheme="minorHAnsi" w:hAnsiTheme="minorHAnsi"/>
        </w:rPr>
        <w:t>Blaut</w:t>
      </w:r>
      <w:proofErr w:type="spellEnd"/>
      <w:r w:rsidRPr="009E3621">
        <w:rPr>
          <w:rFonts w:asciiTheme="minorHAnsi" w:hAnsiTheme="minorHAnsi"/>
        </w:rPr>
        <w:t xml:space="preserve">. "Primitive accumulation" is "primitive" only in the sense that it represents the accumulation of the mass of wealth required before "commercial society" can reach maturity. In that sense, it's very much like </w:t>
      </w:r>
      <w:proofErr w:type="spellStart"/>
      <w:r w:rsidRPr="009E3621">
        <w:rPr>
          <w:rFonts w:asciiTheme="minorHAnsi" w:hAnsiTheme="minorHAnsi"/>
        </w:rPr>
        <w:t>Blaut's</w:t>
      </w:r>
      <w:proofErr w:type="spellEnd"/>
      <w:r w:rsidRPr="009E3621">
        <w:rPr>
          <w:rFonts w:asciiTheme="minorHAnsi" w:hAnsiTheme="minorHAnsi"/>
        </w:rPr>
        <w:t xml:space="preserve"> own conception of early "capital accumulation," which, after 1492 and the looting of the Americas, reached the critical mass that made "mature" capitalism (or, in the terms of classical political economy, "commercial society") possible. Like classical political economy, </w:t>
      </w:r>
      <w:proofErr w:type="spellStart"/>
      <w:r w:rsidRPr="009E3621">
        <w:rPr>
          <w:rFonts w:asciiTheme="minorHAnsi" w:hAnsiTheme="minorHAnsi"/>
        </w:rPr>
        <w:t>Blaut's</w:t>
      </w:r>
      <w:proofErr w:type="spellEnd"/>
      <w:r w:rsidRPr="009E3621">
        <w:rPr>
          <w:rFonts w:asciiTheme="minorHAnsi" w:hAnsiTheme="minorHAnsi"/>
        </w:rPr>
        <w:t xml:space="preserve"> argument evades the issue of the transition to capitalism by presupposing its existence in earlier forms.</w:t>
      </w:r>
      <w:r w:rsidRPr="009E3621">
        <w:rPr>
          <w:rFonts w:asciiTheme="minorHAnsi" w:hAnsiTheme="minorHAnsi"/>
          <w:sz w:val="12"/>
        </w:rPr>
        <w:t xml:space="preserve"> </w:t>
      </w:r>
      <w:r w:rsidRPr="009E3621">
        <w:rPr>
          <w:rFonts w:asciiTheme="minorHAnsi" w:hAnsiTheme="minorHAnsi"/>
        </w:rPr>
        <w:t xml:space="preserve">As we'll see in a moment, a decisive break from the classic model came with Marx's critique of political economy and its notion of "primitive accumulation," his definition of capital not simply as wealth or profit but as a social relation, and his emphasis on the transformation of social property relations as the real "primitive accumulation." Yet critics of Eurocentric history have </w:t>
      </w:r>
      <w:proofErr w:type="gramStart"/>
      <w:r w:rsidRPr="009E3621">
        <w:rPr>
          <w:rFonts w:asciiTheme="minorHAnsi" w:hAnsiTheme="minorHAnsi"/>
        </w:rPr>
        <w:t>more or less returned</w:t>
      </w:r>
      <w:proofErr w:type="gramEnd"/>
      <w:r w:rsidRPr="009E3621">
        <w:rPr>
          <w:rFonts w:asciiTheme="minorHAnsi" w:hAnsiTheme="minorHAnsi"/>
        </w:rPr>
        <w:t xml:space="preserve"> to the old notion.</w:t>
      </w:r>
      <w:r w:rsidRPr="009E3621">
        <w:rPr>
          <w:rFonts w:asciiTheme="minorHAnsi" w:hAnsiTheme="minorHAnsi"/>
          <w:sz w:val="12"/>
        </w:rPr>
        <w:t xml:space="preserve"> </w:t>
      </w:r>
      <w:r w:rsidRPr="009E3621">
        <w:rPr>
          <w:rStyle w:val="StyleUnderline"/>
          <w:rFonts w:asciiTheme="minorHAnsi" w:hAnsiTheme="minorHAnsi"/>
        </w:rPr>
        <w:t>Even at the point where they diverge most emphatically from the classic Eurocentric histories, in their emphasis on imperialism, they simply invert an old Eurocentric principle.</w:t>
      </w:r>
      <w:r w:rsidRPr="009E3621">
        <w:rPr>
          <w:rFonts w:asciiTheme="minorHAnsi" w:hAnsiTheme="minorHAnsi"/>
        </w:rPr>
        <w:t xml:space="preserve"> In the old accounts, Europe surpassed all other civilizations by removing obstacles to the natural development of "commercial society"; in the anti-Eurocentric inversion, the failure of non-Europeans to complete the process of development, despite the fact that they had already come so far, was caused by obstacles created by Western imperialism.</w:t>
      </w:r>
      <w:r w:rsidRPr="009E3621">
        <w:rPr>
          <w:rFonts w:asciiTheme="minorHAnsi" w:hAnsiTheme="minorHAnsi"/>
          <w:sz w:val="12"/>
        </w:rPr>
        <w:t xml:space="preserve"> </w:t>
      </w:r>
      <w:r w:rsidRPr="009E3621">
        <w:rPr>
          <w:rFonts w:asciiTheme="minorHAnsi" w:hAnsiTheme="minorHAnsi"/>
        </w:rPr>
        <w:t>So here again there seems to be no conception of capitalism as a specific social form, with a distinctive social structure, distinctive social relations of production, which compel economic agents to behave in specific ways and generate specific laws of motion. And here again there is no real transition. In much the same way that the old Eurocentric arguments took capitalism for granted, this one too avoids explaining the origin of this specific social form—or to be more precise, denies its specificity and hence evades the question of its origin—by assuming its prior existence ("</w:t>
      </w:r>
      <w:proofErr w:type="spellStart"/>
      <w:r w:rsidRPr="009E3621">
        <w:rPr>
          <w:rFonts w:asciiTheme="minorHAnsi" w:hAnsiTheme="minorHAnsi"/>
        </w:rPr>
        <w:t>protocapitalism</w:t>
      </w:r>
      <w:proofErr w:type="spellEnd"/>
      <w:r w:rsidRPr="009E3621">
        <w:rPr>
          <w:rFonts w:asciiTheme="minorHAnsi" w:hAnsiTheme="minorHAnsi"/>
        </w:rPr>
        <w:t>," not to mention even earlier forms of trade and mercantile activity).</w:t>
      </w:r>
      <w:r w:rsidRPr="009E3621">
        <w:rPr>
          <w:rFonts w:asciiTheme="minorHAnsi" w:hAnsiTheme="minorHAnsi"/>
          <w:sz w:val="12"/>
        </w:rPr>
        <w:t xml:space="preserve"> </w:t>
      </w:r>
      <w:r w:rsidRPr="009E3621">
        <w:rPr>
          <w:rFonts w:asciiTheme="minorHAnsi" w:hAnsiTheme="minorHAnsi"/>
        </w:rPr>
        <w:t>There is no explanation of how a new social form came into being. Instead, the history of capitalism is a story in which age-old social practices, with no historical beginning, have grown and matured—unless their growth and maturation have been thwarted by internal or external obstacles.</w:t>
      </w:r>
      <w:r w:rsidRPr="009E3621">
        <w:rPr>
          <w:rFonts w:asciiTheme="minorHAnsi" w:hAnsiTheme="minorHAnsi"/>
          <w:sz w:val="12"/>
        </w:rPr>
        <w:t xml:space="preserve"> </w:t>
      </w:r>
      <w:r w:rsidRPr="009E3621">
        <w:rPr>
          <w:rStyle w:val="StyleUnderline"/>
          <w:rFonts w:asciiTheme="minorHAnsi" w:hAnsiTheme="minorHAnsi"/>
        </w:rPr>
        <w:t>There are of course variations on the old themes, most of all the attack on imperialism</w:t>
      </w:r>
      <w:r w:rsidRPr="009E3621">
        <w:rPr>
          <w:rFonts w:asciiTheme="minorHAnsi" w:hAnsiTheme="minorHAnsi"/>
        </w:rPr>
        <w:t xml:space="preserve">. There are also other refinements like the idea of "bourgeois revolution"—though even this idea, no matter how much it is dressed up in Marxist trappings, is not fundamentally different from Eurocentric-bourgeois accounts which treat the bourgeoisie as agents of progress and credit them with throwing off the feudal shackles that impeded it. But whatever variations are introduced into the story, basically capitalism is just a lot more of what already existed in </w:t>
      </w:r>
      <w:proofErr w:type="spellStart"/>
      <w:r w:rsidRPr="009E3621">
        <w:rPr>
          <w:rFonts w:asciiTheme="minorHAnsi" w:hAnsiTheme="minorHAnsi"/>
        </w:rPr>
        <w:t>protocapitalism</w:t>
      </w:r>
      <w:proofErr w:type="spellEnd"/>
      <w:r w:rsidRPr="009E3621">
        <w:rPr>
          <w:rFonts w:asciiTheme="minorHAnsi" w:hAnsiTheme="minorHAnsi"/>
        </w:rPr>
        <w:t xml:space="preserve"> and long before: more money, more urbanization, more trade, and more wealth.</w:t>
      </w:r>
    </w:p>
    <w:p w14:paraId="54DF2047" w14:textId="7A55488C" w:rsidR="007D167E" w:rsidRPr="009E3621" w:rsidRDefault="007D167E" w:rsidP="007D167E">
      <w:pPr>
        <w:pStyle w:val="Heading3"/>
      </w:pPr>
      <w:r>
        <w:lastRenderedPageBreak/>
        <w:t>Alt Fails</w:t>
      </w:r>
    </w:p>
    <w:p w14:paraId="1D547ACC" w14:textId="0CC1F92D" w:rsidR="007D167E" w:rsidRPr="009E3621" w:rsidRDefault="007D167E" w:rsidP="007D167E">
      <w:pPr>
        <w:pStyle w:val="Heading4"/>
        <w:rPr>
          <w:rFonts w:asciiTheme="minorHAnsi" w:hAnsiTheme="minorHAnsi"/>
        </w:rPr>
      </w:pPr>
      <w:r w:rsidRPr="009E3621">
        <w:rPr>
          <w:rFonts w:asciiTheme="minorHAnsi" w:hAnsiTheme="minorHAnsi"/>
        </w:rPr>
        <w:t>Critiques of Eurocent</w:t>
      </w:r>
      <w:r w:rsidR="00C543F6">
        <w:rPr>
          <w:rFonts w:asciiTheme="minorHAnsi" w:hAnsiTheme="minorHAnsi"/>
        </w:rPr>
        <w:t>ric colonial international relations</w:t>
      </w:r>
      <w:r w:rsidRPr="009E3621">
        <w:rPr>
          <w:rFonts w:asciiTheme="minorHAnsi" w:hAnsiTheme="minorHAnsi"/>
        </w:rPr>
        <w:t xml:space="preserve"> fail- </w:t>
      </w:r>
    </w:p>
    <w:p w14:paraId="4CF7B183" w14:textId="2E799915" w:rsidR="007D167E" w:rsidRPr="009E3621" w:rsidRDefault="007D167E" w:rsidP="007D167E">
      <w:pPr>
        <w:rPr>
          <w:rStyle w:val="Style13ptBold"/>
          <w:rFonts w:asciiTheme="minorHAnsi" w:hAnsiTheme="minorHAnsi"/>
        </w:rPr>
      </w:pPr>
      <w:r w:rsidRPr="009E3621">
        <w:rPr>
          <w:rStyle w:val="Style13ptBold"/>
          <w:rFonts w:asciiTheme="minorHAnsi" w:hAnsiTheme="minorHAnsi"/>
        </w:rPr>
        <w:t>Wallerstein,</w:t>
      </w:r>
      <w:r w:rsidR="00C543F6">
        <w:rPr>
          <w:rStyle w:val="Style13ptBold"/>
          <w:rFonts w:asciiTheme="minorHAnsi" w:hAnsiTheme="minorHAnsi"/>
        </w:rPr>
        <w:t xml:space="preserve"> </w:t>
      </w:r>
      <w:r w:rsidRPr="009E3621">
        <w:rPr>
          <w:rStyle w:val="Style13ptBold"/>
          <w:rFonts w:asciiTheme="minorHAnsi" w:hAnsiTheme="minorHAnsi"/>
        </w:rPr>
        <w:t>sociologist, historical social scientist, and world-systems analyst, 97</w:t>
      </w:r>
    </w:p>
    <w:p w14:paraId="5561BA6B" w14:textId="7761D47D" w:rsidR="007D167E" w:rsidRPr="009E3621" w:rsidRDefault="007D167E" w:rsidP="007D167E">
      <w:pPr>
        <w:rPr>
          <w:rFonts w:asciiTheme="minorHAnsi" w:hAnsiTheme="minorHAnsi"/>
        </w:rPr>
      </w:pPr>
      <w:r w:rsidRPr="009E3621">
        <w:rPr>
          <w:rFonts w:asciiTheme="minorHAnsi" w:hAnsiTheme="minorHAnsi"/>
        </w:rPr>
        <w:t xml:space="preserve">(Immanuel, </w:t>
      </w:r>
      <w:r w:rsidRPr="009E3621">
        <w:rPr>
          <w:rFonts w:asciiTheme="minorHAnsi" w:eastAsia="Times New Roman" w:hAnsiTheme="minorHAnsi"/>
        </w:rPr>
        <w:t xml:space="preserve">an American sociologist, historical social scientist, and world-systems analyst. His bimonthly commentaries on world affairs are syndicated, </w:t>
      </w:r>
      <w:r w:rsidRPr="009E3621">
        <w:rPr>
          <w:rFonts w:asciiTheme="minorHAnsi" w:hAnsiTheme="minorHAnsi"/>
        </w:rPr>
        <w:t xml:space="preserve">1997, Binghamton.edu "Eurocentrism and its Avatars: The Dilemmas of Social Science," </w:t>
      </w:r>
      <w:r w:rsidRPr="007D167E">
        <w:rPr>
          <w:rFonts w:asciiTheme="minorHAnsi" w:hAnsiTheme="minorHAnsi"/>
        </w:rPr>
        <w:t>http://www2.binghamton.edu/fbc/archive/iweuroc.htm</w:t>
      </w:r>
      <w:r>
        <w:rPr>
          <w:rFonts w:asciiTheme="minorHAnsi" w:hAnsiTheme="minorHAnsi"/>
        </w:rPr>
        <w:t>)</w:t>
      </w:r>
    </w:p>
    <w:p w14:paraId="3336C7B0" w14:textId="77777777" w:rsidR="007D167E" w:rsidRPr="009E3621" w:rsidRDefault="007D167E" w:rsidP="007D167E">
      <w:pPr>
        <w:rPr>
          <w:rFonts w:asciiTheme="minorHAnsi" w:hAnsiTheme="minorHAnsi"/>
        </w:rPr>
      </w:pPr>
      <w:r w:rsidRPr="009E3621">
        <w:rPr>
          <w:rStyle w:val="StyleUnderline"/>
          <w:rFonts w:asciiTheme="minorHAnsi" w:hAnsiTheme="minorHAnsi"/>
        </w:rPr>
        <w:t>The multiple forms of Eurocentrism and the multiple forms of the critique of Eurocentrism do not necessarily add up to a coherent picture. What we might do is try to assess the central debate.</w:t>
      </w:r>
      <w:r w:rsidRPr="009E3621">
        <w:rPr>
          <w:rFonts w:asciiTheme="minorHAnsi" w:hAnsiTheme="minorHAnsi"/>
        </w:rPr>
        <w:t xml:space="preserve"> Institutionalized social science started as an activity in Europe, as we have noted. It has been charged with painting a false picture of social reality by misreading, grossly exaggerating, and/or distorting the historical role of Europe, particularly its historical role in the modern world.</w:t>
      </w:r>
      <w:r w:rsidRPr="009E3621">
        <w:rPr>
          <w:rFonts w:asciiTheme="minorHAnsi" w:hAnsiTheme="minorHAnsi"/>
          <w:sz w:val="12"/>
        </w:rPr>
        <w:t xml:space="preserve">¶ </w:t>
      </w:r>
      <w:r w:rsidRPr="009E3621">
        <w:rPr>
          <w:rStyle w:val="StyleUnderline"/>
          <w:rFonts w:asciiTheme="minorHAnsi" w:hAnsiTheme="minorHAnsi"/>
        </w:rPr>
        <w:t>The critics fundamentally make, however, three different (and somewhat contradictory) kinds of claims.</w:t>
      </w:r>
      <w:r w:rsidRPr="009E3621">
        <w:rPr>
          <w:rFonts w:asciiTheme="minorHAnsi" w:hAnsiTheme="minorHAnsi"/>
        </w:rPr>
        <w:t xml:space="preserve"> The first is that whatever it is that Europe did, other civilizations were also in the process of doing it, up to the moment that Europe used its </w:t>
      </w:r>
      <w:proofErr w:type="spellStart"/>
      <w:r w:rsidRPr="009E3621">
        <w:rPr>
          <w:rFonts w:asciiTheme="minorHAnsi" w:hAnsiTheme="minorHAnsi"/>
        </w:rPr>
        <w:t>geopoliticaL</w:t>
      </w:r>
      <w:proofErr w:type="spellEnd"/>
      <w:r w:rsidRPr="009E3621">
        <w:rPr>
          <w:rFonts w:asciiTheme="minorHAnsi" w:hAnsiTheme="minorHAnsi"/>
        </w:rPr>
        <w:t xml:space="preserve"> power to interrupt the process in other parts of the world. The second is that whatever Europe did is nothing more than a continuation of what others had already been doing for a long time, with the Europeans temporarily coming to the foreground. The third is that whatever Europe did has been analyzed incorrectly and subjected to inappropriate extrapolations, which have had dangerous consequences for both science and the political world. The first two arguments, widely offered, seem to me to suffer from what I would term </w:t>
      </w:r>
      <w:r w:rsidRPr="009E3621">
        <w:rPr>
          <w:rStyle w:val="StyleUnderline"/>
          <w:rFonts w:asciiTheme="minorHAnsi" w:hAnsiTheme="minorHAnsi"/>
        </w:rPr>
        <w:t>"anti-Eurocentric Eurocentrism."</w:t>
      </w:r>
      <w:r w:rsidRPr="009E3621">
        <w:rPr>
          <w:rFonts w:asciiTheme="minorHAnsi" w:hAnsiTheme="minorHAnsi"/>
        </w:rPr>
        <w:t xml:space="preserve"> The third argument seems to me to be undoubtedly </w:t>
      </w:r>
      <w:proofErr w:type="gramStart"/>
      <w:r w:rsidRPr="009E3621">
        <w:rPr>
          <w:rFonts w:asciiTheme="minorHAnsi" w:hAnsiTheme="minorHAnsi"/>
        </w:rPr>
        <w:t>correct, and</w:t>
      </w:r>
      <w:proofErr w:type="gramEnd"/>
      <w:r w:rsidRPr="009E3621">
        <w:rPr>
          <w:rFonts w:asciiTheme="minorHAnsi" w:hAnsiTheme="minorHAnsi"/>
        </w:rPr>
        <w:t xml:space="preserve"> deserves our full attention. What kind of curious animal could "anti-Eurocentric Eurocentrism" be? Let us take each of these arguments in turn.</w:t>
      </w:r>
      <w:r w:rsidRPr="009E3621">
        <w:rPr>
          <w:rFonts w:asciiTheme="minorHAnsi" w:hAnsiTheme="minorHAnsi"/>
          <w:sz w:val="12"/>
        </w:rPr>
        <w:t xml:space="preserve">¶ </w:t>
      </w:r>
      <w:r w:rsidRPr="009E3621">
        <w:rPr>
          <w:rFonts w:asciiTheme="minorHAnsi" w:hAnsiTheme="minorHAnsi"/>
        </w:rPr>
        <w:t>There have been throughout the twentieth century persons who have argued that, within the framework of say Chinese, or Indian, or Arab-Muslim "civilization," there existed both the cultural foundations and the socio-historical pattern of development that would have led to the emergence of full-fledged modern capitalism, or indeed was in the process of leading in that direction. In the case of Japan, the argument is often even stronger, asserting that modern capitalism did develop there, separately but temporally coincident with its development in Europe. The heart of most of these arguments is a stage theory of development (frequently its Marxist variant), from which it logically followed that different parts of the world were all on parallel roads to modernity or capitalism. This form of argument presumed both the distinctiveness and social autonomy of the various civilizational regions of the world on the one hand and their common subordination to an overarching pattern on the other.</w:t>
      </w:r>
      <w:r w:rsidRPr="009E3621">
        <w:rPr>
          <w:rFonts w:asciiTheme="minorHAnsi" w:hAnsiTheme="minorHAnsi"/>
          <w:sz w:val="12"/>
        </w:rPr>
        <w:t xml:space="preserve">¶ </w:t>
      </w:r>
      <w:r w:rsidRPr="009E3621">
        <w:rPr>
          <w:rFonts w:asciiTheme="minorHAnsi" w:hAnsiTheme="minorHAnsi"/>
        </w:rPr>
        <w:t xml:space="preserve">Since almost all the various arguments of this kind are specific to a given cultural zone and its historical development, it would be a massive exercise to discuss the historical plausibility of the case of each civilizational zone under discussion. I do not propose to do so here. What I would point out is </w:t>
      </w:r>
      <w:r w:rsidRPr="009E3621">
        <w:rPr>
          <w:rStyle w:val="Emphasis"/>
          <w:rFonts w:asciiTheme="minorHAnsi" w:hAnsiTheme="minorHAnsi"/>
        </w:rPr>
        <w:t>one logical limitation to this line of argument whatever the region under discussion, and one general intellectual consequence.</w:t>
      </w:r>
      <w:r w:rsidRPr="009E3621">
        <w:rPr>
          <w:rFonts w:asciiTheme="minorHAnsi" w:hAnsiTheme="minorHAnsi"/>
        </w:rPr>
        <w:t xml:space="preserve"> The logical </w:t>
      </w:r>
      <w:proofErr w:type="spellStart"/>
      <w:r w:rsidRPr="009E3621">
        <w:rPr>
          <w:rFonts w:asciiTheme="minorHAnsi" w:hAnsiTheme="minorHAnsi"/>
        </w:rPr>
        <w:t>limitAtion</w:t>
      </w:r>
      <w:proofErr w:type="spellEnd"/>
      <w:r w:rsidRPr="009E3621">
        <w:rPr>
          <w:rFonts w:asciiTheme="minorHAnsi" w:hAnsiTheme="minorHAnsi"/>
        </w:rPr>
        <w:t xml:space="preserve"> is </w:t>
      </w:r>
      <w:proofErr w:type="gramStart"/>
      <w:r w:rsidRPr="009E3621">
        <w:rPr>
          <w:rFonts w:asciiTheme="minorHAnsi" w:hAnsiTheme="minorHAnsi"/>
        </w:rPr>
        <w:t>very obvious</w:t>
      </w:r>
      <w:proofErr w:type="gramEnd"/>
      <w:r w:rsidRPr="009E3621">
        <w:rPr>
          <w:rFonts w:asciiTheme="minorHAnsi" w:hAnsiTheme="minorHAnsi"/>
        </w:rPr>
        <w:t xml:space="preserve">. Even if it is true that various other parts of the world were going down the road to modernity/capitalism, perhaps were even far along this road, this still leaves us with the problem of accounting for the fact that it was the West, or Europe, that reached there first, and was consequently able to "conquer the world." At this point, we are back to the question as origin- ally posed, why modernity/capitalism in the West? </w:t>
      </w:r>
      <w:r w:rsidRPr="009E3621">
        <w:rPr>
          <w:rFonts w:asciiTheme="minorHAnsi" w:hAnsiTheme="minorHAnsi"/>
          <w:sz w:val="12"/>
        </w:rPr>
        <w:t xml:space="preserve">¶ </w:t>
      </w:r>
      <w:r w:rsidRPr="009E3621">
        <w:rPr>
          <w:rFonts w:asciiTheme="minorHAnsi" w:hAnsiTheme="minorHAnsi"/>
        </w:rPr>
        <w:t xml:space="preserve">Of course, today there are some who are denying that Europe in a deep sense did conquer the world on the grounds that there has| always been resistance, but this seems to me to be stretching our reading of reality. There was after all real colonial conquest </w:t>
      </w:r>
      <w:r w:rsidRPr="009E3621">
        <w:rPr>
          <w:rFonts w:asciiTheme="minorHAnsi" w:hAnsiTheme="minorHAnsi"/>
        </w:rPr>
        <w:lastRenderedPageBreak/>
        <w:t xml:space="preserve">that covered a large portion of the globe. There are after all rea military indicators of European strength. No doubt there were always multiple forms of resistance, both active and passive, but if the resistance were truly so formidable, there would be nothing for us to discuss today. If we insist too much on non-European agency as a theme, we end up whitewashing all of Europe's sins, or at least most of them. This seems to me not what the critics were </w:t>
      </w:r>
      <w:proofErr w:type="gramStart"/>
      <w:r w:rsidRPr="009E3621">
        <w:rPr>
          <w:rFonts w:asciiTheme="minorHAnsi" w:hAnsiTheme="minorHAnsi"/>
        </w:rPr>
        <w:t>intending.</w:t>
      </w:r>
      <w:r w:rsidRPr="009E3621">
        <w:rPr>
          <w:rFonts w:asciiTheme="minorHAnsi" w:hAnsiTheme="minorHAnsi"/>
          <w:sz w:val="12"/>
        </w:rPr>
        <w:t>¶</w:t>
      </w:r>
      <w:proofErr w:type="gramEnd"/>
      <w:r w:rsidRPr="009E3621">
        <w:rPr>
          <w:rFonts w:asciiTheme="minorHAnsi" w:hAnsiTheme="minorHAnsi"/>
          <w:sz w:val="12"/>
        </w:rPr>
        <w:t xml:space="preserve"> </w:t>
      </w:r>
      <w:r w:rsidRPr="009E3621">
        <w:rPr>
          <w:rFonts w:asciiTheme="minorHAnsi" w:hAnsiTheme="minorHAnsi"/>
        </w:rPr>
        <w:t>In any case, however temporary we deem Europe's domination to be, we still need to explain it. Most of the critics pursuing this line of argument are more interested in explaining how Europe interrupted an indigenous process in their part of the world than in| explaining how it was that Europe was able to do this. Even more to the point, by attempting to diminish Europe's credit for this deed, this presumed "achievement," they reinforce the theme that it was an achievement. The theory makes Europe into an "evil hero" - no doubt evil, but also no doubt a hero in the dramatic sense of the term, for it was Europe that made the final spurt in the race and crossed the finish line first. And worse still, there is the implication, not too far beneath the surface, that, given half a chance, Chinese, or Indians, or Arabs not only could have, but would have, done the same - that is, launch modernity/capitalism, conquer the world, exploit resources and people, and play themselves the role of evil hero.</w:t>
      </w:r>
      <w:r w:rsidRPr="009E3621">
        <w:rPr>
          <w:rFonts w:asciiTheme="minorHAnsi" w:hAnsiTheme="minorHAnsi"/>
          <w:sz w:val="12"/>
        </w:rPr>
        <w:t xml:space="preserve">¶ </w:t>
      </w:r>
      <w:r w:rsidRPr="009E3621">
        <w:rPr>
          <w:rStyle w:val="Emphasis"/>
          <w:rFonts w:asciiTheme="minorHAnsi" w:hAnsiTheme="minorHAnsi"/>
        </w:rPr>
        <w:t xml:space="preserve">This view of modern history seems to be very Eurocentric in its anti-Eurocentrism, </w:t>
      </w:r>
      <w:r w:rsidRPr="009E3621">
        <w:rPr>
          <w:rStyle w:val="StyleUnderline"/>
          <w:rFonts w:asciiTheme="minorHAnsi" w:hAnsiTheme="minorHAnsi"/>
        </w:rPr>
        <w:t>because it accepts the significance (that is, the value) of the European "achievement" in precisely the terms that Europe has defined it, and merely asserts that others could have done it too, or were doing it too.</w:t>
      </w:r>
      <w:r w:rsidRPr="009E3621">
        <w:rPr>
          <w:rFonts w:asciiTheme="minorHAnsi" w:hAnsiTheme="minorHAnsi"/>
        </w:rPr>
        <w:t xml:space="preserve"> For some possibly accidental reason, Europe got a temporary edge on the others and interfered with their development forcibly. The assertion that we others could have been Europeans too seems to me a very feeble way of opposing Eurocentrism, and actually reinforces the worst consequences of Eurocentric thought for social knowledge.</w:t>
      </w:r>
      <w:r w:rsidRPr="009E3621">
        <w:rPr>
          <w:rFonts w:asciiTheme="minorHAnsi" w:hAnsiTheme="minorHAnsi"/>
          <w:sz w:val="12"/>
        </w:rPr>
        <w:t xml:space="preserve">¶ </w:t>
      </w:r>
      <w:r w:rsidRPr="009E3621">
        <w:rPr>
          <w:rFonts w:asciiTheme="minorHAnsi" w:hAnsiTheme="minorHAnsi"/>
        </w:rPr>
        <w:t>The second line of opposition to Eurocentric analyses is that which denies that there is anything really new in what Europe did. This line of argument starts by pointing out that, as of the late Middle Ages, and indeed for a long time before that, western Europe was a marginal (peripheral) area of the Eurasian continent, whose historical role and cultural achievements were below the level of various other parts of the world (such as the Arab world or China). This is undoubtedly true, at least as a first-level generalization. A quick jump is then made to situating modern Europe within the construction of an ecumene or world structure that has been in creation for several thousand years (see various authors in Sanderson, 1995). This is not implausible, but the systemic meaningfulness of this ecumene has yet to be established, in my view. We then come to the third element in the sequence. It is said to follow from the prior marginality of western Europe and the millennial construction of a Eurasian world ecumene that whatever happened in western Europe was nothing special and simply one more variant in the historical construction of a singular system.</w:t>
      </w:r>
      <w:r w:rsidRPr="009E3621">
        <w:rPr>
          <w:rFonts w:asciiTheme="minorHAnsi" w:hAnsiTheme="minorHAnsi"/>
          <w:sz w:val="12"/>
        </w:rPr>
        <w:t xml:space="preserve">¶ </w:t>
      </w:r>
      <w:r w:rsidRPr="009E3621">
        <w:rPr>
          <w:rFonts w:asciiTheme="minorHAnsi" w:hAnsiTheme="minorHAnsi"/>
        </w:rPr>
        <w:t xml:space="preserve">This latter argument seems to me conceptually and historically very wrong. I do not intend however to reargue this case (see Wallerstein, 1992a). I wish merely to underline the ways in which this is anti-Eurocentric Eurocentrism. Logically, it requires arguing that capitalism is nothing new, and indeed some of those who argue the continuity of the development of the Eurasian ecumene have explicitly taken this position. Unlike the position of those who are arguing that a given other civilization was also </w:t>
      </w:r>
      <w:proofErr w:type="spellStart"/>
      <w:r w:rsidRPr="009E3621">
        <w:rPr>
          <w:rFonts w:asciiTheme="minorHAnsi" w:hAnsiTheme="minorHAnsi"/>
        </w:rPr>
        <w:t>en</w:t>
      </w:r>
      <w:proofErr w:type="spellEnd"/>
      <w:r w:rsidRPr="009E3621">
        <w:rPr>
          <w:rFonts w:asciiTheme="minorHAnsi" w:hAnsiTheme="minorHAnsi"/>
        </w:rPr>
        <w:t xml:space="preserve"> route to capitalism when Europe interfered with this process, the argument here is that we were all of us doing this together, and that there was no real development towards capitalism because the whole world (or at least the whole Eurasian ecumene) was always capitalist in some sense.</w:t>
      </w:r>
      <w:r w:rsidRPr="009E3621">
        <w:rPr>
          <w:rFonts w:asciiTheme="minorHAnsi" w:hAnsiTheme="minorHAnsi"/>
          <w:sz w:val="12"/>
        </w:rPr>
        <w:t xml:space="preserve">¶ </w:t>
      </w:r>
      <w:r w:rsidRPr="009E3621">
        <w:rPr>
          <w:rFonts w:asciiTheme="minorHAnsi" w:hAnsiTheme="minorHAnsi"/>
        </w:rPr>
        <w:t xml:space="preserve">Let me point out first of all that this is the classic position of the liberal economists. This is not </w:t>
      </w:r>
      <w:proofErr w:type="gramStart"/>
      <w:r w:rsidRPr="009E3621">
        <w:rPr>
          <w:rFonts w:asciiTheme="minorHAnsi" w:hAnsiTheme="minorHAnsi"/>
        </w:rPr>
        <w:t>really different</w:t>
      </w:r>
      <w:proofErr w:type="gramEnd"/>
      <w:r w:rsidRPr="009E3621">
        <w:rPr>
          <w:rFonts w:asciiTheme="minorHAnsi" w:hAnsiTheme="minorHAnsi"/>
        </w:rPr>
        <w:t xml:space="preserve"> from Adam Smith arguing that there exists a "propensity [in human nature] to truck, barter, and exchange one thing for another" (1937, 13). It eliminates essential differences between different historical systems. If the Chinese, the Egyptians, and the Western Europeans have all been doing the same thing historically, in </w:t>
      </w:r>
      <w:r w:rsidRPr="009E3621">
        <w:rPr>
          <w:rFonts w:asciiTheme="minorHAnsi" w:hAnsiTheme="minorHAnsi"/>
        </w:rPr>
        <w:lastRenderedPageBreak/>
        <w:t xml:space="preserve">what sense are they different civilizations, or different historical systems? (per contra, see Amin 1991). In eliminating credit to Europe, is there any credit left to anyone except to pan-humanity? </w:t>
      </w:r>
      <w:r w:rsidRPr="009E3621">
        <w:rPr>
          <w:rFonts w:asciiTheme="minorHAnsi" w:hAnsiTheme="minorHAnsi"/>
          <w:sz w:val="12"/>
        </w:rPr>
        <w:t xml:space="preserve">¶ </w:t>
      </w:r>
      <w:r w:rsidRPr="009E3621">
        <w:rPr>
          <w:rFonts w:asciiTheme="minorHAnsi" w:hAnsiTheme="minorHAnsi"/>
        </w:rPr>
        <w:t xml:space="preserve">But again worst of all, </w:t>
      </w:r>
      <w:r w:rsidRPr="009E3621">
        <w:rPr>
          <w:rStyle w:val="StyleUnderline"/>
          <w:rFonts w:asciiTheme="minorHAnsi" w:hAnsiTheme="minorHAnsi"/>
        </w:rPr>
        <w:t xml:space="preserve">by appropriating what modern Europe did for the balance-sheet of the Eurasian ecumene, we are accepting the essential ideological argument of Eurocentrism, that modernity (or capitalism) is miraculous, and wonderful, and merely </w:t>
      </w:r>
      <w:proofErr w:type="spellStart"/>
      <w:r w:rsidRPr="009E3621">
        <w:rPr>
          <w:rStyle w:val="StyleUnderline"/>
          <w:rFonts w:asciiTheme="minorHAnsi" w:hAnsiTheme="minorHAnsi"/>
        </w:rPr>
        <w:t>addding</w:t>
      </w:r>
      <w:proofErr w:type="spellEnd"/>
      <w:r w:rsidRPr="009E3621">
        <w:rPr>
          <w:rStyle w:val="StyleUnderline"/>
          <w:rFonts w:asciiTheme="minorHAnsi" w:hAnsiTheme="minorHAnsi"/>
        </w:rPr>
        <w:t xml:space="preserve"> that everyone has always been doing it in one way or another.</w:t>
      </w:r>
      <w:r w:rsidRPr="009E3621">
        <w:rPr>
          <w:rFonts w:asciiTheme="minorHAnsi" w:hAnsiTheme="minorHAnsi"/>
        </w:rPr>
        <w:t xml:space="preserve"> By denying European credit, we deny European blame. What is so terrible about Europe's "conquest of the world" if it is nothing but the latest part of the ongoing march of the ecumene? Far from being a form of argument that is critical of Europe, it implies applause that Europe, having been a "marginal" part of the ecumene, at last learned the wisdom of the others (and elders) and applied it successfully.</w:t>
      </w:r>
      <w:r w:rsidRPr="009E3621">
        <w:rPr>
          <w:rFonts w:asciiTheme="minorHAnsi" w:hAnsiTheme="minorHAnsi"/>
          <w:sz w:val="12"/>
        </w:rPr>
        <w:t xml:space="preserve">¶ </w:t>
      </w:r>
      <w:r w:rsidRPr="009E3621">
        <w:rPr>
          <w:rFonts w:asciiTheme="minorHAnsi" w:hAnsiTheme="minorHAnsi"/>
        </w:rPr>
        <w:t>And the unspoken clincher follows inevitably. If the Eurasian ecumene has been following a single thread for thousands of years, and the capitalist world-system is nothing new, then what possible argument is there that would indicate that this thread will not continue forever, or at least for an indefinitely long time? If capitalism did not begin in the sixteenth (or the eighteenth) century, it is surely not about to end in the twenty-first. Personally, I simply do not believe this, and I have made the case in several recent writings (Wallerstein, 1995; Hopkins &amp; Wallerstein, 1996). My main point, however, here, is that this line of argument is in no way anti-Eurocentric, since it accepts the basic set of values that have been put forward by Europe in its period of world dominance, and thereby in fact denies and/or undermines competing value systems that were, or are, in honor in other parts of the world.</w:t>
      </w:r>
    </w:p>
    <w:p w14:paraId="57977FD5" w14:textId="77777777" w:rsidR="007D167E" w:rsidRPr="009E3621" w:rsidRDefault="007D167E" w:rsidP="007D167E">
      <w:pPr>
        <w:pStyle w:val="Heading3"/>
        <w:rPr>
          <w:rFonts w:asciiTheme="minorHAnsi" w:hAnsiTheme="minorHAnsi"/>
        </w:rPr>
      </w:pPr>
      <w:r w:rsidRPr="009E3621">
        <w:rPr>
          <w:rFonts w:asciiTheme="minorHAnsi" w:hAnsiTheme="minorHAnsi"/>
        </w:rPr>
        <w:lastRenderedPageBreak/>
        <w:t>Turn – Rejection = Worse Alternatives Fill In</w:t>
      </w:r>
    </w:p>
    <w:p w14:paraId="6A0FE080" w14:textId="77777777" w:rsidR="007D167E" w:rsidRPr="009E3621" w:rsidRDefault="007D167E" w:rsidP="007D167E">
      <w:pPr>
        <w:pStyle w:val="Heading4"/>
        <w:rPr>
          <w:rFonts w:asciiTheme="minorHAnsi" w:hAnsiTheme="minorHAnsi"/>
        </w:rPr>
      </w:pPr>
      <w:r w:rsidRPr="009E3621">
        <w:rPr>
          <w:rFonts w:asciiTheme="minorHAnsi" w:hAnsiTheme="minorHAnsi"/>
        </w:rPr>
        <w:t>Rejecting or eradicating Eurocentrism just allows other worse pervasive and exclusionary form of epistemology and knowledge production from seeping in - turns the K</w:t>
      </w:r>
    </w:p>
    <w:p w14:paraId="7E246B55" w14:textId="77777777" w:rsidR="007D167E" w:rsidRPr="009E3621" w:rsidRDefault="007D167E" w:rsidP="007D167E">
      <w:pPr>
        <w:tabs>
          <w:tab w:val="left" w:pos="90"/>
        </w:tabs>
        <w:rPr>
          <w:rStyle w:val="Style13ptBold"/>
          <w:rFonts w:asciiTheme="minorHAnsi" w:hAnsiTheme="minorHAnsi"/>
        </w:rPr>
      </w:pPr>
      <w:r w:rsidRPr="009E3621">
        <w:rPr>
          <w:rStyle w:val="Style13ptBold"/>
          <w:rFonts w:asciiTheme="minorHAnsi" w:hAnsiTheme="minorHAnsi"/>
        </w:rPr>
        <w:t>Wallerstein, is an American sociologist, historical social scientist, and world-systems analyst, 97</w:t>
      </w:r>
    </w:p>
    <w:p w14:paraId="56369E1A" w14:textId="50018E9C" w:rsidR="007D167E" w:rsidRPr="009E3621" w:rsidRDefault="007D167E" w:rsidP="007D167E">
      <w:pPr>
        <w:tabs>
          <w:tab w:val="left" w:pos="90"/>
        </w:tabs>
        <w:rPr>
          <w:rFonts w:asciiTheme="minorHAnsi" w:hAnsiTheme="minorHAnsi"/>
        </w:rPr>
      </w:pPr>
      <w:r w:rsidRPr="009E3621">
        <w:rPr>
          <w:rFonts w:asciiTheme="minorHAnsi" w:hAnsiTheme="minorHAnsi"/>
        </w:rPr>
        <w:t xml:space="preserve">(Immanuel, </w:t>
      </w:r>
      <w:r w:rsidRPr="009E3621">
        <w:rPr>
          <w:rFonts w:asciiTheme="minorHAnsi" w:eastAsia="Times New Roman" w:hAnsiTheme="minorHAnsi"/>
        </w:rPr>
        <w:t xml:space="preserve">an American sociologist, historical social scientist, and world-systems analyst. His bimonthly commentaries on world affairs are syndicated, </w:t>
      </w:r>
      <w:r w:rsidRPr="009E3621">
        <w:rPr>
          <w:rFonts w:asciiTheme="minorHAnsi" w:hAnsiTheme="minorHAnsi"/>
        </w:rPr>
        <w:t xml:space="preserve">1997, Binghamton.edu "Eurocentrism and its Avatars: The Dilemmas of Social Science," </w:t>
      </w:r>
      <w:hyperlink r:id="rId23" w:history="1">
        <w:r w:rsidRPr="009E3621">
          <w:rPr>
            <w:rStyle w:val="Hyperlink"/>
            <w:rFonts w:asciiTheme="minorHAnsi" w:hAnsiTheme="minorHAnsi"/>
          </w:rPr>
          <w:t>http://www2.binghamton.edu/fbc/archive/iweuroc.htm</w:t>
        </w:r>
      </w:hyperlink>
      <w:r>
        <w:rPr>
          <w:rFonts w:asciiTheme="minorHAnsi" w:hAnsiTheme="minorHAnsi"/>
        </w:rPr>
        <w:t>)</w:t>
      </w:r>
    </w:p>
    <w:p w14:paraId="560E8526" w14:textId="77777777" w:rsidR="007D167E" w:rsidRPr="009E3621" w:rsidRDefault="007D167E" w:rsidP="007D167E">
      <w:pPr>
        <w:tabs>
          <w:tab w:val="left" w:pos="90"/>
        </w:tabs>
        <w:rPr>
          <w:rFonts w:asciiTheme="minorHAnsi" w:hAnsiTheme="minorHAnsi"/>
        </w:rPr>
      </w:pPr>
      <w:r w:rsidRPr="009E3621">
        <w:rPr>
          <w:rStyle w:val="StyleUnderline"/>
          <w:rFonts w:asciiTheme="minorHAnsi" w:hAnsiTheme="minorHAnsi"/>
        </w:rPr>
        <w:t>This kind of revisionist historiography is often persuasive in detail, and certainly tends to be cumulative. At a certain point, the debunking, or deconstructing, may become pervasive, and perhaps a counter-theory take hold.</w:t>
      </w:r>
      <w:r w:rsidRPr="009E3621">
        <w:rPr>
          <w:rFonts w:asciiTheme="minorHAnsi" w:hAnsiTheme="minorHAnsi"/>
        </w:rPr>
        <w:t xml:space="preserve"> This is, for example, what seems to be happening (or has already happened) with the historiography of the French Revolution, where the so-called social interpretation that had dominated the literature for at least a century and a half was challenged and then to some degree toppled in the last thirty years. We are probably </w:t>
      </w:r>
      <w:proofErr w:type="gramStart"/>
      <w:r w:rsidRPr="009E3621">
        <w:rPr>
          <w:rFonts w:asciiTheme="minorHAnsi" w:hAnsiTheme="minorHAnsi"/>
        </w:rPr>
        <w:t>entering into</w:t>
      </w:r>
      <w:proofErr w:type="gramEnd"/>
      <w:r w:rsidRPr="009E3621">
        <w:rPr>
          <w:rFonts w:asciiTheme="minorHAnsi" w:hAnsiTheme="minorHAnsi"/>
        </w:rPr>
        <w:t xml:space="preserve"> such a so-called paradigmatic shift right now in the basic historiography of modernity. </w:t>
      </w:r>
    </w:p>
    <w:p w14:paraId="0616F945" w14:textId="50F6E858" w:rsidR="007D167E" w:rsidRDefault="007D167E" w:rsidP="007D167E">
      <w:pPr>
        <w:tabs>
          <w:tab w:val="left" w:pos="90"/>
        </w:tabs>
        <w:rPr>
          <w:rStyle w:val="StyleUnderline"/>
          <w:rFonts w:asciiTheme="minorHAnsi" w:hAnsiTheme="minorHAnsi"/>
        </w:rPr>
      </w:pPr>
      <w:r w:rsidRPr="009E3621">
        <w:rPr>
          <w:rStyle w:val="StyleUnderline"/>
          <w:rFonts w:asciiTheme="minorHAnsi" w:hAnsiTheme="minorHAnsi"/>
        </w:rPr>
        <w:t xml:space="preserve">Whenever such a shift happens, however, we ought to take a deep breath, step back, and evaluate whether the alternative hypotheses are indeed more plausible, and most of all whether they really break with the crucial underlying premises of the formerly dominant hypotheses. </w:t>
      </w:r>
      <w:r w:rsidRPr="009E3621">
        <w:rPr>
          <w:rFonts w:asciiTheme="minorHAnsi" w:hAnsiTheme="minorHAnsi"/>
        </w:rPr>
        <w:t xml:space="preserve">This is the question I wish to raise in relation to the historiography of European presumed achievements in the modern world. It is under assault. </w:t>
      </w:r>
      <w:r w:rsidRPr="009E3621">
        <w:rPr>
          <w:rStyle w:val="StyleUnderline"/>
          <w:rFonts w:asciiTheme="minorHAnsi" w:hAnsiTheme="minorHAnsi"/>
        </w:rPr>
        <w:t xml:space="preserve">What is being proposed as a replacement? And how different is this replacement? Before, however, we can tackle this large question, we must review some of the other critiques of Eurocentrism. </w:t>
      </w:r>
    </w:p>
    <w:p w14:paraId="187FA92E" w14:textId="0087790E" w:rsidR="002C0611" w:rsidRDefault="002C0611" w:rsidP="002C0611">
      <w:pPr>
        <w:pStyle w:val="Heading3"/>
        <w:rPr>
          <w:rFonts w:eastAsia="Calibri"/>
        </w:rPr>
      </w:pPr>
      <w:r>
        <w:rPr>
          <w:rFonts w:eastAsia="Calibri"/>
        </w:rPr>
        <w:lastRenderedPageBreak/>
        <w:t>Turn – Alt is Appropriation</w:t>
      </w:r>
    </w:p>
    <w:p w14:paraId="71B57849" w14:textId="11696B2B" w:rsidR="002C0611" w:rsidRPr="00984383" w:rsidRDefault="002C0611" w:rsidP="002C0611">
      <w:pPr>
        <w:keepNext/>
        <w:keepLines/>
        <w:spacing w:before="40" w:after="0"/>
        <w:outlineLvl w:val="3"/>
        <w:rPr>
          <w:rFonts w:eastAsia="Times New Roman" w:cs="Times New Roman"/>
          <w:b/>
          <w:iCs/>
          <w:sz w:val="26"/>
        </w:rPr>
      </w:pPr>
      <w:r>
        <w:rPr>
          <w:rFonts w:eastAsia="Times New Roman" w:cs="Times New Roman"/>
          <w:b/>
          <w:iCs/>
          <w:sz w:val="26"/>
        </w:rPr>
        <w:t>Neg method treats d</w:t>
      </w:r>
      <w:r w:rsidRPr="00984383">
        <w:rPr>
          <w:rFonts w:eastAsia="Times New Roman" w:cs="Times New Roman"/>
          <w:b/>
          <w:iCs/>
          <w:sz w:val="26"/>
        </w:rPr>
        <w:t xml:space="preserve">ecolonization as a metaphor </w:t>
      </w:r>
      <w:r>
        <w:rPr>
          <w:rFonts w:eastAsia="Times New Roman" w:cs="Times New Roman"/>
          <w:b/>
          <w:iCs/>
          <w:sz w:val="26"/>
        </w:rPr>
        <w:t xml:space="preserve">- </w:t>
      </w:r>
      <w:r w:rsidRPr="00984383">
        <w:rPr>
          <w:rFonts w:eastAsia="Times New Roman" w:cs="Times New Roman"/>
          <w:b/>
          <w:iCs/>
          <w:sz w:val="26"/>
        </w:rPr>
        <w:t xml:space="preserve">justifies </w:t>
      </w:r>
      <w:r>
        <w:rPr>
          <w:rFonts w:eastAsia="Times New Roman" w:cs="Times New Roman"/>
          <w:b/>
          <w:iCs/>
          <w:sz w:val="26"/>
        </w:rPr>
        <w:t xml:space="preserve">settler </w:t>
      </w:r>
      <w:r w:rsidRPr="00984383">
        <w:rPr>
          <w:rFonts w:eastAsia="Times New Roman" w:cs="Times New Roman"/>
          <w:b/>
          <w:iCs/>
          <w:sz w:val="26"/>
        </w:rPr>
        <w:t xml:space="preserve">“moves to innocence” </w:t>
      </w:r>
    </w:p>
    <w:p w14:paraId="59D47131" w14:textId="77777777" w:rsidR="002C0611" w:rsidRPr="00984383" w:rsidRDefault="002C0611" w:rsidP="002C0611">
      <w:pPr>
        <w:rPr>
          <w:rFonts w:eastAsia="Calibri" w:cs="Times New Roman"/>
        </w:rPr>
      </w:pPr>
      <w:r w:rsidRPr="00984383">
        <w:rPr>
          <w:rStyle w:val="Style13ptBold"/>
        </w:rPr>
        <w:t>Tuck, SUNY Platz Assistant Professor of Educational Foundations and Coordinator of Native American Studies Program and Yang, Assistant Professor of Ethnic Studies UC San Diego, 12</w:t>
      </w:r>
      <w:r w:rsidRPr="00984383">
        <w:rPr>
          <w:rFonts w:eastAsia="Calibri" w:cs="Times New Roman"/>
          <w:sz w:val="24"/>
        </w:rPr>
        <w:t xml:space="preserve"> </w:t>
      </w:r>
      <w:r w:rsidRPr="00984383">
        <w:rPr>
          <w:rFonts w:eastAsia="Calibri" w:cs="Times New Roman"/>
        </w:rPr>
        <w:t>(Eve</w:t>
      </w:r>
      <w:r>
        <w:rPr>
          <w:rFonts w:eastAsia="Calibri" w:cs="Times New Roman"/>
        </w:rPr>
        <w:t xml:space="preserve"> &amp; </w:t>
      </w:r>
      <w:r w:rsidRPr="00984383">
        <w:rPr>
          <w:rFonts w:eastAsia="Calibri" w:cs="Times New Roman"/>
        </w:rPr>
        <w:t xml:space="preserve">K. </w:t>
      </w:r>
      <w:proofErr w:type="gramStart"/>
      <w:r w:rsidRPr="00984383">
        <w:rPr>
          <w:rFonts w:eastAsia="Calibri" w:cs="Times New Roman"/>
        </w:rPr>
        <w:t>Wayne,.</w:t>
      </w:r>
      <w:proofErr w:type="gramEnd"/>
      <w:r w:rsidRPr="00984383">
        <w:rPr>
          <w:rFonts w:eastAsia="Calibri" w:cs="Times New Roman"/>
        </w:rPr>
        <w:t xml:space="preserve"> "Decolonization is not a metaphor." Decolonization: Indigeneity, Education 26 Society Vol. 1, No. 1, 2012, pp. 1-­?40 </w:t>
      </w:r>
      <w:proofErr w:type="spellStart"/>
      <w:r w:rsidRPr="00984383">
        <w:rPr>
          <w:rFonts w:eastAsia="Calibri" w:cs="Times New Roman"/>
        </w:rPr>
        <w:t>Pg</w:t>
      </w:r>
      <w:proofErr w:type="spellEnd"/>
      <w:r w:rsidRPr="00984383">
        <w:rPr>
          <w:rFonts w:eastAsia="Calibri" w:cs="Times New Roman"/>
        </w:rPr>
        <w:t xml:space="preserve"> 7</w:t>
      </w:r>
      <w:r>
        <w:rPr>
          <w:rFonts w:eastAsia="Calibri" w:cs="Times New Roman"/>
        </w:rPr>
        <w:t>)</w:t>
      </w:r>
    </w:p>
    <w:p w14:paraId="46075B90" w14:textId="77777777" w:rsidR="002C0611" w:rsidRPr="00984383" w:rsidRDefault="002C0611" w:rsidP="002C0611">
      <w:pPr>
        <w:rPr>
          <w:rFonts w:eastAsia="Calibri" w:cs="Times New Roman"/>
          <w:sz w:val="16"/>
          <w:szCs w:val="16"/>
        </w:rPr>
      </w:pPr>
      <w:r w:rsidRPr="00984383">
        <w:rPr>
          <w:rFonts w:eastAsia="Calibri" w:cs="Times New Roman"/>
          <w:sz w:val="16"/>
          <w:szCs w:val="16"/>
        </w:rPr>
        <w:t>Our</w:t>
      </w:r>
      <w:r w:rsidRPr="00984383">
        <w:rPr>
          <w:rFonts w:eastAsia="Calibri" w:cs="Times New Roman"/>
        </w:rPr>
        <w:t xml:space="preserve"> </w:t>
      </w:r>
      <w:r w:rsidRPr="00984383">
        <w:rPr>
          <w:rFonts w:eastAsia="Calibri" w:cs="Times New Roman"/>
          <w:b/>
          <w:u w:val="single"/>
        </w:rPr>
        <w:t>goal</w:t>
      </w:r>
      <w:r w:rsidRPr="00984383">
        <w:rPr>
          <w:rFonts w:eastAsia="Calibri" w:cs="Times New Roman"/>
        </w:rPr>
        <w:t xml:space="preserve"> </w:t>
      </w:r>
      <w:r w:rsidRPr="00984383">
        <w:rPr>
          <w:rFonts w:eastAsia="Calibri" w:cs="Times New Roman"/>
          <w:sz w:val="16"/>
          <w:szCs w:val="16"/>
        </w:rPr>
        <w:t>in this article</w:t>
      </w:r>
      <w:r w:rsidRPr="00984383">
        <w:rPr>
          <w:rFonts w:eastAsia="Calibri" w:cs="Times New Roman"/>
        </w:rPr>
        <w:t xml:space="preserve"> </w:t>
      </w:r>
      <w:r w:rsidRPr="00984383">
        <w:rPr>
          <w:rFonts w:eastAsia="Calibri" w:cs="Times New Roman"/>
          <w:b/>
          <w:u w:val="single"/>
        </w:rPr>
        <w:t>is to remind</w:t>
      </w:r>
      <w:r w:rsidRPr="00984383">
        <w:rPr>
          <w:rFonts w:eastAsia="Calibri" w:cs="Times New Roman"/>
        </w:rPr>
        <w:t xml:space="preserve"> </w:t>
      </w:r>
      <w:r w:rsidRPr="00984383">
        <w:rPr>
          <w:rFonts w:eastAsia="Calibri" w:cs="Times New Roman"/>
          <w:sz w:val="16"/>
          <w:szCs w:val="16"/>
        </w:rPr>
        <w:t>readers</w:t>
      </w:r>
      <w:r w:rsidRPr="00984383">
        <w:rPr>
          <w:rFonts w:eastAsia="Calibri" w:cs="Times New Roman"/>
        </w:rPr>
        <w:t xml:space="preserve"> </w:t>
      </w:r>
      <w:r w:rsidRPr="00984383">
        <w:rPr>
          <w:rFonts w:eastAsia="Calibri" w:cs="Times New Roman"/>
          <w:b/>
          <w:u w:val="single"/>
        </w:rPr>
        <w:t>what is unsettling about decolonization. Decolonization brings about the repatriation of Indigenous land and life</w:t>
      </w:r>
      <w:r w:rsidRPr="00984383">
        <w:rPr>
          <w:rFonts w:eastAsia="Calibri" w:cs="Times New Roman"/>
        </w:rPr>
        <w:t xml:space="preserve">; </w:t>
      </w:r>
      <w:r w:rsidRPr="00984383">
        <w:rPr>
          <w:rFonts w:eastAsia="Calibri" w:cs="Times New Roman"/>
          <w:sz w:val="16"/>
          <w:szCs w:val="16"/>
        </w:rPr>
        <w:t>it is not a metaphor for other things we want to do to improve our societies and schools.</w:t>
      </w:r>
      <w:r w:rsidRPr="00984383">
        <w:rPr>
          <w:rFonts w:eastAsia="Calibri" w:cs="Times New Roman"/>
        </w:rPr>
        <w:t xml:space="preserve"> </w:t>
      </w:r>
      <w:r w:rsidRPr="00984383">
        <w:rPr>
          <w:rFonts w:eastAsia="Calibri" w:cs="Times New Roman"/>
          <w:b/>
          <w:u w:val="single"/>
        </w:rPr>
        <w:t>The</w:t>
      </w:r>
      <w:r w:rsidRPr="00984383">
        <w:rPr>
          <w:rFonts w:eastAsia="Calibri" w:cs="Times New Roman"/>
        </w:rPr>
        <w:t xml:space="preserve"> </w:t>
      </w:r>
      <w:r w:rsidRPr="00984383">
        <w:rPr>
          <w:rFonts w:eastAsia="Calibri" w:cs="Times New Roman"/>
          <w:sz w:val="16"/>
          <w:szCs w:val="16"/>
        </w:rPr>
        <w:t>easy</w:t>
      </w:r>
      <w:r w:rsidRPr="00984383">
        <w:rPr>
          <w:rFonts w:eastAsia="Calibri" w:cs="Times New Roman"/>
        </w:rPr>
        <w:t xml:space="preserve"> </w:t>
      </w:r>
      <w:r w:rsidRPr="00984383">
        <w:rPr>
          <w:rFonts w:eastAsia="Calibri" w:cs="Times New Roman"/>
          <w:b/>
          <w:u w:val="single"/>
        </w:rPr>
        <w:t>adoption</w:t>
      </w:r>
      <w:r w:rsidRPr="00984383">
        <w:rPr>
          <w:rFonts w:eastAsia="Calibri" w:cs="Times New Roman"/>
        </w:rPr>
        <w:t xml:space="preserve"> </w:t>
      </w:r>
      <w:r w:rsidRPr="00984383">
        <w:rPr>
          <w:rFonts w:eastAsia="Calibri" w:cs="Times New Roman"/>
          <w:sz w:val="16"/>
          <w:szCs w:val="16"/>
        </w:rPr>
        <w:t xml:space="preserve">of </w:t>
      </w:r>
      <w:r w:rsidRPr="00984383">
        <w:rPr>
          <w:rFonts w:eastAsia="Calibri" w:cs="Times New Roman"/>
          <w:b/>
          <w:u w:val="single"/>
        </w:rPr>
        <w:t>decolonizing discourse by educational advocacy and scholarship</w:t>
      </w:r>
      <w:r w:rsidRPr="00984383">
        <w:rPr>
          <w:rFonts w:eastAsia="Calibri" w:cs="Times New Roman"/>
        </w:rPr>
        <w:t xml:space="preserve">, </w:t>
      </w:r>
      <w:r w:rsidRPr="00984383">
        <w:rPr>
          <w:rFonts w:eastAsia="Calibri" w:cs="Times New Roman"/>
          <w:sz w:val="16"/>
          <w:szCs w:val="16"/>
        </w:rPr>
        <w:t>evidenced by the increasing number of calls to</w:t>
      </w:r>
      <w:r w:rsidRPr="00984383">
        <w:rPr>
          <w:rFonts w:eastAsia="Calibri" w:cs="Times New Roman"/>
        </w:rPr>
        <w:t xml:space="preserve"> </w:t>
      </w:r>
      <w:r w:rsidRPr="00984383">
        <w:rPr>
          <w:rFonts w:eastAsia="Calibri" w:cs="Times New Roman"/>
          <w:b/>
          <w:u w:val="single"/>
        </w:rPr>
        <w:t>“decolonize our schools,”</w:t>
      </w:r>
      <w:r w:rsidRPr="00984383">
        <w:rPr>
          <w:rFonts w:eastAsia="Calibri" w:cs="Times New Roman"/>
        </w:rPr>
        <w:t xml:space="preserve"> </w:t>
      </w:r>
      <w:r w:rsidRPr="00984383">
        <w:rPr>
          <w:rFonts w:eastAsia="Calibri" w:cs="Times New Roman"/>
          <w:sz w:val="16"/>
          <w:szCs w:val="16"/>
        </w:rPr>
        <w:t>or use</w:t>
      </w:r>
      <w:r w:rsidRPr="00984383">
        <w:rPr>
          <w:rFonts w:eastAsia="Calibri" w:cs="Times New Roman"/>
        </w:rPr>
        <w:t xml:space="preserve"> </w:t>
      </w:r>
      <w:r w:rsidRPr="00984383">
        <w:rPr>
          <w:rFonts w:eastAsia="Calibri" w:cs="Times New Roman"/>
          <w:b/>
          <w:u w:val="single"/>
        </w:rPr>
        <w:t>“decolonizing methods,” or, “decolonize student thinking”, turns decolonization into a metaphor</w:t>
      </w:r>
      <w:r w:rsidRPr="00984383">
        <w:rPr>
          <w:rFonts w:eastAsia="Calibri" w:cs="Times New Roman"/>
        </w:rPr>
        <w:t xml:space="preserve">. </w:t>
      </w:r>
      <w:r w:rsidRPr="00984383">
        <w:rPr>
          <w:rFonts w:eastAsia="Calibri" w:cs="Times New Roman"/>
          <w:sz w:val="16"/>
          <w:szCs w:val="16"/>
        </w:rPr>
        <w:t>As important as their goals may be,</w:t>
      </w:r>
      <w:r w:rsidRPr="00984383">
        <w:rPr>
          <w:rFonts w:eastAsia="Calibri" w:cs="Times New Roman"/>
        </w:rPr>
        <w:t xml:space="preserve"> </w:t>
      </w:r>
      <w:r w:rsidRPr="00984383">
        <w:rPr>
          <w:rFonts w:eastAsia="Calibri" w:cs="Times New Roman"/>
          <w:b/>
          <w:u w:val="single"/>
        </w:rPr>
        <w:t>social justice, critical methodologies, or approaches that decenter settler perspectives have objectives that may be incommensurable with decolonization</w:t>
      </w:r>
      <w:r w:rsidRPr="00984383">
        <w:rPr>
          <w:rFonts w:eastAsia="Calibri" w:cs="Times New Roman"/>
        </w:rPr>
        <w:t xml:space="preserve">. </w:t>
      </w:r>
      <w:r w:rsidRPr="00984383">
        <w:rPr>
          <w:rFonts w:eastAsia="Calibri" w:cs="Times New Roman"/>
          <w:sz w:val="16"/>
          <w:szCs w:val="16"/>
        </w:rPr>
        <w:t xml:space="preserve">Because settler colonialism is built upon an entangled triad structure of settler-native-slave, the decolonial desires of white, non-white, immigrant, postcolonial, and oppressed people, can similarly be entangled in resettlement, reoccupation, and </w:t>
      </w:r>
      <w:proofErr w:type="spellStart"/>
      <w:r w:rsidRPr="00984383">
        <w:rPr>
          <w:rFonts w:eastAsia="Calibri" w:cs="Times New Roman"/>
          <w:sz w:val="16"/>
          <w:szCs w:val="16"/>
        </w:rPr>
        <w:t>reinhabitation</w:t>
      </w:r>
      <w:proofErr w:type="spellEnd"/>
      <w:r w:rsidRPr="00984383">
        <w:rPr>
          <w:rFonts w:eastAsia="Calibri" w:cs="Times New Roman"/>
          <w:sz w:val="16"/>
          <w:szCs w:val="16"/>
        </w:rPr>
        <w:t xml:space="preserve"> that </w:t>
      </w:r>
      <w:proofErr w:type="gramStart"/>
      <w:r w:rsidRPr="00984383">
        <w:rPr>
          <w:rFonts w:eastAsia="Calibri" w:cs="Times New Roman"/>
          <w:sz w:val="16"/>
          <w:szCs w:val="16"/>
        </w:rPr>
        <w:t>actually further</w:t>
      </w:r>
      <w:proofErr w:type="gramEnd"/>
      <w:r w:rsidRPr="00984383">
        <w:rPr>
          <w:rFonts w:eastAsia="Calibri" w:cs="Times New Roman"/>
          <w:sz w:val="16"/>
          <w:szCs w:val="16"/>
        </w:rPr>
        <w:t xml:space="preserve"> settler colonialism. The</w:t>
      </w:r>
      <w:r w:rsidRPr="00984383">
        <w:rPr>
          <w:rFonts w:eastAsia="Calibri" w:cs="Times New Roman"/>
        </w:rPr>
        <w:t xml:space="preserve"> </w:t>
      </w:r>
      <w:r w:rsidRPr="00984383">
        <w:rPr>
          <w:rFonts w:eastAsia="Calibri" w:cs="Times New Roman"/>
          <w:b/>
          <w:u w:val="single"/>
        </w:rPr>
        <w:t xml:space="preserve">metaphorization of decolonization makes possible a set of evasions, or “settler moves to innocence”, that problematically attempt to reconcile settler guilt and complicity, and rescue settler futurity. </w:t>
      </w:r>
      <w:r w:rsidRPr="00984383">
        <w:rPr>
          <w:rFonts w:eastAsia="Calibri" w:cs="Times New Roman"/>
          <w:sz w:val="16"/>
          <w:szCs w:val="16"/>
        </w:rPr>
        <w:t xml:space="preserve">In this article, we analyze multiple settler moves towards innocence in order to forward “an ethic of incommensurability” that recognizes what is distinct and what is sovereign for project(s) of decolonization in relations to human and civil rights based social justice projects. We also point to unsettling themes within transnational/Third World decolonization, abolition, and critical space-place pedagogies, which challenge the coalescence of social justice endeavors, making room for more meaningful potential alliances. </w:t>
      </w:r>
    </w:p>
    <w:p w14:paraId="23507955" w14:textId="43C53ED2" w:rsidR="002C0611" w:rsidRPr="00984383" w:rsidRDefault="002C0611" w:rsidP="002C0611">
      <w:pPr>
        <w:keepNext/>
        <w:keepLines/>
        <w:spacing w:before="40" w:after="0"/>
        <w:outlineLvl w:val="3"/>
        <w:rPr>
          <w:rFonts w:eastAsia="Times New Roman" w:cs="Times New Roman"/>
          <w:b/>
          <w:iCs/>
          <w:sz w:val="26"/>
        </w:rPr>
      </w:pPr>
      <w:r w:rsidRPr="00984383">
        <w:rPr>
          <w:rFonts w:eastAsia="Times New Roman" w:cs="Times New Roman"/>
          <w:b/>
          <w:iCs/>
          <w:sz w:val="26"/>
        </w:rPr>
        <w:t xml:space="preserve">reject </w:t>
      </w:r>
      <w:r>
        <w:rPr>
          <w:rFonts w:eastAsia="Times New Roman" w:cs="Times New Roman"/>
          <w:b/>
          <w:iCs/>
          <w:sz w:val="26"/>
        </w:rPr>
        <w:t>alt</w:t>
      </w:r>
      <w:r w:rsidRPr="00984383">
        <w:rPr>
          <w:rFonts w:eastAsia="Times New Roman" w:cs="Times New Roman"/>
          <w:b/>
          <w:iCs/>
          <w:sz w:val="26"/>
        </w:rPr>
        <w:t xml:space="preserve"> </w:t>
      </w:r>
      <w:r>
        <w:rPr>
          <w:rFonts w:eastAsia="Times New Roman" w:cs="Times New Roman"/>
          <w:b/>
          <w:iCs/>
          <w:sz w:val="26"/>
        </w:rPr>
        <w:t>-</w:t>
      </w:r>
      <w:r w:rsidRPr="00984383">
        <w:rPr>
          <w:rFonts w:eastAsia="Times New Roman" w:cs="Times New Roman"/>
          <w:b/>
          <w:iCs/>
          <w:sz w:val="26"/>
        </w:rPr>
        <w:t xml:space="preserve"> appropriates </w:t>
      </w:r>
      <w:r>
        <w:rPr>
          <w:rFonts w:eastAsia="Times New Roman" w:cs="Times New Roman"/>
          <w:b/>
          <w:iCs/>
          <w:sz w:val="26"/>
        </w:rPr>
        <w:t>indigenous</w:t>
      </w:r>
      <w:r w:rsidRPr="00984383">
        <w:rPr>
          <w:rFonts w:eastAsia="Times New Roman" w:cs="Times New Roman"/>
          <w:b/>
          <w:iCs/>
          <w:sz w:val="26"/>
        </w:rPr>
        <w:t xml:space="preserve"> </w:t>
      </w:r>
      <w:r>
        <w:rPr>
          <w:rFonts w:eastAsia="Times New Roman" w:cs="Times New Roman"/>
          <w:b/>
          <w:iCs/>
          <w:sz w:val="26"/>
        </w:rPr>
        <w:t>knowledge</w:t>
      </w:r>
      <w:r w:rsidRPr="00984383">
        <w:rPr>
          <w:rFonts w:eastAsia="Times New Roman" w:cs="Times New Roman"/>
          <w:b/>
          <w:iCs/>
          <w:sz w:val="26"/>
        </w:rPr>
        <w:t xml:space="preserve"> </w:t>
      </w:r>
    </w:p>
    <w:p w14:paraId="614B796F" w14:textId="77777777" w:rsidR="002C0611" w:rsidRPr="00984383" w:rsidRDefault="002C0611" w:rsidP="002C0611">
      <w:pPr>
        <w:rPr>
          <w:rFonts w:eastAsia="Calibri" w:cs="Times New Roman"/>
          <w:sz w:val="16"/>
          <w:szCs w:val="16"/>
        </w:rPr>
      </w:pPr>
      <w:r w:rsidRPr="00984383">
        <w:rPr>
          <w:rFonts w:eastAsia="Calibri" w:cs="Times New Roman"/>
          <w:b/>
          <w:bCs/>
          <w:sz w:val="26"/>
        </w:rPr>
        <w:t xml:space="preserve">Tuck </w:t>
      </w:r>
      <w:r w:rsidRPr="00984383">
        <w:rPr>
          <w:rStyle w:val="Style13ptBold"/>
        </w:rPr>
        <w:t xml:space="preserve">SUNY Platz Assistant Professor of Educational Foundations and Coordinator of Native American Studies Program </w:t>
      </w:r>
      <w:r w:rsidRPr="00984383">
        <w:rPr>
          <w:rFonts w:eastAsia="Calibri" w:cs="Times New Roman"/>
          <w:b/>
          <w:bCs/>
          <w:sz w:val="26"/>
        </w:rPr>
        <w:t xml:space="preserve">and </w:t>
      </w:r>
      <w:proofErr w:type="spellStart"/>
      <w:r w:rsidRPr="00984383">
        <w:rPr>
          <w:rFonts w:eastAsia="Calibri" w:cs="Times New Roman"/>
          <w:b/>
          <w:bCs/>
          <w:sz w:val="26"/>
        </w:rPr>
        <w:t>Gaztambide</w:t>
      </w:r>
      <w:proofErr w:type="spellEnd"/>
      <w:r w:rsidRPr="00984383">
        <w:rPr>
          <w:rFonts w:eastAsia="Calibri" w:cs="Times New Roman"/>
          <w:b/>
          <w:bCs/>
          <w:sz w:val="26"/>
        </w:rPr>
        <w:t xml:space="preserve">-Fernandez </w:t>
      </w:r>
      <w:r>
        <w:rPr>
          <w:rFonts w:eastAsia="Calibri" w:cs="Times New Roman"/>
          <w:b/>
          <w:bCs/>
          <w:sz w:val="26"/>
        </w:rPr>
        <w:t xml:space="preserve">University of Toronto </w:t>
      </w:r>
      <w:r w:rsidRPr="00984383">
        <w:rPr>
          <w:rFonts w:eastAsia="Calibri" w:cs="Times New Roman"/>
          <w:b/>
          <w:bCs/>
          <w:sz w:val="26"/>
        </w:rPr>
        <w:t>13</w:t>
      </w:r>
      <w:r w:rsidRPr="00984383">
        <w:rPr>
          <w:rFonts w:eastAsia="Calibri" w:cs="Times New Roman"/>
        </w:rPr>
        <w:t xml:space="preserve"> (</w:t>
      </w:r>
      <w:r w:rsidRPr="00984383">
        <w:rPr>
          <w:rFonts w:eastAsia="Calibri" w:cs="Times New Roman"/>
          <w:sz w:val="16"/>
          <w:szCs w:val="16"/>
        </w:rPr>
        <w:t xml:space="preserve">Eve, State University of New York and Ruben A., University of Toronto “Curriculum, Replacement, and Settler Futurity”, Journal of Curriculum Theorizing, Volume 29, Number 1, </w:t>
      </w:r>
      <w:hyperlink r:id="rId24" w:history="1">
        <w:r w:rsidRPr="00984383">
          <w:rPr>
            <w:rFonts w:eastAsia="Calibri" w:cs="Times New Roman"/>
            <w:sz w:val="16"/>
            <w:szCs w:val="16"/>
          </w:rPr>
          <w:t>http://static1.squarespace.com/static/557744ffe4b013bae3b7af63/t/557f2fffe4b043c28125cd3e/1434398719056/Tuck+%26+Gaztambide-Fern%C3%A1ndez_Curriculum%2C+replacement%2C+and+settler+futurity.pdf</w:t>
        </w:r>
      </w:hyperlink>
      <w:r w:rsidRPr="00984383">
        <w:rPr>
          <w:rFonts w:eastAsia="Calibri" w:cs="Times New Roman"/>
          <w:sz w:val="16"/>
          <w:szCs w:val="16"/>
        </w:rPr>
        <w:t>)</w:t>
      </w:r>
    </w:p>
    <w:p w14:paraId="277E8313" w14:textId="77777777" w:rsidR="002C0611" w:rsidRPr="00984383" w:rsidRDefault="002C0611" w:rsidP="002C0611">
      <w:pPr>
        <w:rPr>
          <w:rFonts w:eastAsia="Calibri" w:cs="Times New Roman"/>
        </w:rPr>
      </w:pPr>
      <w:r w:rsidRPr="00984383">
        <w:rPr>
          <w:rFonts w:eastAsia="Calibri" w:cs="Times New Roman"/>
        </w:rPr>
        <w:t>Refusal</w:t>
      </w:r>
    </w:p>
    <w:p w14:paraId="3B772B05" w14:textId="77777777" w:rsidR="002C0611" w:rsidRPr="00984383" w:rsidRDefault="002C0611" w:rsidP="002C0611">
      <w:pPr>
        <w:rPr>
          <w:rFonts w:eastAsia="Calibri" w:cs="Times New Roman"/>
          <w:u w:val="single"/>
        </w:rPr>
      </w:pPr>
      <w:r w:rsidRPr="00984383">
        <w:rPr>
          <w:rFonts w:eastAsia="Calibri" w:cs="Times New Roman"/>
          <w:u w:val="single"/>
        </w:rPr>
        <w:t>One of the core reasons that each of the interventions we have described above has failed to interrupt settler colonialism and settler colonial replacement is that each has tried to make powerful shifts without alienating white settlers</w:t>
      </w:r>
      <w:r w:rsidRPr="00984383">
        <w:rPr>
          <w:rFonts w:eastAsia="Calibri" w:cs="Times New Roman"/>
        </w:rPr>
        <w:t xml:space="preserve">. In part, this is </w:t>
      </w:r>
      <w:r w:rsidRPr="00984383">
        <w:rPr>
          <w:rFonts w:eastAsia="Calibri" w:cs="Times New Roman"/>
          <w:u w:val="single"/>
        </w:rPr>
        <w:t>because of complaints by white settlers, such as “well, now what am I supposed to do?</w:t>
      </w:r>
      <w:r w:rsidRPr="00984383">
        <w:rPr>
          <w:rFonts w:eastAsia="Calibri" w:cs="Times New Roman"/>
        </w:rPr>
        <w:t xml:space="preserve">” and “how will I fit into this?” </w:t>
      </w:r>
      <w:r w:rsidRPr="00984383">
        <w:rPr>
          <w:rFonts w:eastAsia="Calibri" w:cs="Times New Roman"/>
          <w:u w:val="single"/>
        </w:rPr>
        <w:t>The expectation is that any viable alternative frame will account for the needs of the settler, address their anxieties, and assure them that nothing is going to require them to change or disrupt their lives.</w:t>
      </w:r>
    </w:p>
    <w:p w14:paraId="65BA44B8" w14:textId="77777777" w:rsidR="002C0611" w:rsidRDefault="002C0611" w:rsidP="002C0611">
      <w:pPr>
        <w:rPr>
          <w:rFonts w:eastAsia="Calibri" w:cs="Times New Roman"/>
        </w:rPr>
      </w:pPr>
      <w:r w:rsidRPr="00984383">
        <w:rPr>
          <w:rFonts w:eastAsia="Calibri" w:cs="Times New Roman"/>
          <w:u w:val="single"/>
        </w:rPr>
        <w:t xml:space="preserve">Insofar as these and other interventions try to accommodate the </w:t>
      </w:r>
      <w:proofErr w:type="spellStart"/>
      <w:r w:rsidRPr="00984383">
        <w:rPr>
          <w:rFonts w:eastAsia="Calibri" w:cs="Times New Roman"/>
          <w:u w:val="single"/>
        </w:rPr>
        <w:t>affect</w:t>
      </w:r>
      <w:proofErr w:type="spellEnd"/>
      <w:r w:rsidRPr="00984383">
        <w:rPr>
          <w:rFonts w:eastAsia="Calibri" w:cs="Times New Roman"/>
          <w:u w:val="single"/>
        </w:rPr>
        <w:t xml:space="preserve"> of the settler, they cannot succeed in reshaping or reimagining curriculum studies</w:t>
      </w:r>
      <w:r w:rsidRPr="00984383">
        <w:rPr>
          <w:rFonts w:eastAsia="Calibri" w:cs="Times New Roman"/>
        </w:rPr>
        <w:t xml:space="preserve">. </w:t>
      </w:r>
      <w:r w:rsidRPr="00984383">
        <w:rPr>
          <w:rFonts w:eastAsia="Calibri" w:cs="Times New Roman"/>
          <w:b/>
          <w:iCs/>
          <w:u w:val="single"/>
        </w:rPr>
        <w:t>What is needed is a discourse of refusal</w:t>
      </w:r>
      <w:r w:rsidRPr="00984383">
        <w:rPr>
          <w:rFonts w:eastAsia="Calibri" w:cs="Times New Roman"/>
        </w:rPr>
        <w:t xml:space="preserve">, refusing to require that new works in curriculum studies soothe settler anxieties. </w:t>
      </w:r>
      <w:r w:rsidRPr="00984383">
        <w:rPr>
          <w:rFonts w:eastAsia="Calibri" w:cs="Times New Roman"/>
          <w:u w:val="single"/>
        </w:rPr>
        <w:t xml:space="preserve">There must be work </w:t>
      </w:r>
      <w:r w:rsidRPr="00984383">
        <w:rPr>
          <w:rFonts w:eastAsia="Calibri" w:cs="Times New Roman"/>
        </w:rPr>
        <w:t>inside curriculum studies</w:t>
      </w:r>
      <w:r w:rsidRPr="00984383">
        <w:rPr>
          <w:rFonts w:eastAsia="Calibri" w:cs="Times New Roman"/>
          <w:u w:val="single"/>
        </w:rPr>
        <w:t xml:space="preserve"> that dis-invests in settler futurity, that refuses to intervene, that observes a writ of “do not resuscitate.”</w:t>
      </w:r>
      <w:r w:rsidRPr="00984383">
        <w:rPr>
          <w:rFonts w:eastAsia="Calibri" w:cs="Times New Roman"/>
        </w:rPr>
        <w:t xml:space="preserve"> </w:t>
      </w:r>
      <w:r w:rsidRPr="00984383">
        <w:rPr>
          <w:rFonts w:eastAsia="Calibri" w:cs="Times New Roman"/>
          <w:u w:val="single"/>
        </w:rPr>
        <w:t xml:space="preserve">This refusal is not just a no, it is what is needed to generate work that is </w:t>
      </w:r>
      <w:r w:rsidRPr="00984383">
        <w:rPr>
          <w:rFonts w:eastAsia="Calibri" w:cs="Times New Roman"/>
          <w:u w:val="single"/>
        </w:rPr>
        <w:lastRenderedPageBreak/>
        <w:t>useful to us. But it is also not an invitation, it is an exaction. We exact expropriation; to speak without explication; to claim without settler colonial justification; to refuse any response or allegation</w:t>
      </w:r>
      <w:r w:rsidRPr="00984383">
        <w:rPr>
          <w:rFonts w:eastAsia="Calibri" w:cs="Times New Roman"/>
        </w:rPr>
        <w:t>.</w:t>
      </w:r>
    </w:p>
    <w:p w14:paraId="63A5FBB0" w14:textId="2B0CFC25" w:rsidR="002C0611" w:rsidRDefault="002C0611" w:rsidP="002C0611">
      <w:pPr>
        <w:pStyle w:val="Heading3"/>
        <w:rPr>
          <w:rFonts w:eastAsia="Calibri"/>
        </w:rPr>
      </w:pPr>
      <w:r>
        <w:rPr>
          <w:rFonts w:eastAsia="Calibri"/>
        </w:rPr>
        <w:lastRenderedPageBreak/>
        <w:t>Turn – Decolonization Metaphor</w:t>
      </w:r>
    </w:p>
    <w:p w14:paraId="3A85895C" w14:textId="4E2470EA" w:rsidR="002C0611" w:rsidRPr="00984383" w:rsidRDefault="002C0611" w:rsidP="002C0611">
      <w:pPr>
        <w:keepNext/>
        <w:keepLines/>
        <w:spacing w:before="200"/>
        <w:outlineLvl w:val="3"/>
        <w:rPr>
          <w:rFonts w:eastAsia="Times New Roman" w:cs="Times New Roman"/>
          <w:b/>
          <w:bCs/>
          <w:iCs/>
          <w:sz w:val="26"/>
        </w:rPr>
      </w:pPr>
      <w:r w:rsidRPr="00984383">
        <w:rPr>
          <w:rFonts w:eastAsia="Times New Roman" w:cs="Times New Roman"/>
          <w:b/>
          <w:bCs/>
          <w:iCs/>
          <w:sz w:val="26"/>
        </w:rPr>
        <w:t xml:space="preserve">Their method of decolonization as a metaphor </w:t>
      </w:r>
      <w:r>
        <w:rPr>
          <w:rFonts w:eastAsia="Times New Roman" w:cs="Times New Roman"/>
          <w:b/>
          <w:bCs/>
          <w:iCs/>
          <w:sz w:val="26"/>
        </w:rPr>
        <w:t>r</w:t>
      </w:r>
      <w:r w:rsidRPr="00984383">
        <w:rPr>
          <w:rFonts w:eastAsia="Times New Roman" w:cs="Times New Roman"/>
          <w:b/>
          <w:bCs/>
          <w:iCs/>
          <w:sz w:val="26"/>
        </w:rPr>
        <w:t>e-cente</w:t>
      </w:r>
      <w:r>
        <w:rPr>
          <w:rFonts w:eastAsia="Times New Roman" w:cs="Times New Roman"/>
          <w:b/>
          <w:bCs/>
          <w:iCs/>
          <w:sz w:val="26"/>
        </w:rPr>
        <w:t>rs</w:t>
      </w:r>
      <w:r w:rsidRPr="00984383">
        <w:rPr>
          <w:rFonts w:eastAsia="Times New Roman" w:cs="Times New Roman"/>
          <w:b/>
          <w:bCs/>
          <w:iCs/>
          <w:sz w:val="26"/>
        </w:rPr>
        <w:t xml:space="preserve"> whiteness  </w:t>
      </w:r>
    </w:p>
    <w:p w14:paraId="2FF3541B" w14:textId="77777777" w:rsidR="002C0611" w:rsidRPr="00984383" w:rsidRDefault="002C0611" w:rsidP="002C0611">
      <w:pPr>
        <w:rPr>
          <w:rFonts w:eastAsia="Calibri" w:cs="Times New Roman"/>
        </w:rPr>
      </w:pPr>
      <w:r w:rsidRPr="00984383">
        <w:rPr>
          <w:rStyle w:val="Style13ptBold"/>
        </w:rPr>
        <w:t>Tuck, SUNY Platz Assistant Professor of Educational Foundations and Coordinator of Native American Studies Program and Yang, Assistant Professor of Ethnic Studies UC San Diego, 12</w:t>
      </w:r>
      <w:r w:rsidRPr="00984383">
        <w:rPr>
          <w:rFonts w:eastAsia="Calibri" w:cs="Times New Roman"/>
          <w:sz w:val="24"/>
        </w:rPr>
        <w:t xml:space="preserve"> (</w:t>
      </w:r>
      <w:r w:rsidRPr="00984383">
        <w:rPr>
          <w:rFonts w:eastAsia="Calibri" w:cs="Times New Roman"/>
        </w:rPr>
        <w:t xml:space="preserve">Eve, Assistant Professor of Educational Foundations and Coordinator of  Native American Studies Program at State University of New York at New Paltz; K. Wayne, Assistant Professor of Ethnic Studies at University of California, San Diego. "Decolonization is not a metaphor." Decolonization: Indigeneity, Education 26 Society Vol. 1, No. 1, 2012, pp. 1-­?40 </w:t>
      </w:r>
      <w:proofErr w:type="spellStart"/>
      <w:r w:rsidRPr="00984383">
        <w:rPr>
          <w:rFonts w:eastAsia="Calibri" w:cs="Times New Roman"/>
        </w:rPr>
        <w:t>Pg</w:t>
      </w:r>
      <w:proofErr w:type="spellEnd"/>
      <w:r w:rsidRPr="00984383">
        <w:rPr>
          <w:rFonts w:eastAsia="Calibri" w:cs="Times New Roman"/>
        </w:rPr>
        <w:t xml:space="preserve"> 7</w:t>
      </w:r>
      <w:r>
        <w:rPr>
          <w:rFonts w:eastAsia="Calibri" w:cs="Times New Roman"/>
        </w:rPr>
        <w:t>)</w:t>
      </w:r>
    </w:p>
    <w:p w14:paraId="24EE66CD" w14:textId="77777777" w:rsidR="002C0611" w:rsidRPr="00984383" w:rsidRDefault="002C0611" w:rsidP="002C0611">
      <w:pPr>
        <w:rPr>
          <w:rFonts w:eastAsia="Calibri" w:cs="Times New Roman"/>
        </w:rPr>
      </w:pPr>
      <w:r w:rsidRPr="00984383">
        <w:rPr>
          <w:rFonts w:eastAsia="Calibri" w:cs="Times New Roman"/>
          <w:sz w:val="16"/>
          <w:szCs w:val="16"/>
        </w:rPr>
        <w:t xml:space="preserve">¶ For the past several years we have been working, in our writing and teaching, to bring attention ¶ to how settler colonialism has shaped schooling and educational research in the United States ¶ and other settler colonial nation-states. These are two distinct but overlapping tasks, the first ¶ concerned with how the </w:t>
      </w:r>
      <w:proofErr w:type="spellStart"/>
      <w:r w:rsidRPr="00984383">
        <w:rPr>
          <w:rFonts w:eastAsia="Calibri" w:cs="Times New Roman"/>
          <w:sz w:val="16"/>
          <w:szCs w:val="16"/>
        </w:rPr>
        <w:t>invisibilized</w:t>
      </w:r>
      <w:proofErr w:type="spellEnd"/>
      <w:r w:rsidRPr="00984383">
        <w:rPr>
          <w:rFonts w:eastAsia="Calibri" w:cs="Times New Roman"/>
          <w:sz w:val="16"/>
          <w:szCs w:val="16"/>
        </w:rPr>
        <w:t xml:space="preserve"> dynamics of settler colonialism mark the organization, ¶ governance, curricula, and assessment of compulsory learning, the other concerned with how ¶ settler perspectives and worldviews get to count as knowledge and research and how these ¶ perspectives - repackaged as data and findings - are activated in order to rationalize and maintain ¶ unfair social structures. We are doing this work alongside many others who - somewhat ¶ relentlessly, in writings, meetings, courses, and activism - don’t allow the real and symbolic ¶ </w:t>
      </w:r>
      <w:proofErr w:type="spellStart"/>
      <w:r w:rsidRPr="00984383">
        <w:rPr>
          <w:rFonts w:eastAsia="Calibri" w:cs="Times New Roman"/>
          <w:sz w:val="16"/>
          <w:szCs w:val="16"/>
        </w:rPr>
        <w:t>violences</w:t>
      </w:r>
      <w:proofErr w:type="spellEnd"/>
      <w:r w:rsidRPr="00984383">
        <w:rPr>
          <w:rFonts w:eastAsia="Calibri" w:cs="Times New Roman"/>
          <w:sz w:val="16"/>
          <w:szCs w:val="16"/>
        </w:rPr>
        <w:t xml:space="preserve"> of settler colonialism to be overlooked. ¶ Alongside this work, we have been thinking about what decolonization means, what it ¶ wants and requires. One trend we have noticed, with growing apprehension, is the ease with ¶ which</w:t>
      </w:r>
      <w:r w:rsidRPr="00984383">
        <w:rPr>
          <w:rFonts w:eastAsia="Calibri" w:cs="Times New Roman"/>
        </w:rPr>
        <w:t xml:space="preserve"> </w:t>
      </w:r>
      <w:r w:rsidRPr="00984383">
        <w:rPr>
          <w:rFonts w:eastAsia="Calibri" w:cs="Times New Roman"/>
          <w:b/>
          <w:u w:val="single"/>
        </w:rPr>
        <w:t>the language of decolonization has been superficially adopted into education</w:t>
      </w:r>
      <w:r w:rsidRPr="00984383">
        <w:rPr>
          <w:rFonts w:eastAsia="Calibri" w:cs="Times New Roman"/>
        </w:rPr>
        <w:t xml:space="preserve"> </w:t>
      </w:r>
      <w:r w:rsidRPr="00984383">
        <w:rPr>
          <w:rFonts w:eastAsia="Calibri" w:cs="Times New Roman"/>
          <w:sz w:val="16"/>
          <w:szCs w:val="16"/>
        </w:rPr>
        <w:t>and other ¶ social sciences</w:t>
      </w:r>
      <w:r w:rsidRPr="00984383">
        <w:rPr>
          <w:rFonts w:eastAsia="Calibri" w:cs="Times New Roman"/>
        </w:rPr>
        <w:t xml:space="preserve">, </w:t>
      </w:r>
      <w:r w:rsidRPr="00984383">
        <w:rPr>
          <w:rFonts w:eastAsia="Calibri" w:cs="Times New Roman"/>
          <w:b/>
          <w:u w:val="single"/>
        </w:rPr>
        <w:t xml:space="preserve">supplanting prior ways of talking about social justice, critical methodologies, or </w:t>
      </w:r>
      <w:r w:rsidRPr="00984383">
        <w:rPr>
          <w:rFonts w:eastAsia="Calibri" w:cs="Times New Roman"/>
          <w:b/>
          <w:sz w:val="12"/>
          <w:u w:val="single"/>
        </w:rPr>
        <w:t xml:space="preserve">¶ </w:t>
      </w:r>
      <w:r w:rsidRPr="00984383">
        <w:rPr>
          <w:rFonts w:eastAsia="Calibri" w:cs="Times New Roman"/>
          <w:b/>
          <w:u w:val="single"/>
        </w:rPr>
        <w:t>approaches which decenter settler perspectives. Decolonization</w:t>
      </w:r>
      <w:r w:rsidRPr="00984383">
        <w:rPr>
          <w:rFonts w:eastAsia="Calibri" w:cs="Times New Roman"/>
        </w:rPr>
        <w:t xml:space="preserve">, </w:t>
      </w:r>
      <w:r w:rsidRPr="00984383">
        <w:rPr>
          <w:rFonts w:eastAsia="Calibri" w:cs="Times New Roman"/>
          <w:sz w:val="16"/>
          <w:szCs w:val="16"/>
        </w:rPr>
        <w:t>which we assert is a distinct ¶ project from other civil and human rights-based social justice projects</w:t>
      </w:r>
      <w:r w:rsidRPr="00984383">
        <w:rPr>
          <w:rFonts w:eastAsia="Calibri" w:cs="Times New Roman"/>
        </w:rPr>
        <w:t xml:space="preserve">, </w:t>
      </w:r>
      <w:r w:rsidRPr="00984383">
        <w:rPr>
          <w:rFonts w:eastAsia="Calibri" w:cs="Times New Roman"/>
          <w:b/>
          <w:u w:val="single"/>
        </w:rPr>
        <w:t>is</w:t>
      </w:r>
      <w:r w:rsidRPr="00984383">
        <w:rPr>
          <w:rFonts w:eastAsia="Calibri" w:cs="Times New Roman"/>
        </w:rPr>
        <w:t xml:space="preserve"> </w:t>
      </w:r>
      <w:r w:rsidRPr="00984383">
        <w:rPr>
          <w:rFonts w:eastAsia="Calibri" w:cs="Times New Roman"/>
          <w:sz w:val="16"/>
          <w:szCs w:val="16"/>
        </w:rPr>
        <w:t>far too often</w:t>
      </w:r>
      <w:r w:rsidRPr="00984383">
        <w:rPr>
          <w:rFonts w:eastAsia="Calibri" w:cs="Times New Roman"/>
        </w:rPr>
        <w:t xml:space="preserve"> </w:t>
      </w:r>
      <w:r w:rsidRPr="00984383">
        <w:rPr>
          <w:rFonts w:eastAsia="Calibri" w:cs="Times New Roman"/>
          <w:b/>
          <w:u w:val="single"/>
        </w:rPr>
        <w:t xml:space="preserve">subsumed </w:t>
      </w:r>
      <w:r w:rsidRPr="00984383">
        <w:rPr>
          <w:rFonts w:eastAsia="Calibri" w:cs="Times New Roman"/>
          <w:b/>
          <w:sz w:val="12"/>
          <w:u w:val="single"/>
        </w:rPr>
        <w:t xml:space="preserve">¶ </w:t>
      </w:r>
      <w:r w:rsidRPr="00984383">
        <w:rPr>
          <w:rFonts w:eastAsia="Calibri" w:cs="Times New Roman"/>
          <w:b/>
          <w:u w:val="single"/>
        </w:rPr>
        <w:t>into</w:t>
      </w:r>
      <w:r w:rsidRPr="00984383">
        <w:rPr>
          <w:rFonts w:eastAsia="Calibri" w:cs="Times New Roman"/>
        </w:rPr>
        <w:t xml:space="preserve"> </w:t>
      </w:r>
      <w:r w:rsidRPr="00984383">
        <w:rPr>
          <w:rFonts w:eastAsia="Calibri" w:cs="Times New Roman"/>
          <w:sz w:val="16"/>
          <w:szCs w:val="16"/>
        </w:rPr>
        <w:t>the directives of these</w:t>
      </w:r>
      <w:r w:rsidRPr="00984383">
        <w:rPr>
          <w:rFonts w:eastAsia="Calibri" w:cs="Times New Roman"/>
        </w:rPr>
        <w:t xml:space="preserve"> </w:t>
      </w:r>
      <w:r w:rsidRPr="00984383">
        <w:rPr>
          <w:rFonts w:eastAsia="Calibri" w:cs="Times New Roman"/>
          <w:b/>
          <w:u w:val="single"/>
        </w:rPr>
        <w:t>projects, with no regard for how decolonization wants</w:t>
      </w:r>
      <w:r w:rsidRPr="00984383">
        <w:rPr>
          <w:rFonts w:eastAsia="Calibri" w:cs="Times New Roman"/>
        </w:rPr>
        <w:t xml:space="preserve"> </w:t>
      </w:r>
      <w:r w:rsidRPr="00984383">
        <w:rPr>
          <w:rFonts w:eastAsia="Calibri" w:cs="Times New Roman"/>
          <w:sz w:val="16"/>
          <w:szCs w:val="16"/>
        </w:rPr>
        <w:t>something ¶ different than those forms of</w:t>
      </w:r>
      <w:r w:rsidRPr="00984383">
        <w:rPr>
          <w:rFonts w:eastAsia="Calibri" w:cs="Times New Roman"/>
        </w:rPr>
        <w:t xml:space="preserve"> </w:t>
      </w:r>
      <w:r w:rsidRPr="00984383">
        <w:rPr>
          <w:rFonts w:eastAsia="Calibri" w:cs="Times New Roman"/>
          <w:b/>
          <w:u w:val="single"/>
        </w:rPr>
        <w:t>justice</w:t>
      </w:r>
      <w:r w:rsidRPr="00984383">
        <w:rPr>
          <w:rFonts w:eastAsia="Calibri" w:cs="Times New Roman"/>
        </w:rPr>
        <w:t xml:space="preserve">. </w:t>
      </w:r>
      <w:r w:rsidRPr="00984383">
        <w:rPr>
          <w:rFonts w:eastAsia="Calibri" w:cs="Times New Roman"/>
          <w:sz w:val="16"/>
          <w:szCs w:val="16"/>
        </w:rPr>
        <w:t>Settler scholars swap out prior civil and human rights based ¶ terms, seemingly to signal both an awareness of the significance of Indigenous and decolonizing ¶ theorizations of schooling and educational research, and to include Indigenous peoples on the list ¶ of considerations - as an additional special (ethnic) group or class</w:t>
      </w:r>
      <w:r w:rsidRPr="00984383">
        <w:rPr>
          <w:rFonts w:eastAsia="Calibri" w:cs="Times New Roman"/>
        </w:rPr>
        <w:t xml:space="preserve">. </w:t>
      </w:r>
      <w:r w:rsidRPr="00984383">
        <w:rPr>
          <w:rFonts w:eastAsia="Calibri" w:cs="Times New Roman"/>
          <w:b/>
          <w:u w:val="single"/>
        </w:rPr>
        <w:t xml:space="preserve">At a conference on </w:t>
      </w:r>
      <w:r w:rsidRPr="00984383">
        <w:rPr>
          <w:rFonts w:eastAsia="Calibri" w:cs="Times New Roman"/>
          <w:b/>
          <w:sz w:val="12"/>
          <w:u w:val="single"/>
        </w:rPr>
        <w:t xml:space="preserve">¶ </w:t>
      </w:r>
      <w:r w:rsidRPr="00984383">
        <w:rPr>
          <w:rFonts w:eastAsia="Calibri" w:cs="Times New Roman"/>
          <w:b/>
          <w:u w:val="single"/>
        </w:rPr>
        <w:t>educational research, it is not uncommon to hear speakers refer</w:t>
      </w:r>
      <w:r w:rsidRPr="00984383">
        <w:rPr>
          <w:rFonts w:eastAsia="Calibri" w:cs="Times New Roman"/>
        </w:rPr>
        <w:t xml:space="preserve">, </w:t>
      </w:r>
      <w:r w:rsidRPr="00984383">
        <w:rPr>
          <w:rFonts w:eastAsia="Calibri" w:cs="Times New Roman"/>
          <w:sz w:val="16"/>
          <w:szCs w:val="16"/>
        </w:rPr>
        <w:t>almost casually</w:t>
      </w:r>
      <w:r w:rsidRPr="00984383">
        <w:rPr>
          <w:rFonts w:eastAsia="Calibri" w:cs="Times New Roman"/>
        </w:rPr>
        <w:t xml:space="preserve">, </w:t>
      </w:r>
      <w:r w:rsidRPr="00984383">
        <w:rPr>
          <w:rFonts w:eastAsia="Calibri" w:cs="Times New Roman"/>
          <w:b/>
          <w:u w:val="single"/>
        </w:rPr>
        <w:t xml:space="preserve">to the need to </w:t>
      </w:r>
      <w:r w:rsidRPr="00984383">
        <w:rPr>
          <w:rFonts w:eastAsia="Calibri" w:cs="Times New Roman"/>
          <w:b/>
          <w:sz w:val="12"/>
          <w:u w:val="single"/>
        </w:rPr>
        <w:t xml:space="preserve">¶ </w:t>
      </w:r>
      <w:r w:rsidRPr="00984383">
        <w:rPr>
          <w:rFonts w:eastAsia="Calibri" w:cs="Times New Roman"/>
          <w:b/>
          <w:u w:val="single"/>
        </w:rPr>
        <w:t>“decolonize our schools,”</w:t>
      </w:r>
      <w:r w:rsidRPr="00984383">
        <w:rPr>
          <w:rFonts w:eastAsia="Calibri" w:cs="Times New Roman"/>
        </w:rPr>
        <w:t xml:space="preserve"> </w:t>
      </w:r>
      <w:r w:rsidRPr="00984383">
        <w:rPr>
          <w:rFonts w:eastAsia="Calibri" w:cs="Times New Roman"/>
          <w:sz w:val="16"/>
          <w:szCs w:val="16"/>
        </w:rPr>
        <w:t>or use</w:t>
      </w:r>
      <w:r w:rsidRPr="00984383">
        <w:rPr>
          <w:rFonts w:eastAsia="Calibri" w:cs="Times New Roman"/>
        </w:rPr>
        <w:t xml:space="preserve"> </w:t>
      </w:r>
      <w:r w:rsidRPr="00984383">
        <w:rPr>
          <w:rFonts w:eastAsia="Calibri" w:cs="Times New Roman"/>
          <w:b/>
          <w:u w:val="single"/>
        </w:rPr>
        <w:t>“decolonizing methods,” or “decolonize student thinking.”</w:t>
      </w:r>
      <w:r w:rsidRPr="00984383">
        <w:rPr>
          <w:rFonts w:eastAsia="Calibri" w:cs="Times New Roman"/>
        </w:rPr>
        <w:t xml:space="preserve"> </w:t>
      </w:r>
      <w:r w:rsidRPr="00984383">
        <w:rPr>
          <w:rFonts w:eastAsia="Calibri" w:cs="Times New Roman"/>
          <w:sz w:val="16"/>
          <w:szCs w:val="16"/>
        </w:rPr>
        <w:t>Yet, ¶ we have observed a startling number of these</w:t>
      </w:r>
      <w:r w:rsidRPr="00984383">
        <w:rPr>
          <w:rFonts w:eastAsia="Calibri" w:cs="Times New Roman"/>
        </w:rPr>
        <w:t xml:space="preserve"> </w:t>
      </w:r>
      <w:r w:rsidRPr="00984383">
        <w:rPr>
          <w:rFonts w:eastAsia="Calibri" w:cs="Times New Roman"/>
          <w:b/>
          <w:u w:val="single"/>
        </w:rPr>
        <w:t>discussions make no mention of Indigenous peoples</w:t>
      </w:r>
      <w:r w:rsidRPr="00984383">
        <w:rPr>
          <w:rFonts w:eastAsia="Calibri" w:cs="Times New Roman"/>
        </w:rPr>
        <w:t xml:space="preserve">, </w:t>
      </w:r>
      <w:r w:rsidRPr="00984383">
        <w:rPr>
          <w:rFonts w:eastAsia="Calibri" w:cs="Times New Roman"/>
          <w:sz w:val="16"/>
          <w:szCs w:val="16"/>
        </w:rPr>
        <w:t>our</w:t>
      </w:r>
      <w:r w:rsidRPr="00984383">
        <w:rPr>
          <w:rFonts w:eastAsia="Calibri" w:cs="Times New Roman"/>
        </w:rPr>
        <w:t>/</w:t>
      </w:r>
      <w:r w:rsidRPr="00984383">
        <w:rPr>
          <w:rFonts w:eastAsia="Calibri" w:cs="Times New Roman"/>
          <w:b/>
          <w:u w:val="single"/>
        </w:rPr>
        <w:t>their struggles for the recognition of</w:t>
      </w:r>
      <w:r w:rsidRPr="00984383">
        <w:rPr>
          <w:rFonts w:eastAsia="Calibri" w:cs="Times New Roman"/>
        </w:rPr>
        <w:t xml:space="preserve"> </w:t>
      </w:r>
      <w:r w:rsidRPr="00984383">
        <w:rPr>
          <w:rFonts w:eastAsia="Calibri" w:cs="Times New Roman"/>
          <w:sz w:val="16"/>
          <w:szCs w:val="16"/>
        </w:rPr>
        <w:t>our</w:t>
      </w:r>
      <w:r w:rsidRPr="00984383">
        <w:rPr>
          <w:rFonts w:eastAsia="Calibri" w:cs="Times New Roman"/>
        </w:rPr>
        <w:t>/</w:t>
      </w:r>
      <w:r w:rsidRPr="00984383">
        <w:rPr>
          <w:rFonts w:eastAsia="Calibri" w:cs="Times New Roman"/>
          <w:b/>
          <w:u w:val="single"/>
        </w:rPr>
        <w:t xml:space="preserve">their sovereignty, or the contributions of </w:t>
      </w:r>
      <w:r w:rsidRPr="00984383">
        <w:rPr>
          <w:rFonts w:eastAsia="Calibri" w:cs="Times New Roman"/>
          <w:b/>
          <w:sz w:val="12"/>
          <w:u w:val="single"/>
        </w:rPr>
        <w:t xml:space="preserve">¶ </w:t>
      </w:r>
      <w:r w:rsidRPr="00984383">
        <w:rPr>
          <w:rFonts w:eastAsia="Calibri" w:cs="Times New Roman"/>
          <w:b/>
          <w:u w:val="single"/>
        </w:rPr>
        <w:t>Indigenous intellectuals and activists to theories and frameworks of decolonization</w:t>
      </w:r>
      <w:r w:rsidRPr="00984383">
        <w:rPr>
          <w:rFonts w:eastAsia="Calibri" w:cs="Times New Roman"/>
        </w:rPr>
        <w:t xml:space="preserve">. </w:t>
      </w:r>
      <w:r w:rsidRPr="00984383">
        <w:rPr>
          <w:rFonts w:eastAsia="Calibri" w:cs="Times New Roman"/>
          <w:sz w:val="16"/>
          <w:szCs w:val="16"/>
        </w:rPr>
        <w:t>Further, ¶ there</w:t>
      </w:r>
      <w:r w:rsidRPr="00984383">
        <w:rPr>
          <w:rFonts w:eastAsia="Calibri" w:cs="Times New Roman"/>
        </w:rPr>
        <w:t xml:space="preserve"> </w:t>
      </w:r>
      <w:r w:rsidRPr="00984383">
        <w:rPr>
          <w:rFonts w:eastAsia="Calibri" w:cs="Times New Roman"/>
          <w:b/>
          <w:u w:val="single"/>
        </w:rPr>
        <w:t>is often little recognition given to</w:t>
      </w:r>
      <w:r w:rsidRPr="00984383">
        <w:rPr>
          <w:rFonts w:eastAsia="Calibri" w:cs="Times New Roman"/>
        </w:rPr>
        <w:t xml:space="preserve"> </w:t>
      </w:r>
      <w:r w:rsidRPr="00984383">
        <w:rPr>
          <w:rFonts w:eastAsia="Calibri" w:cs="Times New Roman"/>
          <w:sz w:val="16"/>
          <w:szCs w:val="16"/>
        </w:rPr>
        <w:t>the immediate</w:t>
      </w:r>
      <w:r w:rsidRPr="00984383">
        <w:rPr>
          <w:rFonts w:eastAsia="Calibri" w:cs="Times New Roman"/>
        </w:rPr>
        <w:t xml:space="preserve"> </w:t>
      </w:r>
      <w:r w:rsidRPr="00984383">
        <w:rPr>
          <w:rFonts w:eastAsia="Calibri" w:cs="Times New Roman"/>
          <w:b/>
          <w:u w:val="single"/>
        </w:rPr>
        <w:t xml:space="preserve">context of settler colonialism on the North </w:t>
      </w:r>
      <w:r w:rsidRPr="00984383">
        <w:rPr>
          <w:rFonts w:eastAsia="Calibri" w:cs="Times New Roman"/>
          <w:b/>
          <w:sz w:val="12"/>
          <w:u w:val="single"/>
        </w:rPr>
        <w:t xml:space="preserve">¶ </w:t>
      </w:r>
      <w:r w:rsidRPr="00984383">
        <w:rPr>
          <w:rFonts w:eastAsia="Calibri" w:cs="Times New Roman"/>
          <w:b/>
          <w:u w:val="single"/>
        </w:rPr>
        <w:t>American lands</w:t>
      </w:r>
      <w:r w:rsidRPr="00984383">
        <w:rPr>
          <w:rFonts w:eastAsia="Calibri" w:cs="Times New Roman"/>
        </w:rPr>
        <w:t xml:space="preserve"> </w:t>
      </w:r>
      <w:r w:rsidRPr="00984383">
        <w:rPr>
          <w:rFonts w:eastAsia="Calibri" w:cs="Times New Roman"/>
          <w:sz w:val="16"/>
          <w:szCs w:val="16"/>
        </w:rPr>
        <w:t>where many of these conferences take place. ¶ Of course, dressing up in the language of decolonization is not as offensive as “Navajo ¶ print” underwear sold at a clothing chain store (Gaynor, 2012) and other appropriations of ¶ Indigenous cultures and materials that occur so frequently. Yet</w:t>
      </w:r>
      <w:r w:rsidRPr="00984383">
        <w:rPr>
          <w:rFonts w:eastAsia="Calibri" w:cs="Times New Roman"/>
        </w:rPr>
        <w:t xml:space="preserve">, </w:t>
      </w:r>
      <w:r w:rsidRPr="00984383">
        <w:rPr>
          <w:rFonts w:eastAsia="Calibri" w:cs="Times New Roman"/>
          <w:b/>
          <w:u w:val="single"/>
        </w:rPr>
        <w:t xml:space="preserve">this kind of inclusion is a form of </w:t>
      </w:r>
      <w:r w:rsidRPr="00984383">
        <w:rPr>
          <w:rFonts w:eastAsia="Calibri" w:cs="Times New Roman"/>
          <w:b/>
          <w:sz w:val="12"/>
          <w:u w:val="single"/>
        </w:rPr>
        <w:t xml:space="preserve">¶ </w:t>
      </w:r>
      <w:r w:rsidRPr="00984383">
        <w:rPr>
          <w:rFonts w:eastAsia="Calibri" w:cs="Times New Roman"/>
          <w:b/>
          <w:u w:val="single"/>
        </w:rPr>
        <w:t>enclosure, dangerous in how it domesticates decolonization</w:t>
      </w:r>
      <w:r w:rsidRPr="00984383">
        <w:rPr>
          <w:rFonts w:eastAsia="Calibri" w:cs="Times New Roman"/>
        </w:rPr>
        <w:t xml:space="preserve">. </w:t>
      </w:r>
      <w:r w:rsidRPr="00984383">
        <w:rPr>
          <w:rFonts w:eastAsia="Calibri" w:cs="Times New Roman"/>
          <w:sz w:val="16"/>
          <w:szCs w:val="16"/>
        </w:rPr>
        <w:t xml:space="preserve">It is also a foreclosure, limiting in ¶ how it recapitulates dominant theories of social change. </w:t>
      </w:r>
      <w:proofErr w:type="gramStart"/>
      <w:r w:rsidRPr="00984383">
        <w:rPr>
          <w:rFonts w:eastAsia="Calibri" w:cs="Times New Roman"/>
          <w:sz w:val="16"/>
          <w:szCs w:val="16"/>
        </w:rPr>
        <w:t>On the occasion of</w:t>
      </w:r>
      <w:proofErr w:type="gramEnd"/>
      <w:r w:rsidRPr="00984383">
        <w:rPr>
          <w:rFonts w:eastAsia="Calibri" w:cs="Times New Roman"/>
          <w:sz w:val="16"/>
          <w:szCs w:val="16"/>
        </w:rPr>
        <w:t xml:space="preserve"> the inaugural issue of ¶ Decolonization: Indigeneity, Education, &amp; Society, we want to be sure to clarify that</w:t>
      </w:r>
      <w:r w:rsidRPr="00984383">
        <w:rPr>
          <w:rFonts w:eastAsia="Calibri" w:cs="Times New Roman"/>
        </w:rPr>
        <w:t xml:space="preserve"> </w:t>
      </w:r>
      <w:r w:rsidRPr="00984383">
        <w:rPr>
          <w:rFonts w:eastAsia="Calibri" w:cs="Times New Roman"/>
          <w:sz w:val="12"/>
        </w:rPr>
        <w:t xml:space="preserve">¶ </w:t>
      </w:r>
      <w:r w:rsidRPr="00984383">
        <w:rPr>
          <w:rFonts w:eastAsia="Calibri" w:cs="Times New Roman"/>
          <w:b/>
          <w:u w:val="single"/>
        </w:rPr>
        <w:t xml:space="preserve">decolonization is not a metaphor. When metaphor invades decolonization, it kills the very </w:t>
      </w:r>
      <w:r w:rsidRPr="00984383">
        <w:rPr>
          <w:rFonts w:eastAsia="Calibri" w:cs="Times New Roman"/>
          <w:b/>
          <w:sz w:val="12"/>
          <w:u w:val="single"/>
        </w:rPr>
        <w:t xml:space="preserve">¶ </w:t>
      </w:r>
      <w:r w:rsidRPr="00984383">
        <w:rPr>
          <w:rFonts w:eastAsia="Calibri" w:cs="Times New Roman"/>
          <w:b/>
          <w:u w:val="single"/>
        </w:rPr>
        <w:t xml:space="preserve">possibility of decolonization; it </w:t>
      </w:r>
      <w:proofErr w:type="spellStart"/>
      <w:r w:rsidRPr="00984383">
        <w:rPr>
          <w:rFonts w:eastAsia="Calibri" w:cs="Times New Roman"/>
          <w:b/>
          <w:u w:val="single"/>
        </w:rPr>
        <w:t>recenters</w:t>
      </w:r>
      <w:proofErr w:type="spellEnd"/>
      <w:r w:rsidRPr="00984383">
        <w:rPr>
          <w:rFonts w:eastAsia="Calibri" w:cs="Times New Roman"/>
          <w:b/>
          <w:u w:val="single"/>
        </w:rPr>
        <w:t xml:space="preserve"> whiteness, it resettles theory, it extends innocence to </w:t>
      </w:r>
      <w:r w:rsidRPr="00984383">
        <w:rPr>
          <w:rFonts w:eastAsia="Calibri" w:cs="Times New Roman"/>
          <w:b/>
          <w:sz w:val="12"/>
          <w:u w:val="single"/>
        </w:rPr>
        <w:t xml:space="preserve">¶ </w:t>
      </w:r>
      <w:r w:rsidRPr="00984383">
        <w:rPr>
          <w:rFonts w:eastAsia="Calibri" w:cs="Times New Roman"/>
          <w:b/>
          <w:u w:val="single"/>
        </w:rPr>
        <w:t>the settler, it entertains a settler future.</w:t>
      </w:r>
      <w:r w:rsidRPr="00984383">
        <w:rPr>
          <w:rFonts w:eastAsia="Calibri" w:cs="Times New Roman"/>
        </w:rPr>
        <w:t xml:space="preserve"> </w:t>
      </w:r>
      <w:r w:rsidRPr="00984383">
        <w:rPr>
          <w:rFonts w:eastAsia="Calibri" w:cs="Times New Roman"/>
          <w:sz w:val="16"/>
          <w:szCs w:val="16"/>
        </w:rPr>
        <w:t>Decolonize (a verb) and decolonization (a noun) cannot ¶ easily be grafted onto pre-existing discourses/frameworks, even if they are critical, even if they ¶ are anti-racist, even if they are justice frameworks. The easy</w:t>
      </w:r>
      <w:r w:rsidRPr="00984383">
        <w:rPr>
          <w:rFonts w:eastAsia="Calibri" w:cs="Times New Roman"/>
        </w:rPr>
        <w:t xml:space="preserve"> </w:t>
      </w:r>
      <w:r w:rsidRPr="00984383">
        <w:rPr>
          <w:rFonts w:eastAsia="Calibri" w:cs="Times New Roman"/>
          <w:b/>
          <w:u w:val="single"/>
        </w:rPr>
        <w:t xml:space="preserve">absorption, adoption, and </w:t>
      </w:r>
      <w:r w:rsidRPr="00984383">
        <w:rPr>
          <w:rFonts w:eastAsia="Calibri" w:cs="Times New Roman"/>
          <w:b/>
          <w:sz w:val="12"/>
          <w:u w:val="single"/>
        </w:rPr>
        <w:t xml:space="preserve">¶ </w:t>
      </w:r>
      <w:r w:rsidRPr="00984383">
        <w:rPr>
          <w:rFonts w:eastAsia="Calibri" w:cs="Times New Roman"/>
          <w:b/>
          <w:u w:val="single"/>
        </w:rPr>
        <w:t>transposing of decolonization is</w:t>
      </w:r>
      <w:r w:rsidRPr="00984383">
        <w:rPr>
          <w:rFonts w:eastAsia="Calibri" w:cs="Times New Roman"/>
        </w:rPr>
        <w:t xml:space="preserve"> </w:t>
      </w:r>
      <w:r w:rsidRPr="00984383">
        <w:rPr>
          <w:rFonts w:eastAsia="Calibri" w:cs="Times New Roman"/>
          <w:sz w:val="16"/>
          <w:szCs w:val="16"/>
        </w:rPr>
        <w:t>yet</w:t>
      </w:r>
      <w:r w:rsidRPr="00984383">
        <w:rPr>
          <w:rFonts w:eastAsia="Calibri" w:cs="Times New Roman"/>
        </w:rPr>
        <w:t xml:space="preserve"> </w:t>
      </w:r>
      <w:r w:rsidRPr="00984383">
        <w:rPr>
          <w:rFonts w:eastAsia="Calibri" w:cs="Times New Roman"/>
          <w:b/>
          <w:u w:val="single"/>
        </w:rPr>
        <w:t>another form of settler appropriation</w:t>
      </w:r>
      <w:r w:rsidRPr="00984383">
        <w:rPr>
          <w:rFonts w:eastAsia="Calibri" w:cs="Times New Roman"/>
        </w:rPr>
        <w:t xml:space="preserve">. </w:t>
      </w:r>
      <w:r w:rsidRPr="00984383">
        <w:rPr>
          <w:rFonts w:eastAsia="Calibri" w:cs="Times New Roman"/>
          <w:sz w:val="16"/>
          <w:szCs w:val="16"/>
        </w:rPr>
        <w:t>When we write about ¶ decolonization, we are not offering it as a metaphor; it is not an approximation of other ¶ experiences of oppression. Decolonization is not a swappable term for other things we want to do ¶ to improve our societies and schools. Decolonization doesn’t have a synonym. ¶ Our goal in this essay is to remind readers what is unsettling about decolonization - what ¶ is unsettling and what should be unsettling. Clearly, we are advocates for the analysis of settler ¶ colonialism within education and education research and</w:t>
      </w:r>
      <w:r w:rsidRPr="00984383">
        <w:rPr>
          <w:rFonts w:eastAsia="Calibri" w:cs="Times New Roman"/>
        </w:rPr>
        <w:t xml:space="preserve"> </w:t>
      </w:r>
      <w:r w:rsidRPr="00984383">
        <w:rPr>
          <w:rFonts w:eastAsia="Calibri" w:cs="Times New Roman"/>
          <w:b/>
          <w:u w:val="single"/>
        </w:rPr>
        <w:t>we</w:t>
      </w:r>
      <w:r w:rsidRPr="00984383">
        <w:rPr>
          <w:rFonts w:eastAsia="Calibri" w:cs="Times New Roman"/>
        </w:rPr>
        <w:t xml:space="preserve"> </w:t>
      </w:r>
      <w:r w:rsidRPr="00984383">
        <w:rPr>
          <w:rFonts w:eastAsia="Calibri" w:cs="Times New Roman"/>
          <w:b/>
          <w:u w:val="single"/>
        </w:rPr>
        <w:t xml:space="preserve">position the work of Indigenous </w:t>
      </w:r>
      <w:r w:rsidRPr="00984383">
        <w:rPr>
          <w:rFonts w:eastAsia="Calibri" w:cs="Times New Roman"/>
          <w:b/>
          <w:sz w:val="12"/>
          <w:u w:val="single"/>
        </w:rPr>
        <w:t xml:space="preserve">¶ </w:t>
      </w:r>
      <w:r w:rsidRPr="00984383">
        <w:rPr>
          <w:rFonts w:eastAsia="Calibri" w:cs="Times New Roman"/>
          <w:b/>
          <w:u w:val="single"/>
        </w:rPr>
        <w:t>thinkers as central in unlocking the confounding aspects of public schooling</w:t>
      </w:r>
      <w:r w:rsidRPr="00984383">
        <w:rPr>
          <w:rFonts w:eastAsia="Calibri" w:cs="Times New Roman"/>
        </w:rPr>
        <w:t xml:space="preserve">. </w:t>
      </w:r>
      <w:r w:rsidRPr="00984383">
        <w:rPr>
          <w:rFonts w:eastAsia="Calibri" w:cs="Times New Roman"/>
          <w:sz w:val="16"/>
          <w:szCs w:val="16"/>
        </w:rPr>
        <w:t xml:space="preserve">We, at least in part, ¶ want others to join us in these efforts, so that settler colonial structuring and Indigenous critiques ¶ of that structuring are no longer rendered invisible. Yet, this joining cannot be too easy, too ¶ open, too settled. Solidarity is an uneasy, reserved, and unsettled matter that neither reconciles ¶ present grievances nor forecloses future conflict. There are </w:t>
      </w:r>
      <w:r w:rsidRPr="00984383">
        <w:rPr>
          <w:rFonts w:eastAsia="Calibri" w:cs="Times New Roman"/>
          <w:sz w:val="16"/>
          <w:szCs w:val="16"/>
        </w:rPr>
        <w:lastRenderedPageBreak/>
        <w:t xml:space="preserve">parts of the decolonization project ¶ that are not easily absorbed by human rights or civil </w:t>
      </w:r>
      <w:proofErr w:type="gramStart"/>
      <w:r w:rsidRPr="00984383">
        <w:rPr>
          <w:rFonts w:eastAsia="Calibri" w:cs="Times New Roman"/>
          <w:sz w:val="16"/>
          <w:szCs w:val="16"/>
        </w:rPr>
        <w:t>rights based</w:t>
      </w:r>
      <w:proofErr w:type="gramEnd"/>
      <w:r w:rsidRPr="00984383">
        <w:rPr>
          <w:rFonts w:eastAsia="Calibri" w:cs="Times New Roman"/>
          <w:sz w:val="16"/>
          <w:szCs w:val="16"/>
        </w:rPr>
        <w:t xml:space="preserve"> approaches to educational ¶ equity. In this essay, we think about what decolonization </w:t>
      </w:r>
      <w:proofErr w:type="gramStart"/>
      <w:r w:rsidRPr="00984383">
        <w:rPr>
          <w:rFonts w:eastAsia="Calibri" w:cs="Times New Roman"/>
          <w:sz w:val="16"/>
          <w:szCs w:val="16"/>
        </w:rPr>
        <w:t>wants.¶</w:t>
      </w:r>
      <w:proofErr w:type="gramEnd"/>
      <w:r w:rsidRPr="00984383">
        <w:rPr>
          <w:rFonts w:eastAsia="Calibri" w:cs="Times New Roman"/>
          <w:sz w:val="16"/>
          <w:szCs w:val="16"/>
        </w:rPr>
        <w:t xml:space="preserve"> There is a long and bumbled history of non-Indigenous peoples making moves to ¶ alleviate the impacts of colonization. The too-easy adoption of decolonizing discourse (making ¶ decolonization a metaphor) is just one part of that history and it taps into pre-existing tropes that ¶ get in the way of more meaningful potential alliances. We think of the</w:t>
      </w:r>
      <w:r w:rsidRPr="00984383">
        <w:rPr>
          <w:rFonts w:eastAsia="Calibri" w:cs="Times New Roman"/>
        </w:rPr>
        <w:t xml:space="preserve"> </w:t>
      </w:r>
      <w:r w:rsidRPr="00984383">
        <w:rPr>
          <w:rFonts w:eastAsia="Calibri" w:cs="Times New Roman"/>
          <w:b/>
          <w:u w:val="single"/>
        </w:rPr>
        <w:t xml:space="preserve">enactment of these tropes </w:t>
      </w:r>
      <w:r w:rsidRPr="00984383">
        <w:rPr>
          <w:rFonts w:eastAsia="Calibri" w:cs="Times New Roman"/>
          <w:b/>
          <w:sz w:val="12"/>
          <w:u w:val="single"/>
        </w:rPr>
        <w:t xml:space="preserve">¶ </w:t>
      </w:r>
      <w:r w:rsidRPr="00984383">
        <w:rPr>
          <w:rFonts w:eastAsia="Calibri" w:cs="Times New Roman"/>
          <w:b/>
          <w:u w:val="single"/>
        </w:rPr>
        <w:t>as a series of moves to innocence</w:t>
      </w:r>
      <w:r w:rsidRPr="00984383">
        <w:rPr>
          <w:rFonts w:eastAsia="Calibri" w:cs="Times New Roman"/>
        </w:rPr>
        <w:t xml:space="preserve"> </w:t>
      </w:r>
      <w:r w:rsidRPr="00984383">
        <w:rPr>
          <w:rFonts w:eastAsia="Calibri" w:cs="Times New Roman"/>
          <w:sz w:val="16"/>
          <w:szCs w:val="16"/>
        </w:rPr>
        <w:t>(</w:t>
      </w:r>
      <w:proofErr w:type="spellStart"/>
      <w:r w:rsidRPr="00984383">
        <w:rPr>
          <w:rFonts w:eastAsia="Calibri" w:cs="Times New Roman"/>
          <w:sz w:val="16"/>
          <w:szCs w:val="16"/>
        </w:rPr>
        <w:t>Malwhinney</w:t>
      </w:r>
      <w:proofErr w:type="spellEnd"/>
      <w:r w:rsidRPr="00984383">
        <w:rPr>
          <w:rFonts w:eastAsia="Calibri" w:cs="Times New Roman"/>
          <w:sz w:val="16"/>
          <w:szCs w:val="16"/>
        </w:rPr>
        <w:t>, 1998), which</w:t>
      </w:r>
      <w:r w:rsidRPr="00984383">
        <w:rPr>
          <w:rFonts w:eastAsia="Calibri" w:cs="Times New Roman"/>
        </w:rPr>
        <w:t xml:space="preserve"> </w:t>
      </w:r>
      <w:r w:rsidRPr="00984383">
        <w:rPr>
          <w:rFonts w:eastAsia="Calibri" w:cs="Times New Roman"/>
          <w:b/>
          <w:u w:val="single"/>
        </w:rPr>
        <w:t xml:space="preserve">problematically attempt to </w:t>
      </w:r>
      <w:r w:rsidRPr="00984383">
        <w:rPr>
          <w:rFonts w:eastAsia="Calibri" w:cs="Times New Roman"/>
          <w:b/>
          <w:sz w:val="12"/>
          <w:u w:val="single"/>
        </w:rPr>
        <w:t xml:space="preserve">¶ </w:t>
      </w:r>
      <w:r w:rsidRPr="00984383">
        <w:rPr>
          <w:rFonts w:eastAsia="Calibri" w:cs="Times New Roman"/>
          <w:b/>
          <w:u w:val="single"/>
        </w:rPr>
        <w:t>reconcile settler guilt and complicity</w:t>
      </w:r>
      <w:r w:rsidRPr="00984383">
        <w:rPr>
          <w:rFonts w:eastAsia="Calibri" w:cs="Times New Roman"/>
        </w:rPr>
        <w:t xml:space="preserve">, </w:t>
      </w:r>
      <w:r w:rsidRPr="00984383">
        <w:rPr>
          <w:rFonts w:eastAsia="Calibri" w:cs="Times New Roman"/>
          <w:sz w:val="16"/>
          <w:szCs w:val="16"/>
        </w:rPr>
        <w:t xml:space="preserve">and rescue settler futurity. Here, to explain why ¶ decolonization is and requires more than a metaphor, we discuss some of these moves to ¶ innocence: </w:t>
      </w:r>
      <w:proofErr w:type="spellStart"/>
      <w:r w:rsidRPr="00984383">
        <w:rPr>
          <w:rFonts w:eastAsia="Calibri" w:cs="Times New Roman"/>
          <w:sz w:val="16"/>
          <w:szCs w:val="16"/>
        </w:rPr>
        <w:t>i</w:t>
      </w:r>
      <w:proofErr w:type="spellEnd"/>
      <w:r w:rsidRPr="00984383">
        <w:rPr>
          <w:rFonts w:eastAsia="Calibri" w:cs="Times New Roman"/>
          <w:sz w:val="16"/>
          <w:szCs w:val="16"/>
        </w:rPr>
        <w:t>. Settler nativism¶ ii. Fantasizing adoption¶ iii. Colonial equivocation¶ iv. Conscientization¶ v. At risk-</w:t>
      </w:r>
      <w:proofErr w:type="spellStart"/>
      <w:r w:rsidRPr="00984383">
        <w:rPr>
          <w:rFonts w:eastAsia="Calibri" w:cs="Times New Roman"/>
          <w:sz w:val="16"/>
          <w:szCs w:val="16"/>
        </w:rPr>
        <w:t>ing</w:t>
      </w:r>
      <w:proofErr w:type="spellEnd"/>
      <w:r w:rsidRPr="00984383">
        <w:rPr>
          <w:rFonts w:eastAsia="Calibri" w:cs="Times New Roman"/>
          <w:sz w:val="16"/>
          <w:szCs w:val="16"/>
        </w:rPr>
        <w:t xml:space="preserve"> / Asterisk-</w:t>
      </w:r>
      <w:proofErr w:type="spellStart"/>
      <w:r w:rsidRPr="00984383">
        <w:rPr>
          <w:rFonts w:eastAsia="Calibri" w:cs="Times New Roman"/>
          <w:sz w:val="16"/>
          <w:szCs w:val="16"/>
        </w:rPr>
        <w:t>ing</w:t>
      </w:r>
      <w:proofErr w:type="spellEnd"/>
      <w:r w:rsidRPr="00984383">
        <w:rPr>
          <w:rFonts w:eastAsia="Calibri" w:cs="Times New Roman"/>
          <w:sz w:val="16"/>
          <w:szCs w:val="16"/>
        </w:rPr>
        <w:t xml:space="preserve"> Indigenous peoples¶ vi. Re-occupation and urban homesteading¶ </w:t>
      </w:r>
      <w:r w:rsidRPr="00984383">
        <w:rPr>
          <w:rFonts w:eastAsia="Calibri" w:cs="Times New Roman"/>
          <w:b/>
          <w:szCs w:val="16"/>
          <w:u w:val="single"/>
        </w:rPr>
        <w:t xml:space="preserve">Such </w:t>
      </w:r>
      <w:proofErr w:type="gramStart"/>
      <w:r w:rsidRPr="00984383">
        <w:rPr>
          <w:rFonts w:eastAsia="Calibri" w:cs="Times New Roman"/>
          <w:b/>
          <w:szCs w:val="16"/>
          <w:u w:val="single"/>
        </w:rPr>
        <w:t>moves</w:t>
      </w:r>
      <w:proofErr w:type="gramEnd"/>
      <w:r w:rsidRPr="00984383">
        <w:rPr>
          <w:rFonts w:eastAsia="Calibri" w:cs="Times New Roman"/>
          <w:sz w:val="16"/>
          <w:szCs w:val="16"/>
        </w:rPr>
        <w:t xml:space="preserve"> ultimately rep</w:t>
      </w:r>
      <w:r w:rsidRPr="00984383">
        <w:rPr>
          <w:rFonts w:eastAsia="Calibri" w:cs="Times New Roman"/>
          <w:b/>
          <w:szCs w:val="16"/>
          <w:u w:val="single"/>
        </w:rPr>
        <w:t>resent settler fantasies of</w:t>
      </w:r>
      <w:r w:rsidRPr="00984383">
        <w:rPr>
          <w:rFonts w:eastAsia="Calibri" w:cs="Times New Roman"/>
          <w:sz w:val="16"/>
          <w:szCs w:val="16"/>
        </w:rPr>
        <w:t xml:space="preserve"> easier paths to </w:t>
      </w:r>
      <w:r w:rsidRPr="00984383">
        <w:rPr>
          <w:rFonts w:eastAsia="Calibri" w:cs="Times New Roman"/>
          <w:b/>
          <w:szCs w:val="16"/>
          <w:u w:val="single"/>
        </w:rPr>
        <w:t>reconciliation</w:t>
      </w:r>
      <w:r w:rsidRPr="00984383">
        <w:rPr>
          <w:rFonts w:eastAsia="Calibri" w:cs="Times New Roman"/>
          <w:sz w:val="16"/>
          <w:szCs w:val="16"/>
        </w:rPr>
        <w:t xml:space="preserve">. Actually, </w:t>
      </w:r>
      <w:r w:rsidRPr="00984383">
        <w:rPr>
          <w:rFonts w:eastAsia="Calibri" w:cs="Times New Roman"/>
          <w:b/>
          <w:szCs w:val="16"/>
          <w:u w:val="single"/>
        </w:rPr>
        <w:t>we ¶ argue, attending to what is irreconcilable within settler colonial relations</w:t>
      </w:r>
      <w:r w:rsidRPr="00984383">
        <w:rPr>
          <w:rFonts w:eastAsia="Calibri" w:cs="Times New Roman"/>
          <w:sz w:val="16"/>
          <w:szCs w:val="16"/>
        </w:rPr>
        <w:t xml:space="preserve"> and what is ¶ incommensurable between decolonizing projects and other social justice projects will help to ¶ reduce the frustration of attempts at solidarity; but the attention won’t get anyone off the hook ¶ from the hard, unsettling work of decolonization</w:t>
      </w:r>
      <w:r w:rsidRPr="00984383">
        <w:rPr>
          <w:rFonts w:eastAsia="Calibri" w:cs="Times New Roman"/>
        </w:rPr>
        <w:t xml:space="preserve">. </w:t>
      </w:r>
      <w:r w:rsidRPr="00984383">
        <w:rPr>
          <w:rFonts w:eastAsia="Calibri" w:cs="Times New Roman"/>
          <w:b/>
          <w:u w:val="single"/>
        </w:rPr>
        <w:t xml:space="preserve">Thus, we also include a discussion of </w:t>
      </w:r>
      <w:r w:rsidRPr="00984383">
        <w:rPr>
          <w:rFonts w:eastAsia="Calibri" w:cs="Times New Roman"/>
          <w:b/>
          <w:sz w:val="12"/>
          <w:u w:val="single"/>
        </w:rPr>
        <w:t xml:space="preserve">¶ </w:t>
      </w:r>
      <w:r w:rsidRPr="00984383">
        <w:rPr>
          <w:rFonts w:eastAsia="Calibri" w:cs="Times New Roman"/>
          <w:b/>
          <w:u w:val="single"/>
        </w:rPr>
        <w:t>interruptions that unsettle innocence and recognize incommensurability</w:t>
      </w:r>
    </w:p>
    <w:p w14:paraId="3A658636" w14:textId="77777777" w:rsidR="007D167E" w:rsidRPr="00503920" w:rsidRDefault="007D167E" w:rsidP="007D167E"/>
    <w:p w14:paraId="2B74A2FC" w14:textId="77777777" w:rsidR="005F2921" w:rsidRPr="00212C8A" w:rsidRDefault="005F2921" w:rsidP="005F2921">
      <w:pPr>
        <w:pStyle w:val="Heading3"/>
      </w:pPr>
      <w:r>
        <w:lastRenderedPageBreak/>
        <w:t xml:space="preserve">AT </w:t>
      </w:r>
      <w:proofErr w:type="spellStart"/>
      <w:r>
        <w:t>Mignolo</w:t>
      </w:r>
      <w:proofErr w:type="spellEnd"/>
    </w:p>
    <w:p w14:paraId="349D5B83" w14:textId="77777777" w:rsidR="005F2921" w:rsidRDefault="005F2921" w:rsidP="005F2921">
      <w:pPr>
        <w:pStyle w:val="Heading4"/>
      </w:pPr>
      <w:proofErr w:type="spellStart"/>
      <w:r>
        <w:t>Mignolo’s</w:t>
      </w:r>
      <w:proofErr w:type="spellEnd"/>
      <w:r>
        <w:t xml:space="preserve"> scholarship is founded upon contradictory premises </w:t>
      </w:r>
    </w:p>
    <w:p w14:paraId="13CC92C0" w14:textId="77777777" w:rsidR="005F2921" w:rsidRDefault="005F2921" w:rsidP="005F2921">
      <w:proofErr w:type="spellStart"/>
      <w:r>
        <w:rPr>
          <w:rStyle w:val="Style13ptBold"/>
        </w:rPr>
        <w:t>Michaelsen</w:t>
      </w:r>
      <w:proofErr w:type="spellEnd"/>
      <w:r>
        <w:rPr>
          <w:rStyle w:val="Style13ptBold"/>
        </w:rPr>
        <w:t xml:space="preserve"> and </w:t>
      </w:r>
      <w:proofErr w:type="spellStart"/>
      <w:r>
        <w:rPr>
          <w:rStyle w:val="Style13ptBold"/>
        </w:rPr>
        <w:t>Shershow</w:t>
      </w:r>
      <w:proofErr w:type="spellEnd"/>
      <w:r>
        <w:rPr>
          <w:rStyle w:val="Style13ptBold"/>
        </w:rPr>
        <w:t xml:space="preserve"> 07 </w:t>
      </w:r>
      <w:r w:rsidRPr="00FD7E77">
        <w:rPr>
          <w:sz w:val="16"/>
          <w:szCs w:val="16"/>
        </w:rPr>
        <w:t xml:space="preserve">(Scott </w:t>
      </w:r>
      <w:proofErr w:type="spellStart"/>
      <w:r w:rsidRPr="00FD7E77">
        <w:rPr>
          <w:sz w:val="16"/>
          <w:szCs w:val="16"/>
        </w:rPr>
        <w:t>Michaelsen</w:t>
      </w:r>
      <w:proofErr w:type="spellEnd"/>
      <w:r w:rsidRPr="00FD7E77">
        <w:rPr>
          <w:sz w:val="16"/>
          <w:szCs w:val="16"/>
        </w:rPr>
        <w:t xml:space="preserve"> and Scott Cutler </w:t>
      </w:r>
      <w:proofErr w:type="spellStart"/>
      <w:r w:rsidRPr="00FD7E77">
        <w:rPr>
          <w:sz w:val="16"/>
          <w:szCs w:val="16"/>
        </w:rPr>
        <w:t>Shershow</w:t>
      </w:r>
      <w:proofErr w:type="spellEnd"/>
      <w:r w:rsidRPr="00FD7E77">
        <w:rPr>
          <w:sz w:val="16"/>
          <w:szCs w:val="16"/>
        </w:rPr>
        <w:t>, Assistant Professor in the English Department at Michigan State University &amp; professor of English at the University of California, Davis, “​Rethinking Border Thinking”, South Atlantic Quarterly 2007 Volume 106, Number 1: 39-60)</w:t>
      </w:r>
      <w:r w:rsidRPr="00FD7E77">
        <w:t xml:space="preserve"> </w:t>
      </w:r>
    </w:p>
    <w:p w14:paraId="2A268147" w14:textId="77777777" w:rsidR="005F2921" w:rsidRPr="003C20B2" w:rsidRDefault="005F2921" w:rsidP="005F2921">
      <w:pPr>
        <w:rPr>
          <w:sz w:val="16"/>
        </w:rPr>
      </w:pPr>
      <w:r w:rsidRPr="00D22727">
        <w:rPr>
          <w:rStyle w:val="StyleUnderline"/>
        </w:rPr>
        <w:t>As we have observed, this whole elaborate theoretical machinery depends on a single fundamental claim: that Amerindian systems of signification were so distinctively different as to escape the problems Derrida described under the term logocentrism</w:t>
      </w:r>
      <w:r w:rsidRPr="003C20B2">
        <w:rPr>
          <w:sz w:val="16"/>
        </w:rPr>
        <w:t xml:space="preserve">. Even on the surface of it, </w:t>
      </w:r>
      <w:r w:rsidRPr="00D22727">
        <w:rPr>
          <w:rStyle w:val="StyleUnderline"/>
        </w:rPr>
        <w:t xml:space="preserve">such a claim is founded in a contradiction so simple and obvious as to have eluded </w:t>
      </w:r>
      <w:proofErr w:type="spellStart"/>
      <w:r w:rsidRPr="00D22727">
        <w:rPr>
          <w:rStyle w:val="StyleUnderline"/>
        </w:rPr>
        <w:t>Mignolo</w:t>
      </w:r>
      <w:proofErr w:type="spellEnd"/>
      <w:r w:rsidRPr="00D22727">
        <w:rPr>
          <w:rStyle w:val="StyleUnderline"/>
        </w:rPr>
        <w:t xml:space="preserve"> himself. On the one hand, </w:t>
      </w:r>
      <w:proofErr w:type="spellStart"/>
      <w:r w:rsidRPr="00D22727">
        <w:rPr>
          <w:rStyle w:val="StyleUnderline"/>
        </w:rPr>
        <w:t>Mignolo</w:t>
      </w:r>
      <w:proofErr w:type="spellEnd"/>
      <w:r w:rsidRPr="00D22727">
        <w:rPr>
          <w:rStyle w:val="StyleUnderline"/>
        </w:rPr>
        <w:t xml:space="preserve"> argues above all that these colonial subjects, who were declared to be a people “without writing” by their colonial conquerors (because they appeared to lack systems of phonetic or alphabetic inscription) in fact do possess a variety of practices that can meaningfully be called “writing.”</w:t>
      </w:r>
      <w:r w:rsidRPr="003C20B2">
        <w:rPr>
          <w:sz w:val="16"/>
        </w:rPr>
        <w:t xml:space="preserve"> In this sense, </w:t>
      </w:r>
      <w:r w:rsidRPr="00D22727">
        <w:rPr>
          <w:rStyle w:val="StyleUnderline"/>
        </w:rPr>
        <w:t xml:space="preserve">the Amerindians were culturally the same as their conquerors: their signifying systems were in no sense “primitive” and should not be understood as merely the earlier stages of some alleged progression toward alphabetic writing. On the other hand, </w:t>
      </w:r>
      <w:proofErr w:type="spellStart"/>
      <w:r w:rsidRPr="00D22727">
        <w:rPr>
          <w:rStyle w:val="StyleUnderline"/>
        </w:rPr>
        <w:t>Mignolo</w:t>
      </w:r>
      <w:proofErr w:type="spellEnd"/>
      <w:r w:rsidRPr="00D22727">
        <w:rPr>
          <w:rStyle w:val="StyleUnderline"/>
        </w:rPr>
        <w:t xml:space="preserve"> also argues that Amerindian signifying practices were in fact distinctively different from European ones, for their “writing” was neither a phonetic representation of speech nor understood as a privileged realm of memory and authority in the Western manner. </w:t>
      </w:r>
      <w:proofErr w:type="spellStart"/>
      <w:r w:rsidRPr="00D22727">
        <w:rPr>
          <w:rStyle w:val="StyleUnderline"/>
        </w:rPr>
        <w:t>Mignolo</w:t>
      </w:r>
      <w:proofErr w:type="spellEnd"/>
      <w:r w:rsidRPr="00D22727">
        <w:rPr>
          <w:rStyle w:val="StyleUnderline"/>
        </w:rPr>
        <w:t xml:space="preserve"> is thus trying</w:t>
      </w:r>
      <w:r w:rsidRPr="003C20B2">
        <w:rPr>
          <w:sz w:val="16"/>
        </w:rPr>
        <w:t xml:space="preserve">, as it were, </w:t>
      </w:r>
      <w:r w:rsidRPr="00D22727">
        <w:rPr>
          <w:rStyle w:val="StyleUnderline"/>
        </w:rPr>
        <w:t>to have his difference and deny it too</w:t>
      </w:r>
      <w:r w:rsidRPr="003C20B2">
        <w:rPr>
          <w:sz w:val="16"/>
        </w:rPr>
        <w:t xml:space="preserve">. He insists that Amerindians did have </w:t>
      </w:r>
      <w:proofErr w:type="gramStart"/>
      <w:r w:rsidRPr="003C20B2">
        <w:rPr>
          <w:sz w:val="16"/>
        </w:rPr>
        <w:t>writing, yet</w:t>
      </w:r>
      <w:proofErr w:type="gramEnd"/>
      <w:r w:rsidRPr="003C20B2">
        <w:rPr>
          <w:sz w:val="16"/>
        </w:rPr>
        <w:t xml:space="preserve"> imagines the writing they had as one that escapes all of writing’s problems and that exists in the form of an untamed “voice” not yet contaminated by the letter. </w:t>
      </w:r>
      <w:r w:rsidRPr="00D22727">
        <w:rPr>
          <w:rStyle w:val="StyleUnderline"/>
        </w:rPr>
        <w:t>The first half of this self-contradictory argument also merely echoes a traditional anthropological critique of “evolutionary” Eurocentric conceptions of culture</w:t>
      </w:r>
      <w:r w:rsidRPr="003C20B2">
        <w:rPr>
          <w:sz w:val="16"/>
        </w:rPr>
        <w:t xml:space="preserve">. True enough, both the Renaissance colonialists and humanists whom </w:t>
      </w:r>
      <w:proofErr w:type="spellStart"/>
      <w:r w:rsidRPr="003C20B2">
        <w:rPr>
          <w:sz w:val="16"/>
        </w:rPr>
        <w:t>Mignolo</w:t>
      </w:r>
      <w:proofErr w:type="spellEnd"/>
      <w:r w:rsidRPr="003C20B2">
        <w:rPr>
          <w:sz w:val="16"/>
        </w:rPr>
        <w:t xml:space="preserve"> discusses, and later thinkers such as Rousseau and Hegel, always assume that alphabetic writing is the inevitable telos of human cultural progress. The other contributors to Writing without Words frequently join </w:t>
      </w:r>
      <w:proofErr w:type="spellStart"/>
      <w:r w:rsidRPr="003C20B2">
        <w:rPr>
          <w:sz w:val="16"/>
        </w:rPr>
        <w:t>Mignolo</w:t>
      </w:r>
      <w:proofErr w:type="spellEnd"/>
      <w:r w:rsidRPr="003C20B2">
        <w:rPr>
          <w:sz w:val="16"/>
        </w:rPr>
        <w:t xml:space="preserve"> (and Derrida) in rightly critiquing such assumptions. For example, Elizabeth Hill Boone, the coeditor of the volume, deplores how “the denial of pictographic writing systems as ‘real writing’ has generally been accompanied by an insidious pejorative tone.”8 Boone, however, enlists Derrida’s critique of logocentrism as an ally in reclaiming the pictographic systems of pre-Columbian as legitimate forms of “writing.” What Boone calls the “</w:t>
      </w:r>
      <w:proofErr w:type="spellStart"/>
      <w:r w:rsidRPr="003C20B2">
        <w:rPr>
          <w:sz w:val="16"/>
        </w:rPr>
        <w:t>semasiographic</w:t>
      </w:r>
      <w:proofErr w:type="spellEnd"/>
      <w:r w:rsidRPr="003C20B2">
        <w:rPr>
          <w:sz w:val="16"/>
        </w:rPr>
        <w:t>” writing systems of Mesoamerica do not primarily rely on a phonetic representation of speech and are “characterized by a high proportion of visual description,” but nevertheless, “like other iconic systems they also use some arbitrary conventions,” and “phonetic elements may be present—especially in personal names and place names” (18). As Derrida himself always argues, no system of writing is either purely phonetic or purely pictographic; and “‘phonetic’ and ‘</w:t>
      </w:r>
      <w:proofErr w:type="spellStart"/>
      <w:r w:rsidRPr="003C20B2">
        <w:rPr>
          <w:sz w:val="16"/>
        </w:rPr>
        <w:t>nonphonetic</w:t>
      </w:r>
      <w:proofErr w:type="spellEnd"/>
      <w:r w:rsidRPr="003C20B2">
        <w:rPr>
          <w:sz w:val="16"/>
        </w:rPr>
        <w:t xml:space="preserve">’ are . . . never pure qualities of certain systems of writing, they are the abstract characteristics of typical elements, more or less numerous and dominant within all systems of signification in general” (Grammatology, 89). No departure from Derrida is therefore necessary to join </w:t>
      </w:r>
      <w:proofErr w:type="spellStart"/>
      <w:r w:rsidRPr="003C20B2">
        <w:rPr>
          <w:sz w:val="16"/>
        </w:rPr>
        <w:t>Mignolo</w:t>
      </w:r>
      <w:proofErr w:type="spellEnd"/>
      <w:r w:rsidRPr="003C20B2">
        <w:rPr>
          <w:sz w:val="16"/>
        </w:rPr>
        <w:t xml:space="preserve"> and his collaborators in this volume in simply concluding that, during the period of colonization, “the materiality and the ideology of Amerindian semiotic interactions were intermingled with or replaced by the materiality and ideology of Western reading and writing cultures” (Darker, 76) and that, in other words, </w:t>
      </w:r>
      <w:r w:rsidRPr="00D22727">
        <w:rPr>
          <w:rStyle w:val="StyleUnderline"/>
        </w:rPr>
        <w:t xml:space="preserve">European colonialists misinterpreted Amerindian practices in the light of their own cultural presuppositions, and imposed Western conceptions of writing on colonial subjects as part of a broader process of cultural and political subjugation. But the second half of </w:t>
      </w:r>
      <w:proofErr w:type="spellStart"/>
      <w:r w:rsidRPr="00D22727">
        <w:rPr>
          <w:rStyle w:val="StyleUnderline"/>
        </w:rPr>
        <w:t>Mignolo’s</w:t>
      </w:r>
      <w:proofErr w:type="spellEnd"/>
      <w:r w:rsidRPr="00D22727">
        <w:rPr>
          <w:rStyle w:val="StyleUnderline"/>
        </w:rPr>
        <w:t xml:space="preserve"> self-contradictory double claim—that Amerindian systems of signification escape the problems of logocentrism—by no means follows from this conclusion</w:t>
      </w:r>
      <w:r w:rsidRPr="003C20B2">
        <w:rPr>
          <w:sz w:val="16"/>
        </w:rPr>
        <w:t xml:space="preserve">. Consider, for example, how Boone suggests that one advantage of </w:t>
      </w:r>
      <w:proofErr w:type="spellStart"/>
      <w:r w:rsidRPr="003C20B2">
        <w:rPr>
          <w:sz w:val="16"/>
        </w:rPr>
        <w:t>semasiographic</w:t>
      </w:r>
      <w:proofErr w:type="spellEnd"/>
      <w:r w:rsidRPr="003C20B2">
        <w:rPr>
          <w:sz w:val="16"/>
        </w:rPr>
        <w:t xml:space="preserve"> systems is that “Aztec (Nahuatl-speaking) scribes from Central Mexico could . . . read the Mixtec histories of southern Oaxaca, giving them voice in their own language” (19). And she concludes: One thing shared by all these indigenous New World systems is that they give accountability. Because they are permanent, or relatively so, they functioned for their societies to document and to establish ideas. As records, they are memory that can be inspected by others. The hieroglyphic text and the pictorial-iconic presentation could be read or interpreted by many people other than their creator. (22, emphases original) One must join Boone here in highlighting, as definitive characteristics of any of these New World systems of inscription, the functions of accountability, memory, and interpretability. Such characteristics would pertain in even the relatively extreme case of the Peruvian quipus, insofar as their patterns of knots and cords functioned, in any sense, to record or document information (and even if, as some have claimed, these were no more than personal mnemonic devices). Similarly, Peter L. van der Loo, discussing in the same volume a pre-Columbian pictorial manuscript known as the Borgia Group, explains that “these manuscripts can be read as text. Because the message is put down in a pictorial mode, the actual spoken text may differ from reader to reader, but the main content of the message will remain the same to all.”9 As described here, this </w:t>
      </w:r>
      <w:proofErr w:type="spellStart"/>
      <w:r w:rsidRPr="003C20B2">
        <w:rPr>
          <w:sz w:val="16"/>
        </w:rPr>
        <w:t>nonphonetic</w:t>
      </w:r>
      <w:proofErr w:type="spellEnd"/>
      <w:r w:rsidRPr="003C20B2">
        <w:rPr>
          <w:sz w:val="16"/>
        </w:rPr>
        <w:t xml:space="preserve"> “writing” nevertheless is said to be linked to some semiotic “message” or “content” that both precedes and survives its </w:t>
      </w:r>
      <w:r w:rsidRPr="003C20B2">
        <w:rPr>
          <w:sz w:val="16"/>
        </w:rPr>
        <w:lastRenderedPageBreak/>
        <w:t xml:space="preserve">inscription, that is reproducible as “voice” or “reading” in its wake, and that thus anchors or limits the varied readings or voicing of the inscribed signs. Is this, too, merely a Eurocentric misreading of pre-Columbian practices? Or is there, rather, no other way to “read” or to “write” except as a perpetually unfinished process of deferred presence? What else could this “content” or “voice” be than what Derrida calls the “trace,” the “arche-writing” that is “before the letter” not in some historical or evolutionary sense but, rather, as the mark of a consciousness and an “experience” lived only in signs and in time, and therefore in an interminable process of self-differing and self-deferring? As soon as there is, in any sense, record, account, or document, as soon as inscription of any kind offers itself as at once a supplement and a substitute for a memory that already supplements and substitutes for the trace, one is already, as these ethnographic descriptions themselves clearly attest, within the strange economy of what Derrida famously calls </w:t>
      </w:r>
      <w:proofErr w:type="spellStart"/>
      <w:r w:rsidRPr="003C20B2">
        <w:rPr>
          <w:sz w:val="16"/>
        </w:rPr>
        <w:t>différance</w:t>
      </w:r>
      <w:proofErr w:type="spellEnd"/>
      <w:r w:rsidRPr="003C20B2">
        <w:rPr>
          <w:sz w:val="16"/>
        </w:rPr>
        <w:t xml:space="preserve">. But </w:t>
      </w:r>
      <w:proofErr w:type="spellStart"/>
      <w:r w:rsidRPr="003C20B2">
        <w:rPr>
          <w:sz w:val="16"/>
        </w:rPr>
        <w:t>Mignolo</w:t>
      </w:r>
      <w:proofErr w:type="spellEnd"/>
      <w:r w:rsidRPr="003C20B2">
        <w:rPr>
          <w:sz w:val="16"/>
        </w:rPr>
        <w:t xml:space="preserve"> himself, as we have already observed, wants both to reclaim these New World practices as “writing” and to free them from all such economies. </w:t>
      </w:r>
      <w:r w:rsidRPr="00D22727">
        <w:rPr>
          <w:rStyle w:val="StyleUnderline"/>
        </w:rPr>
        <w:t xml:space="preserve">In </w:t>
      </w:r>
      <w:proofErr w:type="gramStart"/>
      <w:r w:rsidRPr="00D22727">
        <w:rPr>
          <w:rStyle w:val="StyleUnderline"/>
        </w:rPr>
        <w:t>The</w:t>
      </w:r>
      <w:proofErr w:type="gramEnd"/>
      <w:r w:rsidRPr="00D22727">
        <w:rPr>
          <w:rStyle w:val="StyleUnderline"/>
        </w:rPr>
        <w:t xml:space="preserve"> Darker Side, </w:t>
      </w:r>
      <w:proofErr w:type="spellStart"/>
      <w:r w:rsidRPr="00D22727">
        <w:rPr>
          <w:rStyle w:val="StyleUnderline"/>
        </w:rPr>
        <w:t>Mignolo</w:t>
      </w:r>
      <w:proofErr w:type="spellEnd"/>
      <w:r w:rsidRPr="00D22727">
        <w:rPr>
          <w:rStyle w:val="StyleUnderline"/>
        </w:rPr>
        <w:t xml:space="preserve"> observes repeatedly that it is possible to have “writing without books,” pointing to, for example, the graphic inscriptions on the walls of temples in ancient Egypt and ancient Mesoamerica. He fails to acknowledge that such observations have always accompanied the very discourses whose ethnocentric biases he wants to expose.</w:t>
      </w:r>
      <w:r w:rsidRPr="003C20B2">
        <w:rPr>
          <w:sz w:val="16"/>
        </w:rPr>
        <w:t xml:space="preserve"> For example, Hegel, whose Aesthetics is perhaps the supreme European statement of an “evolutionary” approach to language, observes in this same text that Egyptian temples “can be regarded like the pages of a book.”10 </w:t>
      </w:r>
      <w:proofErr w:type="spellStart"/>
      <w:r w:rsidRPr="00D22727">
        <w:rPr>
          <w:rStyle w:val="StyleUnderline"/>
        </w:rPr>
        <w:t>Mignolo’s</w:t>
      </w:r>
      <w:proofErr w:type="spellEnd"/>
      <w:r w:rsidRPr="00D22727">
        <w:rPr>
          <w:rStyle w:val="StyleUnderline"/>
        </w:rPr>
        <w:t xml:space="preserve"> specific observations also remain suspended between the two rather different arguments that we have already summarized. He suggests that Amerindians possessed sophisticated writing practices that were misunderstood by their conquerors, but then goes on to claim—or at least to hint— that the Amerindians grasped the very relation between presence and representation in a manner somehow radically different from Europeans</w:t>
      </w:r>
      <w:r w:rsidRPr="003C20B2">
        <w:rPr>
          <w:sz w:val="16"/>
        </w:rPr>
        <w:t xml:space="preserve">. For example, </w:t>
      </w:r>
      <w:proofErr w:type="spellStart"/>
      <w:r w:rsidRPr="003C20B2">
        <w:rPr>
          <w:sz w:val="16"/>
        </w:rPr>
        <w:t>Mignolo</w:t>
      </w:r>
      <w:proofErr w:type="spellEnd"/>
      <w:r w:rsidRPr="003C20B2">
        <w:rPr>
          <w:sz w:val="16"/>
        </w:rPr>
        <w:t xml:space="preserve"> offers an extended reading of a text known as the </w:t>
      </w:r>
      <w:proofErr w:type="spellStart"/>
      <w:r w:rsidRPr="003C20B2">
        <w:rPr>
          <w:sz w:val="16"/>
        </w:rPr>
        <w:t>Coloquios</w:t>
      </w:r>
      <w:proofErr w:type="spellEnd"/>
      <w:r w:rsidRPr="003C20B2">
        <w:rPr>
          <w:sz w:val="16"/>
        </w:rPr>
        <w:t xml:space="preserve"> y </w:t>
      </w:r>
      <w:proofErr w:type="spellStart"/>
      <w:r w:rsidRPr="003C20B2">
        <w:rPr>
          <w:sz w:val="16"/>
        </w:rPr>
        <w:t>doctrina</w:t>
      </w:r>
      <w:proofErr w:type="spellEnd"/>
      <w:r w:rsidRPr="003C20B2">
        <w:rPr>
          <w:sz w:val="16"/>
        </w:rPr>
        <w:t xml:space="preserve"> Christiana, which he describes as “a dialogue among twelve Franciscan friars and a handful of Mexican wise men that took place in 1524, was written down, and was transcribed by </w:t>
      </w:r>
      <w:proofErr w:type="spellStart"/>
      <w:r w:rsidRPr="003C20B2">
        <w:rPr>
          <w:sz w:val="16"/>
        </w:rPr>
        <w:t>Bernadino</w:t>
      </w:r>
      <w:proofErr w:type="spellEnd"/>
      <w:r w:rsidRPr="003C20B2">
        <w:rPr>
          <w:sz w:val="16"/>
        </w:rPr>
        <w:t xml:space="preserve"> de </w:t>
      </w:r>
      <w:proofErr w:type="spellStart"/>
      <w:r w:rsidRPr="003C20B2">
        <w:rPr>
          <w:sz w:val="16"/>
        </w:rPr>
        <w:t>Sahagún</w:t>
      </w:r>
      <w:proofErr w:type="spellEnd"/>
      <w:r w:rsidRPr="003C20B2">
        <w:rPr>
          <w:sz w:val="16"/>
        </w:rPr>
        <w:t xml:space="preserve"> around 1565” (Darker, 2). The dialogue itself survived originally in the form of “scattered notes,” and </w:t>
      </w:r>
      <w:proofErr w:type="spellStart"/>
      <w:r w:rsidRPr="003C20B2">
        <w:rPr>
          <w:sz w:val="16"/>
        </w:rPr>
        <w:t>Sahagún</w:t>
      </w:r>
      <w:proofErr w:type="spellEnd"/>
      <w:r w:rsidRPr="003C20B2">
        <w:rPr>
          <w:sz w:val="16"/>
        </w:rPr>
        <w:t xml:space="preserve"> “provided a free and somewhat distorted translation” (Darker, 97). </w:t>
      </w:r>
      <w:r w:rsidRPr="00D22727">
        <w:rPr>
          <w:rStyle w:val="StyleUnderline"/>
        </w:rPr>
        <w:t xml:space="preserve">We are dealing, in other words, with an extraordinarily complex and problematic chain of multiple texts and translations, from which, however, </w:t>
      </w:r>
      <w:proofErr w:type="spellStart"/>
      <w:r w:rsidRPr="00D22727">
        <w:rPr>
          <w:rStyle w:val="StyleUnderline"/>
        </w:rPr>
        <w:t>Mignolo</w:t>
      </w:r>
      <w:proofErr w:type="spellEnd"/>
      <w:r w:rsidRPr="00D22727">
        <w:rPr>
          <w:rStyle w:val="StyleUnderline"/>
        </w:rPr>
        <w:t xml:space="preserve"> will claim both to identify the mistakes made by the Europeans who transmitted and preserved the dialogue and wrest some purer or truer apprehension of the “original” Mexican practices discussed in it.</w:t>
      </w:r>
      <w:r w:rsidRPr="003C20B2">
        <w:rPr>
          <w:sz w:val="16"/>
        </w:rPr>
        <w:t xml:space="preserve"> To take just one example from </w:t>
      </w:r>
      <w:proofErr w:type="spellStart"/>
      <w:r w:rsidRPr="003C20B2">
        <w:rPr>
          <w:sz w:val="16"/>
        </w:rPr>
        <w:t>Mignolo’s</w:t>
      </w:r>
      <w:proofErr w:type="spellEnd"/>
      <w:r w:rsidRPr="003C20B2">
        <w:rPr>
          <w:sz w:val="16"/>
        </w:rPr>
        <w:t xml:space="preserve"> lengthy reading of this multilingual text, </w:t>
      </w:r>
      <w:proofErr w:type="spellStart"/>
      <w:r w:rsidRPr="003C20B2">
        <w:rPr>
          <w:sz w:val="16"/>
        </w:rPr>
        <w:t>Sahagún</w:t>
      </w:r>
      <w:proofErr w:type="spellEnd"/>
      <w:r w:rsidRPr="003C20B2">
        <w:rPr>
          <w:sz w:val="16"/>
        </w:rPr>
        <w:t xml:space="preserve"> transcribes the Mexican wise men as saying: And furthermore may you know, good sirs, that we have priests who direct and train us in the culture and service of our gods; there are also many others who have diverse names, who understand the service of the temples by night and by day, who are as wise and skillful in regard to the revolution and course of the heavens, as they are in regard to our ancient customs; they hold the books of our ancient lore, which they study and look upon, by night and day. (Darker, 103; emphases original) </w:t>
      </w:r>
      <w:proofErr w:type="spellStart"/>
      <w:r w:rsidRPr="003C20B2">
        <w:rPr>
          <w:sz w:val="16"/>
        </w:rPr>
        <w:t>Mignolo</w:t>
      </w:r>
      <w:proofErr w:type="spellEnd"/>
      <w:r w:rsidRPr="003C20B2">
        <w:rPr>
          <w:sz w:val="16"/>
        </w:rPr>
        <w:t xml:space="preserve"> suggests that this loose translation, compared to the surviving Nahuatl version and an earlier, more literal Spanish translation, does not make so clear a distinction between “understanding the trajectory of the stars and the configuration of the sky” and “‘looking upon’ [</w:t>
      </w:r>
      <w:proofErr w:type="spellStart"/>
      <w:r w:rsidRPr="003C20B2">
        <w:rPr>
          <w:sz w:val="16"/>
        </w:rPr>
        <w:t>ojear</w:t>
      </w:r>
      <w:proofErr w:type="spellEnd"/>
      <w:r w:rsidRPr="003C20B2">
        <w:rPr>
          <w:sz w:val="16"/>
        </w:rPr>
        <w:t xml:space="preserve">] the books day and night” (103). Both the stars and the books were understood by the Indians to be “looked at” or read, but only if we take the latter word to mean something like “discerned,” rather than the specific activity of reading a book. </w:t>
      </w:r>
      <w:proofErr w:type="spellStart"/>
      <w:r w:rsidRPr="003C20B2">
        <w:rPr>
          <w:sz w:val="16"/>
        </w:rPr>
        <w:t>Mignolo</w:t>
      </w:r>
      <w:proofErr w:type="spellEnd"/>
      <w:r w:rsidRPr="003C20B2">
        <w:rPr>
          <w:sz w:val="16"/>
        </w:rPr>
        <w:t xml:space="preserve"> seems to imply that the Amerindians were somehow outside the distinction between presence and re-representation: “They looked at the sky, they also looked at the inscriptions in solid surfaces,” while Spaniards, by contrast, “stressed reading the word rather than reading the world” (105). But what exactly is the distinction being described here? Does </w:t>
      </w:r>
      <w:proofErr w:type="spellStart"/>
      <w:r w:rsidRPr="003C20B2">
        <w:rPr>
          <w:sz w:val="16"/>
        </w:rPr>
        <w:t>Mignolo</w:t>
      </w:r>
      <w:proofErr w:type="spellEnd"/>
      <w:r w:rsidRPr="003C20B2">
        <w:rPr>
          <w:sz w:val="16"/>
        </w:rPr>
        <w:t xml:space="preserve"> mean to suggest that an Amerindian understood no difference between a pictograph of the sun and the sun </w:t>
      </w:r>
      <w:proofErr w:type="gramStart"/>
      <w:r w:rsidRPr="003C20B2">
        <w:rPr>
          <w:sz w:val="16"/>
        </w:rPr>
        <w:t>itself ?</w:t>
      </w:r>
      <w:proofErr w:type="gramEnd"/>
      <w:r w:rsidRPr="003C20B2">
        <w:rPr>
          <w:sz w:val="16"/>
        </w:rPr>
        <w:t xml:space="preserve"> We should also recall that the idea of the world as the “book of nature” was also </w:t>
      </w:r>
      <w:proofErr w:type="spellStart"/>
      <w:r w:rsidRPr="003C20B2">
        <w:rPr>
          <w:sz w:val="16"/>
        </w:rPr>
        <w:t>wellestablished</w:t>
      </w:r>
      <w:proofErr w:type="spellEnd"/>
      <w:r w:rsidRPr="003C20B2">
        <w:rPr>
          <w:sz w:val="16"/>
        </w:rPr>
        <w:t xml:space="preserve"> in early modern European culture and that in Europe, prior to the Reformation, only priests and scholars were permitted to read the Holy Scriptures. It would appear, in other words, that both in Europe and in Mexico, “those who have the wisdom of the word are those who can ‘look’ at the sky or at the painted books and interpret them to tell stories based on their discerning of the signs” (104). In any case, </w:t>
      </w:r>
      <w:proofErr w:type="spellStart"/>
      <w:r w:rsidRPr="003C20B2">
        <w:rPr>
          <w:sz w:val="16"/>
        </w:rPr>
        <w:t>Mignolo’s</w:t>
      </w:r>
      <w:proofErr w:type="spellEnd"/>
      <w:r w:rsidRPr="003C20B2">
        <w:rPr>
          <w:sz w:val="16"/>
        </w:rPr>
        <w:t xml:space="preserve"> argument eventually retreats from these </w:t>
      </w:r>
      <w:proofErr w:type="spellStart"/>
      <w:r w:rsidRPr="003C20B2">
        <w:rPr>
          <w:sz w:val="16"/>
        </w:rPr>
        <w:t>halfarticulated</w:t>
      </w:r>
      <w:proofErr w:type="spellEnd"/>
      <w:r w:rsidRPr="003C20B2">
        <w:rPr>
          <w:sz w:val="16"/>
        </w:rPr>
        <w:t xml:space="preserve"> claims to a far more conventional anthropological defense of the intellectual achievements possible even in a largely oral culture. Thus, he suggests, “</w:t>
      </w:r>
      <w:proofErr w:type="spellStart"/>
      <w:r w:rsidRPr="003C20B2">
        <w:rPr>
          <w:sz w:val="16"/>
        </w:rPr>
        <w:t>Mexicas</w:t>
      </w:r>
      <w:proofErr w:type="spellEnd"/>
      <w:r w:rsidRPr="003C20B2">
        <w:rPr>
          <w:sz w:val="16"/>
        </w:rPr>
        <w:t xml:space="preserve"> put the accent on the act of observing and telling out loud the stories of what they were looking at (movement of the sky or the black and the red ink)” (105). One need not object to this descriptive claim to observe that it simply inverts the traditional Eurocentric privileging of writing to celebrate the cultural possibilities of oral culture and living speech. But then </w:t>
      </w:r>
      <w:proofErr w:type="spellStart"/>
      <w:r w:rsidRPr="003C20B2">
        <w:rPr>
          <w:sz w:val="16"/>
        </w:rPr>
        <w:t>Mignolo</w:t>
      </w:r>
      <w:proofErr w:type="spellEnd"/>
      <w:r w:rsidRPr="003C20B2">
        <w:rPr>
          <w:sz w:val="16"/>
        </w:rPr>
        <w:t xml:space="preserve"> takes the point one step further, suggesting that “the fact that contemporary linguistic science was founded on the experience of speech and suppressed writing from its field of inquiry does not necessarily mean that writing in the West was never preferred over speech; that it was a sign of a superior level of culture and a true measure of civilization” (118). If this is meant to be another critique of Derrida, it once again betrays a fundamental misunderstanding, for Derrida argues that logocentrism is always characterized by precisely this paradox: it privileges the voice against a writing seen as secondary to it, and at the same time privileges writing for its ability to record and document the achievements of civilization. For example, Plato exemplifies the logocentric privileging of living speech as against the written word and yet, in the Laws, celebrates how “legal prescriptions once put into writing remain always on record, as though to challenge the question of all time to come.”11 Thus, “by one and the same gesture, (alphabetic) writing, servile instrument of a speech dreaming of its plenitude and its self-presence, is scorned and the dignity of writing is refused to nonalphabetic signs” (Grammatology, 109–10). Here again, one can readily join </w:t>
      </w:r>
      <w:proofErr w:type="spellStart"/>
      <w:r w:rsidRPr="003C20B2">
        <w:rPr>
          <w:sz w:val="16"/>
        </w:rPr>
        <w:t>Mignolo</w:t>
      </w:r>
      <w:proofErr w:type="spellEnd"/>
      <w:r w:rsidRPr="003C20B2">
        <w:rPr>
          <w:sz w:val="16"/>
        </w:rPr>
        <w:t xml:space="preserve"> in granting such “dignity” to New World inscriptions and in conceding that oral records can indeed serve as the equivalent of written ones, provided one also remembers that, precisely as such, all such inscriptions or records are also sites for that differing/ </w:t>
      </w:r>
      <w:r w:rsidRPr="003C20B2">
        <w:rPr>
          <w:sz w:val="16"/>
        </w:rPr>
        <w:lastRenderedPageBreak/>
        <w:t xml:space="preserve">deferring of presence that, beyond all oppositions of phone and </w:t>
      </w:r>
      <w:proofErr w:type="spellStart"/>
      <w:r w:rsidRPr="003C20B2">
        <w:rPr>
          <w:sz w:val="16"/>
        </w:rPr>
        <w:t>graphie</w:t>
      </w:r>
      <w:proofErr w:type="spellEnd"/>
      <w:r w:rsidRPr="003C20B2">
        <w:rPr>
          <w:sz w:val="16"/>
        </w:rPr>
        <w:t xml:space="preserve">, inescapably haunts every form of signification. In arguing to the contrary, </w:t>
      </w:r>
      <w:proofErr w:type="spellStart"/>
      <w:r w:rsidRPr="00D22727">
        <w:rPr>
          <w:rStyle w:val="StyleUnderline"/>
        </w:rPr>
        <w:t>Mignolo’s</w:t>
      </w:r>
      <w:proofErr w:type="spellEnd"/>
      <w:r w:rsidRPr="00D22727">
        <w:rPr>
          <w:rStyle w:val="StyleUnderline"/>
        </w:rPr>
        <w:t xml:space="preserve"> project as a whole evidently succumbs to what Derrida calls an “ethnocentric </w:t>
      </w:r>
      <w:proofErr w:type="spellStart"/>
      <w:r w:rsidRPr="00D22727">
        <w:rPr>
          <w:rStyle w:val="StyleUnderline"/>
        </w:rPr>
        <w:t>oneirism</w:t>
      </w:r>
      <w:proofErr w:type="spellEnd"/>
      <w:r w:rsidRPr="00D22727">
        <w:rPr>
          <w:rStyle w:val="StyleUnderline"/>
        </w:rPr>
        <w:t>,” the dream and myth of “a speech originally good, and of a violence which would come to pounce upon it as a fatal accident”</w:t>
      </w:r>
      <w:r w:rsidRPr="003C20B2">
        <w:rPr>
          <w:sz w:val="16"/>
        </w:rPr>
        <w:t xml:space="preserve"> (Grammatology, 109, 135).</w:t>
      </w:r>
    </w:p>
    <w:p w14:paraId="7067ADCB" w14:textId="77777777" w:rsidR="007246CE" w:rsidRPr="007246CE" w:rsidRDefault="007246CE" w:rsidP="007246CE"/>
    <w:sectPr w:rsidR="007246CE" w:rsidRPr="00724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CC46B4"/>
    <w:multiLevelType w:val="hybridMultilevel"/>
    <w:tmpl w:val="F92CCEE4"/>
    <w:lvl w:ilvl="0" w:tplc="8C00729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E16796"/>
    <w:multiLevelType w:val="hybridMultilevel"/>
    <w:tmpl w:val="941EB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B4166A"/>
    <w:multiLevelType w:val="hybridMultilevel"/>
    <w:tmpl w:val="021E72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61352624"/>
  </w:docVars>
  <w:rsids>
    <w:rsidRoot w:val="008F7540"/>
    <w:rsid w:val="000733C0"/>
    <w:rsid w:val="000D0884"/>
    <w:rsid w:val="000F1699"/>
    <w:rsid w:val="001270ED"/>
    <w:rsid w:val="0019405C"/>
    <w:rsid w:val="001A6C93"/>
    <w:rsid w:val="001B0910"/>
    <w:rsid w:val="001B11DC"/>
    <w:rsid w:val="001B1794"/>
    <w:rsid w:val="001F6DDC"/>
    <w:rsid w:val="00261B6D"/>
    <w:rsid w:val="00287943"/>
    <w:rsid w:val="002915B0"/>
    <w:rsid w:val="002C0611"/>
    <w:rsid w:val="002D5F11"/>
    <w:rsid w:val="002E447D"/>
    <w:rsid w:val="00330DEA"/>
    <w:rsid w:val="0034078F"/>
    <w:rsid w:val="00343D4E"/>
    <w:rsid w:val="0034640C"/>
    <w:rsid w:val="00361A85"/>
    <w:rsid w:val="00381FEC"/>
    <w:rsid w:val="00383F1E"/>
    <w:rsid w:val="003A62BD"/>
    <w:rsid w:val="003B5404"/>
    <w:rsid w:val="003C3432"/>
    <w:rsid w:val="00433376"/>
    <w:rsid w:val="00496255"/>
    <w:rsid w:val="004B1251"/>
    <w:rsid w:val="004D7BF4"/>
    <w:rsid w:val="004E7F4A"/>
    <w:rsid w:val="004F6EA0"/>
    <w:rsid w:val="00533C91"/>
    <w:rsid w:val="00567250"/>
    <w:rsid w:val="005A4F64"/>
    <w:rsid w:val="005F2921"/>
    <w:rsid w:val="006335B2"/>
    <w:rsid w:val="00655324"/>
    <w:rsid w:val="006B4469"/>
    <w:rsid w:val="006E6A0D"/>
    <w:rsid w:val="007246CE"/>
    <w:rsid w:val="007D167E"/>
    <w:rsid w:val="007F097C"/>
    <w:rsid w:val="0080507B"/>
    <w:rsid w:val="0081461A"/>
    <w:rsid w:val="00850462"/>
    <w:rsid w:val="00861F50"/>
    <w:rsid w:val="00892D4C"/>
    <w:rsid w:val="008F7540"/>
    <w:rsid w:val="00A000A3"/>
    <w:rsid w:val="00A122D9"/>
    <w:rsid w:val="00A310B1"/>
    <w:rsid w:val="00A4633E"/>
    <w:rsid w:val="00A51A8F"/>
    <w:rsid w:val="00B34DB8"/>
    <w:rsid w:val="00B350E7"/>
    <w:rsid w:val="00B84949"/>
    <w:rsid w:val="00B974BA"/>
    <w:rsid w:val="00BA4EF8"/>
    <w:rsid w:val="00BB6762"/>
    <w:rsid w:val="00BC09A4"/>
    <w:rsid w:val="00BE2463"/>
    <w:rsid w:val="00BF4104"/>
    <w:rsid w:val="00BF5BC2"/>
    <w:rsid w:val="00C10938"/>
    <w:rsid w:val="00C543F6"/>
    <w:rsid w:val="00C87F6F"/>
    <w:rsid w:val="00CB3632"/>
    <w:rsid w:val="00CD66C6"/>
    <w:rsid w:val="00D15AB7"/>
    <w:rsid w:val="00D41CDC"/>
    <w:rsid w:val="00D84D76"/>
    <w:rsid w:val="00D920F6"/>
    <w:rsid w:val="00DC730B"/>
    <w:rsid w:val="00DD6AA0"/>
    <w:rsid w:val="00E136BD"/>
    <w:rsid w:val="00EB66A0"/>
    <w:rsid w:val="00F30491"/>
    <w:rsid w:val="00F430AA"/>
    <w:rsid w:val="00F46CDE"/>
    <w:rsid w:val="00F96E89"/>
    <w:rsid w:val="00FC7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036A4"/>
  <w15:chartTrackingRefBased/>
  <w15:docId w15:val="{CF49EB5B-FFF6-481F-A466-34F29DBBA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B4469"/>
    <w:rPr>
      <w:rFonts w:ascii="Calibri" w:hAnsi="Calibri"/>
    </w:rPr>
  </w:style>
  <w:style w:type="paragraph" w:styleId="Heading1">
    <w:name w:val="heading 1"/>
    <w:aliases w:val="Pocket"/>
    <w:basedOn w:val="Normal"/>
    <w:next w:val="Normal"/>
    <w:link w:val="Heading1Char"/>
    <w:qFormat/>
    <w:rsid w:val="006B44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B44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Block Writing,Tags v 2,3: Cite,Char1,Underlines,Heading 3 Char3,Heading 3 Char1 Char,Char,Index Headers,Bold Cite"/>
    <w:basedOn w:val="Normal"/>
    <w:next w:val="Normal"/>
    <w:link w:val="Heading3Char"/>
    <w:uiPriority w:val="2"/>
    <w:unhideWhenUsed/>
    <w:qFormat/>
    <w:rsid w:val="006B44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ta,T,No Spacing4,tags"/>
    <w:basedOn w:val="Normal"/>
    <w:next w:val="Normal"/>
    <w:link w:val="Heading4Char"/>
    <w:uiPriority w:val="3"/>
    <w:unhideWhenUsed/>
    <w:qFormat/>
    <w:rsid w:val="006B446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B44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4469"/>
  </w:style>
  <w:style w:type="character" w:customStyle="1" w:styleId="Heading1Char">
    <w:name w:val="Heading 1 Char"/>
    <w:aliases w:val="Pocket Char"/>
    <w:basedOn w:val="DefaultParagraphFont"/>
    <w:link w:val="Heading1"/>
    <w:rsid w:val="006B44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446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Block Writing Char,Tags v 2 Char,3: Cite Char,Char1 Char,Underlines Char"/>
    <w:basedOn w:val="DefaultParagraphFont"/>
    <w:link w:val="Heading3"/>
    <w:uiPriority w:val="2"/>
    <w:rsid w:val="006B4469"/>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6B4469"/>
    <w:rPr>
      <w:rFonts w:ascii="Calibri" w:eastAsiaTheme="majorEastAsia" w:hAnsi="Calibri" w:cstheme="majorBidi"/>
      <w:b/>
      <w:iCs/>
      <w:sz w:val="26"/>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7"/>
    <w:qFormat/>
    <w:rsid w:val="006B4469"/>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B4469"/>
    <w:rPr>
      <w:b/>
      <w:bCs/>
      <w:sz w:val="26"/>
      <w:u w:val="none"/>
    </w:rPr>
  </w:style>
  <w:style w:type="character" w:customStyle="1" w:styleId="StyleUnderline">
    <w:name w:val="Style Underline"/>
    <w:aliases w:val="Intense Emphasis,Underline,Intense Emphasis11,Intense Emphasis111,Intense Emphasis1111,Bol,Intense Emphasis3,Intense Emphasis4,Minimized Char,Intense Emphasis1,Style Bold Underline,apple-style-span + 6 pt,Kern at 16 pt,Intense Emphasis2,ci"/>
    <w:basedOn w:val="DefaultParagraphFont"/>
    <w:uiPriority w:val="1"/>
    <w:qFormat/>
    <w:rsid w:val="006B4469"/>
    <w:rPr>
      <w:b w:val="0"/>
      <w:sz w:val="22"/>
      <w:u w:val="single"/>
    </w:rPr>
  </w:style>
  <w:style w:type="character" w:styleId="Hyperlink">
    <w:name w:val="Hyperlink"/>
    <w:aliases w:val="heading 1 (block title),Important,Read,Card Text,Internet Link,Analytic Text,Internet link,Char Char1,Char Char Char Char Char Char Char Char Char1,Char1 Char1,Char Char Char Char Char Char Char Char2,Text 7 Char1,AHeading 1 Char1,Block Char1"/>
    <w:basedOn w:val="DefaultParagraphFont"/>
    <w:link w:val="Card"/>
    <w:uiPriority w:val="99"/>
    <w:unhideWhenUsed/>
    <w:rsid w:val="006B4469"/>
    <w:rPr>
      <w:color w:val="auto"/>
      <w:u w:val="none"/>
    </w:rPr>
  </w:style>
  <w:style w:type="character" w:styleId="FollowedHyperlink">
    <w:name w:val="FollowedHyperlink"/>
    <w:basedOn w:val="DefaultParagraphFont"/>
    <w:uiPriority w:val="99"/>
    <w:semiHidden/>
    <w:unhideWhenUsed/>
    <w:rsid w:val="006B4469"/>
    <w:rPr>
      <w:color w:val="auto"/>
      <w:u w:val="none"/>
    </w:rPr>
  </w:style>
  <w:style w:type="paragraph" w:customStyle="1" w:styleId="Card">
    <w:name w:val="Card"/>
    <w:aliases w:val="card,Medium Grid 21,Tags,Debate Text,No Spacing11,No Spacing31,No Spacing22,No Spacing111,No Spacing3,No Spacing2,Read stuff,tag,No Spacing1111,No Spacing1121,Dont use,No Spacing41,No Spacing1,No Spacing111112,No Spacing5,No Spacing112,Small Text"/>
    <w:basedOn w:val="Heading1"/>
    <w:link w:val="Hyperlink"/>
    <w:autoRedefine/>
    <w:uiPriority w:val="99"/>
    <w:qFormat/>
    <w:rsid w:val="008F754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CommentText">
    <w:name w:val="annotation text"/>
    <w:basedOn w:val="Normal"/>
    <w:link w:val="CommentTextChar"/>
    <w:uiPriority w:val="99"/>
    <w:unhideWhenUsed/>
    <w:rsid w:val="008F7540"/>
    <w:pPr>
      <w:spacing w:line="240" w:lineRule="auto"/>
    </w:pPr>
    <w:rPr>
      <w:sz w:val="20"/>
      <w:szCs w:val="20"/>
    </w:rPr>
  </w:style>
  <w:style w:type="character" w:customStyle="1" w:styleId="CommentTextChar">
    <w:name w:val="Comment Text Char"/>
    <w:basedOn w:val="DefaultParagraphFont"/>
    <w:link w:val="CommentText"/>
    <w:uiPriority w:val="99"/>
    <w:rsid w:val="008F7540"/>
    <w:rPr>
      <w:rFonts w:ascii="Calibri" w:hAnsi="Calibri"/>
      <w:sz w:val="20"/>
      <w:szCs w:val="20"/>
    </w:rPr>
  </w:style>
  <w:style w:type="paragraph" w:customStyle="1" w:styleId="textbold">
    <w:name w:val="text bold"/>
    <w:basedOn w:val="Normal"/>
    <w:link w:val="Emphasis"/>
    <w:uiPriority w:val="7"/>
    <w:qFormat/>
    <w:rsid w:val="00D41CDC"/>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styleId="CommentReference">
    <w:name w:val="annotation reference"/>
    <w:basedOn w:val="DefaultParagraphFont"/>
    <w:uiPriority w:val="99"/>
    <w:semiHidden/>
    <w:unhideWhenUsed/>
    <w:rsid w:val="00D41CDC"/>
    <w:rPr>
      <w:sz w:val="16"/>
      <w:szCs w:val="16"/>
    </w:rPr>
  </w:style>
  <w:style w:type="paragraph" w:styleId="BalloonText">
    <w:name w:val="Balloon Text"/>
    <w:basedOn w:val="Normal"/>
    <w:link w:val="BalloonTextChar"/>
    <w:uiPriority w:val="99"/>
    <w:semiHidden/>
    <w:unhideWhenUsed/>
    <w:rsid w:val="00D41C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1CDC"/>
    <w:rPr>
      <w:rFonts w:ascii="Segoe UI" w:hAnsi="Segoe UI" w:cs="Segoe UI"/>
      <w:sz w:val="18"/>
      <w:szCs w:val="18"/>
    </w:rPr>
  </w:style>
  <w:style w:type="paragraph" w:styleId="ListParagraph">
    <w:name w:val="List Paragraph"/>
    <w:aliases w:val="6 font"/>
    <w:basedOn w:val="Normal"/>
    <w:uiPriority w:val="99"/>
    <w:qFormat/>
    <w:rsid w:val="00BB6762"/>
    <w:pPr>
      <w:ind w:left="720"/>
      <w:contextualSpacing/>
    </w:pPr>
  </w:style>
  <w:style w:type="paragraph" w:customStyle="1" w:styleId="Nothing">
    <w:name w:val="Nothing"/>
    <w:link w:val="NothingChar"/>
    <w:rsid w:val="002915B0"/>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2915B0"/>
    <w:pPr>
      <w:widowControl w:val="0"/>
      <w:spacing w:after="0" w:line="240" w:lineRule="auto"/>
      <w:ind w:left="432" w:right="432"/>
    </w:pPr>
    <w:rPr>
      <w:rFonts w:ascii="Times New Roman" w:eastAsia="Times New Roman" w:hAnsi="Times New Roman" w:cs="Times New Roman"/>
      <w:sz w:val="20"/>
      <w:szCs w:val="24"/>
    </w:rPr>
  </w:style>
  <w:style w:type="character" w:customStyle="1" w:styleId="NothingChar">
    <w:name w:val="Nothing Char"/>
    <w:link w:val="Nothing"/>
    <w:locked/>
    <w:rsid w:val="002915B0"/>
    <w:rPr>
      <w:rFonts w:ascii="Times New Roman" w:eastAsia="Times New Roman" w:hAnsi="Times New Roman" w:cs="Times New Roman"/>
      <w:sz w:val="20"/>
      <w:szCs w:val="24"/>
    </w:rPr>
  </w:style>
  <w:style w:type="character" w:customStyle="1" w:styleId="CardsChar">
    <w:name w:val="Cards Char"/>
    <w:link w:val="Cards"/>
    <w:locked/>
    <w:rsid w:val="002915B0"/>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20793881/_Ref_Using_Human_Rights_Indigenous_Activism_and_the_Politics_of_Refusal_in_Settler_Colonial_Contexts" TargetMode="External"/><Relationship Id="rId13" Type="http://schemas.openxmlformats.org/officeDocument/2006/relationships/hyperlink" Target="https://www.sciencedirect.com/science/article/pii/S0962629817304481" TargetMode="External"/><Relationship Id="rId18" Type="http://schemas.openxmlformats.org/officeDocument/2006/relationships/hyperlink" Target="http://sro.sussex.ac.uk/id/eprint/76017/1/Controlling%20weapons%20circulation%20-%20SRO%20accepted%20version.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ejt.sagepub.com/content/19/2/353" TargetMode="External"/><Relationship Id="rId7" Type="http://schemas.openxmlformats.org/officeDocument/2006/relationships/hyperlink" Target="https://doi.org/10.1177/0090591717712151" TargetMode="External"/><Relationship Id="rId12" Type="http://schemas.openxmlformats.org/officeDocument/2006/relationships/hyperlink" Target="https://www.sciencedirect.com/science/article/pii/S0962629817304481" TargetMode="External"/><Relationship Id="rId17" Type="http://schemas.openxmlformats.org/officeDocument/2006/relationships/hyperlink" Target="https://www.researchgate.net/publication/274916798_Why_Decolonise_International_Relations_Theory"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ciencedirect.com/science/article/pii/S0962629817304481" TargetMode="External"/><Relationship Id="rId20" Type="http://schemas.openxmlformats.org/officeDocument/2006/relationships/hyperlink" Target="http://lass.purduecal.edu/cca/gmj/sp05/gmj-sp05-park-wilkins.htm" TargetMode="External"/><Relationship Id="rId1" Type="http://schemas.openxmlformats.org/officeDocument/2006/relationships/numbering" Target="numbering.xml"/><Relationship Id="rId6" Type="http://schemas.openxmlformats.org/officeDocument/2006/relationships/hyperlink" Target="https://www.tandfonline.com/doi/abs/10.1080/13523260.2011.556861" TargetMode="External"/><Relationship Id="rId11" Type="http://schemas.openxmlformats.org/officeDocument/2006/relationships/hyperlink" Target="https://www.sciencedirect.com/science/article/pii/S0962629817304481" TargetMode="External"/><Relationship Id="rId24" Type="http://schemas.openxmlformats.org/officeDocument/2006/relationships/hyperlink" Target="http://static1.squarespace.com/static/557744ffe4b013bae3b7af63/t/557f2fffe4b043c28125cd3e/1434398719056/Tuck+%26+Gaztambide-Fern%C3%A1ndez_Curriculum%2C+replacement%2C+and+settler+futurity.pdf" TargetMode="External"/><Relationship Id="rId5" Type="http://schemas.openxmlformats.org/officeDocument/2006/relationships/hyperlink" Target="https://www.tandfonline.com/doi/abs/10.1080/13523260.2011.556861" TargetMode="External"/><Relationship Id="rId15" Type="http://schemas.openxmlformats.org/officeDocument/2006/relationships/hyperlink" Target="https://www.sciencedirect.com/science/article/pii/S0962629817304481" TargetMode="External"/><Relationship Id="rId23" Type="http://schemas.openxmlformats.org/officeDocument/2006/relationships/hyperlink" Target="http://www2.binghamton.edu/fbc/archive/iweuroc.htm" TargetMode="External"/><Relationship Id="rId10" Type="http://schemas.openxmlformats.org/officeDocument/2006/relationships/hyperlink" Target="https://www.sciencedirect.com/science/article/pii/S0962629817304481" TargetMode="External"/><Relationship Id="rId19" Type="http://schemas.openxmlformats.org/officeDocument/2006/relationships/hyperlink" Target="http://globalhistoryatlse.wordpress.com/2010/10/07/how-do-you-study-global-history-comparisons-connections-entanglements-and-eurocentrism/" TargetMode="External"/><Relationship Id="rId4" Type="http://schemas.openxmlformats.org/officeDocument/2006/relationships/webSettings" Target="webSettings.xml"/><Relationship Id="rId9" Type="http://schemas.openxmlformats.org/officeDocument/2006/relationships/hyperlink" Target="https://www.huffpost.com/entry/israeli-settler-colonialism-is-the-obstacle-to-peace_b_58655b30e4b04d7df167d358?guccounter=1&amp;guce_referrer=aHR0cHM6Ly93d3cuZ29vZ2xlLmNvbS8&amp;guce_referrer_sig=AQAAAMXVt8g-L779c4h5zkCaYkiPejBSaYzEwvjcEHKttZwYrmdON7monEUyOYlRAVugc7JRfgwX5k-Ut3bTaN2Jptg8o_MshjIuuii8vCyD5OVI_iRKKAvRQWSI-K146hNgMQU2oZNR9f2O054KBSk0K_RAE6ikGjGRIFJWQLaEcQCR" TargetMode="External"/><Relationship Id="rId14" Type="http://schemas.openxmlformats.org/officeDocument/2006/relationships/hyperlink" Target="https://www.sciencedirect.com/science/article/pii/S0962629817304481" TargetMode="External"/><Relationship Id="rId22" Type="http://schemas.openxmlformats.org/officeDocument/2006/relationships/hyperlink" Target="http://www.solidarity-us.org/site/node/99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124</TotalTime>
  <Pages>102</Pages>
  <Words>50103</Words>
  <Characters>285588</Characters>
  <Application>Microsoft Office Word</Application>
  <DocSecurity>0</DocSecurity>
  <Lines>2379</Lines>
  <Paragraphs>670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
  <dc:description/>
  <cp:lastModifiedBy>Sarah Lundeen</cp:lastModifiedBy>
  <cp:revision>78</cp:revision>
  <dcterms:created xsi:type="dcterms:W3CDTF">2019-07-08T20:35:00Z</dcterms:created>
  <dcterms:modified xsi:type="dcterms:W3CDTF">2019-07-15T06:11:00Z</dcterms:modified>
</cp:coreProperties>
</file>