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07CB" w:rsidRDefault="00D507CB" w:rsidP="00D507CB">
      <w:pPr>
        <w:pStyle w:val="Heading1"/>
      </w:pPr>
      <w:r>
        <w:t>Curtiss Wright NEG</w:t>
      </w:r>
    </w:p>
    <w:p w:rsidR="00D507CB" w:rsidRDefault="00D507CB" w:rsidP="00D507CB">
      <w:pPr>
        <w:pStyle w:val="Heading2"/>
      </w:pPr>
      <w:r>
        <w:lastRenderedPageBreak/>
        <w:t>Advantage CP</w:t>
      </w:r>
    </w:p>
    <w:p w:rsidR="00D507CB" w:rsidRDefault="00D507CB" w:rsidP="00D507CB">
      <w:pPr>
        <w:pStyle w:val="Heading3"/>
      </w:pPr>
      <w:r>
        <w:lastRenderedPageBreak/>
        <w:t>1NC</w:t>
      </w:r>
    </w:p>
    <w:p w:rsidR="00D507CB" w:rsidRDefault="00D507CB" w:rsidP="00D507CB">
      <w:pPr>
        <w:keepNext/>
        <w:keepLines/>
        <w:spacing w:before="40" w:after="0"/>
        <w:outlineLvl w:val="3"/>
        <w:rPr>
          <w:rFonts w:eastAsia="MS Gothic" w:cs="Times New Roman"/>
          <w:b/>
          <w:iCs/>
          <w:sz w:val="26"/>
        </w:rPr>
      </w:pPr>
      <w:r>
        <w:rPr>
          <w:rFonts w:eastAsia="MS Gothic" w:cs="Times New Roman"/>
          <w:b/>
          <w:iCs/>
          <w:sz w:val="26"/>
        </w:rPr>
        <w:t xml:space="preserve">Text: </w:t>
      </w:r>
      <w:r w:rsidRPr="0031314F">
        <w:rPr>
          <w:rFonts w:eastAsia="MS Gothic" w:cs="Times New Roman"/>
          <w:b/>
          <w:iCs/>
          <w:sz w:val="26"/>
        </w:rPr>
        <w:t xml:space="preserve">The </w:t>
      </w:r>
      <w:r>
        <w:rPr>
          <w:rFonts w:eastAsia="MS Gothic" w:cs="Times New Roman"/>
          <w:b/>
          <w:iCs/>
          <w:sz w:val="26"/>
        </w:rPr>
        <w:t>United States federal government should</w:t>
      </w:r>
    </w:p>
    <w:p w:rsidR="00D507CB" w:rsidRDefault="00D507CB" w:rsidP="00D507CB">
      <w:pPr>
        <w:pStyle w:val="ListParagraph"/>
        <w:keepNext/>
        <w:keepLines/>
        <w:numPr>
          <w:ilvl w:val="0"/>
          <w:numId w:val="12"/>
        </w:numPr>
        <w:spacing w:before="40" w:after="0"/>
        <w:outlineLvl w:val="3"/>
        <w:rPr>
          <w:rFonts w:eastAsia="MS Gothic" w:cs="Times New Roman"/>
          <w:b/>
          <w:iCs/>
          <w:sz w:val="26"/>
        </w:rPr>
      </w:pPr>
      <w:r w:rsidRPr="0031314F">
        <w:rPr>
          <w:rFonts w:eastAsia="MS Gothic" w:cs="Times New Roman"/>
          <w:b/>
          <w:iCs/>
          <w:sz w:val="26"/>
        </w:rPr>
        <w:t>substantially increase development and funding for Carbon Capture Storage systems.</w:t>
      </w:r>
    </w:p>
    <w:p w:rsidR="00D507CB" w:rsidRDefault="00D507CB" w:rsidP="00D507CB">
      <w:pPr>
        <w:pStyle w:val="ListParagraph"/>
        <w:keepNext/>
        <w:keepLines/>
        <w:numPr>
          <w:ilvl w:val="0"/>
          <w:numId w:val="12"/>
        </w:numPr>
        <w:spacing w:before="40" w:after="0"/>
        <w:outlineLvl w:val="3"/>
        <w:rPr>
          <w:rFonts w:eastAsia="MS Gothic" w:cs="Times New Roman"/>
          <w:b/>
          <w:iCs/>
          <w:sz w:val="26"/>
        </w:rPr>
      </w:pPr>
      <w:r>
        <w:rPr>
          <w:rFonts w:eastAsia="MS Gothic" w:cs="Times New Roman"/>
          <w:b/>
          <w:iCs/>
          <w:sz w:val="26"/>
        </w:rPr>
        <w:t>delegate the power of federal preemption of state-based incentives and policies to Congress</w:t>
      </w:r>
    </w:p>
    <w:p w:rsidR="00D507CB" w:rsidRPr="0031314F" w:rsidRDefault="00D507CB" w:rsidP="00D507CB">
      <w:pPr>
        <w:pStyle w:val="ListParagraph"/>
        <w:keepNext/>
        <w:keepLines/>
        <w:numPr>
          <w:ilvl w:val="0"/>
          <w:numId w:val="12"/>
        </w:numPr>
        <w:spacing w:before="40" w:after="0"/>
        <w:outlineLvl w:val="3"/>
        <w:rPr>
          <w:rFonts w:eastAsia="MS Gothic" w:cs="Times New Roman"/>
          <w:b/>
          <w:iCs/>
          <w:sz w:val="26"/>
        </w:rPr>
      </w:pPr>
      <w:r>
        <w:rPr>
          <w:rFonts w:eastAsia="MS Gothic" w:cs="Times New Roman"/>
          <w:b/>
          <w:iCs/>
          <w:sz w:val="26"/>
        </w:rPr>
        <w:t>not designate arms sales as foreign commerce</w:t>
      </w:r>
    </w:p>
    <w:p w:rsidR="00D507CB" w:rsidRDefault="00D507CB" w:rsidP="00D507CB">
      <w:pPr>
        <w:pStyle w:val="Heading4"/>
        <w:numPr>
          <w:ilvl w:val="0"/>
          <w:numId w:val="12"/>
        </w:numPr>
      </w:pPr>
      <w:r w:rsidRPr="00076CBF">
        <w:t>establish that the president does not have extraconstitutional sole authority over</w:t>
      </w:r>
      <w:r>
        <w:t xml:space="preserve"> </w:t>
      </w:r>
      <w:r w:rsidRPr="00076CBF">
        <w:t>foreign commerce</w:t>
      </w:r>
    </w:p>
    <w:p w:rsidR="00D507CB" w:rsidRPr="0031314F" w:rsidRDefault="00D507CB" w:rsidP="00D507CB">
      <w:pPr>
        <w:pStyle w:val="Heading4"/>
      </w:pPr>
      <w:r>
        <w:t>The counterplan solves the aff directly</w:t>
      </w:r>
    </w:p>
    <w:p w:rsidR="00D507CB" w:rsidRPr="0031314F" w:rsidRDefault="00D507CB" w:rsidP="00D507CB">
      <w:r w:rsidRPr="00076CBF">
        <w:rPr>
          <w:rStyle w:val="Style13ptBold"/>
        </w:rPr>
        <w:t>Meyer and Sitaraman 18</w:t>
      </w:r>
      <w:r w:rsidRPr="001024D7">
        <w:rPr>
          <w:rStyle w:val="Style13ptBold"/>
        </w:rPr>
        <w:t xml:space="preserve"> </w:t>
      </w:r>
      <w:r w:rsidRPr="0031314F">
        <w:t>(Timothy Meyer and Ganesh Sitaraman 2018, Professor of Law FedEx Research Professor Director, International Legal Studies Program &amp; Chancellor Faculty Fellow Professor of Law Director, Program in Law and Government, both at Vanderbilt “Trade and the Separation of Powers” California Law Review, Vol. 107, Forthcoming 2019, Vanderbilt Law Research Paper No. 18-19)</w:t>
      </w:r>
    </w:p>
    <w:p w:rsidR="00D507CB" w:rsidRPr="0031314F" w:rsidRDefault="00D507CB" w:rsidP="00D507CB">
      <w:r w:rsidRPr="0031314F">
        <w:t xml:space="preserve">Trade and security are the two policies most central to every nation’s wellbeing and most critical to every government’s functioning. The United States replaced the Articles of Confederation with the Constitution in large part to give the nation control over trade policy. The world’s other great federation, the European Union, used trade integration to rebuild itself after two catastrophic world wars. The twenty-first century has been dominated by security considerations since the attacks of September 11 turned the Bush presidency into a wartime presidency. The 2016 presidential election marked a turning point. As both the Republican and Democratic parties pursue policies aimed at addressing voters’ economic insecurity, </w:t>
      </w:r>
      <w:r w:rsidRPr="00241C5A">
        <w:rPr>
          <w:rStyle w:val="Emphasis"/>
          <w:highlight w:val="yellow"/>
        </w:rPr>
        <w:t>trade policy is once again taking center stage.</w:t>
      </w:r>
      <w:r w:rsidRPr="0031314F">
        <w:t xml:space="preserve"> At this moment, understanding how our trade constitution came to be is critical to understanding how our trade policy can and will be made going forward. The country’s rightful concern about a host of global challenges—climate change, rogue regimes like North Korea, the rise of China as a global power—make it tempting to revert to a trade policy dominated by foreign policy considerations. Yet as President Obama’s ill-fated efforts to negotiate the TPP and justify it on foreign policy grounds shows, </w:t>
      </w:r>
      <w:r w:rsidRPr="00241C5A">
        <w:rPr>
          <w:rStyle w:val="Emphasis"/>
          <w:highlight w:val="yellow"/>
        </w:rPr>
        <w:t>foreign policy considerations simply cannot carry the weight of a domestic economic policy that so many Americans of both parties feel no longer benefits them</w:t>
      </w:r>
      <w:r w:rsidRPr="0031314F">
        <w:t xml:space="preserve">. Trade liberalization for its own sake—the utilitarian idea that we should maximize aggregate national welfare through our trade policy without concern for the distribution of the gains from that policy— is an idea whose time is past. Going forward, concerns about economic opportunity, equality, and the distribution of the gains from our trade policies will dominate our politics. How those concerns will shape that policy remains to be seen. Protectionist policies like punitive tariffs and subsidies (for manufacturers and displaced labor) redistribute wealth, although they have very different trade implications. </w:t>
      </w:r>
      <w:r w:rsidRPr="00241C5A">
        <w:rPr>
          <w:rStyle w:val="Emphasis"/>
          <w:highlight w:val="yellow"/>
        </w:rPr>
        <w:t>A trade policy dominated by the President is unable to deal comprehensively with domestic concerns</w:t>
      </w:r>
      <w:r w:rsidRPr="00241C5A">
        <w:rPr>
          <w:highlight w:val="yellow"/>
        </w:rPr>
        <w:t>.</w:t>
      </w:r>
      <w:r w:rsidRPr="0031314F">
        <w:t xml:space="preserve"> </w:t>
      </w:r>
      <w:r w:rsidRPr="00241C5A">
        <w:rPr>
          <w:rStyle w:val="Emphasis"/>
          <w:highlight w:val="yellow"/>
        </w:rPr>
        <w:t>Only if Congress participates as a full constitutional partner will the United States have a sustainable trade liberalization</w:t>
      </w:r>
      <w:r w:rsidRPr="0031314F">
        <w:t xml:space="preserve"> policy that enjoys broad public support. Nothing legally or functionally prevents Congress from reasserting its constitutional role. Whether it will do so remains to be seen.</w:t>
      </w:r>
    </w:p>
    <w:p w:rsidR="00D507CB" w:rsidRDefault="00D507CB" w:rsidP="00D507CB">
      <w:pPr>
        <w:pStyle w:val="Heading4"/>
      </w:pPr>
      <w:r>
        <w:lastRenderedPageBreak/>
        <w:t>Carbon capture solves warming</w:t>
      </w:r>
    </w:p>
    <w:p w:rsidR="00D507CB" w:rsidRPr="0031314F" w:rsidRDefault="00D507CB" w:rsidP="00D507CB">
      <w:pPr>
        <w:rPr>
          <w:rFonts w:eastAsia="Cambria"/>
        </w:rPr>
      </w:pPr>
      <w:r w:rsidRPr="0031314F">
        <w:rPr>
          <w:rFonts w:eastAsia="Cambria"/>
          <w:b/>
          <w:bCs/>
          <w:sz w:val="26"/>
        </w:rPr>
        <w:t>Brookings ’16</w:t>
      </w:r>
      <w:r w:rsidRPr="0031314F">
        <w:rPr>
          <w:rFonts w:eastAsia="Cambria"/>
        </w:rPr>
        <w:t xml:space="preserve"> “Fostering low carbon energy: Next generation policy to commercialize CCS in the United States” </w:t>
      </w:r>
      <w:hyperlink r:id="rId9" w:history="1">
        <w:r w:rsidRPr="0031314F">
          <w:rPr>
            <w:rFonts w:eastAsia="Cambria"/>
          </w:rPr>
          <w:t>https://www.brookings.edu/research/fostering-low-carbon-energy-next-generation-policy-to-commercialize-ccs-in-the-united-states/</w:t>
        </w:r>
      </w:hyperlink>
    </w:p>
    <w:p w:rsidR="00D507CB" w:rsidRDefault="00D507CB" w:rsidP="00D507CB">
      <w:pPr>
        <w:rPr>
          <w:rFonts w:eastAsia="Cambria"/>
        </w:rPr>
      </w:pPr>
      <w:r w:rsidRPr="0031314F">
        <w:rPr>
          <w:rFonts w:eastAsia="Cambria"/>
        </w:rPr>
        <w:t xml:space="preserve">Next month, global leaders will convene in Paris for the United Nations Conference on Climate Change. </w:t>
      </w:r>
      <w:r w:rsidRPr="0031314F">
        <w:rPr>
          <w:rFonts w:eastAsia="Cambria"/>
          <w:u w:val="single"/>
        </w:rPr>
        <w:t xml:space="preserve">Greenhouse gas (GHG) emissions reduction strategies are important to reduce and manage the risks of climate change. While the share of renewable energy in the global energy mix is expected to increase, transitioning to a low carbon economy will take time, and coal and natural gas are projected to play a prominent role in the power and industrial sectors for a number of decades. Climate mitigation technologies such as </w:t>
      </w:r>
      <w:r w:rsidRPr="0031314F">
        <w:rPr>
          <w:rFonts w:eastAsia="Cambria"/>
          <w:highlight w:val="yellow"/>
          <w:u w:val="single"/>
        </w:rPr>
        <w:t>carbon capture and storage</w:t>
      </w:r>
      <w:r w:rsidRPr="0031314F">
        <w:rPr>
          <w:rFonts w:eastAsia="Cambria"/>
          <w:u w:val="single"/>
        </w:rPr>
        <w:t xml:space="preserve"> (CCS)—</w:t>
      </w:r>
      <w:r w:rsidRPr="0031314F">
        <w:rPr>
          <w:rFonts w:eastAsia="Cambria"/>
          <w:highlight w:val="yellow"/>
          <w:u w:val="single"/>
        </w:rPr>
        <w:t>an integrated process of capturing CO2 from power generation</w:t>
      </w:r>
      <w:r w:rsidRPr="0031314F">
        <w:rPr>
          <w:rFonts w:eastAsia="Cambria"/>
          <w:u w:val="single"/>
        </w:rPr>
        <w:t xml:space="preserve"> or industrial activities and storing it permanently via processing </w:t>
      </w:r>
      <w:r w:rsidRPr="0031314F">
        <w:rPr>
          <w:rFonts w:eastAsia="Cambria"/>
          <w:highlight w:val="yellow"/>
          <w:u w:val="single"/>
        </w:rPr>
        <w:t>or injection into suitable geological formations</w:t>
      </w:r>
      <w:r w:rsidRPr="0031314F">
        <w:rPr>
          <w:rFonts w:eastAsia="Cambria"/>
          <w:u w:val="single"/>
        </w:rPr>
        <w:t xml:space="preserve">–can </w:t>
      </w:r>
      <w:r w:rsidRPr="0031314F">
        <w:rPr>
          <w:rFonts w:eastAsia="Cambria"/>
          <w:highlight w:val="yellow"/>
          <w:u w:val="single"/>
        </w:rPr>
        <w:t>play an important role in global efforts to limit GHG emissions.</w:t>
      </w:r>
      <w:r w:rsidRPr="0031314F">
        <w:rPr>
          <w:rFonts w:eastAsia="Cambria"/>
          <w:u w:val="single"/>
        </w:rPr>
        <w:t xml:space="preserve"> </w:t>
      </w:r>
      <w:r w:rsidRPr="0031314F">
        <w:rPr>
          <w:rFonts w:eastAsia="Cambria"/>
          <w:highlight w:val="yellow"/>
          <w:u w:val="single"/>
        </w:rPr>
        <w:t>CCS is a low-carbon technology</w:t>
      </w:r>
      <w:r w:rsidRPr="0031314F">
        <w:rPr>
          <w:rFonts w:eastAsia="Cambria"/>
          <w:u w:val="single"/>
        </w:rPr>
        <w:t xml:space="preserve"> that can form part of a balanced portfolio approach to address climate change, while also </w:t>
      </w:r>
      <w:r w:rsidRPr="0031314F">
        <w:rPr>
          <w:rFonts w:eastAsia="Cambria"/>
          <w:highlight w:val="yellow"/>
          <w:u w:val="single"/>
        </w:rPr>
        <w:t>offering economic and national security advantages.</w:t>
      </w:r>
      <w:r w:rsidRPr="0031314F">
        <w:rPr>
          <w:rFonts w:eastAsia="Cambria"/>
          <w:u w:val="single"/>
        </w:rPr>
        <w:t xml:space="preserve"> Today, </w:t>
      </w:r>
      <w:r w:rsidRPr="0031314F">
        <w:rPr>
          <w:rFonts w:eastAsia="Cambria"/>
          <w:highlight w:val="yellow"/>
          <w:u w:val="single"/>
        </w:rPr>
        <w:t>CCS is the only technology that can achieve</w:t>
      </w:r>
      <w:r w:rsidRPr="0031314F">
        <w:rPr>
          <w:rFonts w:eastAsia="Cambria"/>
          <w:u w:val="single"/>
        </w:rPr>
        <w:t xml:space="preserve"> significant </w:t>
      </w:r>
      <w:r w:rsidRPr="0031314F">
        <w:rPr>
          <w:rFonts w:eastAsia="Cambria"/>
          <w:highlight w:val="yellow"/>
          <w:u w:val="single"/>
        </w:rPr>
        <w:t xml:space="preserve">emissions reductions (90 percent </w:t>
      </w:r>
      <w:r w:rsidRPr="0031314F">
        <w:rPr>
          <w:rFonts w:eastAsia="Cambria"/>
          <w:u w:val="single"/>
        </w:rPr>
        <w:t>capture</w:t>
      </w:r>
      <w:r w:rsidRPr="0031314F">
        <w:rPr>
          <w:rFonts w:eastAsia="Cambria"/>
          <w:highlight w:val="yellow"/>
          <w:u w:val="single"/>
        </w:rPr>
        <w:t xml:space="preserve"> or higher</w:t>
      </w:r>
      <w:r w:rsidRPr="0031314F">
        <w:rPr>
          <w:rFonts w:eastAsia="Cambria"/>
          <w:u w:val="single"/>
        </w:rPr>
        <w:t>) from existing fossil fuel infrastructure.</w:t>
      </w:r>
      <w:r w:rsidRPr="0031314F">
        <w:rPr>
          <w:rFonts w:eastAsia="Cambria"/>
        </w:rPr>
        <w:t xml:space="preserve"> </w:t>
      </w:r>
      <w:r w:rsidRPr="0031314F">
        <w:rPr>
          <w:rFonts w:eastAsia="Cambria"/>
          <w:sz w:val="18"/>
        </w:rPr>
        <w:t xml:space="preserve">Indeed, many studies have suggested that unless CCS becomes a key part of a low carbon technology portfolio, it is increasingly likely that energy-system carbon emissions will not be reduced to levels that limit global warming to 2 degrees Celsius. Climate change is an important global issue, and it has been well documented that continued increases in global carbon emissions are fueled predominantly by fossil fuel usage—particularly coal, and to a lesser extent, oil and natural gas. </w:t>
      </w:r>
      <w:hyperlink r:id="rId10" w:tgtFrame="_blank" w:history="1">
        <w:r w:rsidRPr="0031314F">
          <w:rPr>
            <w:rFonts w:eastAsia="Cambria"/>
            <w:sz w:val="18"/>
          </w:rPr>
          <w:t>According to International Energy Agency estimates over the next several decades</w:t>
        </w:r>
      </w:hyperlink>
      <w:r w:rsidRPr="0031314F">
        <w:rPr>
          <w:rFonts w:eastAsia="Cambria"/>
          <w:sz w:val="18"/>
        </w:rPr>
        <w:t xml:space="preserve">, coal will play a significant role in the global energy portfolio. While coal demand in OECD countries is projected to fall by 2040, in non-OECD economies such as Africa, India, China, Indonesia, Brazil, and Southeast Asia, coal usage is projected to increase by a third. Coal offers a cheap and abundant feedstock for electricity generation in many emerging markets where increasing access to electricity is a priority. It is also important to note that burning natural gas also results in substantial amounts of CO2 emissions. Given that the International Energy Agency projects the share of natural gas in the global energy mix to rise, CCS for natural gas will, over time, also become a serious political and environmental issue. While many countries support renewable energy in order to shift away from reliance on fossil fuels, it is uncertain whether this approach alone will achieve sufficient emissions reductions to achieve the 2 degree Celsius target. </w:t>
      </w:r>
      <w:r w:rsidRPr="0031314F">
        <w:rPr>
          <w:rFonts w:eastAsia="Cambria"/>
          <w:u w:val="single"/>
        </w:rPr>
        <w:t xml:space="preserve">Low-emission technologies such as </w:t>
      </w:r>
      <w:r w:rsidRPr="0031314F">
        <w:rPr>
          <w:rFonts w:eastAsia="Cambria"/>
          <w:highlight w:val="yellow"/>
          <w:u w:val="single"/>
        </w:rPr>
        <w:t>CCS can play a vital role</w:t>
      </w:r>
      <w:r w:rsidRPr="0031314F">
        <w:rPr>
          <w:rFonts w:eastAsia="Cambria"/>
          <w:u w:val="single"/>
        </w:rPr>
        <w:t xml:space="preserve"> in contributing </w:t>
      </w:r>
      <w:r w:rsidRPr="0031314F">
        <w:rPr>
          <w:rFonts w:eastAsia="Cambria"/>
          <w:highlight w:val="yellow"/>
          <w:u w:val="single"/>
        </w:rPr>
        <w:t>to global mitigation efforts</w:t>
      </w:r>
      <w:r w:rsidRPr="0031314F">
        <w:rPr>
          <w:rFonts w:eastAsia="Cambria"/>
          <w:u w:val="single"/>
        </w:rPr>
        <w:t xml:space="preserve">, and research has shown that in the long run </w:t>
      </w:r>
      <w:r w:rsidRPr="0031314F">
        <w:rPr>
          <w:rFonts w:eastAsia="Cambria"/>
          <w:b/>
          <w:highlight w:val="yellow"/>
          <w:u w:val="single"/>
        </w:rPr>
        <w:t xml:space="preserve">GHG emission reduction would be more </w:t>
      </w:r>
      <w:r w:rsidRPr="0031314F">
        <w:rPr>
          <w:rFonts w:eastAsia="Cambria"/>
          <w:b/>
          <w:bCs/>
          <w:sz w:val="26"/>
          <w:highlight w:val="yellow"/>
        </w:rPr>
        <w:t>expensive</w:t>
      </w:r>
      <w:r w:rsidRPr="0031314F">
        <w:rPr>
          <w:rFonts w:eastAsia="Cambria"/>
          <w:b/>
          <w:highlight w:val="yellow"/>
          <w:u w:val="single"/>
        </w:rPr>
        <w:t xml:space="preserve"> without CCS deployment.</w:t>
      </w:r>
      <w:r w:rsidRPr="0031314F">
        <w:rPr>
          <w:rFonts w:eastAsia="Cambria"/>
          <w:u w:val="single"/>
        </w:rPr>
        <w:t xml:space="preserve"> In our policy brief, we assess the risks and barriers related to CCS at electricity plants, and the existing policy framework to support its application. Our study aims to identify the major obstacles facing CCS commercialization and offer recommendations for policies that can spur technological innovation and effect further cost reductions. The key conclusions we reached in our analysis are as follows: CCS can meet environmental, economic, and national security objectives: As a carbon disposal approach that can be deployed on new or existing coal- or natural gas-fired power plants, CCS can help in global efforts to reduce CO2 emissions. Additionally, </w:t>
      </w:r>
      <w:r w:rsidRPr="0031314F">
        <w:rPr>
          <w:rFonts w:eastAsia="Cambria"/>
          <w:b/>
          <w:highlight w:val="yellow"/>
          <w:u w:val="single"/>
        </w:rPr>
        <w:t xml:space="preserve">positioning the </w:t>
      </w:r>
      <w:r w:rsidRPr="0031314F">
        <w:rPr>
          <w:rFonts w:eastAsia="Cambria"/>
          <w:b/>
          <w:bCs/>
          <w:sz w:val="26"/>
          <w:highlight w:val="yellow"/>
        </w:rPr>
        <w:t>United States</w:t>
      </w:r>
      <w:r w:rsidRPr="0031314F">
        <w:rPr>
          <w:rFonts w:eastAsia="Cambria"/>
          <w:b/>
          <w:highlight w:val="yellow"/>
          <w:u w:val="single"/>
        </w:rPr>
        <w:t xml:space="preserve"> at the forefront of CCS technology development fosters export markets for U.S. companies, and</w:t>
      </w:r>
      <w:r w:rsidRPr="0031314F">
        <w:rPr>
          <w:rFonts w:eastAsia="Cambria"/>
          <w:b/>
          <w:u w:val="single"/>
        </w:rPr>
        <w:t xml:space="preserve"> including </w:t>
      </w:r>
      <w:r w:rsidRPr="0031314F">
        <w:rPr>
          <w:rFonts w:eastAsia="Cambria"/>
          <w:b/>
          <w:highlight w:val="yellow"/>
          <w:u w:val="single"/>
        </w:rPr>
        <w:t>CCS in the global energy technology portfolio lowers the costs of transitioning to a low carbon economy.</w:t>
      </w:r>
      <w:r w:rsidRPr="0031314F">
        <w:rPr>
          <w:rFonts w:eastAsia="Cambria"/>
          <w:u w:val="single"/>
        </w:rPr>
        <w:t xml:space="preserve"> Finally, </w:t>
      </w:r>
      <w:r w:rsidRPr="0031314F">
        <w:rPr>
          <w:rFonts w:eastAsia="Cambria"/>
          <w:highlight w:val="yellow"/>
          <w:u w:val="single"/>
        </w:rPr>
        <w:t>CCS bolsters national security by offering a way to take advantage</w:t>
      </w:r>
      <w:r w:rsidRPr="0031314F">
        <w:rPr>
          <w:rFonts w:eastAsia="Cambria"/>
          <w:u w:val="single"/>
        </w:rPr>
        <w:t xml:space="preserve"> of abundant fossil fuel resources while simultaneously meeting climate mitigation goals. </w:t>
      </w:r>
      <w:r w:rsidRPr="0031314F">
        <w:rPr>
          <w:rFonts w:eastAsia="Cambria"/>
          <w:highlight w:val="yellow"/>
          <w:u w:val="single"/>
        </w:rPr>
        <w:t>Current policy does not adequately address CCS technology status and risks:</w:t>
      </w:r>
      <w:r w:rsidRPr="0031314F">
        <w:rPr>
          <w:rFonts w:eastAsia="Cambria"/>
        </w:rPr>
        <w:t xml:space="preserve"> While current CCS policy offers early stage financial support for research, development, and demonstration projects, additional policies are needed to spur further development of integrated projects at scale and create markets for CCS technology. </w:t>
      </w:r>
    </w:p>
    <w:p w:rsidR="00D507CB" w:rsidRPr="00241C5A" w:rsidRDefault="00D507CB" w:rsidP="00D507CB">
      <w:pPr>
        <w:pStyle w:val="Heading4"/>
        <w:rPr>
          <w:rStyle w:val="Style13ptBold"/>
          <w:b/>
          <w:bCs w:val="0"/>
        </w:rPr>
      </w:pPr>
      <w:r>
        <w:lastRenderedPageBreak/>
        <w:t>Trump ignores judicial restrictions – means the CP solves better</w:t>
      </w:r>
    </w:p>
    <w:p w:rsidR="00D507CB" w:rsidRDefault="00D507CB" w:rsidP="00D507CB">
      <w:r w:rsidRPr="006669F9">
        <w:rPr>
          <w:rStyle w:val="Style13ptBold"/>
        </w:rPr>
        <w:t>Waxman 17</w:t>
      </w:r>
      <w:r>
        <w:t xml:space="preserve"> -  was managing editor, and later senior editor, of Boston Review from January 2008 until July 2016. An independent writer and editor, he has published at The Washington Post, The New Republic, The Boston Globe, WBUR Boston, Al Jazeera America, The American Prospect, Los Angeles Review of Books, and elsewhere, and has edited books for the presses at Harvard, Princeton, Columbia, Oxford, MIT, and the University of Chicago; Public Affairs; Palgrave Macmillan; and others</w:t>
      </w:r>
    </w:p>
    <w:p w:rsidR="00D507CB" w:rsidRDefault="00D507CB" w:rsidP="00D507CB">
      <w:r>
        <w:t>Simon, 2-21, Trumping Judicial Review, Washington Spectator, https://washingtonspectator.org/trump-judicial-review-waxman/</w:t>
      </w:r>
    </w:p>
    <w:p w:rsidR="00D507CB" w:rsidRPr="00D507CB" w:rsidRDefault="00D507CB" w:rsidP="00D507CB">
      <w:pPr>
        <w:rPr>
          <w:b/>
          <w:u w:val="single"/>
        </w:rPr>
      </w:pPr>
      <w:r w:rsidRPr="00172807">
        <w:rPr>
          <w:sz w:val="14"/>
        </w:rPr>
        <w:t xml:space="preserve">The courts have not ruled on the merits and legality of the executive order, so this churlish nod to judicial deference appears to be another feint. What is clear is that judges are not just going to play along with Trump’s agenda. How many rebukes can he take? How long before he devises his own plan to get his way? </w:t>
      </w:r>
      <w:r w:rsidRPr="00241C5A">
        <w:rPr>
          <w:rStyle w:val="Emphasis"/>
          <w:highlight w:val="yellow"/>
        </w:rPr>
        <w:t>Given Trump’s character and history</w:t>
      </w:r>
      <w:r w:rsidRPr="00172807">
        <w:rPr>
          <w:rStyle w:val="Emphasis"/>
        </w:rPr>
        <w:t xml:space="preserve">, and given the hard-right boundary-pushing of this White House, </w:t>
      </w:r>
      <w:r w:rsidRPr="00241C5A">
        <w:rPr>
          <w:rStyle w:val="Emphasis"/>
          <w:highlight w:val="yellow"/>
        </w:rPr>
        <w:t>there is good reason to expect</w:t>
      </w:r>
      <w:r w:rsidRPr="00172807">
        <w:rPr>
          <w:rStyle w:val="Emphasis"/>
        </w:rPr>
        <w:t xml:space="preserve"> that the </w:t>
      </w:r>
      <w:r w:rsidRPr="00241C5A">
        <w:rPr>
          <w:rStyle w:val="Emphasis"/>
          <w:highlight w:val="yellow"/>
        </w:rPr>
        <w:t>administration will press, subvert, and ignore the Court as it deems necessary</w:t>
      </w:r>
      <w:r w:rsidRPr="00241C5A">
        <w:rPr>
          <w:sz w:val="14"/>
          <w:highlight w:val="yellow"/>
        </w:rPr>
        <w:t xml:space="preserve">, </w:t>
      </w:r>
      <w:r w:rsidRPr="00241C5A">
        <w:rPr>
          <w:rStyle w:val="StyleUnderline"/>
          <w:highlight w:val="yellow"/>
        </w:rPr>
        <w:t>daring the House to draw up articles of impeachment</w:t>
      </w:r>
      <w:r w:rsidRPr="00172807">
        <w:rPr>
          <w:sz w:val="14"/>
        </w:rPr>
        <w:t xml:space="preserve"> in order to maintain checks and balances in Washington. </w:t>
      </w:r>
      <w:r w:rsidRPr="00172807">
        <w:rPr>
          <w:rStyle w:val="StyleUnderline"/>
        </w:rPr>
        <w:t xml:space="preserve">Throughout his career in politics and business, </w:t>
      </w:r>
      <w:r w:rsidRPr="00241C5A">
        <w:rPr>
          <w:rStyle w:val="StyleUnderline"/>
          <w:highlight w:val="yellow"/>
        </w:rPr>
        <w:t>Trump has shown that nothing short of coercive power will contain him</w:t>
      </w:r>
      <w:r w:rsidRPr="00172807">
        <w:rPr>
          <w:sz w:val="14"/>
        </w:rPr>
        <w:t xml:space="preserve">. </w:t>
      </w:r>
      <w:r w:rsidRPr="00172807">
        <w:rPr>
          <w:rStyle w:val="StyleUnderline"/>
        </w:rPr>
        <w:t>Traditions, truths, behavioral norms, and moral warrants are irrelevant; all that matters is whether adversaries can bring force to bear. He asks for neither permission nor forgiveness.</w:t>
      </w:r>
      <w:r>
        <w:rPr>
          <w:rStyle w:val="StyleUnderline"/>
        </w:rPr>
        <w:t xml:space="preserve"> </w:t>
      </w:r>
      <w:r w:rsidRPr="00172807">
        <w:rPr>
          <w:sz w:val="14"/>
        </w:rPr>
        <w:t xml:space="preserve">Thus has Trump repeatedly avoided his civic duty to pay taxes and bullied his way out of contracts. Where law is on his side, he will always self-aggrandize, even if conventional notions of the right or good demand otherwise. Where the law is against him, he has relied on his money and lawyers to escape prosecution. If he cannot do that, he at least avoids accepting responsibility for wrongs committed and harms done. For instance, early in his career, when the federal government sued his real estate firm for discriminating against black renters, Trump settled without admitting guilt. And, as a series of reports in The Washington Post by David Fahrenthold document, Trump abused his charitable foundation for purposes of self-dealing and relied on dodgy tax schemes to get away with it. During his presidential campaign, Trump was endlessly chastised for ignoring all the usual political norms. He has not released his tax returns, defending the choice exclusively on the grounds that he isn’t required to do so. Similarly, he refuses to resolve his conflicts of interest, instead doing the least the law requires while throwing a few small bones to a public anxious about corruption. He repeatedly lied about the incidence of crime and terrorism and has continued to do so in office. When questioned on these and other fabrications, he and his adjuncts inflate them. They are never chastened. His Department of Homeland Security initially continued to carry out his executive orders on immigration and refugees even after federal courts had stayed them, demonstrating the administration’s hostility even to judicial constraint. </w:t>
      </w:r>
      <w:r w:rsidRPr="00172807">
        <w:rPr>
          <w:rStyle w:val="StyleUnderline"/>
        </w:rPr>
        <w:t xml:space="preserve">The point here is not to recap but to recognize something that seems intrinsic to Trump’s character: </w:t>
      </w:r>
      <w:r w:rsidRPr="00241C5A">
        <w:rPr>
          <w:rStyle w:val="StyleUnderline"/>
          <w:highlight w:val="yellow"/>
        </w:rPr>
        <w:t>he is incapable of restraint</w:t>
      </w:r>
      <w:r w:rsidRPr="00172807">
        <w:rPr>
          <w:sz w:val="14"/>
        </w:rPr>
        <w:t xml:space="preserve">. </w:t>
      </w:r>
      <w:r w:rsidRPr="00241C5A">
        <w:rPr>
          <w:rStyle w:val="Emphasis"/>
          <w:highlight w:val="yellow"/>
        </w:rPr>
        <w:t>He does what he wants and challenges others to hold him accountable</w:t>
      </w:r>
      <w:r w:rsidRPr="00172807">
        <w:rPr>
          <w:sz w:val="14"/>
        </w:rPr>
        <w:t xml:space="preserve">. </w:t>
      </w:r>
      <w:r w:rsidRPr="00172807">
        <w:rPr>
          <w:rStyle w:val="StyleUnderline"/>
        </w:rPr>
        <w:t>This is a dangerous disposition in a president.</w:t>
      </w:r>
      <w:r>
        <w:rPr>
          <w:rStyle w:val="StyleUnderline"/>
        </w:rPr>
        <w:t xml:space="preserve"> </w:t>
      </w:r>
      <w:r w:rsidRPr="00172807">
        <w:rPr>
          <w:rStyle w:val="StyleUnderline"/>
        </w:rPr>
        <w:t>As a private citizen, Trump had to respect the law to some degree, lest its coercive power get in his way. As president, he is still enjoined to respect the law, but it is now his job to carry out that law. This means that the credible threat of legal coercion is much reduced</w:t>
      </w:r>
      <w:r w:rsidRPr="00172807">
        <w:rPr>
          <w:sz w:val="14"/>
        </w:rPr>
        <w:t xml:space="preserve">. </w:t>
      </w:r>
      <w:r w:rsidRPr="00241C5A">
        <w:rPr>
          <w:rStyle w:val="Emphasis"/>
          <w:highlight w:val="yellow"/>
        </w:rPr>
        <w:t>He can do as he wishes and refuse to execute the law against himself</w:t>
      </w:r>
      <w:r w:rsidRPr="00172807">
        <w:rPr>
          <w:sz w:val="14"/>
        </w:rPr>
        <w:t xml:space="preserve">. He may not succeed, but only if it is politically impossible. Surely this can’t be, though. The president, we are inclined to believe, is not above the law. Indeed, the Constitution tells us as much. But this is just a fine phrase. </w:t>
      </w:r>
      <w:r w:rsidRPr="00172807">
        <w:rPr>
          <w:rStyle w:val="StyleUnderline"/>
        </w:rPr>
        <w:t>The president is only beholden to law if he believes he is or if someone can force him to be</w:t>
      </w:r>
      <w:r w:rsidRPr="00172807">
        <w:rPr>
          <w:sz w:val="14"/>
        </w:rPr>
        <w:t xml:space="preserve">. For </w:t>
      </w:r>
      <w:r w:rsidRPr="00172807">
        <w:rPr>
          <w:rStyle w:val="StyleUnderline"/>
        </w:rPr>
        <w:t xml:space="preserve">in our system the courts can only speak; they cannot act. The courts, including </w:t>
      </w:r>
      <w:r w:rsidRPr="00241C5A">
        <w:rPr>
          <w:rStyle w:val="StyleUnderline"/>
          <w:highlight w:val="yellow"/>
        </w:rPr>
        <w:t>the Supreme Court</w:t>
      </w:r>
      <w:r w:rsidRPr="00172807">
        <w:rPr>
          <w:rStyle w:val="StyleUnderline"/>
        </w:rPr>
        <w:t xml:space="preserve">, </w:t>
      </w:r>
      <w:r w:rsidRPr="00241C5A">
        <w:rPr>
          <w:rStyle w:val="StyleUnderline"/>
          <w:highlight w:val="yellow"/>
        </w:rPr>
        <w:t>may tell the president he is wrong</w:t>
      </w:r>
      <w:r w:rsidRPr="00172807">
        <w:rPr>
          <w:rStyle w:val="StyleUnderline"/>
        </w:rPr>
        <w:t xml:space="preserve"> on the law, </w:t>
      </w:r>
      <w:r w:rsidRPr="00241C5A">
        <w:rPr>
          <w:rStyle w:val="StyleUnderline"/>
          <w:highlight w:val="yellow"/>
        </w:rPr>
        <w:t>but the material force</w:t>
      </w:r>
      <w:r w:rsidRPr="00172807">
        <w:rPr>
          <w:rStyle w:val="StyleUnderline"/>
        </w:rPr>
        <w:t xml:space="preserve"> of the federal government </w:t>
      </w:r>
      <w:r w:rsidRPr="00241C5A">
        <w:rPr>
          <w:rStyle w:val="StyleUnderline"/>
          <w:highlight w:val="yellow"/>
        </w:rPr>
        <w:t>is</w:t>
      </w:r>
      <w:r w:rsidRPr="00172807">
        <w:rPr>
          <w:rStyle w:val="StyleUnderline"/>
        </w:rPr>
        <w:t xml:space="preserve"> invested </w:t>
      </w:r>
      <w:r w:rsidRPr="00241C5A">
        <w:rPr>
          <w:rStyle w:val="StyleUnderline"/>
          <w:highlight w:val="yellow"/>
        </w:rPr>
        <w:t>in the executive.</w:t>
      </w:r>
      <w:r w:rsidRPr="00172807">
        <w:rPr>
          <w:sz w:val="14"/>
        </w:rPr>
        <w:t xml:space="preserve"> The White House can carry on as it pleases, limited only by the will of the voters exercised every four years or by Congress, through the impeachment power. No less a luminary than President Abraham </w:t>
      </w:r>
      <w:r w:rsidRPr="00172807">
        <w:rPr>
          <w:rStyle w:val="StyleUnderline"/>
        </w:rPr>
        <w:t>Lincoln showed as much. In 1862 he rejected the Supreme Court’s ruling in Dred Scott v. Sanford</w:t>
      </w:r>
      <w:r w:rsidRPr="00172807">
        <w:rPr>
          <w:sz w:val="14"/>
        </w:rPr>
        <w:t xml:space="preserve">, which held that Congress had no power to regulate slavery in U.S. states and territories. Yet Congress voted that year to prohibit slavery in all existing and future territories, and Lincoln signed the law. In doing so, Lincoln arguably followed a bit of wisdom offered by another American of high standing, Thomas Jefferson. In 1810 Jefferson wrote, “A strict observance of the written laws is doubtless one of the highest duties of a good citizen, but it is not the highest. The laws of necessity, of self preservation, of saving the country when in danger are of higher obligation.” This is a stunning argument for unconstrained executive authority in times of crisis. </w:t>
      </w:r>
      <w:r w:rsidRPr="00172807">
        <w:rPr>
          <w:rStyle w:val="StyleUnderline"/>
        </w:rPr>
        <w:t>It is not hard to envision Trump</w:t>
      </w:r>
      <w:r w:rsidRPr="00172807">
        <w:rPr>
          <w:sz w:val="14"/>
        </w:rPr>
        <w:t xml:space="preserve">, who is convinced that the United States is in mortal peril from immigrants and terrorists, </w:t>
      </w:r>
      <w:r w:rsidRPr="00172807">
        <w:rPr>
          <w:rStyle w:val="StyleUnderline"/>
        </w:rPr>
        <w:t>acting on a similar sense of righteousness</w:t>
      </w:r>
      <w:r w:rsidRPr="00172807">
        <w:rPr>
          <w:sz w:val="14"/>
        </w:rPr>
        <w:t xml:space="preserve">. What is more, when Lincoln rebuffed the Supreme Court, he may have been acting on his constitutional authority. </w:t>
      </w:r>
      <w:r w:rsidRPr="00241C5A">
        <w:rPr>
          <w:rStyle w:val="StyleUnderline"/>
          <w:highlight w:val="yellow"/>
        </w:rPr>
        <w:t>We are used to thinking of the Court as the final arbiter</w:t>
      </w:r>
      <w:r w:rsidRPr="00172807">
        <w:rPr>
          <w:rStyle w:val="StyleUnderline"/>
        </w:rPr>
        <w:t xml:space="preserve"> of what the law is and what the Constitution allows. </w:t>
      </w:r>
      <w:r w:rsidRPr="00241C5A">
        <w:rPr>
          <w:rStyle w:val="StyleUnderline"/>
          <w:highlight w:val="yellow"/>
        </w:rPr>
        <w:t>But a vigorous strain of legal thought</w:t>
      </w:r>
      <w:r w:rsidRPr="00172807">
        <w:rPr>
          <w:rStyle w:val="StyleUnderline"/>
        </w:rPr>
        <w:t xml:space="preserve">, mostly </w:t>
      </w:r>
      <w:r w:rsidRPr="00172807">
        <w:rPr>
          <w:rStyle w:val="StyleUnderline"/>
        </w:rPr>
        <w:lastRenderedPageBreak/>
        <w:t xml:space="preserve">confined to conservative intellectuals, </w:t>
      </w:r>
      <w:r w:rsidRPr="00241C5A">
        <w:rPr>
          <w:rStyle w:val="StyleUnderline"/>
          <w:highlight w:val="yellow"/>
        </w:rPr>
        <w:t>holds that this “judicial supremacy” is a myth</w:t>
      </w:r>
      <w:r w:rsidRPr="00172807">
        <w:rPr>
          <w:rStyle w:val="StyleUnderline"/>
        </w:rPr>
        <w:t xml:space="preserve">—that </w:t>
      </w:r>
      <w:r w:rsidRPr="00241C5A">
        <w:rPr>
          <w:rStyle w:val="StyleUnderline"/>
          <w:highlight w:val="yellow"/>
        </w:rPr>
        <w:t>the Constitution nowhere grants the Court power to review and nullify laws</w:t>
      </w:r>
      <w:r w:rsidRPr="00172807">
        <w:rPr>
          <w:sz w:val="14"/>
        </w:rPr>
        <w:t xml:space="preserve">. On this reading, the Court appropriated such power in the case of Marbury v. Madison (1803), and nearly everyone has spent the past two hundred years deluding themselves. The legal thinking behind this view is complex and certainly open to debate. Indeed, it is a minority position primarily associated with unyielding originalists, often aligned with the Federalist Society. What is more, originalism cuts both ways here. For instance, the Georgetown Law Professor Randy Barnett has defended judicial supremacy, which he also calls “judicial equality,” through close reading of the framers. He contends that the “Judicial Power” in the Constitution, as the framers understood it, encompasses authority to review and void unconstitutional laws. (Why an originalist account should be necessary or itself supreme—originalism and analogs being absent from the Constitution—remains mysterious.) Whatever the arguments pro and con, the Trump administration is an ideal vehicle for the conservative case against judicial review. </w:t>
      </w:r>
      <w:r w:rsidRPr="00241C5A">
        <w:rPr>
          <w:rStyle w:val="StyleUnderline"/>
          <w:highlight w:val="yellow"/>
        </w:rPr>
        <w:t>Trump</w:t>
      </w:r>
      <w:r w:rsidRPr="00172807">
        <w:rPr>
          <w:rStyle w:val="StyleUnderline"/>
        </w:rPr>
        <w:t xml:space="preserve"> is surrounded by extreme </w:t>
      </w:r>
      <w:r w:rsidRPr="00241C5A">
        <w:rPr>
          <w:rStyle w:val="StyleUnderline"/>
          <w:highlight w:val="yellow"/>
        </w:rPr>
        <w:t>political and policy entrepreneurs</w:t>
      </w:r>
      <w:r w:rsidRPr="00172807">
        <w:rPr>
          <w:rStyle w:val="StyleUnderline"/>
        </w:rPr>
        <w:t xml:space="preserve"> who </w:t>
      </w:r>
      <w:r w:rsidRPr="00241C5A">
        <w:rPr>
          <w:rStyle w:val="StyleUnderline"/>
          <w:highlight w:val="yellow"/>
        </w:rPr>
        <w:t>have</w:t>
      </w:r>
      <w:r w:rsidRPr="00172807">
        <w:rPr>
          <w:rStyle w:val="StyleUnderline"/>
        </w:rPr>
        <w:t xml:space="preserve"> already </w:t>
      </w:r>
      <w:r w:rsidRPr="00241C5A">
        <w:rPr>
          <w:rStyle w:val="StyleUnderline"/>
          <w:highlight w:val="yellow"/>
        </w:rPr>
        <w:t>shown themselves willing to upset even the least controversial expectations</w:t>
      </w:r>
      <w:r w:rsidRPr="00172807">
        <w:rPr>
          <w:sz w:val="14"/>
        </w:rPr>
        <w:t xml:space="preserve">. Top adviser Steve Bannon has made no secret of his intent to transform government at every level. Trump’s refusal to release his tax returns and place his assets in a blind trust break decades of precedent. Since the first day of his campaign, he has dispensed with half a century of carefully cultivated GOP dog-whistling in favor of explicit racism. With respect to judicial review specifically, policy chief Stephen </w:t>
      </w:r>
      <w:r w:rsidRPr="00241C5A">
        <w:rPr>
          <w:rStyle w:val="StyleUnderline"/>
          <w:highlight w:val="yellow"/>
        </w:rPr>
        <w:t>Miller</w:t>
      </w:r>
      <w:r w:rsidRPr="00172807">
        <w:rPr>
          <w:sz w:val="14"/>
        </w:rPr>
        <w:t xml:space="preserve"> has proclaimed the administration’s disdain. During a recent appearance on Face the Nation, he </w:t>
      </w:r>
      <w:r w:rsidRPr="00172807">
        <w:rPr>
          <w:rStyle w:val="StyleUnderline"/>
        </w:rPr>
        <w:t xml:space="preserve">accurately noted that the president enjoys “very substantial” power over national-security policy. But he </w:t>
      </w:r>
      <w:r w:rsidRPr="00241C5A">
        <w:rPr>
          <w:rStyle w:val="StyleUnderline"/>
          <w:highlight w:val="yellow"/>
        </w:rPr>
        <w:t xml:space="preserve">asserted new legal doctrine in claiming that any </w:t>
      </w:r>
      <w:r w:rsidRPr="00AC338D">
        <w:rPr>
          <w:rStyle w:val="StyleUnderline"/>
        </w:rPr>
        <w:t xml:space="preserve">such </w:t>
      </w:r>
      <w:r w:rsidRPr="00241C5A">
        <w:rPr>
          <w:rStyle w:val="StyleUnderline"/>
          <w:highlight w:val="yellow"/>
        </w:rPr>
        <w:t>policy “will not be questioned</w:t>
      </w:r>
      <w:r w:rsidRPr="00172807">
        <w:rPr>
          <w:sz w:val="14"/>
        </w:rPr>
        <w:t xml:space="preserve">.” He also said, “We have a judiciary that has taken far too much power and become in many cases a supreme branch of government.” </w:t>
      </w:r>
      <w:r w:rsidRPr="00172807">
        <w:rPr>
          <w:rStyle w:val="StyleUnderline"/>
        </w:rPr>
        <w:t xml:space="preserve">An </w:t>
      </w:r>
      <w:r w:rsidRPr="00241C5A">
        <w:rPr>
          <w:rStyle w:val="StyleUnderline"/>
          <w:highlight w:val="yellow"/>
        </w:rPr>
        <w:t>administration unconstrained by foresight, facts, procedure, and morality, consumed by ideological zeal, is well placed to challenge judicial review</w:t>
      </w:r>
      <w:r w:rsidRPr="00172807">
        <w:rPr>
          <w:sz w:val="14"/>
        </w:rPr>
        <w:t xml:space="preserve">. It is, after all, just a tradition, according to the sorts of constitutional interpreters likely to be embraced in this Oval Office. And </w:t>
      </w:r>
      <w:r w:rsidRPr="00241C5A">
        <w:rPr>
          <w:rStyle w:val="StyleUnderline"/>
          <w:highlight w:val="yellow"/>
        </w:rPr>
        <w:t>even if the courts do not acquiesce to such monumental revisionism</w:t>
      </w:r>
      <w:r w:rsidRPr="00172807">
        <w:rPr>
          <w:rStyle w:val="StyleUnderline"/>
        </w:rPr>
        <w:t xml:space="preserve">, </w:t>
      </w:r>
      <w:r w:rsidRPr="00241C5A">
        <w:rPr>
          <w:rStyle w:val="StyleUnderline"/>
          <w:highlight w:val="yellow"/>
        </w:rPr>
        <w:t>the administration is</w:t>
      </w:r>
      <w:r w:rsidRPr="00172807">
        <w:rPr>
          <w:rStyle w:val="StyleUnderline"/>
        </w:rPr>
        <w:t xml:space="preserve"> the entity </w:t>
      </w:r>
      <w:r w:rsidRPr="00241C5A">
        <w:rPr>
          <w:rStyle w:val="StyleUnderline"/>
          <w:highlight w:val="yellow"/>
        </w:rPr>
        <w:t>tasked with enforcing</w:t>
      </w:r>
      <w:r w:rsidRPr="00172807">
        <w:rPr>
          <w:rStyle w:val="StyleUnderline"/>
        </w:rPr>
        <w:t xml:space="preserve"> court </w:t>
      </w:r>
      <w:r w:rsidRPr="00241C5A">
        <w:rPr>
          <w:rStyle w:val="StyleUnderline"/>
          <w:highlight w:val="yellow"/>
        </w:rPr>
        <w:t>decisions, which</w:t>
      </w:r>
      <w:r w:rsidRPr="00172807">
        <w:rPr>
          <w:rStyle w:val="StyleUnderline"/>
        </w:rPr>
        <w:t xml:space="preserve"> </w:t>
      </w:r>
      <w:r w:rsidRPr="00241C5A">
        <w:rPr>
          <w:rStyle w:val="StyleUnderline"/>
          <w:highlight w:val="yellow"/>
        </w:rPr>
        <w:t>means</w:t>
      </w:r>
      <w:r w:rsidRPr="00172807">
        <w:rPr>
          <w:rStyle w:val="StyleUnderline"/>
        </w:rPr>
        <w:t xml:space="preserve"> that </w:t>
      </w:r>
      <w:r w:rsidRPr="00241C5A">
        <w:rPr>
          <w:rStyle w:val="Emphasis"/>
          <w:highlight w:val="yellow"/>
        </w:rPr>
        <w:t>precious little can stop it</w:t>
      </w:r>
      <w:r w:rsidRPr="00172807">
        <w:rPr>
          <w:rStyle w:val="Emphasis"/>
        </w:rPr>
        <w:t>.</w:t>
      </w:r>
      <w:r>
        <w:rPr>
          <w:rStyle w:val="StyleUnderline"/>
        </w:rPr>
        <w:t xml:space="preserve"> </w:t>
      </w:r>
      <w:r w:rsidRPr="00172807">
        <w:rPr>
          <w:sz w:val="14"/>
        </w:rPr>
        <w:t xml:space="preserve">The courts can still give the administration much of what it wants without inviting challenges to their powers of review. The Supreme Court conceded to Roosevelt while preserving its authority. And many speculate that the justices played along with the 2012 case against the Affordable Care Act because they knew that, if they struck down the law’s central provisions, the Obama administration would find a way around them. </w:t>
      </w:r>
      <w:r w:rsidRPr="00172807">
        <w:rPr>
          <w:rStyle w:val="StyleUnderline"/>
        </w:rPr>
        <w:t xml:space="preserve">Had Obama succeeded in circumventing the court, </w:t>
      </w:r>
      <w:r w:rsidRPr="00172807">
        <w:rPr>
          <w:rStyle w:val="Emphasis"/>
        </w:rPr>
        <w:t>he would have revealed the essential powerlessness of a judiciary dependent on the executive’s will.</w:t>
      </w:r>
      <w:r w:rsidRPr="00172807">
        <w:rPr>
          <w:sz w:val="14"/>
        </w:rPr>
        <w:t xml:space="preserve"> But do you expect the Trump administration to play that card only once? Are men such as Trump and Bannon, demonstrably ruthless in their pursuit of financial and political gain, to be trusted with such powers of intimidation? At the moment, we can only wonder, but what we know of them counsels severe doubt. </w:t>
      </w:r>
      <w:r w:rsidRPr="00172807">
        <w:rPr>
          <w:rStyle w:val="StyleUnderline"/>
        </w:rPr>
        <w:t xml:space="preserve">We should consider both of these real possibilities: that the administration will question the authority of the judiciary to determine the legality of its actions and that the administration, when rebuked, </w:t>
      </w:r>
      <w:r w:rsidRPr="00172807">
        <w:rPr>
          <w:rStyle w:val="Emphasis"/>
        </w:rPr>
        <w:t>will refuse to comply with court orders</w:t>
      </w:r>
      <w:r w:rsidRPr="00172807">
        <w:rPr>
          <w:sz w:val="14"/>
        </w:rPr>
        <w:t xml:space="preserve">. In either circumstance, </w:t>
      </w:r>
      <w:r w:rsidRPr="00241C5A">
        <w:rPr>
          <w:rStyle w:val="StyleUnderline"/>
          <w:highlight w:val="yellow"/>
        </w:rPr>
        <w:t>judges</w:t>
      </w:r>
      <w:r w:rsidRPr="00172807">
        <w:rPr>
          <w:rStyle w:val="StyleUnderline"/>
        </w:rPr>
        <w:t xml:space="preserve"> themselves </w:t>
      </w:r>
      <w:r w:rsidRPr="00241C5A">
        <w:rPr>
          <w:rStyle w:val="StyleUnderline"/>
          <w:highlight w:val="yellow"/>
        </w:rPr>
        <w:t>present no obstacle to a defiant executive</w:t>
      </w:r>
      <w:r w:rsidRPr="00241C5A">
        <w:rPr>
          <w:sz w:val="14"/>
          <w:highlight w:val="yellow"/>
        </w:rPr>
        <w:t>.</w:t>
      </w:r>
      <w:r w:rsidRPr="00172807">
        <w:rPr>
          <w:sz w:val="14"/>
        </w:rPr>
        <w:t xml:space="preserve"> </w:t>
      </w:r>
      <w:r w:rsidRPr="00241C5A">
        <w:rPr>
          <w:rStyle w:val="StyleUnderline"/>
          <w:highlight w:val="yellow"/>
        </w:rPr>
        <w:t>Only Congress, exercising its power to impeach, and the voters, can slow the administration down</w:t>
      </w:r>
      <w:r w:rsidRPr="00172807">
        <w:rPr>
          <w:rStyle w:val="StyleUnderline"/>
        </w:rPr>
        <w:t>.</w:t>
      </w:r>
      <w:r>
        <w:rPr>
          <w:rStyle w:val="StyleUnderline"/>
        </w:rPr>
        <w:t xml:space="preserve"> </w:t>
      </w:r>
      <w:r w:rsidRPr="00172807">
        <w:rPr>
          <w:sz w:val="14"/>
        </w:rPr>
        <w:t xml:space="preserve">For opponents of judicial review, this is precisely as it should be. </w:t>
      </w:r>
      <w:r w:rsidRPr="00241C5A">
        <w:rPr>
          <w:rStyle w:val="StyleUnderline"/>
          <w:highlight w:val="yellow"/>
        </w:rPr>
        <w:t>For anyone who values the courts as effective sources of checks and balances, this is a troubling moment.</w:t>
      </w:r>
    </w:p>
    <w:p w:rsidR="00D507CB" w:rsidRDefault="00D507CB" w:rsidP="00D507CB">
      <w:pPr>
        <w:pStyle w:val="Heading3"/>
      </w:pPr>
      <w:r>
        <w:lastRenderedPageBreak/>
        <w:t>2NC Overview</w:t>
      </w:r>
    </w:p>
    <w:p w:rsidR="00D507CB" w:rsidRPr="00651AAD" w:rsidRDefault="00D507CB" w:rsidP="00D507CB">
      <w:pPr>
        <w:pStyle w:val="Heading4"/>
      </w:pPr>
      <w:r>
        <w:t>Deference and circumvention are inevitable---the best the plan can achieve is inconsistent application of precedent.</w:t>
      </w:r>
    </w:p>
    <w:p w:rsidR="00D507CB" w:rsidRDefault="00D507CB" w:rsidP="00D507CB">
      <w:r w:rsidRPr="00B24060">
        <w:rPr>
          <w:rStyle w:val="Style13ptBold"/>
        </w:rPr>
        <w:t>Posner and Vermeule 11</w:t>
      </w:r>
      <w:r>
        <w:t xml:space="preserve"> - *Kirkland and Ellis Distinguished Service Professor of Law, University of Chicago **Ralph S. Tyler, Jr. Professor of Constitutional Law, Harvard</w:t>
      </w:r>
    </w:p>
    <w:p w:rsidR="00D507CB" w:rsidRDefault="00D507CB" w:rsidP="00D507CB">
      <w:r>
        <w:t xml:space="preserve">*Eric, **Adrian, </w:t>
      </w:r>
      <w:r w:rsidRPr="00B24060">
        <w:rPr>
          <w:i/>
        </w:rPr>
        <w:t>The Executive Unbound: After the Madisonian Republic</w:t>
      </w:r>
      <w:r>
        <w:t>, Oxford University Press, pp. 52-54</w:t>
      </w:r>
    </w:p>
    <w:p w:rsidR="00E42E4C" w:rsidRDefault="00D507CB" w:rsidP="00F601E6">
      <w:pPr>
        <w:rPr>
          <w:rStyle w:val="Emphasis"/>
        </w:rPr>
      </w:pPr>
      <w:r w:rsidRPr="00236169">
        <w:rPr>
          <w:sz w:val="16"/>
        </w:rPr>
        <w:t xml:space="preserve">THE COURTS We now turn from Congress to the courts, the other main hope of liberal legalism. </w:t>
      </w:r>
      <w:r w:rsidRPr="00236169">
        <w:rPr>
          <w:rStyle w:val="StyleUnderline"/>
        </w:rPr>
        <w:t xml:space="preserve">In both economic and security crises, </w:t>
      </w:r>
      <w:r w:rsidRPr="00241C5A">
        <w:rPr>
          <w:rStyle w:val="StyleUnderline"/>
          <w:highlight w:val="yellow"/>
        </w:rPr>
        <w:t>courts are marginal participants</w:t>
      </w:r>
      <w:r w:rsidRPr="00236169">
        <w:rPr>
          <w:sz w:val="16"/>
        </w:rPr>
        <w:t xml:space="preserve">. </w:t>
      </w:r>
      <w:r w:rsidRPr="00236169">
        <w:rPr>
          <w:rStyle w:val="StyleUnderline"/>
        </w:rPr>
        <w:t>Here two</w:t>
      </w:r>
      <w:r w:rsidRPr="00236169">
        <w:rPr>
          <w:sz w:val="16"/>
        </w:rPr>
        <w:t xml:space="preserve"> Schmittian </w:t>
      </w:r>
      <w:r w:rsidRPr="00236169">
        <w:rPr>
          <w:rStyle w:val="StyleUnderline"/>
        </w:rPr>
        <w:t xml:space="preserve">themes are relevant: that </w:t>
      </w:r>
      <w:r w:rsidRPr="00241C5A">
        <w:rPr>
          <w:rStyle w:val="StyleUnderline"/>
          <w:highlight w:val="yellow"/>
        </w:rPr>
        <w:t>courts come too late to the crisis to make a real difference</w:t>
      </w:r>
      <w:r w:rsidRPr="00236169">
        <w:rPr>
          <w:rStyle w:val="StyleUnderline"/>
        </w:rPr>
        <w:t xml:space="preserve"> in many cases, and that </w:t>
      </w:r>
      <w:r w:rsidRPr="00241C5A">
        <w:rPr>
          <w:rStyle w:val="StyleUnderline"/>
          <w:highlight w:val="yellow"/>
        </w:rPr>
        <w:t>courts have pragmatic and political incentives to defer to the executive</w:t>
      </w:r>
      <w:r w:rsidRPr="00236169">
        <w:rPr>
          <w:sz w:val="16"/>
        </w:rPr>
        <w:t xml:space="preserve">, whatever the nominal standard of review. </w:t>
      </w:r>
      <w:r w:rsidRPr="00236169">
        <w:rPr>
          <w:rStyle w:val="StyleUnderline"/>
        </w:rPr>
        <w:t>The largest problem</w:t>
      </w:r>
      <w:r w:rsidRPr="00236169">
        <w:rPr>
          <w:sz w:val="16"/>
        </w:rPr>
        <w:t xml:space="preserve">, underlying these mechanisms, </w:t>
      </w:r>
      <w:r w:rsidRPr="00236169">
        <w:rPr>
          <w:rStyle w:val="StyleUnderline"/>
        </w:rPr>
        <w:t>is that courts possess legal authority but not robust political legitimacy</w:t>
      </w:r>
      <w:r w:rsidRPr="00236169">
        <w:rPr>
          <w:sz w:val="16"/>
        </w:rPr>
        <w:t xml:space="preserve">. Legality and legitimacy diverge in crisis conditions, and the divergence causes courts to assume a restrained role. We take up these points in turn. The Timing of Review </w:t>
      </w:r>
      <w:r w:rsidRPr="00236169">
        <w:rPr>
          <w:rStyle w:val="StyleUnderline"/>
        </w:rPr>
        <w:t>A basic feature of judicial review</w:t>
      </w:r>
      <w:r w:rsidRPr="00236169">
        <w:rPr>
          <w:sz w:val="16"/>
        </w:rPr>
        <w:t xml:space="preserve"> in most Anglo-American legal systems </w:t>
      </w:r>
      <w:r w:rsidRPr="00236169">
        <w:rPr>
          <w:rStyle w:val="StyleUnderline"/>
        </w:rPr>
        <w:t xml:space="preserve">is that </w:t>
      </w:r>
      <w:r w:rsidRPr="00241C5A">
        <w:rPr>
          <w:rStyle w:val="StyleUnderline"/>
          <w:highlight w:val="yellow"/>
        </w:rPr>
        <w:t>courts rely upon the initiative of private parties to bring suits</w:t>
      </w:r>
      <w:r w:rsidRPr="00236169">
        <w:rPr>
          <w:rStyle w:val="StyleUnderline"/>
        </w:rPr>
        <w:t xml:space="preserve">, which the courts then adjudicate </w:t>
      </w:r>
      <w:r w:rsidRPr="00236169">
        <w:rPr>
          <w:sz w:val="16"/>
        </w:rPr>
        <w:t xml:space="preserve">as “cases and controversies” rather than as abstract legal questions. </w:t>
      </w:r>
      <w:r w:rsidRPr="00241C5A">
        <w:rPr>
          <w:rStyle w:val="StyleUnderline"/>
          <w:highlight w:val="yellow"/>
        </w:rPr>
        <w:t xml:space="preserve">This means that there is always a </w:t>
      </w:r>
      <w:r w:rsidRPr="00241C5A">
        <w:rPr>
          <w:rStyle w:val="Emphasis"/>
          <w:highlight w:val="yellow"/>
        </w:rPr>
        <w:t>time lag</w:t>
      </w:r>
      <w:r w:rsidRPr="00236169">
        <w:rPr>
          <w:sz w:val="16"/>
        </w:rPr>
        <w:t xml:space="preserve">, of greater or lesser duration, </w:t>
      </w:r>
      <w:r w:rsidRPr="00236169">
        <w:rPr>
          <w:rStyle w:val="StyleUnderline"/>
        </w:rPr>
        <w:t>between the adoption of controversial government measures and the issuance of judicial opinions on their legal validity</w:t>
      </w:r>
      <w:r w:rsidRPr="00236169">
        <w:rPr>
          <w:sz w:val="16"/>
        </w:rPr>
        <w:t xml:space="preserve">. Common lawyers sometimes praise this delayed review precisely because the delay ensures that courts are less likely to set precedents while crises are hot, precedents that will be warped by the emotions of the day or by the political power of aroused majorities. 70 </w:t>
      </w:r>
      <w:r w:rsidRPr="00241C5A">
        <w:rPr>
          <w:rStyle w:val="StyleUnderline"/>
          <w:highlight w:val="yellow"/>
        </w:rPr>
        <w:t>Delayed review has severe costs</w:t>
      </w:r>
      <w:r w:rsidRPr="00236169">
        <w:rPr>
          <w:sz w:val="16"/>
        </w:rPr>
        <w:t xml:space="preserve">, however. For one thing, </w:t>
      </w:r>
      <w:r w:rsidRPr="00241C5A">
        <w:rPr>
          <w:rStyle w:val="StyleUnderline"/>
          <w:highlight w:val="yellow"/>
        </w:rPr>
        <w:t>courts often face a fait accompli</w:t>
      </w:r>
      <w:r w:rsidRPr="00236169">
        <w:rPr>
          <w:sz w:val="16"/>
        </w:rPr>
        <w:t xml:space="preserve">. Although it is sometimes possible to strangle new programs in the crib, </w:t>
      </w:r>
      <w:r w:rsidRPr="00236169">
        <w:rPr>
          <w:rStyle w:val="StyleUnderline"/>
        </w:rPr>
        <w:t>once</w:t>
      </w:r>
      <w:r w:rsidRPr="00236169">
        <w:rPr>
          <w:sz w:val="16"/>
        </w:rPr>
        <w:t xml:space="preserve"> those </w:t>
      </w:r>
      <w:r w:rsidRPr="00236169">
        <w:rPr>
          <w:rStyle w:val="StyleUnderline"/>
        </w:rPr>
        <w:t>measures are up and running, it is all the more difficult for courts to order that they be abolished. This may be because new measures create new constituencies or</w:t>
      </w:r>
      <w:r w:rsidRPr="00236169">
        <w:rPr>
          <w:sz w:val="16"/>
        </w:rPr>
        <w:t xml:space="preserve"> otherwise </w:t>
      </w:r>
      <w:r w:rsidRPr="00236169">
        <w:rPr>
          <w:rStyle w:val="StyleUnderline"/>
        </w:rPr>
        <w:t>entrench themselves, creating a ratchet effect, but the simpler hypothesis is just that officials and the public believe that the measures have worked well enough</w:t>
      </w:r>
      <w:r w:rsidRPr="00236169">
        <w:rPr>
          <w:sz w:val="16"/>
        </w:rPr>
        <w:t xml:space="preserve">. Most simply, </w:t>
      </w:r>
      <w:r w:rsidRPr="00241C5A">
        <w:rPr>
          <w:rStyle w:val="StyleUnderline"/>
          <w:highlight w:val="yellow"/>
        </w:rPr>
        <w:t>returning to the pre-emergency status quo by judicial order</w:t>
      </w:r>
      <w:r w:rsidRPr="00236169">
        <w:rPr>
          <w:rStyle w:val="StyleUnderline"/>
        </w:rPr>
        <w:t xml:space="preserve"> seems unthinkable; doing so </w:t>
      </w:r>
      <w:r w:rsidRPr="00241C5A">
        <w:rPr>
          <w:rStyle w:val="StyleUnderline"/>
          <w:highlight w:val="yellow"/>
        </w:rPr>
        <w:t>would</w:t>
      </w:r>
      <w:r w:rsidRPr="00236169">
        <w:rPr>
          <w:rStyle w:val="StyleUnderline"/>
        </w:rPr>
        <w:t xml:space="preserve"> just re</w:t>
      </w:r>
      <w:r w:rsidRPr="00241C5A">
        <w:rPr>
          <w:rStyle w:val="StyleUnderline"/>
          <w:highlight w:val="yellow"/>
        </w:rPr>
        <w:t>-create the conditions</w:t>
      </w:r>
      <w:r w:rsidRPr="00236169">
        <w:rPr>
          <w:rStyle w:val="StyleUnderline"/>
        </w:rPr>
        <w:t xml:space="preserve"> that led the legislature and executive to take emergency measures in the first place</w:t>
      </w:r>
      <w:r w:rsidRPr="00236169">
        <w:rPr>
          <w:sz w:val="16"/>
        </w:rPr>
        <w:t xml:space="preserve">. For another thing, </w:t>
      </w:r>
      <w:r w:rsidRPr="00236169">
        <w:rPr>
          <w:rStyle w:val="StyleUnderline"/>
        </w:rPr>
        <w:t>even if courts could overturn or restrict emergency measures</w:t>
      </w:r>
      <w:r w:rsidRPr="00236169">
        <w:rPr>
          <w:sz w:val="16"/>
        </w:rPr>
        <w:t xml:space="preserve">, by the time their review occurs, </w:t>
      </w:r>
      <w:r w:rsidRPr="00236169">
        <w:rPr>
          <w:rStyle w:val="StyleUnderline"/>
        </w:rPr>
        <w:t>those measures will by their nature already have worked, or not</w:t>
      </w:r>
      <w:r w:rsidRPr="00236169">
        <w:rPr>
          <w:sz w:val="16"/>
        </w:rPr>
        <w:t xml:space="preserve">. If they have worked, or at least if there is a widespread sense that the crisis has passed, then the legislators and public may not much care whether the courts invalidate the emergency measures after the fact. By the time the courts issue a final pronouncement on any constitutional challenges to the EESA, the program will either have increased liquidity and stabilized financial markets, or not. In either case, the </w:t>
      </w:r>
      <w:r w:rsidRPr="00236169">
        <w:rPr>
          <w:rStyle w:val="StyleUnderline"/>
        </w:rPr>
        <w:t xml:space="preserve">legal </w:t>
      </w:r>
      <w:r w:rsidRPr="00241C5A">
        <w:rPr>
          <w:rStyle w:val="StyleUnderline"/>
          <w:highlight w:val="yellow"/>
        </w:rPr>
        <w:t>challenges</w:t>
      </w:r>
      <w:r w:rsidRPr="00236169">
        <w:rPr>
          <w:sz w:val="16"/>
        </w:rPr>
        <w:t xml:space="preserve"> will interest constitutional lawyers, but </w:t>
      </w:r>
      <w:r w:rsidRPr="00241C5A">
        <w:rPr>
          <w:rStyle w:val="Emphasis"/>
          <w:highlight w:val="yellow"/>
        </w:rPr>
        <w:t>will lack practical significance</w:t>
      </w:r>
      <w:r w:rsidRPr="00236169">
        <w:rPr>
          <w:sz w:val="16"/>
        </w:rPr>
        <w:t xml:space="preserve">. Intensity of Review Another dimension of review is intensity rather than timing. At the level of constitutional law, </w:t>
      </w:r>
      <w:r w:rsidRPr="00236169">
        <w:rPr>
          <w:rStyle w:val="StyleUnderline"/>
        </w:rPr>
        <w:t>the overall record is that courts tend to defer heavily to the executive</w:t>
      </w:r>
      <w:r w:rsidRPr="00236169">
        <w:rPr>
          <w:sz w:val="16"/>
        </w:rPr>
        <w:t xml:space="preserve"> in times of crisis, only reasserting themselves once the public sense of imminent threat has passed. As we will discuss in chapter 3, federal courts deciding administrative cases after 9/11 have tended to defer to the government’s assertion of security interests, although more large number work is necessary to understand the precise contours of the phenomenon. Schmitt occasionally argued that the administrative state would actually increase the power of judges, insofar as liberal legislatures would attempt to compensate for broad delegations to the executive by creating broad rights of judicial review; consider the Administrative Procedure Act (APA), which postdates Schmitt ’s claim. It is entirely consistent with the broader tenor of Schmitt ’s thought, however, to observe that the very political forces that constrain legislatures to enact broad delegations in times of crisis also hamper judges, including judges applying APA-style review. While their nominal power of review may be vast, the judges cannot exercise it to the full in times of crisis. Legality and Legitimacy At a higher level of abstraction, </w:t>
      </w:r>
      <w:r w:rsidRPr="00241C5A">
        <w:rPr>
          <w:rStyle w:val="StyleUnderline"/>
          <w:highlight w:val="yellow"/>
        </w:rPr>
        <w:t>the</w:t>
      </w:r>
      <w:r w:rsidRPr="00236169">
        <w:rPr>
          <w:rStyle w:val="StyleUnderline"/>
        </w:rPr>
        <w:t xml:space="preserve"> basic problem </w:t>
      </w:r>
      <w:r w:rsidRPr="00241C5A">
        <w:rPr>
          <w:rStyle w:val="StyleUnderline"/>
          <w:highlight w:val="yellow"/>
        </w:rPr>
        <w:t>underlying judicial review</w:t>
      </w:r>
      <w:r w:rsidRPr="00236169">
        <w:rPr>
          <w:sz w:val="16"/>
        </w:rPr>
        <w:t xml:space="preserve"> of emergency measures </w:t>
      </w:r>
      <w:r w:rsidRPr="00241C5A">
        <w:rPr>
          <w:rStyle w:val="StyleUnderline"/>
          <w:highlight w:val="yellow"/>
        </w:rPr>
        <w:t>is the divergence between the courts’ legal powers and their political legitimacy</w:t>
      </w:r>
      <w:r w:rsidRPr="00236169">
        <w:rPr>
          <w:sz w:val="16"/>
        </w:rPr>
        <w:t xml:space="preserve"> in times of perceived crisis. As Schmitt pointed out, emergency measures can be “exceptional” in the sense that although illegal, or of dubious legality, they may nonetheless be politically legitimate, if they respond to the public’s sense of the necessities of the situation. 71 Domesticating this point and applying it to the practical operation of the administrative state, </w:t>
      </w:r>
      <w:r w:rsidRPr="00241C5A">
        <w:rPr>
          <w:rStyle w:val="StyleUnderline"/>
          <w:highlight w:val="yellow"/>
        </w:rPr>
        <w:t>courts</w:t>
      </w:r>
      <w:r w:rsidRPr="00236169">
        <w:rPr>
          <w:sz w:val="16"/>
        </w:rPr>
        <w:t xml:space="preserve"> reviewing emergency measures may be </w:t>
      </w:r>
      <w:r w:rsidRPr="00236169">
        <w:rPr>
          <w:sz w:val="16"/>
        </w:rPr>
        <w:lastRenderedPageBreak/>
        <w:t xml:space="preserve">on strong legal ground, but will tend to </w:t>
      </w:r>
      <w:r w:rsidRPr="00241C5A">
        <w:rPr>
          <w:rStyle w:val="StyleUnderline"/>
          <w:highlight w:val="yellow"/>
        </w:rPr>
        <w:t>lack</w:t>
      </w:r>
      <w:r w:rsidRPr="00236169">
        <w:rPr>
          <w:rStyle w:val="StyleUnderline"/>
        </w:rPr>
        <w:t xml:space="preserve"> the politi</w:t>
      </w:r>
      <w:r w:rsidRPr="00241C5A">
        <w:rPr>
          <w:rStyle w:val="StyleUnderline"/>
          <w:highlight w:val="yellow"/>
        </w:rPr>
        <w:t>cal legitimacy needed to invalidate emergency legislation or the executive’s emergency regulations</w:t>
      </w:r>
      <w:r w:rsidRPr="00241C5A">
        <w:rPr>
          <w:sz w:val="16"/>
          <w:highlight w:val="yellow"/>
        </w:rPr>
        <w:t>.</w:t>
      </w:r>
      <w:r w:rsidRPr="00236169">
        <w:rPr>
          <w:sz w:val="16"/>
        </w:rPr>
        <w:t xml:space="preserve"> Anticipating this, courts pull in their horns. When the public sense of crisis passes, legality and legitimacy will once again pull in tandem; courts then have more freedom to invalidate emergency measures, but it is less important whether or not they do so, as the emergency measure will in large part have already worked, or not. The precedents set after the sense of crisis has passed may be calmer and more deliberative, and thus of higher epistemic quality—this is the claim of the common lawyers, which resembles an application of the Madisonian vision to the courts—but </w:t>
      </w:r>
      <w:r w:rsidRPr="00241C5A">
        <w:rPr>
          <w:rStyle w:val="Emphasis"/>
          <w:highlight w:val="yellow"/>
        </w:rPr>
        <w:t>the public will not take</w:t>
      </w:r>
      <w:r w:rsidRPr="00236169">
        <w:rPr>
          <w:rStyle w:val="Emphasis"/>
        </w:rPr>
        <w:t xml:space="preserve"> much </w:t>
      </w:r>
      <w:r w:rsidRPr="00241C5A">
        <w:rPr>
          <w:rStyle w:val="Emphasis"/>
          <w:highlight w:val="yellow"/>
        </w:rPr>
        <w:t>notice</w:t>
      </w:r>
      <w:r w:rsidRPr="00236169">
        <w:rPr>
          <w:rStyle w:val="Emphasis"/>
        </w:rPr>
        <w:t xml:space="preserve"> of those precedents, </w:t>
      </w:r>
      <w:r w:rsidRPr="00241C5A">
        <w:rPr>
          <w:rStyle w:val="Emphasis"/>
          <w:highlight w:val="yellow"/>
        </w:rPr>
        <w:t>and</w:t>
      </w:r>
      <w:r w:rsidRPr="00236169">
        <w:rPr>
          <w:rStyle w:val="Emphasis"/>
        </w:rPr>
        <w:t xml:space="preserve"> they </w:t>
      </w:r>
      <w:r w:rsidRPr="00241C5A">
        <w:rPr>
          <w:rStyle w:val="Emphasis"/>
          <w:highlight w:val="yellow"/>
        </w:rPr>
        <w:t>will</w:t>
      </w:r>
      <w:r w:rsidRPr="00236169">
        <w:rPr>
          <w:rStyle w:val="Emphasis"/>
        </w:rPr>
        <w:t xml:space="preserve"> </w:t>
      </w:r>
      <w:r w:rsidRPr="00241C5A">
        <w:rPr>
          <w:rStyle w:val="Emphasis"/>
          <w:highlight w:val="yellow"/>
        </w:rPr>
        <w:t>have little sticking power</w:t>
      </w:r>
      <w:r w:rsidRPr="00236169">
        <w:rPr>
          <w:rStyle w:val="Emphasis"/>
        </w:rPr>
        <w:t xml:space="preserve"> when the next crisis rolls around.</w:t>
      </w:r>
    </w:p>
    <w:p w:rsidR="00D507CB" w:rsidRDefault="00D507CB" w:rsidP="00D507CB">
      <w:pPr>
        <w:pStyle w:val="Heading2"/>
      </w:pPr>
      <w:r w:rsidRPr="00D507CB">
        <w:lastRenderedPageBreak/>
        <w:t>Case</w:t>
      </w:r>
    </w:p>
    <w:p w:rsidR="00D507CB" w:rsidRDefault="00D507CB" w:rsidP="00D507CB">
      <w:pPr>
        <w:pStyle w:val="Heading3"/>
      </w:pPr>
      <w:r>
        <w:lastRenderedPageBreak/>
        <w:t>CCS</w:t>
      </w:r>
    </w:p>
    <w:p w:rsidR="00D507CB" w:rsidRDefault="00D507CB" w:rsidP="00D507CB">
      <w:pPr>
        <w:pStyle w:val="Heading4"/>
      </w:pPr>
      <w:r>
        <w:t xml:space="preserve">CCS increases energy needs and pollution </w:t>
      </w:r>
    </w:p>
    <w:p w:rsidR="00D507CB" w:rsidRPr="00B10644" w:rsidRDefault="00D507CB" w:rsidP="00D507CB">
      <w:r>
        <w:rPr>
          <w:rStyle w:val="Style13ptBold"/>
        </w:rPr>
        <w:t>Jacobson</w:t>
      </w:r>
      <w:r w:rsidRPr="00A813C6">
        <w:rPr>
          <w:rStyle w:val="Style13ptBold"/>
        </w:rPr>
        <w:t xml:space="preserve"> 6/19</w:t>
      </w:r>
      <w:r>
        <w:t xml:space="preserve"> Mark Z. Jacobson, 06-26-2019, a professor of civil and environmental engineering at Stanford University and director of its Atmosphere/Energy Program, "100% Clean, Renewable Energy and Storage for Everything,” Stanford University, https://web.stanford.edu/group/efmh/jacobson/WWSBook/WWSBook.html SL</w:t>
      </w:r>
    </w:p>
    <w:p w:rsidR="00D507CB" w:rsidRPr="00A813C6" w:rsidRDefault="00D507CB" w:rsidP="00D507CB">
      <w:pPr>
        <w:rPr>
          <w:rStyle w:val="StyleUnderline"/>
        </w:rPr>
      </w:pPr>
      <w:r>
        <w:t>SDA</w:t>
      </w:r>
      <w:r w:rsidRPr="00A813C6">
        <w:rPr>
          <w:rStyle w:val="StyleUnderline"/>
        </w:rPr>
        <w:t>CCS</w:t>
      </w:r>
      <w:r>
        <w:t xml:space="preserve">/U does none of that. Its sole benefit is to remove CO2 from the air. To do that, it </w:t>
      </w:r>
      <w:r w:rsidRPr="00A813C6">
        <w:rPr>
          <w:rStyle w:val="StyleUnderline"/>
        </w:rPr>
        <w:t>costs more than</w:t>
      </w:r>
    </w:p>
    <w:p w:rsidR="00D507CB" w:rsidRDefault="00D507CB" w:rsidP="00D507CB">
      <w:r w:rsidRPr="00A813C6">
        <w:rPr>
          <w:rStyle w:val="StyleUnderline"/>
        </w:rPr>
        <w:t>renewable energy.</w:t>
      </w:r>
      <w:r>
        <w:t xml:space="preserve"> In fact, SDACCS/U is basically just a cost added onto the cost of using fossil fuels.</w:t>
      </w:r>
    </w:p>
    <w:p w:rsidR="00D507CB" w:rsidRPr="00A813C6" w:rsidRDefault="00D507CB" w:rsidP="00D507CB">
      <w:pPr>
        <w:rPr>
          <w:rStyle w:val="StyleUnderline"/>
        </w:rPr>
      </w:pPr>
      <w:r>
        <w:t xml:space="preserve">Moreover, SDACCS/U is </w:t>
      </w:r>
      <w:r w:rsidRPr="00A813C6">
        <w:rPr>
          <w:rStyle w:val="StyleUnderline"/>
        </w:rPr>
        <w:t>a severe opportunity cost.</w:t>
      </w:r>
      <w:r>
        <w:t xml:space="preserve"> Because SDACCS/U </w:t>
      </w:r>
      <w:r w:rsidRPr="00A813C6">
        <w:rPr>
          <w:rStyle w:val="StyleUnderline"/>
        </w:rPr>
        <w:t>removes no health-affecting air</w:t>
      </w:r>
    </w:p>
    <w:p w:rsidR="00D507CB" w:rsidRPr="00A813C6" w:rsidRDefault="00D507CB" w:rsidP="00D507CB">
      <w:pPr>
        <w:rPr>
          <w:rStyle w:val="StyleUnderline"/>
        </w:rPr>
      </w:pPr>
      <w:r w:rsidRPr="00A813C6">
        <w:rPr>
          <w:rStyle w:val="StyleUnderline"/>
        </w:rPr>
        <w:t>pollutants from the air; money spent on it takes funding away from the purchase of clean, renewable WWS</w:t>
      </w:r>
    </w:p>
    <w:p w:rsidR="00D507CB" w:rsidRPr="00A813C6" w:rsidRDefault="00D507CB" w:rsidP="00D507CB">
      <w:pPr>
        <w:rPr>
          <w:rStyle w:val="StyleUnderline"/>
        </w:rPr>
      </w:pPr>
      <w:r w:rsidRPr="00A813C6">
        <w:rPr>
          <w:rStyle w:val="StyleUnderline"/>
        </w:rPr>
        <w:t>technologies that do replace fossil fuel power plants or vehicles and eliminate their health-affecting emissions and</w:t>
      </w:r>
    </w:p>
    <w:p w:rsidR="00D507CB" w:rsidRPr="00A813C6" w:rsidRDefault="00D507CB" w:rsidP="00D507CB">
      <w:pPr>
        <w:rPr>
          <w:rStyle w:val="StyleUnderline"/>
        </w:rPr>
      </w:pPr>
      <w:r w:rsidRPr="00A813C6">
        <w:rPr>
          <w:rStyle w:val="StyleUnderline"/>
        </w:rPr>
        <w:t>associated health costs.</w:t>
      </w:r>
    </w:p>
    <w:p w:rsidR="00D507CB" w:rsidRPr="00A813C6" w:rsidRDefault="00D507CB" w:rsidP="00D507CB">
      <w:pPr>
        <w:rPr>
          <w:rStyle w:val="StyleUnderline"/>
        </w:rPr>
      </w:pPr>
      <w:r>
        <w:t xml:space="preserve">Second, SDACCS/U </w:t>
      </w:r>
      <w:r w:rsidRPr="00A813C6">
        <w:rPr>
          <w:rStyle w:val="StyleUnderline"/>
        </w:rPr>
        <w:t>requires substantial electricity and heat to work, and this must come from</w:t>
      </w:r>
      <w:r>
        <w:t xml:space="preserve"> the grid, </w:t>
      </w:r>
      <w:r w:rsidRPr="00A813C6">
        <w:rPr>
          <w:rStyle w:val="StyleUnderline"/>
        </w:rPr>
        <w:t>a</w:t>
      </w:r>
    </w:p>
    <w:p w:rsidR="00D507CB" w:rsidRPr="00A813C6" w:rsidRDefault="00D507CB" w:rsidP="00D507CB">
      <w:pPr>
        <w:rPr>
          <w:rStyle w:val="StyleUnderline"/>
        </w:rPr>
      </w:pPr>
      <w:r w:rsidRPr="00A813C6">
        <w:rPr>
          <w:rStyle w:val="StyleUnderline"/>
        </w:rPr>
        <w:t>dedicated fossil fuel source</w:t>
      </w:r>
      <w:r>
        <w:t xml:space="preserve">, or a dedicated WWS source. If grid electricity is used, </w:t>
      </w:r>
      <w:r w:rsidRPr="00A813C6">
        <w:rPr>
          <w:rStyle w:val="StyleUnderline"/>
        </w:rPr>
        <w:t>air pollution emissions directly</w:t>
      </w:r>
    </w:p>
    <w:p w:rsidR="00D507CB" w:rsidRPr="00A813C6" w:rsidRDefault="00D507CB" w:rsidP="00D507CB">
      <w:pPr>
        <w:rPr>
          <w:rStyle w:val="StyleUnderline"/>
        </w:rPr>
      </w:pPr>
      <w:r w:rsidRPr="00A813C6">
        <w:rPr>
          <w:rStyle w:val="StyleUnderline"/>
        </w:rPr>
        <w:t>increase compared with no</w:t>
      </w:r>
      <w:r>
        <w:t xml:space="preserve"> SDA</w:t>
      </w:r>
      <w:r w:rsidRPr="00A813C6">
        <w:rPr>
          <w:rStyle w:val="StyleUnderline"/>
        </w:rPr>
        <w:t>CCS</w:t>
      </w:r>
      <w:r>
        <w:t xml:space="preserve">/U and </w:t>
      </w:r>
      <w:r w:rsidRPr="00A813C6">
        <w:rPr>
          <w:rStyle w:val="StyleUnderline"/>
        </w:rPr>
        <w:t>a portion of the CO2 emissions reduced by</w:t>
      </w:r>
      <w:r>
        <w:t xml:space="preserve"> SDA</w:t>
      </w:r>
      <w:r w:rsidRPr="00A813C6">
        <w:rPr>
          <w:rStyle w:val="StyleUnderline"/>
        </w:rPr>
        <w:t>CCS</w:t>
      </w:r>
      <w:r>
        <w:t xml:space="preserve">/U </w:t>
      </w:r>
      <w:r w:rsidRPr="00A813C6">
        <w:rPr>
          <w:rStyle w:val="StyleUnderline"/>
        </w:rPr>
        <w:t>are reemitted</w:t>
      </w:r>
    </w:p>
    <w:p w:rsidR="00D507CB" w:rsidRPr="00A813C6" w:rsidRDefault="00D507CB" w:rsidP="00D507CB">
      <w:pPr>
        <w:rPr>
          <w:rStyle w:val="StyleUnderline"/>
        </w:rPr>
      </w:pPr>
      <w:r w:rsidRPr="00A813C6">
        <w:rPr>
          <w:rStyle w:val="StyleUnderline"/>
        </w:rPr>
        <w:t>to the air due to the use of grid electricity.</w:t>
      </w:r>
    </w:p>
    <w:p w:rsidR="00D507CB" w:rsidRPr="00A813C6" w:rsidRDefault="00D507CB" w:rsidP="00D507CB">
      <w:pPr>
        <w:rPr>
          <w:rStyle w:val="StyleUnderline"/>
        </w:rPr>
      </w:pPr>
      <w:r>
        <w:t>Third, because SDA</w:t>
      </w:r>
      <w:r w:rsidRPr="00A813C6">
        <w:rPr>
          <w:rStyle w:val="StyleUnderline"/>
        </w:rPr>
        <w:t>CCS</w:t>
      </w:r>
      <w:r>
        <w:t xml:space="preserve">/U </w:t>
      </w:r>
      <w:r w:rsidRPr="00A813C6">
        <w:rPr>
          <w:rStyle w:val="StyleUnderline"/>
        </w:rPr>
        <w:t>increases or prevents the reduction of grid electricity use, it extends the life of fossil</w:t>
      </w:r>
    </w:p>
    <w:p w:rsidR="00D507CB" w:rsidRPr="00A813C6" w:rsidRDefault="00D507CB" w:rsidP="00D507CB">
      <w:pPr>
        <w:rPr>
          <w:rStyle w:val="StyleUnderline"/>
        </w:rPr>
      </w:pPr>
      <w:r w:rsidRPr="00A813C6">
        <w:rPr>
          <w:rStyle w:val="StyleUnderline"/>
        </w:rPr>
        <w:t>fuel and nuclear power plants and the upstream mining, transport, and processing of fossil fuels and the resulting</w:t>
      </w:r>
    </w:p>
    <w:p w:rsidR="00D507CB" w:rsidRPr="00A813C6" w:rsidRDefault="00D507CB" w:rsidP="00D507CB">
      <w:pPr>
        <w:rPr>
          <w:rStyle w:val="StyleUnderline"/>
        </w:rPr>
      </w:pPr>
      <w:r w:rsidRPr="00A813C6">
        <w:rPr>
          <w:rStyle w:val="StyleUnderline"/>
        </w:rPr>
        <w:t>emissions associated with them. It similarly increases the energy insecurity and environmental and health</w:t>
      </w:r>
    </w:p>
    <w:p w:rsidR="00D507CB" w:rsidRPr="00A813C6" w:rsidRDefault="00D507CB" w:rsidP="00D507CB">
      <w:pPr>
        <w:rPr>
          <w:rStyle w:val="StyleUnderline"/>
        </w:rPr>
      </w:pPr>
      <w:r w:rsidRPr="00A813C6">
        <w:rPr>
          <w:rStyle w:val="StyleUnderline"/>
        </w:rPr>
        <w:t>consequences of the fossil fuel and nuclear infrastructures, including the yearly increase in land degradation due to</w:t>
      </w:r>
    </w:p>
    <w:p w:rsidR="00D507CB" w:rsidRPr="00A813C6" w:rsidRDefault="00D507CB" w:rsidP="00D507CB">
      <w:pPr>
        <w:rPr>
          <w:rStyle w:val="StyleUnderline"/>
        </w:rPr>
      </w:pPr>
      <w:r w:rsidRPr="00A813C6">
        <w:rPr>
          <w:rStyle w:val="StyleUnderline"/>
        </w:rPr>
        <w:t>these industries.</w:t>
      </w:r>
    </w:p>
    <w:p w:rsidR="00D507CB" w:rsidRDefault="00D507CB" w:rsidP="00D507CB">
      <w:r>
        <w:t>Fourth, the higher cost of SDACCS/U relative to WWS electric power technologies ensures that a fixed amount of</w:t>
      </w:r>
    </w:p>
    <w:p w:rsidR="00D507CB" w:rsidRDefault="00D507CB" w:rsidP="00D507CB">
      <w:r>
        <w:lastRenderedPageBreak/>
        <w:t>capital spent on SDACCS/U increases CO2 and air pollution more than if the same money were spent on WWS</w:t>
      </w:r>
    </w:p>
    <w:p w:rsidR="00D507CB" w:rsidRDefault="00D507CB" w:rsidP="00D507CB">
      <w:r>
        <w:t>technologies.</w:t>
      </w:r>
    </w:p>
    <w:p w:rsidR="00D507CB" w:rsidRDefault="00D507CB" w:rsidP="00D507CB">
      <w:r>
        <w:t>Even if the cost per unit mass of CO2 removed by SDACCS/U were the same as or lower than that of WWS,</w:t>
      </w:r>
    </w:p>
    <w:p w:rsidR="00D507CB" w:rsidRDefault="00D507CB" w:rsidP="00D507CB">
      <w:r>
        <w:t>SDACCS/U would still increase CO2 and air pollution relative to WWS because of (a) the need for SDACCS/U to</w:t>
      </w:r>
    </w:p>
    <w:p w:rsidR="00D507CB" w:rsidRDefault="00D507CB" w:rsidP="00D507CB">
      <w:r>
        <w:t>use electricity and (b) the fact that SDACCS/U does not reduce any air pollutants, whereas all WWS technologies</w:t>
      </w:r>
    </w:p>
    <w:p w:rsidR="00D507CB" w:rsidRPr="00A813C6" w:rsidRDefault="00D507CB" w:rsidP="00D507CB">
      <w:pPr>
        <w:rPr>
          <w:rStyle w:val="StyleUnderline"/>
        </w:rPr>
      </w:pPr>
      <w:r>
        <w:t xml:space="preserve">do. </w:t>
      </w:r>
      <w:r w:rsidRPr="00A813C6">
        <w:rPr>
          <w:rStyle w:val="StyleUnderline"/>
        </w:rPr>
        <w:t>Because</w:t>
      </w:r>
      <w:r>
        <w:t xml:space="preserve"> SDA</w:t>
      </w:r>
      <w:r w:rsidRPr="00A813C6">
        <w:rPr>
          <w:rStyle w:val="StyleUnderline"/>
        </w:rPr>
        <w:t>CCS</w:t>
      </w:r>
      <w:r>
        <w:t xml:space="preserve">/U </w:t>
      </w:r>
      <w:r w:rsidRPr="00A813C6">
        <w:rPr>
          <w:rStyle w:val="StyleUnderline"/>
        </w:rPr>
        <w:t>needs electricity, it either increases CO2 from the background grid directly or increases it</w:t>
      </w:r>
    </w:p>
    <w:p w:rsidR="00D507CB" w:rsidRDefault="00D507CB" w:rsidP="00D507CB">
      <w:r w:rsidRPr="00A813C6">
        <w:rPr>
          <w:rStyle w:val="StyleUnderline"/>
        </w:rPr>
        <w:t>indirectly by requiring a dedicated</w:t>
      </w:r>
      <w:r>
        <w:t xml:space="preserve"> WWS or </w:t>
      </w:r>
      <w:r w:rsidRPr="00A813C6">
        <w:rPr>
          <w:rStyle w:val="StyleUnderline"/>
        </w:rPr>
        <w:t>fossil fuel source to provide that electricity</w:t>
      </w:r>
      <w:r>
        <w:t>, preventing that WWS</w:t>
      </w:r>
    </w:p>
    <w:p w:rsidR="00D507CB" w:rsidRDefault="00D507CB" w:rsidP="00D507CB">
      <w:r>
        <w:t>electricity from displacing coal. Either way, SDACCS/U results in more CO2 than WWS.</w:t>
      </w:r>
    </w:p>
    <w:p w:rsidR="00D507CB" w:rsidRPr="00A813C6" w:rsidRDefault="00D507CB" w:rsidP="00D507CB">
      <w:r>
        <w:t xml:space="preserve">In terms of cost, one final factor is social cost, discussed in more detail in Chapter 7. </w:t>
      </w:r>
      <w:r w:rsidRPr="00A813C6">
        <w:t>The social cost of air</w:t>
      </w:r>
    </w:p>
    <w:p w:rsidR="00D507CB" w:rsidRPr="00A813C6" w:rsidRDefault="00D507CB" w:rsidP="00D507CB">
      <w:r w:rsidRPr="00A813C6">
        <w:t>pollution is the health-related cost of air pollution to society. For example, air pollution increases death and</w:t>
      </w:r>
    </w:p>
    <w:p w:rsidR="00D507CB" w:rsidRPr="00A813C6" w:rsidRDefault="00D507CB" w:rsidP="00D507CB">
      <w:r w:rsidRPr="00A813C6">
        <w:t>illness, both of which increase hospitalization stays, emergency room visits, lost work days, lost school days,</w:t>
      </w:r>
    </w:p>
    <w:p w:rsidR="00D507CB" w:rsidRDefault="00D507CB" w:rsidP="00D507CB">
      <w:r w:rsidRPr="00A813C6">
        <w:t>insurance rates, taxes, workman’s compensation rates, and loss of companionship, among other costs</w:t>
      </w:r>
      <w:r>
        <w:t>. A</w:t>
      </w:r>
    </w:p>
    <w:p w:rsidR="00D507CB" w:rsidRDefault="00D507CB" w:rsidP="00D507CB">
      <w:r>
        <w:t>worldwide mean health cost of fossil-fuel energy among all energy sectors is about $180 per MWh of energy</w:t>
      </w:r>
    </w:p>
    <w:p w:rsidR="00D507CB" w:rsidRDefault="00D507CB" w:rsidP="00D507CB">
      <w:r>
        <w:t>produced but varying by country (Table 7.11). The cost of a new wind turbine is about $43 (29 to 56) per MWh of</w:t>
      </w:r>
    </w:p>
    <w:p w:rsidR="00D507CB" w:rsidRDefault="00D507CB" w:rsidP="00D507CB">
      <w:r>
        <w:t>electricity produced (Lazard, 2018). This is less than the health cost that the wind turbine eliminates (a mean of</w:t>
      </w:r>
    </w:p>
    <w:p w:rsidR="00D507CB" w:rsidRDefault="00D507CB" w:rsidP="00D507CB">
      <w:r>
        <w:t>$180 per MWh worldwide). Thus, a new wind turbine displacing a fossil fuel power plant immediately reduces</w:t>
      </w:r>
    </w:p>
    <w:p w:rsidR="00D507CB" w:rsidRDefault="00D507CB" w:rsidP="00D507CB">
      <w:r>
        <w:t>society’s direct energy cost plus health cost. In other words, every wind turbine installed avoids a high cost to</w:t>
      </w:r>
    </w:p>
    <w:p w:rsidR="00D507CB" w:rsidRPr="00A813C6" w:rsidRDefault="00D507CB" w:rsidP="00D507CB">
      <w:pPr>
        <w:rPr>
          <w:rStyle w:val="StyleUnderline"/>
        </w:rPr>
      </w:pPr>
      <w:r>
        <w:t>society. On the other hand, SDA</w:t>
      </w:r>
      <w:r w:rsidRPr="00A813C6">
        <w:rPr>
          <w:rStyle w:val="StyleUnderline"/>
        </w:rPr>
        <w:t>CCS</w:t>
      </w:r>
      <w:r>
        <w:t xml:space="preserve">/U </w:t>
      </w:r>
      <w:r w:rsidRPr="00A813C6">
        <w:rPr>
          <w:rStyle w:val="StyleUnderline"/>
        </w:rPr>
        <w:t>does not reduce any air pollution.</w:t>
      </w:r>
      <w:r>
        <w:t xml:space="preserve"> SDACCS/U </w:t>
      </w:r>
      <w:r w:rsidRPr="00A813C6">
        <w:rPr>
          <w:rStyle w:val="StyleUnderline"/>
        </w:rPr>
        <w:t>allows air pollution and its</w:t>
      </w:r>
    </w:p>
    <w:p w:rsidR="00D507CB" w:rsidRPr="00A813C6" w:rsidRDefault="00D507CB" w:rsidP="00D507CB">
      <w:pPr>
        <w:rPr>
          <w:rStyle w:val="StyleUnderline"/>
        </w:rPr>
      </w:pPr>
      <w:r w:rsidRPr="00A813C6">
        <w:rPr>
          <w:rStyle w:val="StyleUnderline"/>
        </w:rPr>
        <w:t>costs to persist.</w:t>
      </w:r>
      <w:r>
        <w:t xml:space="preserve"> So, </w:t>
      </w:r>
      <w:r w:rsidRPr="00A813C6">
        <w:rPr>
          <w:rStyle w:val="StyleUnderline"/>
        </w:rPr>
        <w:t>a wind turbine resplacing a fossil plant will always provide much more benefit than the</w:t>
      </w:r>
    </w:p>
    <w:p w:rsidR="00D507CB" w:rsidRPr="00A813C6" w:rsidRDefault="00D507CB" w:rsidP="00D507CB">
      <w:pPr>
        <w:rPr>
          <w:rStyle w:val="StyleUnderline"/>
        </w:rPr>
      </w:pPr>
      <w:r w:rsidRPr="00A813C6">
        <w:rPr>
          <w:rStyle w:val="StyleUnderline"/>
        </w:rPr>
        <w:lastRenderedPageBreak/>
        <w:t>same money spent on</w:t>
      </w:r>
      <w:r>
        <w:t xml:space="preserve"> SDA</w:t>
      </w:r>
      <w:r w:rsidRPr="00A813C6">
        <w:rPr>
          <w:rStyle w:val="StyleUnderline"/>
        </w:rPr>
        <w:t>CCS</w:t>
      </w:r>
      <w:r>
        <w:t xml:space="preserve">/U </w:t>
      </w:r>
      <w:r w:rsidRPr="00A813C6">
        <w:rPr>
          <w:rStyle w:val="StyleUnderline"/>
        </w:rPr>
        <w:t xml:space="preserve">equipment. </w:t>
      </w:r>
    </w:p>
    <w:p w:rsidR="00D507CB" w:rsidRDefault="00D507CB" w:rsidP="00D507CB">
      <w:pPr>
        <w:pStyle w:val="Heading4"/>
      </w:pPr>
      <w:r>
        <w:t>No investment- the Trump EPA ended support for CCS</w:t>
      </w:r>
    </w:p>
    <w:p w:rsidR="00D507CB" w:rsidRDefault="00D507CB" w:rsidP="00D507CB">
      <w:r w:rsidRPr="008E1632">
        <w:rPr>
          <w:rStyle w:val="Style13ptBold"/>
        </w:rPr>
        <w:t xml:space="preserve">Siegel </w:t>
      </w:r>
      <w:r>
        <w:rPr>
          <w:rStyle w:val="Style13ptBold"/>
        </w:rPr>
        <w:t>6/22</w:t>
      </w:r>
      <w:r>
        <w:t xml:space="preserve"> Josh Siegel, 6-22-2019, "Trump EPA snubs carbon capture, an emissions reduction technique favored by environmentalists and Republicans", Washington Examiner, https://www.washingtonexaminer.com/policy/energy/trump-epa-snubs-carbon-capture-an-emissions-reduction-technique-favored-by-environmentalists-and-republicans SL</w:t>
      </w:r>
    </w:p>
    <w:p w:rsidR="00D507CB" w:rsidRDefault="00D507CB" w:rsidP="00D507CB">
      <w:r w:rsidRPr="008E1632">
        <w:rPr>
          <w:rStyle w:val="StyleUnderline"/>
        </w:rPr>
        <w:t>The Trump Environmental Protection Agency is dismissing a technology</w:t>
      </w:r>
      <w:r>
        <w:t xml:space="preserve"> that is favored by many Republicans and is widely considered to be among the most effective at slashing emissions from coal plants.</w:t>
      </w:r>
    </w:p>
    <w:p w:rsidR="00D507CB" w:rsidRDefault="00D507CB" w:rsidP="00D507CB">
      <w:r w:rsidRPr="008E1632">
        <w:rPr>
          <w:rStyle w:val="StyleUnderline"/>
        </w:rPr>
        <w:t>EPA’s Affordable Clean Energy, or ACE, rule, finalized last week to replace President Barack Obama's signature climate change rule, the Clean Power Plan, does not include carbon capture and storage, also known as CCS</w:t>
      </w:r>
      <w:r>
        <w:t>, in a list of six technologies that utilities can consider to reduce carbon emissions and make their plants more efficient by burning less coal to produce the same amount of electricity.</w:t>
      </w:r>
    </w:p>
    <w:p w:rsidR="00D507CB" w:rsidRPr="008E1632" w:rsidRDefault="00D507CB" w:rsidP="00D507CB">
      <w:pPr>
        <w:rPr>
          <w:rStyle w:val="StyleUnderline"/>
        </w:rPr>
      </w:pPr>
      <w:r w:rsidRPr="008E1632">
        <w:rPr>
          <w:rStyle w:val="StyleUnderline"/>
        </w:rPr>
        <w:t>The snub of carbon capture, critics say, shows the agency is not serious about combating climate change.</w:t>
      </w:r>
    </w:p>
    <w:p w:rsidR="00D507CB" w:rsidRDefault="00D507CB" w:rsidP="00D507CB">
      <w:r w:rsidRPr="008E1632">
        <w:rPr>
          <w:rStyle w:val="StyleUnderline"/>
        </w:rPr>
        <w:t xml:space="preserve">"Based on the rejection of CCS, it's hard to conclude the EPA leadership takes the job of regulating carbon pollution seriously,” </w:t>
      </w:r>
      <w:r>
        <w:t>said Julio Friedmann, a researcher who studies carbon capture at the Center for Global Energy Policy at Columbia University. Friedmann was formerly principal deputy assistant of the Energy Department’s Office of Fossil Energy in the Obama administration.</w:t>
      </w:r>
    </w:p>
    <w:p w:rsidR="00D507CB" w:rsidRDefault="00D507CB" w:rsidP="00D507CB">
      <w:r>
        <w:t>Carbon capture technology removes carbon dioxide from a power plant's exhaust, so as to not release it into the atmosphere, and traps the emissions underground.</w:t>
      </w:r>
    </w:p>
    <w:p w:rsidR="00D507CB" w:rsidRPr="008E1632" w:rsidRDefault="00D507CB" w:rsidP="00D507CB">
      <w:pPr>
        <w:rPr>
          <w:rStyle w:val="StyleUnderline"/>
        </w:rPr>
      </w:pPr>
      <w:r w:rsidRPr="008E1632">
        <w:rPr>
          <w:rStyle w:val="StyleUnderline"/>
        </w:rPr>
        <w:t>The EPA argues carbon capture has not been “adequately demonstrated”</w:t>
      </w:r>
      <w:r>
        <w:t xml:space="preserve"> on a commercial scale </w:t>
      </w:r>
      <w:r w:rsidRPr="008E1632">
        <w:rPr>
          <w:rStyle w:val="StyleUnderline"/>
        </w:rPr>
        <w:t>and is too expensive.</w:t>
      </w:r>
    </w:p>
    <w:p w:rsidR="00D507CB" w:rsidRDefault="00D507CB" w:rsidP="00D507CB">
      <w:r>
        <w:t>“Our view of the law is that when states develop emissions limits, it cannot be based on carbon capture,” an EPA senior official told reporters on a press call this week.</w:t>
      </w:r>
    </w:p>
    <w:p w:rsidR="00D507CB" w:rsidRPr="008E1632" w:rsidRDefault="00D507CB" w:rsidP="00D507CB">
      <w:pPr>
        <w:rPr>
          <w:rStyle w:val="StyleUnderline"/>
        </w:rPr>
      </w:pPr>
      <w:r>
        <w:t xml:space="preserve">To be sure, </w:t>
      </w:r>
      <w:r w:rsidRPr="008E1632">
        <w:rPr>
          <w:rStyle w:val="StyleUnderline"/>
        </w:rPr>
        <w:t>carbon capture is not considered very energy efficient. It requires a chunk of the energy produced by the power plant to run the capture and storage process. So to include carbon capture as part of a rule that aims to bolster coal plant efficiency doesn't make sense.</w:t>
      </w:r>
    </w:p>
    <w:p w:rsidR="00D507CB" w:rsidRDefault="00D507CB" w:rsidP="00D507CB">
      <w:pPr>
        <w:pStyle w:val="Heading4"/>
      </w:pPr>
      <w:r>
        <w:t>CCS can’t solve warming- earthquakes leak stored CO2</w:t>
      </w:r>
    </w:p>
    <w:p w:rsidR="00D507CB" w:rsidRDefault="00D507CB" w:rsidP="00D507CB">
      <w:r w:rsidRPr="00D02531">
        <w:rPr>
          <w:rStyle w:val="Style13ptBold"/>
        </w:rPr>
        <w:t>Mcclure 12</w:t>
      </w:r>
      <w:r>
        <w:t xml:space="preserve"> Max Mcclure, 6-19-2012, cites Stanford researchers, "Carbon capture and storage likely to cause earthquakes, say Stanford researchers", Stanford University, https://news.stanford.edu/news/2012/june/carbon-capture-earthquakes-061912.html SL</w:t>
      </w:r>
    </w:p>
    <w:p w:rsidR="00D507CB" w:rsidRPr="00EE4718" w:rsidRDefault="00D507CB" w:rsidP="00D507CB">
      <w:pPr>
        <w:rPr>
          <w:rStyle w:val="StyleUnderline"/>
        </w:rPr>
      </w:pPr>
      <w:r>
        <w:t xml:space="preserve">But </w:t>
      </w:r>
      <w:r w:rsidRPr="00EE4718">
        <w:rPr>
          <w:rStyle w:val="StyleUnderline"/>
        </w:rPr>
        <w:t>to significantly reduce emissions, CCS would need to operate on a massive scale, potentially sequestering upwards of 3.5 billion metric tons of CO2 each year. A new technical hurdle may mean CCS won't be able to get anywhere near that volume.</w:t>
      </w:r>
    </w:p>
    <w:p w:rsidR="00D507CB" w:rsidRPr="00EE4718" w:rsidRDefault="00D507CB" w:rsidP="00D507CB">
      <w:pPr>
        <w:rPr>
          <w:rStyle w:val="StyleUnderline"/>
        </w:rPr>
      </w:pPr>
      <w:r>
        <w:t xml:space="preserve">In a paper appearing in the journal PNAS, Stanford geophysics Professor Mark Zoback and environmental Earth science Professor Steven Gorelick argue that, in many areas, </w:t>
      </w:r>
      <w:r w:rsidRPr="00EE4718">
        <w:rPr>
          <w:rStyle w:val="StyleUnderline"/>
        </w:rPr>
        <w:t xml:space="preserve">carbon sequestration </w:t>
      </w:r>
      <w:r w:rsidRPr="00EE4718">
        <w:rPr>
          <w:rStyle w:val="StyleUnderline"/>
        </w:rPr>
        <w:lastRenderedPageBreak/>
        <w:t>is likely to create pressure build-up large enough to break the reservoirs' seals, releasing the stored CO2.</w:t>
      </w:r>
    </w:p>
    <w:p w:rsidR="00D507CB" w:rsidRPr="00EE4718" w:rsidRDefault="00D507CB" w:rsidP="00D507CB">
      <w:pPr>
        <w:rPr>
          <w:rStyle w:val="StyleUnderline"/>
        </w:rPr>
      </w:pPr>
      <w:r w:rsidRPr="00EE4718">
        <w:rPr>
          <w:rStyle w:val="StyleUnderline"/>
        </w:rPr>
        <w:t>"Almost all of our current climate mitigation models assume CCS is going to be one of the primary tools we use," said Zoback. "What we're saying is, not so fast."</w:t>
      </w:r>
    </w:p>
    <w:p w:rsidR="00D507CB" w:rsidRPr="00EE4718" w:rsidRDefault="00D507CB" w:rsidP="00D507CB">
      <w:pPr>
        <w:rPr>
          <w:rStyle w:val="StyleUnderline"/>
        </w:rPr>
      </w:pPr>
      <w:r w:rsidRPr="00EE4718">
        <w:rPr>
          <w:rStyle w:val="StyleUnderline"/>
        </w:rPr>
        <w:t>Induced seismicity</w:t>
      </w:r>
    </w:p>
    <w:p w:rsidR="00D507CB" w:rsidRDefault="00D507CB" w:rsidP="00D507CB">
      <w:r>
        <w:t xml:space="preserve">Intraplate earthquakes – </w:t>
      </w:r>
      <w:r w:rsidRPr="00EE4718">
        <w:rPr>
          <w:rStyle w:val="StyleUnderline"/>
        </w:rPr>
        <w:t>earthquakes</w:t>
      </w:r>
      <w:r>
        <w:t xml:space="preserve"> that occur far from the boundaries between tectonic plates – </w:t>
      </w:r>
      <w:r w:rsidRPr="00EE4718">
        <w:rPr>
          <w:rStyle w:val="StyleUnderline"/>
        </w:rPr>
        <w:t>can occur nearly anywhere in continental interiors</w:t>
      </w:r>
      <w:r>
        <w:t xml:space="preserve">, due to what the researchers describe as "the critically stressed nature of the Earth's crust." </w:t>
      </w:r>
      <w:r w:rsidRPr="00EE4718">
        <w:rPr>
          <w:rStyle w:val="StyleUnderline"/>
        </w:rPr>
        <w:t>Small pressure build-ups near potential faults reduce friction, increasing the likelihood of a fault slip.</w:t>
      </w:r>
    </w:p>
    <w:p w:rsidR="00D507CB" w:rsidRDefault="00D507CB" w:rsidP="00D507CB">
      <w:r>
        <w:t>It's been known for a half-century that human activities can increase pressure to the point of inducing small temblors. In the 1960s, the injection of wastewater into a well near Denver triggered a series of small earthquakes. Last year, similar quakes were induced in Arkansas, Ohio and on the border of Colorado and New Mexico.</w:t>
      </w:r>
    </w:p>
    <w:p w:rsidR="00D507CB" w:rsidRPr="00EE4718" w:rsidRDefault="00D507CB" w:rsidP="00D507CB">
      <w:pPr>
        <w:rPr>
          <w:rStyle w:val="StyleUnderline"/>
        </w:rPr>
      </w:pPr>
      <w:r>
        <w:t xml:space="preserve">Reviewing field stress measurements and laboratory studies of shear displacements, Zoback and Gorelick say </w:t>
      </w:r>
      <w:r w:rsidRPr="00EE4718">
        <w:rPr>
          <w:rStyle w:val="StyleUnderline"/>
        </w:rPr>
        <w:t>injection of massive quantities of CO2 would be likely to produce the same result.</w:t>
      </w:r>
    </w:p>
    <w:p w:rsidR="00D507CB" w:rsidRDefault="00D507CB" w:rsidP="00D507CB">
      <w:r>
        <w:t>Zoback has previously described wastewater-induced quakes as manageable, low-risk events. Carbon injection is unlikely to trigger large, destructive earthquakes, the professors argue, but "the implications are different if you're trying to store carbon for thousands of years." Zoback said.</w:t>
      </w:r>
    </w:p>
    <w:p w:rsidR="00D507CB" w:rsidRPr="00EE4718" w:rsidRDefault="00D507CB" w:rsidP="00D507CB">
      <w:pPr>
        <w:rPr>
          <w:rStyle w:val="StyleUnderline"/>
        </w:rPr>
      </w:pPr>
      <w:r>
        <w:t xml:space="preserve">Zoback and Gorelick state that </w:t>
      </w:r>
      <w:r w:rsidRPr="00EE4718">
        <w:rPr>
          <w:rStyle w:val="StyleUnderline"/>
        </w:rPr>
        <w:t xml:space="preserve">even a fault slip of a few centimeters could allow stored CO2 to reach the surface </w:t>
      </w:r>
      <w:r>
        <w:t xml:space="preserve">– a serious concern, since the researchers argue that </w:t>
      </w:r>
      <w:r w:rsidRPr="00EE4718">
        <w:rPr>
          <w:rStyle w:val="StyleUnderline"/>
        </w:rPr>
        <w:t>carbon repositories need a leak rate of less than 1 percent every thousand years to be effective.</w:t>
      </w:r>
    </w:p>
    <w:p w:rsidR="00D507CB" w:rsidRDefault="00D507CB" w:rsidP="00D507CB">
      <w:r>
        <w:t>"The bar is much higher in this case," Zoback said.</w:t>
      </w:r>
    </w:p>
    <w:p w:rsidR="00D507CB" w:rsidRDefault="00D507CB" w:rsidP="00D507CB">
      <w:r>
        <w:t>Where to put it</w:t>
      </w:r>
    </w:p>
    <w:p w:rsidR="00D507CB" w:rsidRDefault="00D507CB" w:rsidP="00D507CB">
      <w:r>
        <w:t>The areas where CCS is already practiced successfully follow a very specific geologic profile. Ideally, the reservoirs themselves are formed from porous, weakly cemented materials that slow pressure build-up, but are isolated from the surface by an impermeable rock layer.</w:t>
      </w:r>
    </w:p>
    <w:p w:rsidR="00D507CB" w:rsidRDefault="00D507CB" w:rsidP="00D507CB">
      <w:r>
        <w:t>The North Sea's Sleipner gas field, for example, makes use of the Utsira formation – a porous sandstone structure under impermeable shale.</w:t>
      </w:r>
    </w:p>
    <w:p w:rsidR="00D507CB" w:rsidRPr="00EE4718" w:rsidRDefault="00D507CB" w:rsidP="00D507CB">
      <w:pPr>
        <w:rPr>
          <w:rStyle w:val="StyleUnderline"/>
        </w:rPr>
      </w:pPr>
      <w:r w:rsidRPr="00EE4718">
        <w:rPr>
          <w:rStyle w:val="StyleUnderline"/>
        </w:rPr>
        <w:t>It's an open question as to whether there are enough low-risk geologic formations to engage in CCS at the necessary level.</w:t>
      </w:r>
    </w:p>
    <w:p w:rsidR="00D507CB" w:rsidRDefault="00D507CB" w:rsidP="00D507CB">
      <w:r>
        <w:t>The authors say that approximately 3,500 Utsiras would be necessary to contribute significantly to reductions. But some scientists say fewer would suffice.</w:t>
      </w:r>
    </w:p>
    <w:p w:rsidR="00D507CB" w:rsidRDefault="00D507CB" w:rsidP="00D507CB">
      <w:r>
        <w:t>"Of course, you need to pick sites carefully," said Sally Benson, Stanford professor of energy resources engineering and director of Stanford's Global Climate and Energy Project. "But finding these kinds of locations does not seem infeasible."</w:t>
      </w:r>
    </w:p>
    <w:p w:rsidR="00D507CB" w:rsidRDefault="00D507CB" w:rsidP="00D507CB">
      <w:r>
        <w:lastRenderedPageBreak/>
        <w:t>She argues that only 600 such sites would be necessary, and that existing formations in Texas and the Gulf Coast, the Middle East, the North Sea and Western Australia provide promising sequestration reservoirs. Pressure build-up in other areas can also be managed, she says, by controlling injection rates and well design.</w:t>
      </w:r>
    </w:p>
    <w:p w:rsidR="00D507CB" w:rsidRDefault="00D507CB" w:rsidP="00D507CB">
      <w:r>
        <w:t>Zoback says there will continue to be a use for CCS at a small scale, in regions that are near both CO2-producing plants and ideal geologic formations.</w:t>
      </w:r>
    </w:p>
    <w:p w:rsidR="00D507CB" w:rsidRDefault="00D507CB" w:rsidP="00D507CB">
      <w:r w:rsidRPr="00EE4718">
        <w:rPr>
          <w:rStyle w:val="StyleUnderline"/>
        </w:rPr>
        <w:t>"But for the U.S. and the world to be considering CCS one of the potential solutions to the greenhouse gas problem – it's a very high risk endeavor,"</w:t>
      </w:r>
      <w:r>
        <w:t xml:space="preserve"> he said. </w:t>
      </w:r>
      <w:r w:rsidRPr="00EE4718">
        <w:rPr>
          <w:rStyle w:val="StyleUnderline"/>
        </w:rPr>
        <w:t>"We need options that are practical, don't cost literally trillions of dollars and aren't vulnerable to moderate size earthquakes."</w:t>
      </w:r>
    </w:p>
    <w:p w:rsidR="00D507CB" w:rsidRDefault="00D507CB" w:rsidP="00D507CB"/>
    <w:p w:rsidR="00D507CB" w:rsidRDefault="00D507CB" w:rsidP="00D507CB">
      <w:pPr>
        <w:pStyle w:val="Heading4"/>
      </w:pPr>
      <w:r>
        <w:t>CCS fails- earthquakes undermine CCS efforts</w:t>
      </w:r>
    </w:p>
    <w:p w:rsidR="00D507CB" w:rsidRDefault="00D507CB" w:rsidP="00D507CB">
      <w:r w:rsidRPr="00EE4718">
        <w:rPr>
          <w:rStyle w:val="Style13ptBold"/>
        </w:rPr>
        <w:t>Hecht 12</w:t>
      </w:r>
      <w:r>
        <w:t xml:space="preserve"> Jeff Hecht, 6-20-2012, "Earthquake risk for carbon capture and storage schemes", New Scientist, https://www.newscientist.com/article/dn21954-earthquake-risk-for-carbon-capture-and-storage-schemes/ SL</w:t>
      </w:r>
    </w:p>
    <w:p w:rsidR="00D507CB" w:rsidRDefault="00D507CB" w:rsidP="00D507CB">
      <w:r>
        <w:t xml:space="preserve">Move over fracking: carbon capture and storage schemes (CCS) are more likely to trigger earthquakes, warns the US National Research Council (NRC). Meanwhile, </w:t>
      </w:r>
      <w:r w:rsidRPr="00EE4718">
        <w:rPr>
          <w:rStyle w:val="StyleUnderline"/>
        </w:rPr>
        <w:t>a</w:t>
      </w:r>
      <w:r>
        <w:t xml:space="preserve"> separate </w:t>
      </w:r>
      <w:r w:rsidRPr="00EE4718">
        <w:rPr>
          <w:rStyle w:val="StyleUnderline"/>
        </w:rPr>
        <w:t>study warns that quake-fractured rocks could undermine CCS efforts by allowing the trapped gas to leak back into the atmosphere.</w:t>
      </w:r>
    </w:p>
    <w:p w:rsidR="00D507CB" w:rsidRDefault="00D507CB" w:rsidP="00D507CB">
      <w:r>
        <w:t>Carbon sequestration involves pumping CO2 at high pressure below ground and trapping it in porous rocks at depths of 1 to 4 kilometres. Similar deep injection wells are used to dispose of waste water, but despite the large number of such wells, “very few [seismic] events have been documented over the past several decades”, writes an NRC panel in a new report, Induced Seismicity Potential in Energy Technologies.</w:t>
      </w:r>
    </w:p>
    <w:p w:rsidR="00D507CB" w:rsidRDefault="00D507CB" w:rsidP="00D507CB">
      <w:r>
        <w:t xml:space="preserve">However, </w:t>
      </w:r>
      <w:r w:rsidRPr="00EE4718">
        <w:rPr>
          <w:rStyle w:val="StyleUnderline"/>
        </w:rPr>
        <w:t>carbon capture and storage could see billions of cubic metres of fluid injected below ground – potentially enough to trigger more and larger quakes</w:t>
      </w:r>
      <w:r>
        <w:t>, the report concludes.</w:t>
      </w:r>
    </w:p>
    <w:p w:rsidR="00D507CB" w:rsidRDefault="00D507CB" w:rsidP="00D507CB">
      <w:r w:rsidRPr="00EE4718">
        <w:rPr>
          <w:rStyle w:val="StyleUnderline"/>
        </w:rPr>
        <w:t>Even if those quakes do not damage property or put lives at risk, they could undermine carbon capture schemes</w:t>
      </w:r>
      <w:r>
        <w:t>, says Mark Zoback, a geophysicist at Stanford University in California. “</w:t>
      </w:r>
      <w:r w:rsidRPr="00EE4718">
        <w:rPr>
          <w:rStyle w:val="StyleUnderline"/>
        </w:rPr>
        <w:t>If you trigger an earthquake, you are threatening the seal of the repository,” he says. “CO2 is buoyant and it wants to rise and get out.”</w:t>
      </w:r>
    </w:p>
    <w:p w:rsidR="00D507CB" w:rsidRDefault="00D507CB" w:rsidP="00D507CB">
      <w:r w:rsidRPr="00EE4718">
        <w:rPr>
          <w:rStyle w:val="StyleUnderline"/>
        </w:rPr>
        <w:t>Although it is possible to find good sites to store CO2 where its added pressure would be unlikely to cause quakes or leaks, too few are available to handle the required volume</w:t>
      </w:r>
      <w:r>
        <w:t xml:space="preserve">, Zoback says. </w:t>
      </w:r>
      <w:r w:rsidRPr="00EE4718">
        <w:rPr>
          <w:rStyle w:val="StyleUnderline"/>
        </w:rPr>
        <w:t>Older sedimentary rocks in the central US, where most power plants are located, are brittle and so are more likely to fracture and leak. Large-scale carbon capture and storage “is a risky, and likely unsuccessful, strategy” for controlling greenhouse warming</w:t>
      </w:r>
      <w:r>
        <w:t>, Zoback says. He presented his concerns yesterday to the Senate Energy Committee.</w:t>
      </w:r>
    </w:p>
    <w:p w:rsidR="00D507CB" w:rsidRDefault="00D507CB" w:rsidP="00D507CB">
      <w:pPr>
        <w:pStyle w:val="Heading4"/>
      </w:pPr>
      <w:r>
        <w:lastRenderedPageBreak/>
        <w:t>CCS increases emissions</w:t>
      </w:r>
    </w:p>
    <w:p w:rsidR="00D507CB" w:rsidRPr="00B10644" w:rsidRDefault="00D507CB" w:rsidP="00D507CB">
      <w:r>
        <w:rPr>
          <w:rStyle w:val="Style13ptBold"/>
        </w:rPr>
        <w:t>EEA</w:t>
      </w:r>
      <w:r w:rsidRPr="00B10644">
        <w:rPr>
          <w:rStyle w:val="Style13ptBold"/>
        </w:rPr>
        <w:t xml:space="preserve"> 11</w:t>
      </w:r>
      <w:r>
        <w:t xml:space="preserve"> European Environmental Agency, 11-17-2011, "Carbon capture and storage could also impact air pollution", European Environment Agency, https://www.eea.europa.eu/highlights/carbon-capture-and-storage-could SL</w:t>
      </w:r>
    </w:p>
    <w:p w:rsidR="00D507CB" w:rsidRDefault="00D507CB" w:rsidP="00D507CB">
      <w:r>
        <w:t>What does CCS mean for air pollutants?</w:t>
      </w:r>
    </w:p>
    <w:p w:rsidR="00D507CB" w:rsidRPr="00B10644" w:rsidRDefault="00D507CB" w:rsidP="00D507CB">
      <w:pPr>
        <w:rPr>
          <w:rStyle w:val="StyleUnderline"/>
        </w:rPr>
      </w:pPr>
      <w:r w:rsidRPr="00B10644">
        <w:rPr>
          <w:rStyle w:val="StyleUnderline"/>
        </w:rPr>
        <w:t>CCS technologies require approximately 15 – 25 % more energy depending on the particular type of technology used, so plants with CCS need more fuel than conventional plants. This in turn can lead to increased 'direct emissions' occurring from facilities where CCS is installed, and increased 'indirect emissions' caused by the extraction and transport of the additional fuel.</w:t>
      </w:r>
    </w:p>
    <w:p w:rsidR="00D507CB" w:rsidRDefault="00D507CB" w:rsidP="00D507CB">
      <w:r>
        <w:t>The EEA report identifies some of the potential benefits and trade-offs for the main air pollutants. It also presents a life-cycle case study for 2050 considering three different scenarios, showing the potential impacts on emissions of air pollutants if CCS were widely implemented in Europe. Key findings include:</w:t>
      </w:r>
    </w:p>
    <w:p w:rsidR="00D507CB" w:rsidRDefault="00D507CB" w:rsidP="00D507CB">
      <w:r>
        <w:t>Sulphur dioxide (SO2) emissions from power plants are predicted to fall when carbon dioxide (CO2) is captured, as SO2 must also be removed after the fuel combustion stage for technical reasons. Although the extraction and transportation of additional coal will lead to higher SO2 emissions from these stages of the CCS life-cycle, SO2 emissions should decrease overall.</w:t>
      </w:r>
    </w:p>
    <w:p w:rsidR="00D507CB" w:rsidRDefault="00D507CB" w:rsidP="00D507CB">
      <w:r>
        <w:t>Particulate matter (PM) and nitrogen oxide (NOx) emissions are expected to increase in line with the amount of the additional fuel consumed if no additional measures to reduce emissions are installed.</w:t>
      </w:r>
    </w:p>
    <w:p w:rsidR="00D507CB" w:rsidRDefault="00D507CB" w:rsidP="00D507CB">
      <w:r w:rsidRPr="00B10644">
        <w:rPr>
          <w:rStyle w:val="StyleUnderline"/>
        </w:rPr>
        <w:t>Ammonia (NH3) is the only pollutant for which a significant increase in emissions is expected to occur, with emissions potentially increasing by a factor of 3 or more.</w:t>
      </w:r>
      <w:r>
        <w:t xml:space="preserve"> The foreseen increase is due to the degradation of the amine-based solvents used to capture the CO2. However, in absolute terms the increase is small compared to existing ammonia emissions in Europe, 94% of which comes from agriculture. Ammonia contributes to acidification and eutrophication of the environment and also can form harmful fine particulate matter when released in the atmosphere.  </w:t>
      </w:r>
    </w:p>
    <w:p w:rsidR="00D507CB" w:rsidRDefault="00D507CB" w:rsidP="00D507CB">
      <w:r>
        <w:t>Potential carbon dioxide (CO2) savings from CCS vary greatly across the three scenarios in the report. Emissions of CO2 in the EU would fall by around 60 % by 2050 if CCS were implemented at all coal-based power generation plants. Implementing CCS at all coal, gas and biomass plants would result in net negative emissions – in effect removing CO2 from the atmosphere. This assumes that all biomass is harvested sustainably without any net changes to the carbon stock.</w:t>
      </w:r>
    </w:p>
    <w:p w:rsidR="00D507CB" w:rsidRDefault="00D507CB" w:rsidP="00D507CB">
      <w:r>
        <w:t>The case study also shows clearly that the extraction and transport of additional coal can contribute significantly to the life-cycle emissions for coal-based CO2 capture technologies.  Overall, however, CCS is considered to be generally beneficial both in terms of climate change and air pollution. However, the potential increase in certain pollutants such as NH3, NOx and PM is important.</w:t>
      </w:r>
    </w:p>
    <w:p w:rsidR="00D507CB" w:rsidRPr="00D02531" w:rsidRDefault="00D507CB" w:rsidP="00D507CB">
      <w:pPr>
        <w:pStyle w:val="Heading4"/>
        <w:rPr>
          <w:rStyle w:val="Emphasis"/>
        </w:rPr>
      </w:pPr>
      <w:r>
        <w:t>CCS is not sustainable- more than twice as expensive as renewables</w:t>
      </w:r>
    </w:p>
    <w:p w:rsidR="00D507CB" w:rsidRDefault="00D507CB" w:rsidP="00D507CB">
      <w:r>
        <w:rPr>
          <w:rStyle w:val="Style13ptBold"/>
        </w:rPr>
        <w:t xml:space="preserve">Rissman and Orvis </w:t>
      </w:r>
      <w:r w:rsidRPr="00A77365">
        <w:rPr>
          <w:rStyle w:val="Style13ptBold"/>
        </w:rPr>
        <w:t>17</w:t>
      </w:r>
      <w:r>
        <w:t xml:space="preserve"> Jeffrey Rissman and Robbie Orvis, 05-03-2017, Energy Innovation's Head of Modeling &amp; Energy Policy Expert "Carbon Capture And Storage: An Expensive Option For Reducing U.S. CO2 Emissions", Forbes, https://www.forbes.com/sites/energyinnovation/2017/05/03/carbon-capture-and-storage-an-expensive-option-for-reducing-u-s-co2-emissions/ SL</w:t>
      </w:r>
    </w:p>
    <w:p w:rsidR="00D507CB" w:rsidRPr="00A77365" w:rsidRDefault="00D507CB" w:rsidP="00D507CB">
      <w:pPr>
        <w:rPr>
          <w:rStyle w:val="StyleUnderline"/>
        </w:rPr>
      </w:pPr>
      <w:r>
        <w:lastRenderedPageBreak/>
        <w:t xml:space="preserve">The largest problem facing CCS today is cost.  </w:t>
      </w:r>
      <w:r w:rsidRPr="00A77365">
        <w:rPr>
          <w:rStyle w:val="StyleUnderline"/>
        </w:rPr>
        <w:t>In addition to the costs of an ordinary coal-fired power plant (which in the U.S. is already quite high, about $92 per megawatt-hour [MWh]), a coal plant with CCS requires additional equipment, increasing upfront construction costs, and has additional operations and maintenance (O&amp;M) expenses. Since a considerable amount of energy is required to extract, pump, and compress CO2, a plant with CCS must also purchase and burn more fuel to produce the same amount of electricity as a plant without CCS. Additional costs come from building pipelines to transport the CO2, injecting it underground, and monitoring the injection site.</w:t>
      </w:r>
    </w:p>
    <w:p w:rsidR="00D507CB" w:rsidRDefault="00D507CB" w:rsidP="00D507CB">
      <w:r>
        <w:t>Comparing The Costs: Coal, CCS, Wind And Solar</w:t>
      </w:r>
    </w:p>
    <w:p w:rsidR="00D507CB" w:rsidRDefault="00D507CB" w:rsidP="00D507CB">
      <w:r>
        <w:t>We analyzed the cost of electricity for four types of power plants built in the U.S. in 2017: ultrasupercritical (modern) coal units, coal units that capture and store 90% of their CO2 emissions, onshore wind power, and utility-scale solar PV. We included capital, fuel, and O&amp;M costs; the efficiencies (heat rates) of the coal plants, the plants’ capacity factors (what portion of the year they may generate power), fuel prices, construction time, financing costs (including inflation and interest rates), and depreciation. In the case of coal with CCS, we included the costs of CO2 transportation (assuming a 500 kilometer pipeline) and injection, as well as long-term monitoring. Government subsidies are not included for any of the technologies. Our full data sources (primarily the U.S. EIA and National Renewable Energy Laboratory), assumptions, and calculations are available online to download.</w:t>
      </w:r>
    </w:p>
    <w:p w:rsidR="00D507CB" w:rsidRDefault="00D507CB" w:rsidP="00D507CB">
      <w:r>
        <w:rPr>
          <w:noProof/>
        </w:rPr>
        <w:drawing>
          <wp:inline distT="0" distB="0" distL="0" distR="0" wp14:anchorId="14C0B5F9" wp14:editId="4011CE26">
            <wp:extent cx="6543509" cy="1948057"/>
            <wp:effectExtent l="0" t="0" r="0" b="0"/>
            <wp:docPr id="1" name="Picture 1" descr="Levelized generation costs of coal, coal with CCS, onshore wind and solar PV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ized generation costs of coal, coal with CCS, onshore wind and solar PV pla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0290" cy="1959007"/>
                    </a:xfrm>
                    <a:prstGeom prst="rect">
                      <a:avLst/>
                    </a:prstGeom>
                    <a:noFill/>
                    <a:ln>
                      <a:noFill/>
                    </a:ln>
                  </pic:spPr>
                </pic:pic>
              </a:graphicData>
            </a:graphic>
          </wp:inline>
        </w:drawing>
      </w:r>
    </w:p>
    <w:p w:rsidR="00D507CB" w:rsidRPr="00A77365" w:rsidRDefault="00D507CB" w:rsidP="00D507CB">
      <w:pPr>
        <w:rPr>
          <w:rStyle w:val="StyleUnderline"/>
        </w:rPr>
      </w:pPr>
      <w:r w:rsidRPr="00A77365">
        <w:rPr>
          <w:rStyle w:val="StyleUnderline"/>
        </w:rPr>
        <w:t>Even without CCS, a new coal plant in the U.S. costs more than onshore wind and solar PV per unit of electricity it generates. Coal plants that capture and store 90% of their carbon emissions cost nearly two-thirds more than an equivalent coal plant without CCS to produce the same amount of electricity. A new solar PV or wind plant is between half and a third the price of a new coal unit with CCS and emits zero CO2. As a source of low-carbon power, CCS can’t compete on economics with wind and solar.</w:t>
      </w:r>
    </w:p>
    <w:p w:rsidR="00D507CB" w:rsidRDefault="00D507CB" w:rsidP="00D507CB">
      <w:r>
        <w:t>Will CCS Be Competitive In The Future?</w:t>
      </w:r>
    </w:p>
    <w:p w:rsidR="00D507CB" w:rsidRDefault="00D507CB" w:rsidP="00D507CB">
      <w:r>
        <w:t>CCS is a new technology, and costs tend to fall as new technologies are deployed and develop. Could CCS become cost-competitive with onshore wind and solar PV thanks to research progress?</w:t>
      </w:r>
    </w:p>
    <w:p w:rsidR="00D507CB" w:rsidRPr="00A77365" w:rsidRDefault="00D507CB" w:rsidP="00D507CB">
      <w:pPr>
        <w:rPr>
          <w:rStyle w:val="StyleUnderline"/>
        </w:rPr>
      </w:pPr>
      <w:r>
        <w:t xml:space="preserve">The answer is no – the laws of physics limit CCS’ improvement potential. Extra energy is required to extract, compress, and pump the CO2. </w:t>
      </w:r>
      <w:r w:rsidRPr="00A77365">
        <w:rPr>
          <w:rStyle w:val="StyleUnderline"/>
        </w:rPr>
        <w:t xml:space="preserve">No matter how efficient CCS equipment becomes, it can never eliminate the need for extra energy to do extra work. Similarly, no matter how cheap CCS equipment </w:t>
      </w:r>
      <w:r w:rsidRPr="00A77365">
        <w:rPr>
          <w:rStyle w:val="StyleUnderline"/>
        </w:rPr>
        <w:lastRenderedPageBreak/>
        <w:t>becomes, it will never be free. CCS plants will always be more expensive to operate than regular coal plants, which are themselves more expensive than wind and solar.</w:t>
      </w:r>
    </w:p>
    <w:p w:rsidR="00D507CB" w:rsidRDefault="00D507CB" w:rsidP="00D507CB">
      <w:r>
        <w:t xml:space="preserve">The price in the table above assumes that CCS plants will come in at forecasted costs, but CCS projects have so far been vastly over budget. For example, </w:t>
      </w:r>
      <w:r w:rsidRPr="00A77365">
        <w:rPr>
          <w:rStyle w:val="StyleUnderline"/>
        </w:rPr>
        <w:t>Southern Company’s Kemper plant was originally forecast to cost $2.2 billion, but it is still incomplete after three years of delays and now has an estimated price tag of $7.3 billion. The Illinois FutureGen project, despite receiving $200 million in subsidies, was ultimately scrapped due to cost and technology concerns.</w:t>
      </w:r>
    </w:p>
    <w:p w:rsidR="00D507CB" w:rsidRDefault="00D507CB" w:rsidP="00D507CB">
      <w:r>
        <w:t xml:space="preserve">Apart from CCS, coal power is a mature technology, and the costs of coal plants are not declining much in response to research. In contrast, </w:t>
      </w:r>
      <w:r w:rsidRPr="00CA5BD0">
        <w:rPr>
          <w:rStyle w:val="StyleUnderline"/>
        </w:rPr>
        <w:t>solar PV and wind are already cheaper than new coal, and more cost declines are expected in the coming decade or so, as the technologies continue to mature.</w:t>
      </w:r>
      <w:r>
        <w:t xml:space="preserve"> In the long term, even </w:t>
      </w:r>
      <w:r w:rsidRPr="00CA5BD0">
        <w:rPr>
          <w:rStyle w:val="StyleUnderline"/>
        </w:rPr>
        <w:t>coal without CCS is unlikely to compete economically with wind and solar; it is extremely unlikely that coal with CCS will ever do so.</w:t>
      </w:r>
    </w:p>
    <w:p w:rsidR="00D507CB" w:rsidRPr="00CA5BD0" w:rsidRDefault="00D507CB" w:rsidP="00D507CB">
      <w:pPr>
        <w:rPr>
          <w:rStyle w:val="StyleUnderline"/>
        </w:rPr>
      </w:pPr>
      <w:r>
        <w:t xml:space="preserve">Some have proposed subsidizing CCS to help overcome its high costs. However, the </w:t>
      </w:r>
      <w:r w:rsidRPr="00CA5BD0">
        <w:rPr>
          <w:rStyle w:val="StyleUnderline"/>
        </w:rPr>
        <w:t>subsidies required to put CCS on equal footing with wind or solar are staggering. Bringing CCS costs in line with solar costs today would require a roughly $80 per MWh subsidy, assuming CCS projects stay on-budget.</w:t>
      </w:r>
    </w:p>
    <w:p w:rsidR="00D507CB" w:rsidRDefault="00D507CB" w:rsidP="00D507CB">
      <w:r>
        <w:t>By comparison, the production tax credit for wind plants, which passed on a bipartisan basis in 2015, provides a subsidy of $23 per MWh and will sunset completely in 2020. The investment tax credit for solar plants pays for up to 30% of investment costs, or about $18 per MWh, and will decrease to 10% of investment costs by 2022.</w:t>
      </w:r>
    </w:p>
    <w:p w:rsidR="00D507CB" w:rsidRDefault="00D507CB" w:rsidP="00D507CB">
      <w:pPr>
        <w:pStyle w:val="Heading3"/>
      </w:pPr>
      <w:r>
        <w:t>WTO</w:t>
      </w:r>
    </w:p>
    <w:p w:rsidR="00D507CB" w:rsidRPr="00195D8A" w:rsidRDefault="00D507CB" w:rsidP="00D507CB">
      <w:pPr>
        <w:pStyle w:val="Heading4"/>
      </w:pPr>
      <w:r>
        <w:t xml:space="preserve">Doha failure means the WTO is </w:t>
      </w:r>
      <w:r>
        <w:rPr>
          <w:i/>
          <w:u w:val="single"/>
        </w:rPr>
        <w:t>structurally doomed</w:t>
      </w:r>
      <w:r>
        <w:t xml:space="preserve"> – collapse of multilateral trade negotiations means preferential trade agreements </w:t>
      </w:r>
      <w:r w:rsidRPr="00195D8A">
        <w:rPr>
          <w:i/>
          <w:u w:val="single"/>
        </w:rPr>
        <w:t>take precedence</w:t>
      </w:r>
      <w:r>
        <w:t xml:space="preserve"> over global multilateral trading rules – that makes </w:t>
      </w:r>
      <w:r w:rsidRPr="00195D8A">
        <w:rPr>
          <w:i/>
          <w:u w:val="single"/>
        </w:rPr>
        <w:t xml:space="preserve">trade </w:t>
      </w:r>
      <w:r>
        <w:rPr>
          <w:i/>
          <w:u w:val="single"/>
        </w:rPr>
        <w:t>conflict</w:t>
      </w:r>
      <w:r>
        <w:t xml:space="preserve"> and </w:t>
      </w:r>
      <w:r w:rsidRPr="00195D8A">
        <w:rPr>
          <w:i/>
          <w:u w:val="single"/>
        </w:rPr>
        <w:t>loss of WTO legitimacy</w:t>
      </w:r>
      <w:r>
        <w:t xml:space="preserve"> structurally inevitable</w:t>
      </w:r>
    </w:p>
    <w:p w:rsidR="00D507CB" w:rsidRPr="00195D8A" w:rsidRDefault="00D507CB" w:rsidP="00D507CB">
      <w:pPr>
        <w:rPr>
          <w:rStyle w:val="Style13ptBold"/>
        </w:rPr>
      </w:pPr>
      <w:r w:rsidRPr="00195D8A">
        <w:rPr>
          <w:rStyle w:val="Style13ptBold"/>
        </w:rPr>
        <w:t>Bhagwati 12</w:t>
      </w:r>
    </w:p>
    <w:p w:rsidR="00D507CB" w:rsidRDefault="00D507CB" w:rsidP="00D507CB">
      <w:r>
        <w:t xml:space="preserve">(Jadish Bhagwati, </w:t>
      </w:r>
      <w:r w:rsidRPr="00195D8A">
        <w:t>University Professor of Law and Economics at Columbia University and Senior Fellow at the Council on Foreign Relations</w:t>
      </w:r>
      <w:r>
        <w:t xml:space="preserve">, “The Broken Legs of Global Trade,” May 29, 2012, </w:t>
      </w:r>
      <w:r w:rsidRPr="00195D8A">
        <w:t>https://www.project-syndicate.org/commentary/the-broken-legs-of-global-trade</w:t>
      </w:r>
      <w:r>
        <w:t>)</w:t>
      </w:r>
    </w:p>
    <w:p w:rsidR="00D507CB" w:rsidRDefault="00D507CB" w:rsidP="00D507CB"/>
    <w:p w:rsidR="00D507CB" w:rsidRPr="003F495D" w:rsidRDefault="00D507CB" w:rsidP="00D507CB">
      <w:r w:rsidRPr="003F495D">
        <w:t xml:space="preserve">NEW YORK – The </w:t>
      </w:r>
      <w:r w:rsidRPr="003F495D">
        <w:rPr>
          <w:rStyle w:val="StyleUnderline"/>
        </w:rPr>
        <w:t>Doha Round, the latest phase of multilateral trade negotiations, failed in November 2011, after ten years of talks, despite official efforts by many countries, including the United Kingdom and Germany, and by nearly all eminent trade scholars today</w:t>
      </w:r>
      <w:r w:rsidRPr="003F495D">
        <w:t>. While trade officials in the United States and the European Union blamed the G-22 developing countries’ excessive demands for the failure of earlier negotiations in Cancún in 2003, there is general agreement that this time it was the US whose unwarranted (and unyielding) demands killed the talks. So, now what?</w:t>
      </w:r>
    </w:p>
    <w:p w:rsidR="00D507CB" w:rsidRPr="003F495D" w:rsidRDefault="00D507CB" w:rsidP="00D507CB">
      <w:pPr>
        <w:rPr>
          <w:rStyle w:val="StyleUnderline"/>
        </w:rPr>
      </w:pPr>
      <w:r w:rsidRPr="003F495D">
        <w:rPr>
          <w:rStyle w:val="StyleUnderline"/>
        </w:rPr>
        <w:t>The failure to achieve multilateral trade liberalization by concluding the Doha Round means that the world lost the gains from trade that a successful treaty would have brought.</w:t>
      </w:r>
      <w:r w:rsidRPr="003F495D">
        <w:t xml:space="preserve"> But that is hardly the end of the matter: </w:t>
      </w:r>
      <w:r w:rsidRPr="003F495D">
        <w:rPr>
          <w:rStyle w:val="StyleUnderline"/>
        </w:rPr>
        <w:t>the failure of Doha will virtually halt multilateral trade liberalization for years to come.</w:t>
      </w:r>
    </w:p>
    <w:p w:rsidR="00D507CB" w:rsidRPr="003F495D" w:rsidRDefault="00D507CB" w:rsidP="00D507CB">
      <w:pPr>
        <w:rPr>
          <w:rStyle w:val="StyleUnderline"/>
        </w:rPr>
      </w:pPr>
      <w:r w:rsidRPr="003F495D">
        <w:t xml:space="preserve">Of course, </w:t>
      </w:r>
      <w:r w:rsidRPr="003F495D">
        <w:rPr>
          <w:rStyle w:val="StyleUnderline"/>
        </w:rPr>
        <w:t>multilateral trade negotiations are only one of three legs on which the World Trade Organization stands. But breaking that leg adversely affects the functioning of the other two: the WTO’s rule-making authority and its dispute-settlement mechanism. The costs here may also be large.</w:t>
      </w:r>
    </w:p>
    <w:p w:rsidR="00D507CB" w:rsidRPr="003F495D" w:rsidRDefault="00D507CB" w:rsidP="00D507CB">
      <w:r w:rsidRPr="003F495D">
        <w:t xml:space="preserve">Until now, preferential trade agreements (PTAs) among small groups of countries co-existed with multilateral, non-discriminatory trade-liberalization rounds. </w:t>
      </w:r>
      <w:r w:rsidRPr="00AC5A0A">
        <w:rPr>
          <w:rStyle w:val="StyleUnderline"/>
        </w:rPr>
        <w:t xml:space="preserve">As a result, the rules that govern trade, such as anti-dumping duties and countervailing duties to offset illegal subsidies, were in the domain of both the WTO and the PTAs. </w:t>
      </w:r>
      <w:r w:rsidRPr="003F495D">
        <w:t>But, when there was a conflict</w:t>
      </w:r>
      <w:r w:rsidRPr="00AC5A0A">
        <w:rPr>
          <w:rStyle w:val="StyleUnderline"/>
        </w:rPr>
        <w:t>, WTO rules prevailed, because they conferred enforceable rights that extended to all WTO members, whereas PTA-defined rights extended only to the PTA’s few members</w:t>
      </w:r>
      <w:r w:rsidRPr="003F495D">
        <w:t>.</w:t>
      </w:r>
    </w:p>
    <w:p w:rsidR="00D507CB" w:rsidRPr="00AC5A0A" w:rsidRDefault="00D507CB" w:rsidP="00D507CB">
      <w:pPr>
        <w:rPr>
          <w:rStyle w:val="StyleUnderline"/>
        </w:rPr>
      </w:pPr>
      <w:r w:rsidRPr="003F495D">
        <w:t>So, while powerful, “</w:t>
      </w:r>
      <w:r w:rsidRPr="00AC5A0A">
        <w:rPr>
          <w:rStyle w:val="StyleUnderline"/>
        </w:rPr>
        <w:t>hegemonic” countries like the US managed to impose their own rules on weaker partners in the PTAs that they helped to proliferate, big emerging economies like India, Brazil, China, and South Africa insisted on rejecting such demands when made as part of multilateral trade rounds like Doha.</w:t>
      </w:r>
    </w:p>
    <w:p w:rsidR="00D507CB" w:rsidRPr="003F495D" w:rsidRDefault="00D507CB" w:rsidP="00D507CB">
      <w:r w:rsidRPr="003F495D">
        <w:t>Now, however, with the era of multilateral trade rounds and system-wide rules behind us, the PTAs are the only game in town, and the templates established by the hegemonic powers in unequal trade treaties with economically weaker countries will increasingly carry the day. In fact, such templates now extend beyond conventional trade issues (for example, agricultural protection) to vast numbers of areas unrelated to trade, including labor standards, environmental rules, policies on expropriation, and the ability to impose capital-account controls in financial crises.</w:t>
      </w:r>
    </w:p>
    <w:p w:rsidR="00D507CB" w:rsidRPr="003F495D" w:rsidRDefault="00D507CB" w:rsidP="00D507CB">
      <w:r w:rsidRPr="00161BF5">
        <w:rPr>
          <w:rStyle w:val="StyleUnderline"/>
        </w:rPr>
        <w:t>The US-led public-relations blitzkrieg of euphemism has already begun, with US Assistant Trade Representative Wendy Cutler describing the latest PTA, the Trans-Pacific Partnership, as a “high standard” agreement.</w:t>
      </w:r>
      <w:r w:rsidRPr="003F495D">
        <w:t xml:space="preserve"> Other American officials have taken to calling PTA’s “trade agreements for the twenty-first century.” Who could possibly be against the twenty-first century?</w:t>
      </w:r>
    </w:p>
    <w:p w:rsidR="00D507CB" w:rsidRPr="00161BF5" w:rsidRDefault="00D507CB" w:rsidP="00D507CB">
      <w:pPr>
        <w:rPr>
          <w:rStyle w:val="StyleUnderline"/>
        </w:rPr>
      </w:pPr>
      <w:r w:rsidRPr="003F495D">
        <w:t xml:space="preserve">What is disturbing is the way in which some trade economists in Geneva and in Washington have capitulated to such propaganda, and regard capitulation by the WTO as a way to “salvage” and reshape the organization. </w:t>
      </w:r>
      <w:r w:rsidRPr="00161BF5">
        <w:rPr>
          <w:rStyle w:val="StyleUnderline"/>
        </w:rPr>
        <w:t>The WTO, like a village during the Vietnam War, must be destroyed in order to be saved.</w:t>
      </w:r>
    </w:p>
    <w:p w:rsidR="00D507CB" w:rsidRPr="003F495D" w:rsidRDefault="00D507CB" w:rsidP="00D507CB">
      <w:r w:rsidRPr="003F495D">
        <w:t>Unfortunately, this insidious attack on the second leg of the WTO also extends to the third leg, the dispute-settlement mechanism</w:t>
      </w:r>
      <w:r w:rsidRPr="00161BF5">
        <w:rPr>
          <w:rStyle w:val="StyleUnderline"/>
        </w:rPr>
        <w:t>. The DSM is the pride of the WTO: it is the only impartial and binding mechanism for adjudicating and enforcing contractual obligations defined by the WTO and accepted by its members</w:t>
      </w:r>
      <w:r w:rsidRPr="003F495D">
        <w:t>. It gives every member, big or small, a platform and a voice.</w:t>
      </w:r>
    </w:p>
    <w:p w:rsidR="00D507CB" w:rsidRPr="00161BF5" w:rsidRDefault="00D507CB" w:rsidP="00D507CB">
      <w:pPr>
        <w:rPr>
          <w:rStyle w:val="StyleUnderline"/>
        </w:rPr>
      </w:pPr>
      <w:r w:rsidRPr="003F495D">
        <w:t xml:space="preserve">Once PTA-based DSMs are established, however, </w:t>
      </w:r>
      <w:r w:rsidRPr="00161BF5">
        <w:rPr>
          <w:rStyle w:val="StyleUnderline"/>
        </w:rPr>
        <w:t xml:space="preserve">adjudication of disputes will reflect asymmetries of power, benefiting the stronger trade partner. </w:t>
      </w:r>
      <w:r w:rsidRPr="003F495D">
        <w:t xml:space="preserve">Moreover, </w:t>
      </w:r>
      <w:r w:rsidRPr="00161BF5">
        <w:rPr>
          <w:rStyle w:val="StyleUnderline"/>
        </w:rPr>
        <w:t>third countries will have little scope for input into PTA-based DSMs, though their interests may very well be affected by how adjudication is structured.</w:t>
      </w:r>
    </w:p>
    <w:p w:rsidR="00D507CB" w:rsidRPr="003F495D" w:rsidRDefault="00D507CB" w:rsidP="00D507CB">
      <w:r w:rsidRPr="003F495D">
        <w:t xml:space="preserve">Given that </w:t>
      </w:r>
      <w:r w:rsidRPr="00161BF5">
        <w:rPr>
          <w:rStyle w:val="StyleUnderline"/>
        </w:rPr>
        <w:t>the US has abandoned any pretense of leadership on world trade, it is up to major emerging economies and like-minded developed countries to establish their own template, one that adheres to trade objectives and discards what special-interest lobbies in hegemons like the US seek to foist on PTAs.</w:t>
      </w:r>
      <w:r w:rsidRPr="003F495D">
        <w:t xml:space="preserve"> This is exactly what India has done with the EU, which is now stripping such features out of its proposed PTA.</w:t>
      </w:r>
    </w:p>
    <w:p w:rsidR="00D507CB" w:rsidRPr="003F495D" w:rsidRDefault="00D507CB" w:rsidP="00D507CB">
      <w:r w:rsidRPr="00161BF5">
        <w:rPr>
          <w:rStyle w:val="StyleUnderline"/>
        </w:rPr>
        <w:t>Other countries – Brazil, South Africa, and China among the major emerging economies, and Japan and Australia among the developed countries – should back such “garbage-free” PTAs as well</w:t>
      </w:r>
      <w:r w:rsidRPr="003F495D">
        <w:t>. That just might be an adequate rebuff to the rise of PTAs whose main objective is to serve hegemonic interests alone – perhaps even sufficient to get the multilateral approach back on track.</w:t>
      </w:r>
    </w:p>
    <w:p w:rsidR="00D507CB" w:rsidRPr="008B7969" w:rsidRDefault="00D507CB" w:rsidP="00D507CB">
      <w:pPr>
        <w:pStyle w:val="Heading4"/>
      </w:pPr>
      <w:bookmarkStart w:id="0" w:name="_GoBack"/>
      <w:bookmarkEnd w:id="0"/>
      <w:r>
        <w:t xml:space="preserve">The WTO trading system is bad – facilitates </w:t>
      </w:r>
      <w:r w:rsidRPr="008B7969">
        <w:rPr>
          <w:i/>
          <w:u w:val="single"/>
        </w:rPr>
        <w:t>Chinese protectionism</w:t>
      </w:r>
      <w:r>
        <w:t xml:space="preserve">, </w:t>
      </w:r>
      <w:r w:rsidRPr="008B7969">
        <w:rPr>
          <w:i/>
          <w:u w:val="single"/>
        </w:rPr>
        <w:t>overconsumption</w:t>
      </w:r>
      <w:r>
        <w:t xml:space="preserve">, and </w:t>
      </w:r>
      <w:r w:rsidRPr="008B7969">
        <w:rPr>
          <w:i/>
          <w:u w:val="single"/>
        </w:rPr>
        <w:t>right-wing populist nationalism</w:t>
      </w:r>
      <w:r>
        <w:t xml:space="preserve"> – their evidence ignores structural transformation of trade caused by </w:t>
      </w:r>
      <w:r>
        <w:rPr>
          <w:i/>
          <w:u w:val="single"/>
        </w:rPr>
        <w:t>Chinese accession to the WTO</w:t>
      </w:r>
      <w:r>
        <w:t xml:space="preserve"> and </w:t>
      </w:r>
      <w:r>
        <w:rPr>
          <w:i/>
          <w:u w:val="single"/>
        </w:rPr>
        <w:t>increasing transferability of absolute advantage</w:t>
      </w:r>
    </w:p>
    <w:p w:rsidR="00D507CB" w:rsidRPr="00334D8D" w:rsidRDefault="00D507CB" w:rsidP="00D507CB">
      <w:pPr>
        <w:rPr>
          <w:rStyle w:val="Style13ptBold"/>
        </w:rPr>
      </w:pPr>
      <w:r w:rsidRPr="00334D8D">
        <w:rPr>
          <w:rStyle w:val="Style13ptBold"/>
        </w:rPr>
        <w:t>Autry 18</w:t>
      </w:r>
    </w:p>
    <w:p w:rsidR="00D507CB" w:rsidRPr="00334D8D" w:rsidRDefault="00D507CB" w:rsidP="00D507CB">
      <w:r>
        <w:t xml:space="preserve">(Greg Autry, </w:t>
      </w:r>
      <w:r w:rsidRPr="00334D8D">
        <w:t>assistant professor of clinical entrepreneurship at USC Marshall</w:t>
      </w:r>
      <w:r>
        <w:t>, “Is the global trade system broken?,” May 7</w:t>
      </w:r>
      <w:r w:rsidRPr="00334D8D">
        <w:rPr>
          <w:vertAlign w:val="superscript"/>
        </w:rPr>
        <w:t>th</w:t>
      </w:r>
      <w:r>
        <w:t xml:space="preserve">, 2018, </w:t>
      </w:r>
      <w:r>
        <w:rPr>
          <w:i/>
        </w:rPr>
        <w:t>The Economist</w:t>
      </w:r>
      <w:r>
        <w:t xml:space="preserve">, </w:t>
      </w:r>
      <w:r w:rsidRPr="00334D8D">
        <w:t>https://debates.economist.com/debate/global-trade-system-broken?state=opening#pro_statement</w:t>
      </w:r>
      <w:r>
        <w:t>)</w:t>
      </w:r>
    </w:p>
    <w:p w:rsidR="00D507CB" w:rsidRDefault="00D507CB" w:rsidP="00D507CB"/>
    <w:p w:rsidR="00D507CB" w:rsidRPr="003F495D" w:rsidRDefault="00D507CB" w:rsidP="00D507CB">
      <w:r w:rsidRPr="004813A7">
        <w:rPr>
          <w:rStyle w:val="StyleUnderline"/>
        </w:rPr>
        <w:t>The global trading system is broken and the free-trade paradigm upon which it is based has become a choice target for populist politicians in many Western democracies.</w:t>
      </w:r>
      <w:r w:rsidRPr="003F495D">
        <w:t xml:space="preserve"> The system was pitched by post-war economists as a scientifically based replacement for the chaos and inefficiency of parochial bilateral trade agreements. </w:t>
      </w:r>
      <w:r w:rsidRPr="004813A7">
        <w:rPr>
          <w:rStyle w:val="StyleUnderline"/>
        </w:rPr>
        <w:t>The new multilateral system promised to harness the power of Ricardian comparative advantage to produce greater abundance for all, while ensuring an equitable distribution of wealth</w:t>
      </w:r>
      <w:r w:rsidRPr="003F495D">
        <w:t>.</w:t>
      </w:r>
    </w:p>
    <w:p w:rsidR="00D507CB" w:rsidRPr="003F495D" w:rsidRDefault="00D507CB" w:rsidP="00D507CB">
      <w:r w:rsidRPr="003F495D">
        <w:t xml:space="preserve">The </w:t>
      </w:r>
      <w:r w:rsidRPr="004813A7">
        <w:rPr>
          <w:rStyle w:val="StyleUnderline"/>
        </w:rPr>
        <w:t>initial results were promising. Despite protests from leftist labour unions and environmentalists, the 1990s and early 2000s saw strong economic growth and falling consumer prices in many countries</w:t>
      </w:r>
      <w:r w:rsidRPr="003F495D">
        <w:t xml:space="preserve">. </w:t>
      </w:r>
      <w:r w:rsidRPr="004813A7">
        <w:t>China’s admission into the WTO in 2001 was a capstone for the new system. Ec</w:t>
      </w:r>
      <w:r w:rsidRPr="003F495D">
        <w:t>onomists, industry leaders, politicians and pundits declared victory.</w:t>
      </w:r>
    </w:p>
    <w:p w:rsidR="00D507CB" w:rsidRPr="004813A7" w:rsidRDefault="00D507CB" w:rsidP="00D507CB">
      <w:pPr>
        <w:rPr>
          <w:rStyle w:val="StyleUnderline"/>
        </w:rPr>
      </w:pPr>
      <w:r w:rsidRPr="003F495D">
        <w:t xml:space="preserve">I too was a free trader, until I looked closely into the US-China trade relationship, the most important axis for the global trade system. What I heard from both Chinese and American business owners and workers was concerning. </w:t>
      </w:r>
      <w:r w:rsidRPr="004813A7">
        <w:rPr>
          <w:rStyle w:val="StyleUnderline"/>
        </w:rPr>
        <w:t>The Chinese government was buttressing their state-capitalist model with a mercantilist trade strategy that exploited flaws in the comparative-advantage model.</w:t>
      </w:r>
    </w:p>
    <w:p w:rsidR="00D507CB" w:rsidRPr="003F495D" w:rsidRDefault="00D507CB" w:rsidP="00D507CB">
      <w:r w:rsidRPr="003F495D">
        <w:t xml:space="preserve">In David Ricardo’s day, the early 1800s, </w:t>
      </w:r>
      <w:r w:rsidRPr="004813A7">
        <w:rPr>
          <w:rStyle w:val="StyleUnderline"/>
        </w:rPr>
        <w:t>the sources of absolute advantage were non-transferable assets like Portugal’s fine climate for wine production.</w:t>
      </w:r>
      <w:r w:rsidRPr="003F495D">
        <w:t xml:space="preserve"> However absolute </w:t>
      </w:r>
      <w:r w:rsidRPr="004813A7">
        <w:rPr>
          <w:rStyle w:val="StyleUnderline"/>
        </w:rPr>
        <w:t>advantages of our era were built on R&amp;D, university education and effective capital markets, all of which could be transferred. China’s leaders rigged today’s trade to compel the transfer of tomorrow’s absolute advantages, establishing their future monopoly positions. They developed the “peaceful rise” marketing campaign designed to attract Western tech and capital</w:t>
      </w:r>
      <w:r w:rsidRPr="003F495D">
        <w:t>.</w:t>
      </w:r>
    </w:p>
    <w:p w:rsidR="00D507CB" w:rsidRPr="003F495D" w:rsidRDefault="00D507CB" w:rsidP="00D507CB">
      <w:r w:rsidRPr="003F495D">
        <w:t xml:space="preserve">Gaining access to the Chinese market became a corporate necessity. Investors pressured CEOs to enter ill-conceived joint partnerships, transfer technologies to Chinese competitors and ignore industrial espionage. Despite pledges to the contrary, </w:t>
      </w:r>
      <w:r w:rsidRPr="004813A7">
        <w:rPr>
          <w:rStyle w:val="StyleUnderline"/>
        </w:rPr>
        <w:t>China, along with many other developing countries, maintained high tariffs, export subsidies, currency controls, and tax systems biased in favour of exporters.</w:t>
      </w:r>
    </w:p>
    <w:p w:rsidR="00D507CB" w:rsidRPr="003F495D" w:rsidRDefault="00D507CB" w:rsidP="00D507CB">
      <w:r w:rsidRPr="003F495D">
        <w:t xml:space="preserve">These on-the-ground observations were reflected in trade statistics. Deficits were persistent and growing. The classic economic auto-correction systems, such as David Hume's currency adjustment mechanism, failed to ameliorate the problem. In 1989 the American trade-in-goods deficit of $6bn with China was a manageable 0.11% of American GDP. After 30 years of continuous growth, it is now $375bn, a leakage of nearly 2% of the entire American economy. </w:t>
      </w:r>
      <w:r w:rsidRPr="004813A7">
        <w:rPr>
          <w:rStyle w:val="StyleUnderline"/>
        </w:rPr>
        <w:t>The results of trade agreements with South Korea and other nations have been similarly lopsided and America’s trade-in-goods deficit with the world is approximately 4% of GDP.</w:t>
      </w:r>
    </w:p>
    <w:p w:rsidR="00D507CB" w:rsidRPr="003F495D" w:rsidRDefault="00D507CB" w:rsidP="00D507CB">
      <w:r w:rsidRPr="003F495D">
        <w:t>At the same time inequality has risen. According to the World Bank, the Gini coefficient for China leapt from 0.29 in 1981 to 0.42 in 2012. (The higher the number, the more economic inequality.) For America, this measure of financial inequality rose from 0.35 in 1980 to 0.42 in 2016.</w:t>
      </w:r>
    </w:p>
    <w:p w:rsidR="00D507CB" w:rsidRPr="004813A7" w:rsidRDefault="00D507CB" w:rsidP="00D507CB">
      <w:pPr>
        <w:rPr>
          <w:rStyle w:val="StyleUnderline"/>
        </w:rPr>
      </w:pPr>
      <w:r w:rsidRPr="004813A7">
        <w:rPr>
          <w:rStyle w:val="StyleUnderline"/>
        </w:rPr>
        <w:t>The system has also generated disturbing negative geopolitical and environmental externalities. Rather than promoting liberalism, the system has legitimised and empowered militant dictatorships in China and Russia</w:t>
      </w:r>
      <w:r w:rsidRPr="003F495D">
        <w:t xml:space="preserve">. Rather than driving economic efficiencies, </w:t>
      </w:r>
      <w:r w:rsidRPr="004813A7">
        <w:rPr>
          <w:rStyle w:val="StyleUnderline"/>
        </w:rPr>
        <w:t>the system encouraged overcapacity and overconsumption. Concrete and steel are shipped in both directions through the Pacific’s growing raft of plastic consumer debris.</w:t>
      </w:r>
    </w:p>
    <w:p w:rsidR="00D507CB" w:rsidRPr="004813A7" w:rsidRDefault="00D507CB" w:rsidP="00D507CB">
      <w:pPr>
        <w:rPr>
          <w:rStyle w:val="StyleUnderline"/>
        </w:rPr>
      </w:pPr>
      <w:r w:rsidRPr="003F495D">
        <w:t>Mainstream economists will argue that many developed nations run surpluses in services, albeit nowhere near enough to balance the current account. Sadly, service-sector jobs are generally poor substitutes for manufacturing work. In 2017</w:t>
      </w:r>
      <w:r w:rsidRPr="004813A7">
        <w:rPr>
          <w:rStyle w:val="StyleUnderline"/>
        </w:rPr>
        <w:t>, some 57% of American service exports to China were in tourism, an industry notorious for temporary jobs and</w:t>
      </w:r>
      <w:r>
        <w:rPr>
          <w:rStyle w:val="StyleUnderline"/>
        </w:rPr>
        <w:t>s</w:t>
      </w:r>
      <w:r w:rsidRPr="004813A7">
        <w:rPr>
          <w:rStyle w:val="StyleUnderline"/>
        </w:rPr>
        <w:t xml:space="preserve"> low wages. </w:t>
      </w:r>
    </w:p>
    <w:p w:rsidR="00D507CB" w:rsidRPr="004813A7" w:rsidRDefault="00D507CB" w:rsidP="00D507CB">
      <w:pPr>
        <w:rPr>
          <w:rStyle w:val="StyleUnderline"/>
        </w:rPr>
      </w:pPr>
      <w:r w:rsidRPr="004813A7">
        <w:rPr>
          <w:rStyle w:val="StyleUnderline"/>
        </w:rPr>
        <w:t>Thirty years of growing imbalances, increasing inequality, and environmental deterioration demand an honest re-evaluation. The rise of populist political movements is sending a clear signal that the people are ahead of their economic elites in recognising that the global trade system is broken.</w:t>
      </w:r>
    </w:p>
    <w:p w:rsidR="00D507CB" w:rsidRDefault="00D507CB" w:rsidP="00D507CB"/>
    <w:p w:rsidR="00D507CB" w:rsidRPr="00D507CB" w:rsidRDefault="00D507CB" w:rsidP="00D507CB"/>
    <w:sectPr w:rsidR="00D507CB" w:rsidRPr="00D50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B4E1667"/>
    <w:multiLevelType w:val="hybridMultilevel"/>
    <w:tmpl w:val="810E6730"/>
    <w:lvl w:ilvl="0" w:tplc="940C3D28">
      <w:numFmt w:val="bullet"/>
      <w:lvlText w:val="-"/>
      <w:lvlJc w:val="left"/>
      <w:pPr>
        <w:ind w:left="720" w:hanging="360"/>
      </w:pPr>
      <w:rPr>
        <w:rFonts w:ascii="Calibri" w:eastAsia="MS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8706E"/>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6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7CB"/>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291FA56D-5C14-7B44-B734-6029F37A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07C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870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870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5870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8706E"/>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5870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06E"/>
  </w:style>
  <w:style w:type="character" w:customStyle="1" w:styleId="Heading1Char">
    <w:name w:val="Heading 1 Char"/>
    <w:aliases w:val="Pocket Char"/>
    <w:basedOn w:val="DefaultParagraphFont"/>
    <w:link w:val="Heading1"/>
    <w:rsid w:val="0058706E"/>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58706E"/>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58706E"/>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8706E"/>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8706E"/>
    <w:rPr>
      <w:b/>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1"/>
    <w:qFormat/>
    <w:rsid w:val="0058706E"/>
    <w:rPr>
      <w:b/>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B"/>
    <w:basedOn w:val="DefaultParagraphFont"/>
    <w:link w:val="Emphasis1"/>
    <w:uiPriority w:val="7"/>
    <w:qFormat/>
    <w:rsid w:val="0058706E"/>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58706E"/>
    <w:rPr>
      <w:color w:val="auto"/>
      <w:u w:val="none"/>
    </w:rPr>
  </w:style>
  <w:style w:type="character" w:styleId="Hyperlink">
    <w:name w:val="Hyperlink"/>
    <w:basedOn w:val="DefaultParagraphFont"/>
    <w:uiPriority w:val="99"/>
    <w:semiHidden/>
    <w:unhideWhenUsed/>
    <w:rsid w:val="0058706E"/>
    <w:rPr>
      <w:color w:val="auto"/>
      <w:u w:val="none"/>
    </w:rPr>
  </w:style>
  <w:style w:type="paragraph" w:styleId="DocumentMap">
    <w:name w:val="Document Map"/>
    <w:basedOn w:val="Normal"/>
    <w:link w:val="DocumentMapChar"/>
    <w:uiPriority w:val="99"/>
    <w:semiHidden/>
    <w:unhideWhenUsed/>
    <w:rsid w:val="005870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706E"/>
    <w:rPr>
      <w:rFonts w:ascii="Lucida Grande" w:hAnsi="Lucida Grande" w:cs="Lucida Grande"/>
    </w:rPr>
  </w:style>
  <w:style w:type="paragraph" w:styleId="ListParagraph">
    <w:name w:val="List Paragraph"/>
    <w:basedOn w:val="Normal"/>
    <w:uiPriority w:val="99"/>
    <w:unhideWhenUsed/>
    <w:qFormat/>
    <w:rsid w:val="00D507CB"/>
    <w:pPr>
      <w:ind w:left="720"/>
      <w:contextualSpacing/>
    </w:pPr>
  </w:style>
  <w:style w:type="paragraph" w:customStyle="1" w:styleId="Emphasis1">
    <w:name w:val="Emphasis1"/>
    <w:basedOn w:val="Normal"/>
    <w:link w:val="Emphasis"/>
    <w:autoRedefine/>
    <w:uiPriority w:val="7"/>
    <w:qFormat/>
    <w:rsid w:val="00D507CB"/>
    <w:pPr>
      <w:pBdr>
        <w:top w:val="single" w:sz="4" w:space="1" w:color="auto"/>
        <w:left w:val="single" w:sz="4" w:space="4" w:color="auto"/>
        <w:bottom w:val="single" w:sz="4" w:space="1" w:color="auto"/>
        <w:right w:val="single" w:sz="4" w:space="4" w:color="auto"/>
      </w:pBdr>
      <w:ind w:left="720"/>
      <w:jc w:val="both"/>
    </w:pPr>
    <w:rPr>
      <w:rFonts w:ascii="Arial" w:eastAsiaTheme="minorEastAsia" w:hAnsi="Arial" w:cs="Arial"/>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hyperlink" Target="http://www.worldenergyoutlook.org/publications/weo-2014/" TargetMode="External"/><Relationship Id="rId4" Type="http://schemas.openxmlformats.org/officeDocument/2006/relationships/customXml" Target="../customXml/item4.xml"/><Relationship Id="rId9" Type="http://schemas.openxmlformats.org/officeDocument/2006/relationships/hyperlink" Target="https://www.brookings.edu/research/fostering-low-carbon-energy-next-generation-policy-to-commercialize-ccs-in-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217B58B-4F78-734B-B324-BF6FC94A5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17</Pages>
  <Words>8080</Words>
  <Characters>46056</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2019-08-14T00:57:00Z</dcterms:created>
  <dcterms:modified xsi:type="dcterms:W3CDTF">2019-08-14T01:00:00Z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