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601A6" w:rsidRDefault="00C601A6" w:rsidP="00C601A6">
      <w:pPr>
        <w:pStyle w:val="Heading1"/>
      </w:pPr>
      <w:r>
        <w:t>End Use Monitoring</w:t>
      </w:r>
      <w:r w:rsidR="00544BE4">
        <w:t xml:space="preserve"> CP</w:t>
      </w:r>
      <w:r w:rsidR="00DE0CF0">
        <w:t xml:space="preserve"> - </w:t>
      </w:r>
      <w:proofErr w:type="spellStart"/>
      <w:r w:rsidR="00DE0CF0">
        <w:t>NEG</w:t>
      </w:r>
      <w:proofErr w:type="spellEnd"/>
    </w:p>
    <w:p w:rsidR="00C601A6" w:rsidRDefault="00C601A6" w:rsidP="00C601A6">
      <w:pPr>
        <w:pStyle w:val="Heading2"/>
      </w:pPr>
      <w:r>
        <w:lastRenderedPageBreak/>
        <w:t>FYIs and Need to Knows</w:t>
      </w:r>
    </w:p>
    <w:p w:rsidR="00544BE4" w:rsidRDefault="00544BE4" w:rsidP="00544BE4">
      <w:pPr>
        <w:pStyle w:val="Heading4"/>
      </w:pPr>
      <w:r>
        <w:t>What is the Net Benefit to this CP?</w:t>
      </w:r>
    </w:p>
    <w:p w:rsidR="00544BE4" w:rsidRPr="00544BE4" w:rsidRDefault="00544BE4" w:rsidP="00544BE4">
      <w:r>
        <w:t>The China/Russia Fill-In DA is the</w:t>
      </w:r>
      <w:r w:rsidR="00B80F19">
        <w:t xml:space="preserve"> main</w:t>
      </w:r>
      <w:r>
        <w:t xml:space="preserve"> net benefit, sinc</w:t>
      </w:r>
      <w:r w:rsidR="00B80F19">
        <w:t>e th</w:t>
      </w:r>
      <w:r>
        <w:t>is</w:t>
      </w:r>
      <w:r w:rsidR="00B80F19">
        <w:t xml:space="preserve"> </w:t>
      </w:r>
      <w:r>
        <w:t>CP does not reduce or end arms sales</w:t>
      </w:r>
      <w:r w:rsidR="00B80F19">
        <w:t>. The 1NC also sets up solvency for human rights violation and terrorism, especially with</w:t>
      </w:r>
      <w:r>
        <w:t xml:space="preserve"> more research to be done regarding the importance of </w:t>
      </w:r>
      <w:proofErr w:type="spellStart"/>
      <w:r>
        <w:t>EUM</w:t>
      </w:r>
      <w:proofErr w:type="spellEnd"/>
      <w:r>
        <w:t xml:space="preserve"> in preventing 3</w:t>
      </w:r>
      <w:r w:rsidRPr="00544BE4">
        <w:rPr>
          <w:vertAlign w:val="superscript"/>
        </w:rPr>
        <w:t>rd</w:t>
      </w:r>
      <w:r>
        <w:t xml:space="preserve"> party transfers</w:t>
      </w:r>
      <w:r w:rsidR="00B80F19">
        <w:t xml:space="preserve">. The included “Commerce Oversight” Net Benefit is meant to get you thinking about how the CP (and plan) </w:t>
      </w:r>
      <w:proofErr w:type="gramStart"/>
      <w:r w:rsidR="00B80F19">
        <w:t>interact</w:t>
      </w:r>
      <w:proofErr w:type="gramEnd"/>
      <w:r w:rsidR="00B80F19">
        <w:t xml:space="preserve"> with proposed Trump changes regarding the Dept. of Commerce that effect</w:t>
      </w:r>
      <w:r w:rsidR="00F706A8">
        <w:t xml:space="preserve"> current</w:t>
      </w:r>
      <w:r w:rsidR="00B80F19">
        <w:t xml:space="preserve"> End-Use Monitoring</w:t>
      </w:r>
      <w:r w:rsidR="00F706A8">
        <w:t xml:space="preserve"> programs</w:t>
      </w:r>
      <w:bookmarkStart w:id="0" w:name="_GoBack"/>
      <w:bookmarkEnd w:id="0"/>
      <w:r w:rsidR="00B80F19">
        <w:t xml:space="preserve">. </w:t>
      </w:r>
    </w:p>
    <w:p w:rsidR="00C601A6" w:rsidRDefault="00C601A6" w:rsidP="00C601A6">
      <w:pPr>
        <w:pStyle w:val="Heading4"/>
      </w:pPr>
      <w:r>
        <w:t>What is End-Use Monitoring (EUM)?</w:t>
      </w:r>
    </w:p>
    <w:p w:rsidR="00C601A6" w:rsidRPr="00073FC3" w:rsidRDefault="00F706A8" w:rsidP="00C601A6">
      <w:pPr>
        <w:rPr>
          <w:color w:val="2E74B5" w:themeColor="accent1" w:themeShade="BF"/>
          <w:u w:val="single"/>
        </w:rPr>
      </w:pPr>
      <w:hyperlink r:id="rId6" w:history="1">
        <w:r w:rsidR="00C601A6" w:rsidRPr="00073FC3">
          <w:rPr>
            <w:rStyle w:val="Hyperlink"/>
            <w:color w:val="2E74B5" w:themeColor="accent1" w:themeShade="BF"/>
            <w:u w:val="single"/>
          </w:rPr>
          <w:t>https://www.discs.dsca.mil/documents/greenbook/18_Chapter.pdf?id=1</w:t>
        </w:r>
      </w:hyperlink>
      <w:r w:rsidR="00C601A6" w:rsidRPr="00073FC3">
        <w:rPr>
          <w:color w:val="2E74B5" w:themeColor="accent1" w:themeShade="BF"/>
          <w:u w:val="single"/>
        </w:rPr>
        <w:t xml:space="preserve"> </w:t>
      </w:r>
    </w:p>
    <w:p w:rsidR="00C601A6" w:rsidRPr="00073FC3" w:rsidRDefault="00C601A6" w:rsidP="00C601A6">
      <w:r w:rsidRPr="00073FC3">
        <w:rPr>
          <w:rStyle w:val="StyleUnderline"/>
        </w:rPr>
        <w:t>The EUM program is designed to provide reasonable assurances that the recipient of U.S. defense</w:t>
      </w:r>
      <w:r>
        <w:rPr>
          <w:rStyle w:val="StyleUnderline"/>
        </w:rPr>
        <w:t xml:space="preserve"> </w:t>
      </w:r>
      <w:r w:rsidRPr="00073FC3">
        <w:rPr>
          <w:rStyle w:val="StyleUnderline"/>
        </w:rPr>
        <w:t xml:space="preserve">articles are complying with the requirements imposed by the USG </w:t>
      </w:r>
      <w:r w:rsidRPr="00062C81">
        <w:rPr>
          <w:rStyle w:val="StyleUnderline"/>
        </w:rPr>
        <w:t>regarding transfer, use and protection</w:t>
      </w:r>
      <w:r>
        <w:t xml:space="preserve">. The foreign recipients of weapon systems and their related technologies from the U.S. must agree to a variety of controls as discussed in Chapter 7. The release of defense articles or data to a non-USG entity must be properly cleared within the </w:t>
      </w:r>
      <w:proofErr w:type="spellStart"/>
      <w:r>
        <w:t>DoS</w:t>
      </w:r>
      <w:proofErr w:type="spellEnd"/>
      <w:r>
        <w:t xml:space="preserve"> and </w:t>
      </w:r>
      <w:proofErr w:type="gramStart"/>
      <w:r>
        <w:t>DoD</w:t>
      </w:r>
      <w:proofErr w:type="gramEnd"/>
      <w:r>
        <w:t xml:space="preserve"> coordination processes. </w:t>
      </w:r>
      <w:r w:rsidRPr="00073FC3">
        <w:rPr>
          <w:rStyle w:val="StyleUnderline"/>
        </w:rPr>
        <w:t>The decision to</w:t>
      </w:r>
      <w:r>
        <w:rPr>
          <w:rStyle w:val="StyleUnderline"/>
        </w:rPr>
        <w:t xml:space="preserve"> </w:t>
      </w:r>
      <w:r w:rsidRPr="00073FC3">
        <w:rPr>
          <w:rStyle w:val="StyleUnderline"/>
        </w:rPr>
        <w:t>transfer or not hinges in great part on the recipient’s willingness to comply with three conditions:</w:t>
      </w:r>
      <w:r>
        <w:rPr>
          <w:rStyle w:val="StyleUnderline"/>
        </w:rPr>
        <w:t xml:space="preserve"> </w:t>
      </w:r>
      <w:r>
        <w:t xml:space="preserve">• </w:t>
      </w:r>
      <w:r w:rsidRPr="00073FC3">
        <w:rPr>
          <w:rStyle w:val="Emphasis"/>
        </w:rPr>
        <w:t>Transfer</w:t>
      </w:r>
      <w:r>
        <w:t xml:space="preserve"> - </w:t>
      </w:r>
      <w:r w:rsidRPr="00073FC3">
        <w:rPr>
          <w:rStyle w:val="StyleUnderline"/>
        </w:rPr>
        <w:t>Will not transfer title or possession to anyone who is not an officer, employee, or</w:t>
      </w:r>
      <w:r>
        <w:rPr>
          <w:rStyle w:val="StyleUnderline"/>
        </w:rPr>
        <w:t xml:space="preserve"> </w:t>
      </w:r>
      <w:r w:rsidRPr="00073FC3">
        <w:rPr>
          <w:rStyle w:val="StyleUnderline"/>
        </w:rPr>
        <w:t>agent of the purchaser unless prior consent of the USG</w:t>
      </w:r>
      <w:r>
        <w:rPr>
          <w:rStyle w:val="StyleUnderline"/>
        </w:rPr>
        <w:t xml:space="preserve"> </w:t>
      </w:r>
      <w:r>
        <w:t xml:space="preserve">• </w:t>
      </w:r>
      <w:r w:rsidRPr="00073FC3">
        <w:rPr>
          <w:rStyle w:val="Emphasis"/>
        </w:rPr>
        <w:t>Use</w:t>
      </w:r>
      <w:r>
        <w:t xml:space="preserve"> - </w:t>
      </w:r>
      <w:r w:rsidRPr="00073FC3">
        <w:rPr>
          <w:rStyle w:val="StyleUnderline"/>
        </w:rPr>
        <w:t>Will not use defense articles for purposes other than those authorized</w:t>
      </w:r>
      <w:r>
        <w:rPr>
          <w:rStyle w:val="StyleUnderline"/>
        </w:rPr>
        <w:t xml:space="preserve"> </w:t>
      </w:r>
      <w:r>
        <w:t xml:space="preserve">• </w:t>
      </w:r>
      <w:r w:rsidRPr="00073FC3">
        <w:rPr>
          <w:rStyle w:val="Emphasis"/>
        </w:rPr>
        <w:t>Protection</w:t>
      </w:r>
      <w:r>
        <w:t xml:space="preserve"> - </w:t>
      </w:r>
      <w:r w:rsidRPr="00073FC3">
        <w:rPr>
          <w:rStyle w:val="StyleUnderline"/>
        </w:rPr>
        <w:t>Provide substantially the same degree of security protection the USG would</w:t>
      </w:r>
      <w:r>
        <w:rPr>
          <w:rStyle w:val="StyleUnderline"/>
        </w:rPr>
        <w:t xml:space="preserve"> </w:t>
      </w:r>
      <w:r w:rsidRPr="00073FC3">
        <w:rPr>
          <w:rStyle w:val="StyleUnderline"/>
        </w:rPr>
        <w:t>provide for the same article or information received</w:t>
      </w:r>
      <w:r>
        <w:rPr>
          <w:rStyle w:val="StyleUnderline"/>
        </w:rPr>
        <w:t xml:space="preserve"> </w:t>
      </w:r>
      <w:r>
        <w:t>In addition, the recipient must permit verification of the security measures and end-use by representatives of the U.S., typically accomplished by the Security Cooperation Office (SCO).</w:t>
      </w:r>
    </w:p>
    <w:p w:rsidR="00C601A6" w:rsidRDefault="00C601A6" w:rsidP="00C601A6"/>
    <w:p w:rsidR="00C601A6" w:rsidRDefault="00C601A6" w:rsidP="00C601A6">
      <w:pPr>
        <w:pStyle w:val="Heading4"/>
      </w:pPr>
      <w:r>
        <w:t xml:space="preserve">What is the </w:t>
      </w:r>
      <w:proofErr w:type="gramStart"/>
      <w:r>
        <w:t>DoD’s</w:t>
      </w:r>
      <w:proofErr w:type="gramEnd"/>
      <w:r>
        <w:t xml:space="preserve"> Golden Sentry Program?</w:t>
      </w:r>
    </w:p>
    <w:p w:rsidR="00C601A6" w:rsidRDefault="00F706A8" w:rsidP="00C601A6">
      <w:pPr>
        <w:rPr>
          <w:color w:val="0000FF"/>
          <w:u w:val="single"/>
        </w:rPr>
      </w:pPr>
      <w:hyperlink r:id="rId7" w:history="1">
        <w:r w:rsidR="00C601A6" w:rsidRPr="00881950">
          <w:rPr>
            <w:color w:val="0000FF"/>
            <w:u w:val="single"/>
          </w:rPr>
          <w:t>https://www.dsca.mil/about-us/end-use-monitoring-eum</w:t>
        </w:r>
      </w:hyperlink>
    </w:p>
    <w:p w:rsidR="00C601A6" w:rsidRDefault="00C601A6" w:rsidP="00C601A6">
      <w:r w:rsidRPr="00073FC3">
        <w:rPr>
          <w:rStyle w:val="StyleUnderline"/>
        </w:rPr>
        <w:t xml:space="preserve">The End Use Monitoring (EUM) Division oversees the </w:t>
      </w:r>
      <w:r w:rsidRPr="00073FC3">
        <w:rPr>
          <w:rStyle w:val="Emphasis"/>
        </w:rPr>
        <w:t>Golden Sentry program</w:t>
      </w:r>
      <w:r>
        <w:t xml:space="preserve">. </w:t>
      </w:r>
      <w:r w:rsidRPr="00073FC3">
        <w:rPr>
          <w:rStyle w:val="StyleUnderline"/>
        </w:rPr>
        <w:t xml:space="preserve">EUM reduces the security risks involved in transfers of equipment and services, and assures that required export controls, physical security, and accountability requirements are </w:t>
      </w:r>
      <w:r>
        <w:t xml:space="preserve">in place and </w:t>
      </w:r>
      <w:r w:rsidRPr="00073FC3">
        <w:rPr>
          <w:rStyle w:val="StyleUnderline"/>
        </w:rPr>
        <w:t>enforced.</w:t>
      </w:r>
      <w:r>
        <w:t xml:space="preserve"> The principal components of </w:t>
      </w:r>
      <w:r w:rsidRPr="00073FC3">
        <w:rPr>
          <w:rStyle w:val="StyleUnderline"/>
        </w:rPr>
        <w:t>Golden Sentry’s execution include</w:t>
      </w:r>
      <w:r>
        <w:t xml:space="preserve"> obtaining </w:t>
      </w:r>
      <w:r w:rsidRPr="00073FC3">
        <w:rPr>
          <w:rStyle w:val="StyleUnderline"/>
        </w:rPr>
        <w:t>pre-delivery end-user assurances from the recipient</w:t>
      </w:r>
      <w:r>
        <w:t xml:space="preserve"> governments and international </w:t>
      </w:r>
      <w:r w:rsidRPr="00073FC3">
        <w:rPr>
          <w:rStyle w:val="StyleUnderline"/>
        </w:rPr>
        <w:t xml:space="preserve">organizations regarding </w:t>
      </w:r>
      <w:r>
        <w:t xml:space="preserve">authorized </w:t>
      </w:r>
      <w:r w:rsidRPr="00073FC3">
        <w:rPr>
          <w:rStyle w:val="StyleUnderline"/>
        </w:rPr>
        <w:t>end-use, re-transfer restrictions, and protection of U.S.-origin defense equipment</w:t>
      </w:r>
      <w:r>
        <w:t xml:space="preserve">, </w:t>
      </w:r>
      <w:r w:rsidRPr="00073FC3">
        <w:rPr>
          <w:rStyle w:val="StyleUnderline"/>
        </w:rPr>
        <w:t>Routine and Enhanced end-use monitoring</w:t>
      </w:r>
      <w:r>
        <w:t xml:space="preserve"> by Security Cooperation Organizations assigned to U.S. Embassies worldwide to verify end-use, </w:t>
      </w:r>
      <w:r w:rsidRPr="00073FC3">
        <w:rPr>
          <w:rStyle w:val="StyleUnderline"/>
        </w:rPr>
        <w:t>accountability, and security of defense articles and services, and Compliance Assessment Visits</w:t>
      </w:r>
      <w:r>
        <w:t xml:space="preserve"> performed by the EUM Division personnel, Golden Sentry personnel from DSCA verify compliance with the end-use terms and conditions of sale and other transfer agreements.</w:t>
      </w:r>
    </w:p>
    <w:p w:rsidR="00C601A6" w:rsidRDefault="00C601A6" w:rsidP="00C601A6"/>
    <w:p w:rsidR="00C601A6" w:rsidRDefault="00C601A6" w:rsidP="00C601A6">
      <w:pPr>
        <w:pStyle w:val="Heading4"/>
      </w:pPr>
      <w:r>
        <w:t xml:space="preserve">What is the </w:t>
      </w:r>
      <w:proofErr w:type="spellStart"/>
      <w:r>
        <w:t>DoS’s</w:t>
      </w:r>
      <w:proofErr w:type="spellEnd"/>
      <w:r>
        <w:t xml:space="preserve"> Blue Lantern Program?</w:t>
      </w:r>
    </w:p>
    <w:p w:rsidR="00C601A6" w:rsidRPr="00073FC3" w:rsidRDefault="00F706A8" w:rsidP="00C601A6">
      <w:pPr>
        <w:rPr>
          <w:color w:val="2E74B5" w:themeColor="accent1" w:themeShade="BF"/>
          <w:u w:val="single"/>
        </w:rPr>
      </w:pPr>
      <w:hyperlink r:id="rId8" w:history="1">
        <w:r w:rsidR="00C601A6" w:rsidRPr="00073FC3">
          <w:rPr>
            <w:rStyle w:val="Hyperlink"/>
            <w:color w:val="2E74B5" w:themeColor="accent1" w:themeShade="BF"/>
            <w:u w:val="single"/>
          </w:rPr>
          <w:t>https://www.discs.dsca.mil/documents/greenbook/18_Chapter.pdf?id=1</w:t>
        </w:r>
      </w:hyperlink>
      <w:r w:rsidR="00C601A6" w:rsidRPr="00073FC3">
        <w:rPr>
          <w:color w:val="2E74B5" w:themeColor="accent1" w:themeShade="BF"/>
          <w:u w:val="single"/>
        </w:rPr>
        <w:t xml:space="preserve"> </w:t>
      </w:r>
    </w:p>
    <w:p w:rsidR="00C601A6" w:rsidRDefault="00C601A6" w:rsidP="00C601A6">
      <w:r w:rsidRPr="00073FC3">
        <w:rPr>
          <w:rStyle w:val="Emphasis"/>
        </w:rPr>
        <w:t>Department of State’s Blue Lantern Program</w:t>
      </w:r>
      <w:r>
        <w:rPr>
          <w:rStyle w:val="Emphasis"/>
        </w:rPr>
        <w:t xml:space="preserve"> </w:t>
      </w:r>
      <w:proofErr w:type="gramStart"/>
      <w:r>
        <w:t>The</w:t>
      </w:r>
      <w:proofErr w:type="gramEnd"/>
      <w:r>
        <w:t xml:space="preserve"> Blue Lantern program fulfills requirements stipulated in Section 40A of the Arms Export Control Act (AECA) (22 U.S.C. 2785). The program </w:t>
      </w:r>
      <w:r w:rsidRPr="00073FC3">
        <w:rPr>
          <w:rStyle w:val="StyleUnderline"/>
        </w:rPr>
        <w:t>monitors the end-use of defense articles, technical data,</w:t>
      </w:r>
      <w:r>
        <w:rPr>
          <w:rStyle w:val="StyleUnderline"/>
        </w:rPr>
        <w:t xml:space="preserve"> </w:t>
      </w:r>
      <w:r w:rsidRPr="00073FC3">
        <w:rPr>
          <w:rStyle w:val="StyleUnderline"/>
        </w:rPr>
        <w:t>services, and brokering activities exported through commercial channels and subject to Department of</w:t>
      </w:r>
      <w:r>
        <w:rPr>
          <w:rStyle w:val="StyleUnderline"/>
        </w:rPr>
        <w:t xml:space="preserve"> </w:t>
      </w:r>
      <w:r w:rsidRPr="00073FC3">
        <w:rPr>
          <w:rStyle w:val="StyleUnderline"/>
        </w:rPr>
        <w:t>State licenses or other approvals</w:t>
      </w:r>
      <w:r>
        <w:t xml:space="preserve"> under Section 38 of the AECA and the International Traffic in Arms Regulations (ITAR) (22 CFR Parts 120-130), which implement Section 38 of the AECA. The Blue Lantern program is managed by the Regional Affairs and Analysis Division (RAA), Office of Defense Trade Controls Policy (DTCP), Directorate of Defense Trade Controls (</w:t>
      </w:r>
      <w:proofErr w:type="spellStart"/>
      <w:r>
        <w:t>DDTC</w:t>
      </w:r>
      <w:proofErr w:type="spellEnd"/>
      <w:r>
        <w:t xml:space="preserve">), Bureau of </w:t>
      </w:r>
      <w:proofErr w:type="spellStart"/>
      <w:r>
        <w:t>PoliticalMilitary</w:t>
      </w:r>
      <w:proofErr w:type="spellEnd"/>
      <w:r>
        <w:t xml:space="preserve"> Affairs (PM). </w:t>
      </w:r>
      <w:r w:rsidRPr="00073FC3">
        <w:rPr>
          <w:rStyle w:val="StyleUnderline"/>
        </w:rPr>
        <w:t>Blue Lantern’s mission is to help ensure the security and integrity of U.S. defense trade</w:t>
      </w:r>
      <w:r>
        <w:t xml:space="preserve">. </w:t>
      </w:r>
      <w:r w:rsidRPr="00073FC3">
        <w:rPr>
          <w:rStyle w:val="StyleUnderline"/>
        </w:rPr>
        <w:t>Blue</w:t>
      </w:r>
      <w:r>
        <w:rPr>
          <w:rStyle w:val="StyleUnderline"/>
        </w:rPr>
        <w:t xml:space="preserve"> </w:t>
      </w:r>
      <w:r w:rsidRPr="00073FC3">
        <w:rPr>
          <w:rStyle w:val="StyleUnderline"/>
        </w:rPr>
        <w:t>Lantern prevents diversion and unauthorized use of U.S. defense articles, combats gray arms trafficking,</w:t>
      </w:r>
      <w:r>
        <w:rPr>
          <w:rStyle w:val="StyleUnderline"/>
        </w:rPr>
        <w:t xml:space="preserve"> </w:t>
      </w:r>
      <w:r w:rsidRPr="00073FC3">
        <w:rPr>
          <w:rStyle w:val="StyleUnderline"/>
        </w:rPr>
        <w:t>uncovers violations of the AECA, and builds confidence and cooperation among defense trade partners.</w:t>
      </w:r>
      <w:r>
        <w:rPr>
          <w:rStyle w:val="StyleUnderline"/>
        </w:rPr>
        <w:t xml:space="preserve"> </w:t>
      </w:r>
      <w:r w:rsidRPr="00073FC3">
        <w:rPr>
          <w:rStyle w:val="StyleUnderline"/>
        </w:rPr>
        <w:t>Blue Lantern end-use monitoring includes pre-license, post-license, and post-shipment checks</w:t>
      </w:r>
      <w:r>
        <w:rPr>
          <w:rStyle w:val="StyleUnderline"/>
        </w:rPr>
        <w:t xml:space="preserve"> </w:t>
      </w:r>
      <w:r w:rsidRPr="00073FC3">
        <w:rPr>
          <w:rStyle w:val="StyleUnderline"/>
        </w:rPr>
        <w:t>to</w:t>
      </w:r>
      <w:r w:rsidRPr="00073FC3">
        <w:t xml:space="preserve"> verify the bona fides of foreign consignees and end-users</w:t>
      </w:r>
      <w:r>
        <w:t xml:space="preserve">, confirm the legitimacy of proposed transactions, and </w:t>
      </w:r>
      <w:r w:rsidRPr="00073FC3">
        <w:rPr>
          <w:rStyle w:val="StyleUnderline"/>
        </w:rPr>
        <w:t>provide reasonable assurance that:</w:t>
      </w:r>
      <w:r>
        <w:rPr>
          <w:rStyle w:val="StyleUnderline"/>
        </w:rPr>
        <w:t xml:space="preserve"> </w:t>
      </w:r>
      <w:r>
        <w:t xml:space="preserve">• </w:t>
      </w:r>
      <w:r w:rsidRPr="00073FC3">
        <w:rPr>
          <w:rStyle w:val="StyleUnderline"/>
        </w:rPr>
        <w:t>the recipient is complying with the requirements imposed by the United States Government</w:t>
      </w:r>
      <w:r>
        <w:t xml:space="preserve"> with respect to use, transfers, and security of defense articles and defense services; and • </w:t>
      </w:r>
      <w:r w:rsidRPr="00073FC3">
        <w:rPr>
          <w:rStyle w:val="StyleUnderline"/>
        </w:rPr>
        <w:t xml:space="preserve">such articles and services are being used for the purposes for which they are </w:t>
      </w:r>
      <w:r w:rsidRPr="00073FC3">
        <w:rPr>
          <w:rStyle w:val="StyleUnderline"/>
        </w:rPr>
        <w:lastRenderedPageBreak/>
        <w:t>provided.</w:t>
      </w:r>
      <w:r>
        <w:rPr>
          <w:rStyle w:val="StyleUnderline"/>
        </w:rPr>
        <w:t xml:space="preserve"> </w:t>
      </w:r>
      <w:r>
        <w:t xml:space="preserve">The Chief of Mission can request assistance from the SCO to conduct Blue Lantern checks in country. If there are expected temporary duty (TDY) costs, the SCO should request funding as an Unfunded Requirement (UFR) from the CCMD. For more information on this program visit the PM DDTC website at: www.pmddtc.state.gov. </w:t>
      </w:r>
    </w:p>
    <w:p w:rsidR="00C601A6" w:rsidRDefault="00C601A6" w:rsidP="00C601A6"/>
    <w:p w:rsidR="00C601A6" w:rsidRDefault="00C601A6" w:rsidP="00C601A6">
      <w:pPr>
        <w:pStyle w:val="Heading4"/>
      </w:pPr>
      <w:r>
        <w:t xml:space="preserve">What is the </w:t>
      </w:r>
      <w:proofErr w:type="spellStart"/>
      <w:r>
        <w:t>DoC’s</w:t>
      </w:r>
      <w:proofErr w:type="spellEnd"/>
      <w:r>
        <w:t xml:space="preserve"> </w:t>
      </w:r>
      <w:proofErr w:type="spellStart"/>
      <w:r>
        <w:t>EUM</w:t>
      </w:r>
      <w:proofErr w:type="spellEnd"/>
      <w:r>
        <w:t xml:space="preserve"> Program?</w:t>
      </w:r>
    </w:p>
    <w:p w:rsidR="00C601A6" w:rsidRPr="00073FC3" w:rsidRDefault="00F706A8" w:rsidP="00C601A6">
      <w:pPr>
        <w:rPr>
          <w:color w:val="2E74B5" w:themeColor="accent1" w:themeShade="BF"/>
          <w:u w:val="single"/>
        </w:rPr>
      </w:pPr>
      <w:hyperlink r:id="rId9" w:history="1">
        <w:r w:rsidR="00C601A6" w:rsidRPr="00073FC3">
          <w:rPr>
            <w:rStyle w:val="Hyperlink"/>
            <w:color w:val="2E74B5" w:themeColor="accent1" w:themeShade="BF"/>
            <w:u w:val="single"/>
          </w:rPr>
          <w:t>https://www.discs.dsca.mil/documents/greenbook/18_Chapter.pdf?id=1</w:t>
        </w:r>
      </w:hyperlink>
      <w:r w:rsidR="00C601A6" w:rsidRPr="00073FC3">
        <w:rPr>
          <w:color w:val="2E74B5" w:themeColor="accent1" w:themeShade="BF"/>
          <w:u w:val="single"/>
        </w:rPr>
        <w:t xml:space="preserve"> </w:t>
      </w:r>
    </w:p>
    <w:p w:rsidR="00C601A6" w:rsidRPr="00073FC3" w:rsidRDefault="00C601A6" w:rsidP="00C601A6">
      <w:r w:rsidRPr="00073FC3">
        <w:rPr>
          <w:rStyle w:val="StyleUnderline"/>
        </w:rPr>
        <w:t xml:space="preserve">The </w:t>
      </w:r>
      <w:r w:rsidRPr="001269C6">
        <w:rPr>
          <w:rStyle w:val="Emphasis"/>
        </w:rPr>
        <w:t>U.S. Department of Commerce</w:t>
      </w:r>
      <w:r w:rsidRPr="00073FC3">
        <w:rPr>
          <w:rStyle w:val="StyleUnderline"/>
        </w:rPr>
        <w:t xml:space="preserve"> (</w:t>
      </w:r>
      <w:proofErr w:type="spellStart"/>
      <w:r w:rsidRPr="00073FC3">
        <w:rPr>
          <w:rStyle w:val="StyleUnderline"/>
        </w:rPr>
        <w:t>DoC</w:t>
      </w:r>
      <w:proofErr w:type="spellEnd"/>
      <w:r w:rsidRPr="00073FC3">
        <w:rPr>
          <w:rStyle w:val="StyleUnderline"/>
        </w:rPr>
        <w:t>) also has a program driven by End-Use Monitoring</w:t>
      </w:r>
      <w:r>
        <w:rPr>
          <w:rStyle w:val="StyleUnderline"/>
        </w:rPr>
        <w:t xml:space="preserve"> </w:t>
      </w:r>
      <w:r w:rsidRPr="00073FC3">
        <w:rPr>
          <w:rStyle w:val="StyleUnderline"/>
        </w:rPr>
        <w:t>requirements</w:t>
      </w:r>
      <w:r>
        <w:t xml:space="preserve">. For DOC, </w:t>
      </w:r>
      <w:r w:rsidRPr="00FB6846">
        <w:rPr>
          <w:rStyle w:val="StyleUnderline"/>
        </w:rPr>
        <w:t>the concern lies with articles listed on the Commerce Control List (CCL), and,</w:t>
      </w:r>
      <w:r>
        <w:rPr>
          <w:rStyle w:val="StyleUnderline"/>
        </w:rPr>
        <w:t xml:space="preserve"> </w:t>
      </w:r>
      <w:r w:rsidRPr="00FB6846">
        <w:rPr>
          <w:rStyle w:val="StyleUnderline"/>
        </w:rPr>
        <w:t xml:space="preserve">more recently, items that have been moved off the U.S. Munitions List to the CCL. This includes </w:t>
      </w:r>
      <w:proofErr w:type="spellStart"/>
      <w:r w:rsidRPr="00FB6846">
        <w:rPr>
          <w:rStyle w:val="StyleUnderline"/>
        </w:rPr>
        <w:t>socalled</w:t>
      </w:r>
      <w:proofErr w:type="spellEnd"/>
      <w:r w:rsidRPr="00FB6846">
        <w:rPr>
          <w:rStyle w:val="StyleUnderline"/>
        </w:rPr>
        <w:t xml:space="preserve"> “dual-use” items</w:t>
      </w:r>
      <w:r>
        <w:t xml:space="preserve"> (items that may have both a civilian use and a military use) transferred by U.S. industry to a foreign nation via the Export Administration Regulation (EAR). </w:t>
      </w:r>
      <w:proofErr w:type="spellStart"/>
      <w:r w:rsidRPr="00FB6846">
        <w:rPr>
          <w:rStyle w:val="StyleUnderline"/>
        </w:rPr>
        <w:t>DoC</w:t>
      </w:r>
      <w:proofErr w:type="spellEnd"/>
      <w:r>
        <w:t xml:space="preserve"> approves export licenses and </w:t>
      </w:r>
      <w:r w:rsidRPr="00FB6846">
        <w:rPr>
          <w:rStyle w:val="StyleUnderline"/>
        </w:rPr>
        <w:t>primarily focuses on “pre-delivery” controls</w:t>
      </w:r>
      <w:r>
        <w:t xml:space="preserve"> (licensing checks), </w:t>
      </w:r>
      <w:r w:rsidRPr="00FB6846">
        <w:rPr>
          <w:rStyle w:val="StyleUnderline"/>
        </w:rPr>
        <w:t>but also has established</w:t>
      </w:r>
      <w:r>
        <w:rPr>
          <w:rStyle w:val="StyleUnderline"/>
        </w:rPr>
        <w:t xml:space="preserve"> </w:t>
      </w:r>
      <w:r w:rsidRPr="00FB6846">
        <w:rPr>
          <w:rStyle w:val="StyleUnderline"/>
        </w:rPr>
        <w:t xml:space="preserve">a program for post-delivery inspections. </w:t>
      </w:r>
      <w:r>
        <w:t xml:space="preserve">Post-delivery inspections are performed by </w:t>
      </w:r>
      <w:proofErr w:type="spellStart"/>
      <w:r>
        <w:t>DoC’s</w:t>
      </w:r>
      <w:proofErr w:type="spellEnd"/>
      <w:r>
        <w:t xml:space="preserve"> Bureau of Industry and Security (BIS) managed by the Office of Enforcement Analysis (OEA), BIS Attachés, “Sentinel Teams” from </w:t>
      </w:r>
      <w:proofErr w:type="spellStart"/>
      <w:r>
        <w:t>DoC</w:t>
      </w:r>
      <w:proofErr w:type="spellEnd"/>
      <w:r>
        <w:t xml:space="preserve"> BIS, and U.S. Foreign and Commercial Service Officers. The Chief of Mission can request the SCO’s assistance in the </w:t>
      </w:r>
      <w:proofErr w:type="spellStart"/>
      <w:r>
        <w:t>DoC</w:t>
      </w:r>
      <w:proofErr w:type="spellEnd"/>
      <w:r>
        <w:t xml:space="preserve"> </w:t>
      </w:r>
      <w:proofErr w:type="spellStart"/>
      <w:r>
        <w:t>EUM</w:t>
      </w:r>
      <w:proofErr w:type="spellEnd"/>
      <w:r>
        <w:t xml:space="preserve"> in-country program. If there are expected temporary duty (TDY) costs, the SCO should request funding as an Unfunded Requirement (UFR) from the CCMD. </w:t>
      </w:r>
    </w:p>
    <w:p w:rsidR="00C601A6" w:rsidRDefault="00C601A6" w:rsidP="00C601A6">
      <w:pPr>
        <w:pStyle w:val="Heading4"/>
      </w:pPr>
      <w:r>
        <w:t>What Governs EUM?</w:t>
      </w:r>
    </w:p>
    <w:p w:rsidR="00C601A6" w:rsidRDefault="00F706A8" w:rsidP="00C601A6">
      <w:pPr>
        <w:rPr>
          <w:color w:val="0000FF"/>
          <w:u w:val="single"/>
        </w:rPr>
      </w:pPr>
      <w:hyperlink r:id="rId10" w:history="1">
        <w:r w:rsidR="00C601A6" w:rsidRPr="00881950">
          <w:rPr>
            <w:color w:val="0000FF"/>
            <w:u w:val="single"/>
          </w:rPr>
          <w:t>https://www.dsca.mil/about-us/end-use-monitoring-eum</w:t>
        </w:r>
      </w:hyperlink>
    </w:p>
    <w:p w:rsidR="00C601A6" w:rsidRDefault="00C601A6" w:rsidP="00C601A6">
      <w:r>
        <w:t xml:space="preserve">Legal Basis </w:t>
      </w:r>
      <w:proofErr w:type="gramStart"/>
      <w:r>
        <w:t>For</w:t>
      </w:r>
      <w:proofErr w:type="gramEnd"/>
      <w:r>
        <w:t xml:space="preserve"> EUM Programs</w:t>
      </w:r>
    </w:p>
    <w:p w:rsidR="00C601A6" w:rsidRPr="00073FC3" w:rsidRDefault="00C601A6" w:rsidP="00C601A6">
      <w:r w:rsidRPr="00073FC3">
        <w:rPr>
          <w:rStyle w:val="StyleUnderline"/>
        </w:rPr>
        <w:t>Section 40A of the Arms Export Control Act, as delegated to the Secretary of Defense by Executive Order 13637, requires the Department of Defense (</w:t>
      </w:r>
      <w:proofErr w:type="gramStart"/>
      <w:r w:rsidRPr="00073FC3">
        <w:rPr>
          <w:rStyle w:val="StyleUnderline"/>
        </w:rPr>
        <w:t>DoD</w:t>
      </w:r>
      <w:proofErr w:type="gramEnd"/>
      <w:r w:rsidRPr="00073FC3">
        <w:rPr>
          <w:rStyle w:val="StyleUnderline"/>
        </w:rPr>
        <w:t>) to perform End-Use Monitoring (EUM) of U.S. defense articles and defense services</w:t>
      </w:r>
      <w:r>
        <w:t>. The Secretary of Defense re-delegated this authority to the Director, Defense Security Cooperation Agency (DSCA) in DoD Directive 5105.65. To comply with Section 40A, the DSCA developed policy guidance in the Security Assistance Management Manual, DSCA Manual 5105.38-M, and established the Golden Sentry EUM program.</w:t>
      </w:r>
    </w:p>
    <w:p w:rsidR="00C601A6" w:rsidRDefault="00C601A6" w:rsidP="00C601A6">
      <w:pPr>
        <w:pStyle w:val="Heading4"/>
      </w:pPr>
      <w:r>
        <w:t>Rundown of U.S. EUM programs</w:t>
      </w:r>
    </w:p>
    <w:p w:rsidR="00C601A6" w:rsidRDefault="00C601A6" w:rsidP="00C601A6">
      <w:proofErr w:type="spellStart"/>
      <w:r w:rsidRPr="00C63359">
        <w:rPr>
          <w:rStyle w:val="Style13ptBold"/>
        </w:rPr>
        <w:t>Kaidanow</w:t>
      </w:r>
      <w:proofErr w:type="spellEnd"/>
      <w:r w:rsidRPr="00C63359">
        <w:rPr>
          <w:rStyle w:val="Style13ptBold"/>
        </w:rPr>
        <w:t xml:space="preserve"> ’17</w:t>
      </w:r>
      <w:r>
        <w:t xml:space="preserve"> [Tina S. </w:t>
      </w:r>
      <w:proofErr w:type="spellStart"/>
      <w:r>
        <w:t>Kaidanow</w:t>
      </w:r>
      <w:proofErr w:type="spellEnd"/>
      <w:r>
        <w:t>, Acting Assistant Secretary, Bureau of Political-Military Affairs, “Testimony: Foreign Military Sales: Process and Policy,” 6/15/17, https://www.state.gov/foreign-military-sales-process-and-policy/]</w:t>
      </w:r>
    </w:p>
    <w:p w:rsidR="00C601A6" w:rsidRPr="00C63359" w:rsidRDefault="00C601A6" w:rsidP="00C601A6">
      <w:pPr>
        <w:rPr>
          <w:sz w:val="12"/>
        </w:rPr>
      </w:pPr>
      <w:r w:rsidRPr="00C63359">
        <w:rPr>
          <w:sz w:val="12"/>
        </w:rPr>
        <w:t xml:space="preserve">End-Use Monitoring and Compliance I would like to conclude by discussing two essential aspects of U.S. arms transfers: end use monitoring and compliance. End-Use Monitoring </w:t>
      </w:r>
      <w:r w:rsidRPr="00C63359">
        <w:rPr>
          <w:rStyle w:val="StyleUnderline"/>
        </w:rPr>
        <w:t>End-use monitoring (EUM)</w:t>
      </w:r>
      <w:r w:rsidRPr="00C63359">
        <w:rPr>
          <w:sz w:val="12"/>
        </w:rPr>
        <w:t xml:space="preserve"> </w:t>
      </w:r>
      <w:r w:rsidRPr="00C63359">
        <w:rPr>
          <w:rStyle w:val="StyleUnderline"/>
        </w:rPr>
        <w:t>refers to</w:t>
      </w:r>
      <w:r w:rsidRPr="00C63359">
        <w:rPr>
          <w:sz w:val="12"/>
        </w:rPr>
        <w:t xml:space="preserve"> the </w:t>
      </w:r>
      <w:r w:rsidRPr="00C63359">
        <w:rPr>
          <w:rStyle w:val="StyleUnderline"/>
        </w:rPr>
        <w:t xml:space="preserve">steps we take to ensure that defense articles </w:t>
      </w:r>
      <w:r w:rsidRPr="00C63359">
        <w:rPr>
          <w:sz w:val="12"/>
        </w:rPr>
        <w:t xml:space="preserve">or services </w:t>
      </w:r>
      <w:r w:rsidRPr="00C63359">
        <w:rPr>
          <w:rStyle w:val="StyleUnderline"/>
        </w:rPr>
        <w:t>we have provided are used, secured, and accounted for, consistent with section 40(a) of the AECA, our license terms, and in accordance with our agreements with the foreign government or international organizations</w:t>
      </w:r>
      <w:r w:rsidRPr="00C63359">
        <w:rPr>
          <w:sz w:val="12"/>
        </w:rPr>
        <w:t xml:space="preserve">. Section 40A requires an </w:t>
      </w:r>
      <w:r w:rsidRPr="00C63359">
        <w:rPr>
          <w:rStyle w:val="StyleUnderline"/>
        </w:rPr>
        <w:t>EUM program</w:t>
      </w:r>
      <w:r w:rsidRPr="00C63359">
        <w:rPr>
          <w:sz w:val="12"/>
        </w:rPr>
        <w:t xml:space="preserve"> for defense articles and defense services sold, leased, or exported under the AECA or the FAA that </w:t>
      </w:r>
      <w:r w:rsidRPr="00C63359">
        <w:rPr>
          <w:rStyle w:val="StyleUnderline"/>
        </w:rPr>
        <w:t xml:space="preserve">is designed to provide reasonable assurance that </w:t>
      </w:r>
      <w:proofErr w:type="spellStart"/>
      <w:r w:rsidRPr="00C63359">
        <w:rPr>
          <w:rStyle w:val="StyleUnderline"/>
        </w:rPr>
        <w:t>i</w:t>
      </w:r>
      <w:proofErr w:type="spellEnd"/>
      <w:r w:rsidRPr="00C63359">
        <w:rPr>
          <w:rStyle w:val="StyleUnderline"/>
        </w:rPr>
        <w:t>) the recipient is complying with the requirements imposed by the United States Government with respect to use, transfers, and security</w:t>
      </w:r>
      <w:r w:rsidRPr="00C63359">
        <w:rPr>
          <w:sz w:val="12"/>
        </w:rPr>
        <w:t xml:space="preserve"> of defense articles and defense services; </w:t>
      </w:r>
      <w:r w:rsidRPr="00C63359">
        <w:rPr>
          <w:rStyle w:val="StyleUnderline"/>
        </w:rPr>
        <w:t>and ii) such articles and services are being used for the purposes for which they are provided.”</w:t>
      </w:r>
      <w:r w:rsidRPr="00C63359">
        <w:rPr>
          <w:sz w:val="12"/>
        </w:rPr>
        <w:t xml:space="preserve"> </w:t>
      </w:r>
      <w:r w:rsidRPr="00C63359">
        <w:rPr>
          <w:rStyle w:val="Emphasis"/>
        </w:rPr>
        <w:t>The U.S. government has three EUM programs</w:t>
      </w:r>
      <w:r w:rsidRPr="00C63359">
        <w:rPr>
          <w:sz w:val="12"/>
        </w:rPr>
        <w:t xml:space="preserve"> for defense articles, technology, or services. EUM for USML articles and services exported via </w:t>
      </w:r>
      <w:r w:rsidRPr="00C63359">
        <w:rPr>
          <w:rStyle w:val="Emphasis"/>
        </w:rPr>
        <w:t>DCS</w:t>
      </w:r>
      <w:r w:rsidRPr="00C63359">
        <w:rPr>
          <w:rStyle w:val="StyleUnderline"/>
        </w:rPr>
        <w:t xml:space="preserve"> is implemented via</w:t>
      </w:r>
      <w:r w:rsidRPr="00C63359">
        <w:rPr>
          <w:sz w:val="12"/>
        </w:rPr>
        <w:t xml:space="preserve"> DDTC’s </w:t>
      </w:r>
      <w:r w:rsidRPr="00C63359">
        <w:rPr>
          <w:rStyle w:val="StyleUnderline"/>
        </w:rPr>
        <w:t xml:space="preserve">Blue Lantern </w:t>
      </w:r>
      <w:r w:rsidRPr="00C63359">
        <w:rPr>
          <w:sz w:val="12"/>
        </w:rPr>
        <w:t xml:space="preserve">program. Blue Lantern’s mission is to help ensure the security and integrity of U.S. defense trade. </w:t>
      </w:r>
      <w:r w:rsidRPr="00C63359">
        <w:rPr>
          <w:rStyle w:val="StyleUnderline"/>
        </w:rPr>
        <w:t>Blue Lantern helps prevent the diversion and unauthorized use of U.S. defense articles exported through DCS, combats gray arms trafficking, uncovers violations of the AECA, and builds confidence and cooperation among defense trade partners</w:t>
      </w:r>
      <w:r w:rsidRPr="00C63359">
        <w:rPr>
          <w:sz w:val="12"/>
        </w:rPr>
        <w:t xml:space="preserve">. </w:t>
      </w:r>
      <w:r w:rsidRPr="00C63359">
        <w:rPr>
          <w:rStyle w:val="StyleUnderline"/>
        </w:rPr>
        <w:t>Blue Lantern end-use monitoring includes pre-license, post-license, and post-shipment checks to verify the bona fides of foreign consignees and end-users, to confirm the legitimacy of proposed transactions, and to verify compliance with U.S. defense export rules and policies. Blue Lantern checks are typically conducted by U.S. embassy and consulate staff in over 100 countries every year. An unfavorable Blue Lantern determination may result in the denial or revocation of a license, entry on DDTC’s Watch List, or, if there is evidence of possible criminal activity, referral to Homeland Security Investigations (HSI) or the FBI</w:t>
      </w:r>
      <w:r w:rsidRPr="00C63359">
        <w:rPr>
          <w:sz w:val="12"/>
        </w:rPr>
        <w:t xml:space="preserve">. </w:t>
      </w:r>
      <w:r w:rsidRPr="00C63359">
        <w:rPr>
          <w:rStyle w:val="StyleUnderline"/>
        </w:rPr>
        <w:t xml:space="preserve">For </w:t>
      </w:r>
      <w:r w:rsidRPr="00C63359">
        <w:rPr>
          <w:rStyle w:val="Emphasis"/>
        </w:rPr>
        <w:t>FMS cases</w:t>
      </w:r>
      <w:r w:rsidRPr="00C63359">
        <w:rPr>
          <w:sz w:val="12"/>
        </w:rPr>
        <w:t xml:space="preserve">, </w:t>
      </w:r>
      <w:r w:rsidRPr="00C63359">
        <w:rPr>
          <w:rStyle w:val="StyleUnderline"/>
        </w:rPr>
        <w:t>EUM is conducted via</w:t>
      </w:r>
      <w:r w:rsidRPr="00C63359">
        <w:rPr>
          <w:sz w:val="12"/>
        </w:rPr>
        <w:t xml:space="preserve"> DSCA’s </w:t>
      </w:r>
      <w:r w:rsidRPr="00C63359">
        <w:rPr>
          <w:rStyle w:val="StyleUnderline"/>
        </w:rPr>
        <w:t>Golden Sentry</w:t>
      </w:r>
      <w:r w:rsidRPr="00C63359">
        <w:rPr>
          <w:sz w:val="12"/>
        </w:rPr>
        <w:t xml:space="preserve"> program. </w:t>
      </w:r>
      <w:r w:rsidRPr="00C63359">
        <w:rPr>
          <w:rStyle w:val="StyleUnderline"/>
        </w:rPr>
        <w:t>The principal components of Golden Sentry’s execution include obtaining pre-delivery end-user assurances from the recipient governments and international organizations regarding authorized end-use, re-transfer restrictions, and protection of U.S.-origin defense equipment</w:t>
      </w:r>
      <w:r w:rsidRPr="00C63359">
        <w:rPr>
          <w:sz w:val="12"/>
        </w:rPr>
        <w:t xml:space="preserve">. Routine and Enhanced end-use monitoring by security cooperation organizations assigned to U.S. embassies worldwide verify end-use, accountability, and security of defense articles and services. </w:t>
      </w:r>
      <w:r w:rsidRPr="00C63359">
        <w:rPr>
          <w:rStyle w:val="StyleUnderline"/>
        </w:rPr>
        <w:t xml:space="preserve">Compliance Assessment Visits performed by the EUM Division personnel are also central </w:t>
      </w:r>
      <w:r w:rsidRPr="00C63359">
        <w:rPr>
          <w:sz w:val="12"/>
        </w:rPr>
        <w:t xml:space="preserve">to the Golden Sentry program. Golden Sentry personnel from DSCA verify compliance with the end-use terms and conditions of sale and other transfer agreements. </w:t>
      </w:r>
      <w:r w:rsidRPr="00C63359">
        <w:rPr>
          <w:rStyle w:val="StyleUnderline"/>
        </w:rPr>
        <w:t xml:space="preserve">Certain defense articles require specialized physical security and accounting. For these highly sensitive items, the Golden Sentry </w:t>
      </w:r>
      <w:r w:rsidRPr="00C63359">
        <w:rPr>
          <w:rStyle w:val="StyleUnderline"/>
        </w:rPr>
        <w:lastRenderedPageBreak/>
        <w:t>program conducts specialized Enhanced End Use Monitoring</w:t>
      </w:r>
      <w:r w:rsidRPr="00C63359">
        <w:rPr>
          <w:sz w:val="12"/>
        </w:rPr>
        <w:t xml:space="preserve"> (EEUM) – a program that requires </w:t>
      </w:r>
      <w:proofErr w:type="gramStart"/>
      <w:r w:rsidRPr="00C63359">
        <w:rPr>
          <w:sz w:val="12"/>
        </w:rPr>
        <w:t>DoD</w:t>
      </w:r>
      <w:proofErr w:type="gramEnd"/>
      <w:r w:rsidRPr="00C63359">
        <w:rPr>
          <w:sz w:val="12"/>
        </w:rPr>
        <w:t xml:space="preserve"> security cooperation officers at our embassies to conduct EEUM through planned and coordinated visits to host nation installations, where they verify by serial number a 100 percent inventory of EEUM-designated items on an annual basis. Compliance </w:t>
      </w:r>
      <w:proofErr w:type="gramStart"/>
      <w:r w:rsidRPr="00C63359">
        <w:rPr>
          <w:sz w:val="12"/>
        </w:rPr>
        <w:t>There</w:t>
      </w:r>
      <w:proofErr w:type="gramEnd"/>
      <w:r w:rsidRPr="00C63359">
        <w:rPr>
          <w:sz w:val="12"/>
        </w:rPr>
        <w:t xml:space="preserve"> are two aspects of compliance I would like to touch on today. The first relates to foreign partner nations, and the second to foreign and U.S. commercial entities. </w:t>
      </w:r>
      <w:r w:rsidRPr="00C63359">
        <w:rPr>
          <w:rStyle w:val="StyleUnderline"/>
        </w:rPr>
        <w:t>If our EUM checks determine that an unauthorized third party transfer has occurred, or that previously-transferred sensitive U.S. technology has been exploited, we may be required under section 3 of the AECA to make a report to Congress regarding the violation of our agreement with the foreign entity</w:t>
      </w:r>
      <w:r w:rsidRPr="00C63359">
        <w:rPr>
          <w:sz w:val="12"/>
        </w:rPr>
        <w:t xml:space="preserve">. </w:t>
      </w:r>
      <w:r w:rsidRPr="00C63359">
        <w:rPr>
          <w:rStyle w:val="StyleUnderline"/>
        </w:rPr>
        <w:t>There are a number of steps we may take to address such situations, up to and including the suspension of defense sales or exports to the country in question.</w:t>
      </w:r>
      <w:r w:rsidRPr="00C63359">
        <w:rPr>
          <w:sz w:val="12"/>
        </w:rPr>
        <w:t xml:space="preserve"> Corporations involved in the defense trade are responsible for ensuring their compliance with the ITAR. Most U.S. defense manufacturers have personnel dedicated to ensuring such compliance, and we work with hundreds of companies each year to ensure they are aware of the requirements and to address any compliance issues that may arise. </w:t>
      </w:r>
      <w:r w:rsidRPr="00C63359">
        <w:rPr>
          <w:rStyle w:val="StyleUnderline"/>
        </w:rPr>
        <w:t>When significant lapses in compliance occur in the context of DCS transactions, the AECA authorizes a number of options for the U.S. government. These include pursuit of civil cases against companies or individuals who have violated the ITAR, potentially resulting in fines or export restrictions, as well as criminal penalties implemented by our law enforcement partners</w:t>
      </w:r>
      <w:r w:rsidRPr="00C63359">
        <w:rPr>
          <w:sz w:val="12"/>
        </w:rPr>
        <w:t xml:space="preserve"> and the Department of Justice, if warranted. Our civil cases most frequently result in administrative settlements, which often include Department oversight of the steps the company takes to address the cause of their lapse in compliance. The Department may waive or reduce a civil monetary penalty when companies agree to implement compliance-improvement measures. In cases where criminal conduct has occurred, we assist our law enforcement partners, including the HSI and FBI, to support criminal proceedings by the Department of Justice.</w:t>
      </w:r>
    </w:p>
    <w:p w:rsidR="00C601A6" w:rsidRDefault="00C601A6" w:rsidP="00C601A6">
      <w:pPr>
        <w:pStyle w:val="Heading2"/>
      </w:pPr>
      <w:r>
        <w:lastRenderedPageBreak/>
        <w:t>1nc</w:t>
      </w:r>
      <w:r w:rsidR="00544BE4">
        <w:t xml:space="preserve"> – Shell</w:t>
      </w:r>
    </w:p>
    <w:p w:rsidR="00C601A6" w:rsidRDefault="00C601A6" w:rsidP="00C601A6">
      <w:pPr>
        <w:pStyle w:val="Heading4"/>
      </w:pPr>
      <w:r>
        <w:t xml:space="preserve">Text: The United States federal government should require all end-use monitoring of Direct Commercial and Foreign Military Sales of arms from the United States be conducted via harmonization of both the Department of Defense and Department of State’s monitoring programs, require increased public transparency throughout the end-use monitoring process, and increase training for applicable Department of Defense and Department of State personnel. </w:t>
      </w:r>
    </w:p>
    <w:p w:rsidR="00C601A6" w:rsidRPr="00F1792D" w:rsidRDefault="00C601A6" w:rsidP="00C601A6"/>
    <w:p w:rsidR="00C601A6" w:rsidRDefault="00C601A6" w:rsidP="00C601A6">
      <w:pPr>
        <w:pStyle w:val="Heading4"/>
      </w:pPr>
      <w:r>
        <w:t xml:space="preserve">Status quo EUM is plagued by inefficiencies and potential shifts from the Trump administration. Incoming regulatory changes will open the floodgates for small arms proliferation and drastically undermine existing EUM frameworks. The counterplan harmonizes EUM which resolves any </w:t>
      </w:r>
      <w:proofErr w:type="spellStart"/>
      <w:r>
        <w:t>aff</w:t>
      </w:r>
      <w:proofErr w:type="spellEnd"/>
      <w:r>
        <w:t xml:space="preserve"> turns.</w:t>
      </w:r>
    </w:p>
    <w:p w:rsidR="00C601A6" w:rsidRDefault="00C601A6" w:rsidP="00C601A6">
      <w:r w:rsidRPr="009A13FF">
        <w:rPr>
          <w:rStyle w:val="Style13ptBold"/>
        </w:rPr>
        <w:t>Abramson ’19</w:t>
      </w:r>
      <w:r>
        <w:t xml:space="preserve"> [The House Foreign Affairs Subcommittee on Oversight and Investigations “Proposed Small Arms Transfers: Big Implications for U.S. Foreign Policy”, Testimony by Jeff Abramson, Senior Fellow Arms Control Association, 3/26/19, </w:t>
      </w:r>
      <w:hyperlink r:id="rId11" w:history="1">
        <w:r w:rsidRPr="000017AB">
          <w:rPr>
            <w:rStyle w:val="Hyperlink"/>
          </w:rPr>
          <w:t>https://www.armscontrol.org/blog/2019-03-26/abramson-testimony-proposed-small-arms-transfers</w:t>
        </w:r>
      </w:hyperlink>
      <w:r>
        <w:t xml:space="preserve">, </w:t>
      </w:r>
      <w:proofErr w:type="spellStart"/>
      <w:r>
        <w:t>cs</w:t>
      </w:r>
      <w:proofErr w:type="spellEnd"/>
      <w:r>
        <w:t>]</w:t>
      </w:r>
    </w:p>
    <w:p w:rsidR="00C601A6" w:rsidRPr="00606CD3" w:rsidRDefault="00C601A6" w:rsidP="00C601A6">
      <w:r w:rsidRPr="009A13FF">
        <w:rPr>
          <w:sz w:val="12"/>
        </w:rPr>
        <w:t xml:space="preserve">Good morning, Chair </w:t>
      </w:r>
      <w:proofErr w:type="spellStart"/>
      <w:r w:rsidRPr="009A13FF">
        <w:rPr>
          <w:sz w:val="12"/>
        </w:rPr>
        <w:t>Bera</w:t>
      </w:r>
      <w:proofErr w:type="spellEnd"/>
      <w:r w:rsidRPr="009A13FF">
        <w:rPr>
          <w:sz w:val="12"/>
        </w:rPr>
        <w:t xml:space="preserve"> and Ranking Member </w:t>
      </w:r>
      <w:proofErr w:type="spellStart"/>
      <w:r w:rsidRPr="009A13FF">
        <w:rPr>
          <w:sz w:val="12"/>
        </w:rPr>
        <w:t>Zeldin</w:t>
      </w:r>
      <w:proofErr w:type="spellEnd"/>
      <w:r w:rsidRPr="009A13FF">
        <w:rPr>
          <w:sz w:val="12"/>
        </w:rPr>
        <w:t xml:space="preserve">. It is a privilege to testify before this Committee and discuss concerns about how the United States exports some of the weapons most used in violence around the world and proposed changes that I fear could lead to greater human suffering.1 To sum up my forthcoming remarks in just a few lines: The weapons and ammunition that are currently controlled under U.S. Munition List Categories I-III belong there and should stay there. There are many concerns about the administration’s proposal to move semiautomatic and select other weapons to the Commerce Control List, from arms control, human rights, and gun safety groups, to mention a few. </w:t>
      </w:r>
      <w:r w:rsidRPr="0023718F">
        <w:rPr>
          <w:rStyle w:val="StyleUnderline"/>
        </w:rPr>
        <w:t>The best way to move forward is to strengthen the State Department's capacity and for Congress to better use its authority, not to transfer responsibility to an arm of the executive branch</w:t>
      </w:r>
      <w:r w:rsidRPr="009A13FF">
        <w:rPr>
          <w:sz w:val="12"/>
        </w:rPr>
        <w:t xml:space="preserve"> whose mission is to promote sales and for Congress to abdicate oversight. Where we are today </w:t>
      </w:r>
      <w:proofErr w:type="gramStart"/>
      <w:r w:rsidRPr="0023718F">
        <w:rPr>
          <w:rStyle w:val="StyleUnderline"/>
        </w:rPr>
        <w:t>Under</w:t>
      </w:r>
      <w:proofErr w:type="gramEnd"/>
      <w:r w:rsidRPr="0023718F">
        <w:rPr>
          <w:rStyle w:val="StyleUnderline"/>
        </w:rPr>
        <w:t xml:space="preserve"> the current system, the State Department regulates the export of military equipment and the Commerce Department controls</w:t>
      </w:r>
      <w:r w:rsidRPr="009A13FF">
        <w:rPr>
          <w:sz w:val="12"/>
        </w:rPr>
        <w:t xml:space="preserve"> so-called </w:t>
      </w:r>
      <w:r w:rsidRPr="0023718F">
        <w:rPr>
          <w:rStyle w:val="StyleUnderline"/>
        </w:rPr>
        <w:t>dual use items. The State Department employs more vigorous oversight powers than the Commerce Department, including a registration regime</w:t>
      </w:r>
      <w:r w:rsidRPr="009A13FF">
        <w:rPr>
          <w:sz w:val="12"/>
        </w:rPr>
        <w:t xml:space="preserve"> that provides insight into the manufacturing of weapons. The Export Control Reform Initiative, begun under the Obama administration, upended this arrangement, transferring licensing authority for a significant percentage of military equipment to the Commerce Department. The rationale for the shift was that the State Department should focus on weapons that provide the United States with a critical military or intelligence advantage or are inherently for military end use. </w:t>
      </w:r>
      <w:r w:rsidRPr="0023718F">
        <w:rPr>
          <w:rStyle w:val="StyleUnderline"/>
        </w:rPr>
        <w:t>Most Commerce-licensed items, however, are not subject to Congressional notification requirements or the prohibition on further transfers to governments that misuse U.S. weapons. Such misuse appears to have recently occurred with Saudi Arabia and the United Arab Emirates</w:t>
      </w:r>
      <w:r w:rsidRPr="009A13FF">
        <w:rPr>
          <w:sz w:val="12"/>
        </w:rPr>
        <w:t xml:space="preserve">, who reportedly transferred U.S. weapons to al Qaeda -linked militias in Yemen.2 During the previous administration, however, the first three categories of the U.S. Munitions List, addressing firearms and their ammunition, were not changed, perhaps because those leaders correctly understood the unique dangers these weapons posed and that the logic behind the reform initiative did not apply well to them. </w:t>
      </w:r>
      <w:r w:rsidRPr="0023718F">
        <w:rPr>
          <w:rStyle w:val="StyleUnderline"/>
        </w:rPr>
        <w:t xml:space="preserve">Last year, the government's approach changed. The Trump administration proposed new rules that would move semi-automatic and certain </w:t>
      </w:r>
      <w:proofErr w:type="spellStart"/>
      <w:r w:rsidRPr="0023718F">
        <w:rPr>
          <w:rStyle w:val="StyleUnderline"/>
        </w:rPr>
        <w:t>nonautomatic</w:t>
      </w:r>
      <w:proofErr w:type="spellEnd"/>
      <w:r w:rsidRPr="0023718F">
        <w:rPr>
          <w:rStyle w:val="StyleUnderline"/>
        </w:rPr>
        <w:t xml:space="preserve"> weapons and their ammunition, as well as some other weapons to Commerce Department control</w:t>
      </w:r>
      <w:r w:rsidRPr="009A13FF">
        <w:rPr>
          <w:sz w:val="12"/>
        </w:rPr>
        <w:t xml:space="preserve">. This generated thousands of public comments, the majority of which were negative.3 Early last month, the administration presented revised versions of those rules that that mostly ignored expressed concerns and started a 30-day Congressional review before the rules could be officially published. In late February, Senator Robert Menendez sent a letter to Secretary of State Mike Pompeo placing a hold on the proposed rules change, giving Congress time to act. We commend Representative Norma Torres, and co-sponsor Chairman Eliot Engel for introducing H.R. 1134, the "Prevent Crime and Terrorism Act," which would keep the control lists from changing. In the Senate, Menendez, Ranking Member of the Senate Foreign Relations Committee, introduced S.459, the "Stopping the Traffic in Overseas Proliferation of Ghost Guns Act," which also prohibits the changes. These legislative efforts have the backing of a wide range of civil society organizations, including Amnesty International USA, Brady, </w:t>
      </w:r>
      <w:proofErr w:type="spellStart"/>
      <w:r w:rsidRPr="009A13FF">
        <w:rPr>
          <w:sz w:val="12"/>
        </w:rPr>
        <w:t>Giffords</w:t>
      </w:r>
      <w:proofErr w:type="spellEnd"/>
      <w:r w:rsidRPr="009A13FF">
        <w:rPr>
          <w:sz w:val="12"/>
        </w:rPr>
        <w:t xml:space="preserve">, Global Exchange, the Violence Policy Center, and the Arms Control Association. Dangers of the new approach </w:t>
      </w:r>
      <w:proofErr w:type="gramStart"/>
      <w:r>
        <w:t>The</w:t>
      </w:r>
      <w:proofErr w:type="gramEnd"/>
      <w:r>
        <w:t xml:space="preserve"> </w:t>
      </w:r>
      <w:r w:rsidRPr="00606CD3">
        <w:rPr>
          <w:rStyle w:val="StyleUnderline"/>
        </w:rPr>
        <w:t>proposed regulatory changes are problematic</w:t>
      </w:r>
      <w:r>
        <w:t xml:space="preserve"> for several reasons. First, </w:t>
      </w:r>
      <w:r w:rsidRPr="004E3FF0">
        <w:rPr>
          <w:rStyle w:val="StyleUnderline"/>
        </w:rPr>
        <w:t>the types of weapons the administration wants to remove from State Department review and Congressional notification actually merit the tightest export control because of their real and potential role in fueling violence, including violence against U.S. military</w:t>
      </w:r>
      <w:r>
        <w:t xml:space="preserve"> and law enforcement personnel. Research indicates that </w:t>
      </w:r>
      <w:r w:rsidRPr="004E3FF0">
        <w:rPr>
          <w:rStyle w:val="StyleUnderline"/>
        </w:rPr>
        <w:t>the types of weapons being transferred to Commerce control</w:t>
      </w:r>
      <w:r>
        <w:t>—AR- and AK-type rifles and their ammunition—</w:t>
      </w:r>
      <w:r w:rsidRPr="004E3FF0">
        <w:rPr>
          <w:rStyle w:val="StyleUnderline"/>
        </w:rPr>
        <w:t>are “weapons of choice” of drug trafficking organizations in Mexico and other Central American countries</w:t>
      </w:r>
      <w:r>
        <w:t xml:space="preserve">.4 Many can also be easily converted to fully automatic weapons.5 Many sniper rifles that would be moved to Commerce control are currently in U.S. military use, again undermining the core distinction between these weapons. Second, the fact that these weapons may be widely available in the United States does not mean they should be widely exported. In many of the countries where these weapons are likely to be marketed, they are considered military weapons and are tightly controlled.6 As Kristen Rand of the Violence Policy Center argued in a press briefing earlier this month, "…the fact is that many of these guns and other weapons are identical or virtually identical to military firearms. The fact is that anyone can build their own army with guns you can buy retail in the United States."7 Third, </w:t>
      </w:r>
      <w:r w:rsidRPr="004E3FF0">
        <w:rPr>
          <w:rStyle w:val="StyleUnderline"/>
        </w:rPr>
        <w:t>by shifting licensing authority to the Commerce Department, these weapons will be removed from the statutory regime devised by Congress for these weapons</w:t>
      </w:r>
      <w:r>
        <w:t xml:space="preserve">. This has significant </w:t>
      </w:r>
      <w:r>
        <w:lastRenderedPageBreak/>
        <w:t xml:space="preserve">implications because </w:t>
      </w:r>
      <w:r w:rsidRPr="004E3FF0">
        <w:rPr>
          <w:rStyle w:val="StyleUnderline"/>
        </w:rPr>
        <w:t>there are a number of counterterrorism, humanitarian, and human rights provisions of the Foreign Assistance Act and the Arms Export Control Act that are all tied to the State Department’s control list</w:t>
      </w:r>
      <w:r>
        <w:t xml:space="preserve">. It would also undermine statutory prohibitions on transfers to specific countries, such as the Tiananmen Square sanctions.8 To begin with, </w:t>
      </w:r>
      <w:r w:rsidRPr="004E3FF0">
        <w:rPr>
          <w:rStyle w:val="StyleUnderline"/>
        </w:rPr>
        <w:t>Congress will not be notified of the sale of these weapons</w:t>
      </w:r>
      <w:r>
        <w:t xml:space="preserve">. In 2002, Congress amended notifications requirements so it would be informed of sales authorized by the State Department for firearms valued at $1 million or more. No such notification requirements exist if these weapons are transferred to Commerce control. In recent years, </w:t>
      </w:r>
      <w:r w:rsidRPr="004E3FF0">
        <w:rPr>
          <w:rStyle w:val="StyleUnderline"/>
        </w:rPr>
        <w:t>Congressional involvement has helped forestall firearms transfers to repressive forces in Turkey and the Philippines, but it is difficult to imagine how Congress could do that moving forward if never provided the information that such sales were under consideration</w:t>
      </w:r>
      <w:r>
        <w:t xml:space="preserve">. When items controlled by the State Department are misused or re-transferred without permission, the State Department is required by Section 3 of the Arms Export Control Act to notify the Congress. That Act conditions the sale of weapons on compliance with end-use agreements. Any use of the weapons for anything other than legitimate defense purposes is not permitted. Section 3 requires the suspension of further sales and deliveries to any recipient that violates the end-use agreements. The Commerce Department typically does not require such end-use agreements, without which there are significant legal hurdles to suspending deliveries once sales are approved if the recipients prove to be untrustworthy. </w:t>
      </w:r>
      <w:r w:rsidRPr="004E3FF0">
        <w:rPr>
          <w:rStyle w:val="StyleUnderline"/>
        </w:rPr>
        <w:t>If licensing authority shifts to the Commerce Department</w:t>
      </w:r>
      <w:r>
        <w:t xml:space="preserve">, then these </w:t>
      </w:r>
      <w:r w:rsidRPr="004E3FF0">
        <w:rPr>
          <w:rStyle w:val="StyleUnderline"/>
        </w:rPr>
        <w:t>statutory requirements will no longer apply</w:t>
      </w:r>
      <w:r>
        <w:t xml:space="preserve">. Therefore, </w:t>
      </w:r>
      <w:r w:rsidRPr="004E3FF0">
        <w:rPr>
          <w:rStyle w:val="StyleUnderline"/>
        </w:rPr>
        <w:t>if foreign security personnel misuse U.S. weapons or transfer weapons to organized crime networks, the Congress would not be notified and there would be no statutory requirement to suspend further sales or deliveries to the same security forces</w:t>
      </w:r>
      <w:r>
        <w:t xml:space="preserve">. Unfortunately, this is all too common. For example, in Guatemala, the government used U.S. military vehicles to surround the U.S. Embassy when it was displeased with the United States stance on anti-corruption investigations.9 </w:t>
      </w:r>
      <w:proofErr w:type="gramStart"/>
      <w:r w:rsidRPr="004E3FF0">
        <w:rPr>
          <w:rStyle w:val="StyleUnderline"/>
        </w:rPr>
        <w:t>The</w:t>
      </w:r>
      <w:proofErr w:type="gramEnd"/>
      <w:r w:rsidRPr="004E3FF0">
        <w:rPr>
          <w:rStyle w:val="StyleUnderline"/>
        </w:rPr>
        <w:t xml:space="preserve"> proposed shift of jurisdiction to Commerce would</w:t>
      </w:r>
      <w:r>
        <w:t xml:space="preserve"> also </w:t>
      </w:r>
      <w:r w:rsidRPr="004E3FF0">
        <w:rPr>
          <w:rStyle w:val="Emphasis"/>
        </w:rPr>
        <w:t>undermine key components</w:t>
      </w:r>
      <w:r>
        <w:t xml:space="preserve"> </w:t>
      </w:r>
      <w:r w:rsidRPr="004E3FF0">
        <w:rPr>
          <w:rStyle w:val="StyleUnderline"/>
        </w:rPr>
        <w:t>of the Foreign Assistance Act</w:t>
      </w:r>
      <w:r>
        <w:t xml:space="preserve">. </w:t>
      </w:r>
      <w:r w:rsidRPr="004E3FF0">
        <w:rPr>
          <w:rStyle w:val="StyleUnderline"/>
        </w:rPr>
        <w:t>The Secretary of State is required by that Act to suspend the sale of weapons to countries that consistently violate human rights. No such requirement would exist for the Commerce Department under the proposed rule</w:t>
      </w:r>
      <w:r>
        <w:t>. While the Commerce Department has stated that it would consult with State Department, there is no statutory requirement that the Secretary of State consent to any transfers. Under the current system, if the State Department fails to implement these human rights provisions, there is a procedure for expedited Congressional review. So, the proposed rule would undermine both this Committee’s jurisdiction over a major component of U.S. foreign policy and the authority of the Secretary of State. Fourth, the Commerce-led approach is different than that of the State Department and creates new risks. A recent Government Accountability Office report provides a detailed look at the differences between the two departments, identifying many of the following</w:t>
      </w:r>
      <w:proofErr w:type="gramStart"/>
      <w:r>
        <w:t>:10</w:t>
      </w:r>
      <w:proofErr w:type="gramEnd"/>
      <w:r>
        <w:t xml:space="preserve"> The State Department requires more information as part of export license requests, which gives a better understanding of company ownership and location, as well as those individuals involved in an arms transfer, making anti-corruption efforts and prosecution for misdeeds easier. </w:t>
      </w:r>
      <w:r w:rsidRPr="004E3FF0">
        <w:rPr>
          <w:rStyle w:val="StyleUnderline"/>
        </w:rPr>
        <w:t>State's approach on end-use monitoring puts a much greater emphasis on pre-license checks rather than post-delivery verification. State's approach is a</w:t>
      </w:r>
      <w:r>
        <w:t xml:space="preserve"> </w:t>
      </w:r>
      <w:r w:rsidRPr="004E3FF0">
        <w:rPr>
          <w:rStyle w:val="Emphasis"/>
        </w:rPr>
        <w:t>better way to prevent misuse and diversion</w:t>
      </w:r>
      <w:r>
        <w:t xml:space="preserve">. </w:t>
      </w:r>
      <w:r w:rsidRPr="004E3FF0">
        <w:rPr>
          <w:rStyle w:val="StyleUnderline"/>
        </w:rPr>
        <w:t>The Commerce Department has no enforcement personnel for end-use controls of weapons exports in the entire Western Hemisphere and Africa</w:t>
      </w:r>
      <w:r>
        <w:t xml:space="preserve">, regions were diversion of these weapons is particularly harmful. The State Department and Commerce Department have not established a way to share State’s internal watch list, which contains derogatory information from past screening of licenses for firearms, artillery, and ammunition exports. The Commerce Department has no database of allegations of human rights abuses similar to the State Department’s database for implementing the Leahy Law, which is a critical tool for screening weapons export applications to state forces. </w:t>
      </w:r>
      <w:r w:rsidRPr="004E3FF0">
        <w:rPr>
          <w:rStyle w:val="StyleUnderline"/>
        </w:rPr>
        <w:t>The proposed rule change has broad implications for the proliferation of untraceable ghost guns and 3D-printed guns</w:t>
      </w:r>
      <w:r>
        <w:t xml:space="preserve">, including homemade AR- and AK-type rifles. The Obama-era State Department characterized the online publication of 3D-printed gun code as a violation of restrictions on exporting weapons. A court case currently prevents the Trump administration's State Department from abandoning these restrictions, which the Commerce Department is expected to do if control were transferred to it. The new proposal would allow for license exemptions under certain circumstances and would allow for multiple exports pursuant to a single license. Both of these changes could well fuel the grey market, where small arms and spare parts are in high demand. Finally, </w:t>
      </w:r>
      <w:r w:rsidRPr="004E3FF0">
        <w:rPr>
          <w:rStyle w:val="StyleUnderline"/>
        </w:rPr>
        <w:t>the new approach threatens to</w:t>
      </w:r>
      <w:r>
        <w:t xml:space="preserve"> </w:t>
      </w:r>
      <w:r w:rsidRPr="004E3FF0">
        <w:rPr>
          <w:rStyle w:val="Emphasis"/>
        </w:rPr>
        <w:t>undermine an already challenged international system</w:t>
      </w:r>
      <w:r>
        <w:t xml:space="preserve"> </w:t>
      </w:r>
      <w:r w:rsidRPr="004E3FF0">
        <w:rPr>
          <w:rStyle w:val="StyleUnderline"/>
        </w:rPr>
        <w:t>that is striving to make the arms trade more responsible</w:t>
      </w:r>
      <w:r>
        <w:t xml:space="preserve"> via an array of treaties, regional agreements, and political commitments. The United States is far and away the world's largest arms exporter11 and as such can and should uphold the highest standards.</w:t>
      </w:r>
    </w:p>
    <w:p w:rsidR="00C601A6" w:rsidRDefault="00C601A6" w:rsidP="00C601A6">
      <w:pPr>
        <w:rPr>
          <w:sz w:val="12"/>
        </w:rPr>
      </w:pPr>
      <w:r w:rsidRPr="009A13FF">
        <w:rPr>
          <w:sz w:val="12"/>
        </w:rPr>
        <w:t xml:space="preserve">While we certainly have concerns about decisions made by prior administrations, we fear that this President, in his stated Conventional Arms Transfer Policy and in his willingness to arm repressive regimes, prioritizes commercial considerations over human rights concerns and even some U.S. national security objectives. Functionally making these weapons easier to export and less subject to review would constitute a dangerous erosion of long-standing, proven practices designed to support U.S. national security objectives and human rights values. </w:t>
      </w:r>
      <w:r w:rsidRPr="0023718F">
        <w:rPr>
          <w:rStyle w:val="Emphasis"/>
        </w:rPr>
        <w:t>A more responsible approach</w:t>
      </w:r>
      <w:r>
        <w:rPr>
          <w:rStyle w:val="Emphasis"/>
        </w:rPr>
        <w:t xml:space="preserve"> </w:t>
      </w:r>
      <w:r w:rsidRPr="0023718F">
        <w:rPr>
          <w:rStyle w:val="StyleUnderline"/>
        </w:rPr>
        <w:t>Congress</w:t>
      </w:r>
      <w:r w:rsidRPr="009A13FF">
        <w:rPr>
          <w:sz w:val="12"/>
        </w:rPr>
        <w:t xml:space="preserve">, and an informed American public, </w:t>
      </w:r>
      <w:r w:rsidRPr="0023718F">
        <w:rPr>
          <w:rStyle w:val="StyleUnderline"/>
        </w:rPr>
        <w:t>can play a significant role in making sure U.S. weapons exports are made as responsibly as possible</w:t>
      </w:r>
      <w:r w:rsidRPr="009A13FF">
        <w:rPr>
          <w:sz w:val="12"/>
        </w:rPr>
        <w:t xml:space="preserve">. That is critically important given the decades-long lifespan of many types of small arms.12 </w:t>
      </w:r>
      <w:proofErr w:type="gramStart"/>
      <w:r w:rsidRPr="0023718F">
        <w:rPr>
          <w:rStyle w:val="StyleUnderline"/>
        </w:rPr>
        <w:t>That</w:t>
      </w:r>
      <w:proofErr w:type="gramEnd"/>
      <w:r w:rsidRPr="0023718F">
        <w:rPr>
          <w:rStyle w:val="StyleUnderline"/>
        </w:rPr>
        <w:t xml:space="preserve"> begins with Congress continuing to receive arms sales notifications so that they are informed and able to act</w:t>
      </w:r>
      <w:r w:rsidRPr="009A13FF">
        <w:rPr>
          <w:sz w:val="12"/>
        </w:rPr>
        <w:t xml:space="preserve">. The loss of that critical initial notification is unwise and should be rejected. Of course, Congress must also pay close attention in order to act on these notifications, and this committee needs to closely monitor these notifications and set aside the time necessary to engage in the informal and formal notification processes. Congress can also play a role in helping the public be aware of these potential sales. The majority of small arms sales are notified through the Direct Commercial Sales (DCS) process, rather than the Foreign Military Sales (FMS) process. FMS notifications are announced on a public website. </w:t>
      </w:r>
      <w:r w:rsidRPr="0023718F">
        <w:rPr>
          <w:rStyle w:val="StyleUnderline"/>
        </w:rPr>
        <w:t>Congress should endeavor to finds ways to make DCS sales more accessible.</w:t>
      </w:r>
      <w:r>
        <w:rPr>
          <w:rStyle w:val="StyleUnderline"/>
        </w:rPr>
        <w:t xml:space="preserve"> </w:t>
      </w:r>
      <w:r w:rsidRPr="009A13FF">
        <w:rPr>
          <w:sz w:val="12"/>
        </w:rPr>
        <w:t xml:space="preserve">According to data analysis by the Security Assistance Monitor, in 2018 the Trump administration requested Congress to approve at least $746 million in firearms sales to a total of 14 countries in 2018, with more than $575 million for Saudi Arabia, another nearly $100 million to the Philippines, and more than $21 million to the United Arab Emirates.13 These countries are some of the ones most watched for human rights and security concerns, especially after the murder of Jamal </w:t>
      </w:r>
      <w:proofErr w:type="spellStart"/>
      <w:r w:rsidRPr="009A13FF">
        <w:rPr>
          <w:sz w:val="12"/>
        </w:rPr>
        <w:t>Khashoggi</w:t>
      </w:r>
      <w:proofErr w:type="spellEnd"/>
      <w:r w:rsidRPr="009A13FF">
        <w:rPr>
          <w:sz w:val="12"/>
        </w:rPr>
        <w:t xml:space="preserve"> by Saudi Arabia and revelations that the UAE may be providing arms to militia in Yemen that are fighting </w:t>
      </w:r>
      <w:r w:rsidRPr="009A13FF">
        <w:rPr>
          <w:sz w:val="12"/>
        </w:rPr>
        <w:lastRenderedPageBreak/>
        <w:t xml:space="preserve">against U.S. efforts. While the notification period garners the most attention, </w:t>
      </w:r>
      <w:r w:rsidRPr="0023718F">
        <w:rPr>
          <w:rStyle w:val="StyleUnderline"/>
        </w:rPr>
        <w:t xml:space="preserve">Congress also can block a sale up until weapons are delivered. Given how security, geopolitical, and humanitarian realities can change between the time of notifications and often years-later deliveries, it is important that Congress scrupulously </w:t>
      </w:r>
      <w:r w:rsidRPr="0023718F">
        <w:rPr>
          <w:rStyle w:val="Emphasis"/>
        </w:rPr>
        <w:t xml:space="preserve">monitor </w:t>
      </w:r>
      <w:r w:rsidRPr="0023718F">
        <w:rPr>
          <w:rStyle w:val="StyleUnderline"/>
        </w:rPr>
        <w:t>the entire process.</w:t>
      </w:r>
      <w:r>
        <w:rPr>
          <w:rStyle w:val="StyleUnderline"/>
        </w:rPr>
        <w:t xml:space="preserve"> </w:t>
      </w:r>
      <w:r w:rsidRPr="009A13FF">
        <w:rPr>
          <w:sz w:val="12"/>
        </w:rPr>
        <w:t xml:space="preserve">In 2014, Congress gave itself the authority to receive from the State Department notification of an arms shipment at least 30 days before its delivery. It is currently limited to joint requests by the chair and ranking members of this committee or the Senate Foreign Relations Committee. We encourage those leaders to be even more diligent in their oversight and would recommend that Congress consider allowing any member of these committees the opportunity to request pre-delivery notifications. In general, transparency concerning arms deliveries is limited. Under the current system, the State Department reports publicly the annual value of exports by category of weapon and recipient country. The Commerce Department only provides such information on around 20 countries. Even with that limited insight into how the Commerce Department is using its new authority over the export of military equipment, it is clear that a number of countries of significant concern—including Vietnam and Uzbekistan—have been authorized by the Commerce Department to receive military equipment previously controlled by the State Department. I find it disturbing that such delicate decisions concerning U.S. foreign relations are no longer the subject of this Committee’s jurisdiction. More broadly, Congress should mandate a change demanding much greater transparency on the specifics of what is in U.S. weapons deliveries. Finally, this Committee, with its oversight over the State Department, should consider looking into the hollowing out of this critical part of the executive branch. An alarming Office of the Inspector General report last month found that the Directorate of Defense Trade Control (DDTC) did not implement sufficient internal controls when examining export license applications.14 While proponents of the rules change argue that Commerce is better staffed, the State Department has the most appropriate expertise to consider the human rights, security, and political implications of arms transfers. If further investment is needed to improve State's capabilities, that is the correct path to explore. We must be mindful that we are not talking about benign trade commodities, but rather the types of killing machines that are arguably the ones most responsible for death and injury in conflict worldwide. </w:t>
      </w:r>
      <w:r w:rsidRPr="0023718F">
        <w:rPr>
          <w:rStyle w:val="StyleUnderline"/>
        </w:rPr>
        <w:t>Export of small arms deserve the highest level of oversight and attention</w:t>
      </w:r>
      <w:r w:rsidRPr="009A13FF">
        <w:rPr>
          <w:sz w:val="12"/>
        </w:rPr>
        <w:t xml:space="preserve"> from the executive branch and the Congress. In closing, I urge you to keep in your minds and hearts the impact on human suffering of weapons that fall into the wrong hands. In the words of Maria Herrera of Mexico, four of whose sons were forcibly disappeared by heavily armed men: “They have their gun factories and they send them here, as if they were pears or apples. They should think about the damage and destruction these weapons bring.”15 Thank you again for the opportunity to testify before you today. I look forward to your questions.</w:t>
      </w:r>
    </w:p>
    <w:p w:rsidR="00C601A6" w:rsidRDefault="00C601A6" w:rsidP="00C601A6">
      <w:pPr>
        <w:pStyle w:val="Heading4"/>
      </w:pPr>
      <w:proofErr w:type="gramStart"/>
      <w:r>
        <w:t>DoD</w:t>
      </w:r>
      <w:proofErr w:type="gramEnd"/>
      <w:r>
        <w:t xml:space="preserve"> and </w:t>
      </w:r>
      <w:proofErr w:type="spellStart"/>
      <w:r>
        <w:t>DoS</w:t>
      </w:r>
      <w:proofErr w:type="spellEnd"/>
      <w:r>
        <w:t xml:space="preserve"> harmonization solves </w:t>
      </w:r>
      <w:proofErr w:type="spellStart"/>
      <w:r>
        <w:t>EUM</w:t>
      </w:r>
      <w:proofErr w:type="spellEnd"/>
      <w:r>
        <w:t xml:space="preserve"> shortfalls and human rights violations</w:t>
      </w:r>
    </w:p>
    <w:p w:rsidR="00C601A6" w:rsidRPr="00606CD3" w:rsidRDefault="00C601A6" w:rsidP="00C601A6">
      <w:r w:rsidRPr="00606CD3">
        <w:rPr>
          <w:rStyle w:val="Style13ptBold"/>
        </w:rPr>
        <w:t>GAO</w:t>
      </w:r>
      <w:r>
        <w:t xml:space="preserve"> (Government Accounting Office) November </w:t>
      </w:r>
      <w:r w:rsidRPr="00606CD3">
        <w:rPr>
          <w:rStyle w:val="Style13ptBold"/>
        </w:rPr>
        <w:t>2011</w:t>
      </w:r>
      <w:r>
        <w:t xml:space="preserve"> [“PERSIAN GULF Implementation Gaps Limit the Effectiveness of End-Use Monitoring and Human Rights Vetting for U.S. Military Equipment” online @ </w:t>
      </w:r>
      <w:hyperlink r:id="rId12" w:history="1">
        <w:r w:rsidRPr="001B0CC7">
          <w:rPr>
            <w:rStyle w:val="Hyperlink"/>
          </w:rPr>
          <w:t>https://www.gao.gov/assets/590/586356.pdf</w:t>
        </w:r>
      </w:hyperlink>
      <w:r>
        <w:t>, loghry]</w:t>
      </w:r>
    </w:p>
    <w:p w:rsidR="00C601A6" w:rsidRDefault="00C601A6" w:rsidP="00C601A6">
      <w:r w:rsidRPr="00606CD3">
        <w:rPr>
          <w:rStyle w:val="StyleUnderline"/>
        </w:rPr>
        <w:t>To close gaps in the implementation of end-use monitoring programs in the Gulf countries that may limit the ability of DOD and State to adequately safeguard defense articles upon their arrival, storage, and eventual use in those countries, we recommend that the Secretaries of Defense and State take steps to</w:t>
      </w:r>
      <w:r>
        <w:t xml:space="preserve"> </w:t>
      </w:r>
      <w:r w:rsidRPr="00606CD3">
        <w:rPr>
          <w:rStyle w:val="Emphasis"/>
        </w:rPr>
        <w:t>harmonize their approaches</w:t>
      </w:r>
      <w:r>
        <w:t xml:space="preserve"> </w:t>
      </w:r>
      <w:r w:rsidRPr="00606CD3">
        <w:rPr>
          <w:rStyle w:val="StyleUnderline"/>
        </w:rPr>
        <w:t>to end-use monitoring</w:t>
      </w:r>
      <w:r>
        <w:t xml:space="preserve"> for NVDs to ensure that they receive equal levels of protection regardless of how they are obtained by foreign recipients. Such steps might include developing a plan or schedule for how and when each department’s end-use monitoring approaches would be harmonized. </w:t>
      </w:r>
      <w:r w:rsidRPr="00606CD3">
        <w:rPr>
          <w:rStyle w:val="StyleUnderline"/>
        </w:rPr>
        <w:t>We also recommend that the Secretary of Defense</w:t>
      </w:r>
      <w:r>
        <w:t xml:space="preserve"> take the following two actions: </w:t>
      </w:r>
      <w:r w:rsidRPr="00606CD3">
        <w:rPr>
          <w:rStyle w:val="StyleUnderline"/>
        </w:rPr>
        <w:t>develop guidance requiring DOD officials to document their efforts to verify host country security and accountability procedures for sensitive equipment</w:t>
      </w:r>
      <w:r>
        <w:t xml:space="preserve"> and their activities to monitor less sensitive equipment, </w:t>
      </w:r>
      <w:r w:rsidRPr="00606CD3">
        <w:rPr>
          <w:rStyle w:val="StyleUnderline"/>
        </w:rPr>
        <w:t>and • obtain</w:t>
      </w:r>
      <w:r>
        <w:t xml:space="preserve"> from the UAE government an NVD </w:t>
      </w:r>
      <w:r w:rsidRPr="00606CD3">
        <w:rPr>
          <w:rStyle w:val="StyleUnderline"/>
        </w:rPr>
        <w:t>compliance plan, as required under the conditions of sale through FMS</w:t>
      </w:r>
      <w:r>
        <w:t xml:space="preserve">, or develop an appropriate response. </w:t>
      </w:r>
      <w:r w:rsidRPr="00606CD3">
        <w:rPr>
          <w:rStyle w:val="StyleUnderline"/>
        </w:rPr>
        <w:t>We further recommend that the Secretary of State</w:t>
      </w:r>
      <w:r>
        <w:t xml:space="preserve"> take two actions to </w:t>
      </w:r>
      <w:r w:rsidRPr="00606CD3">
        <w:rPr>
          <w:rStyle w:val="StyleUnderline"/>
        </w:rPr>
        <w:t xml:space="preserve">issue policies and procedures that: • provide guidance to Compliance Specialists regarding when to request embassy personnel to conduct </w:t>
      </w:r>
      <w:proofErr w:type="spellStart"/>
      <w:r w:rsidRPr="00606CD3">
        <w:rPr>
          <w:rStyle w:val="StyleUnderline"/>
        </w:rPr>
        <w:t>postshipment</w:t>
      </w:r>
      <w:proofErr w:type="spellEnd"/>
      <w:r w:rsidRPr="00606CD3">
        <w:rPr>
          <w:rStyle w:val="StyleUnderline"/>
        </w:rPr>
        <w:t xml:space="preserve"> checks, and when to close checks, and • stipulate that when </w:t>
      </w:r>
      <w:proofErr w:type="spellStart"/>
      <w:r w:rsidRPr="00606CD3">
        <w:rPr>
          <w:rStyle w:val="StyleUnderline"/>
        </w:rPr>
        <w:t>postshipment</w:t>
      </w:r>
      <w:proofErr w:type="spellEnd"/>
      <w:r w:rsidRPr="00606CD3">
        <w:rPr>
          <w:rStyle w:val="StyleUnderline"/>
        </w:rPr>
        <w:t xml:space="preserve"> checks are requested, U.S. embassy personnel should conduct site visits to end-users to physically verify compliance with conditions associated with an export license. To reduce the risk that U.S.-funded equipment may be used by violators of human rights in the Gulf countries, we recommend that the Secretary of State implement individual- and unit-level human rights vetting for recipients of U.S.-funded equipment</w:t>
      </w:r>
      <w:r>
        <w:t>.</w:t>
      </w:r>
    </w:p>
    <w:p w:rsidR="00C601A6" w:rsidRPr="009A13FF" w:rsidRDefault="00C601A6" w:rsidP="00C601A6">
      <w:pPr>
        <w:rPr>
          <w:sz w:val="12"/>
        </w:rPr>
      </w:pPr>
    </w:p>
    <w:p w:rsidR="00C601A6" w:rsidRDefault="00C601A6" w:rsidP="00C601A6">
      <w:pPr>
        <w:pStyle w:val="Heading2"/>
      </w:pPr>
      <w:r>
        <w:lastRenderedPageBreak/>
        <w:t>2nc – Solvency</w:t>
      </w:r>
    </w:p>
    <w:p w:rsidR="00C601A6" w:rsidRDefault="00C601A6" w:rsidP="00C601A6">
      <w:pPr>
        <w:pStyle w:val="Heading4"/>
      </w:pPr>
      <w:proofErr w:type="gramStart"/>
      <w:r>
        <w:t>DoD</w:t>
      </w:r>
      <w:proofErr w:type="gramEnd"/>
      <w:r>
        <w:t xml:space="preserve"> and </w:t>
      </w:r>
      <w:proofErr w:type="spellStart"/>
      <w:r>
        <w:t>DoS</w:t>
      </w:r>
      <w:proofErr w:type="spellEnd"/>
      <w:r>
        <w:t xml:space="preserve"> coordination resolves all </w:t>
      </w:r>
      <w:proofErr w:type="spellStart"/>
      <w:r>
        <w:t>squo</w:t>
      </w:r>
      <w:proofErr w:type="spellEnd"/>
      <w:r>
        <w:t xml:space="preserve"> </w:t>
      </w:r>
      <w:proofErr w:type="spellStart"/>
      <w:r>
        <w:t>EUM</w:t>
      </w:r>
      <w:proofErr w:type="spellEnd"/>
      <w:r>
        <w:t xml:space="preserve"> shortcomings, insures lack of abuse</w:t>
      </w:r>
    </w:p>
    <w:p w:rsidR="00C601A6" w:rsidRDefault="00C601A6" w:rsidP="00C601A6">
      <w:r w:rsidRPr="00EF5CCB">
        <w:rPr>
          <w:rStyle w:val="Style13ptBold"/>
        </w:rPr>
        <w:t>Dalton et al ’18</w:t>
      </w:r>
      <w:r>
        <w:t xml:space="preserve"> [Melissa G. Dalton is a senior fellow and deputy director of the CSIS International Security Program, Hijab Shah is a research associate with the International Security Program at CSIS, Shannon N. Green is the director and senior fellow of the Human Rights Initiative at CSIS., Rebecca Hughes is an intern with the CSIS International Security Program with an M.S. in foreign service from Georgetown University, Feb. 2018. “Oversight and Accountability in U.S. Security Sector Assistance: Seeking Return on Investment,” A Report of the CSIS INTERNATIONAL SECURITY PROGRAM, Center for Strategic and International Studies, PROJECT DIRECTOR Melissa G. Dalton, </w:t>
      </w:r>
      <w:hyperlink r:id="rId13" w:history="1">
        <w:r w:rsidRPr="000017AB">
          <w:rPr>
            <w:rStyle w:val="Hyperlink"/>
          </w:rPr>
          <w:t>https://csis-prod.s3.amazonaws.com/s3fs-public/publication/180207_Dalton_OversightAccountability_Web.pdf?9CJj6j5KVqQgWAlLSLJkOpdCga.Yz28l</w:t>
        </w:r>
      </w:hyperlink>
      <w:r>
        <w:t xml:space="preserve">, </w:t>
      </w:r>
      <w:proofErr w:type="spellStart"/>
      <w:r>
        <w:t>cs</w:t>
      </w:r>
      <w:proofErr w:type="spellEnd"/>
      <w:r>
        <w:t>]</w:t>
      </w:r>
    </w:p>
    <w:p w:rsidR="00C601A6" w:rsidRPr="00307571" w:rsidRDefault="00C601A6" w:rsidP="00C601A6">
      <w:pPr>
        <w:rPr>
          <w:rStyle w:val="StyleUnderline"/>
        </w:rPr>
      </w:pPr>
      <w:r w:rsidRPr="00307571">
        <w:rPr>
          <w:sz w:val="12"/>
        </w:rPr>
        <w:t xml:space="preserve">Monitoring and Evaluation Recommendations DoD should continue to institutionalize its new planning process. In parallel, </w:t>
      </w:r>
      <w:proofErr w:type="spellStart"/>
      <w:r w:rsidRPr="00307571">
        <w:rPr>
          <w:sz w:val="12"/>
        </w:rPr>
        <w:t>DoS</w:t>
      </w:r>
      <w:proofErr w:type="spellEnd"/>
      <w:r w:rsidRPr="00307571">
        <w:rPr>
          <w:sz w:val="12"/>
        </w:rPr>
        <w:t xml:space="preserve"> should be </w:t>
      </w:r>
      <w:proofErr w:type="spellStart"/>
      <w:r w:rsidRPr="00307571">
        <w:rPr>
          <w:sz w:val="12"/>
        </w:rPr>
        <w:t>devel</w:t>
      </w:r>
      <w:proofErr w:type="spellEnd"/>
      <w:r w:rsidRPr="00307571">
        <w:rPr>
          <w:sz w:val="12"/>
        </w:rPr>
        <w:t xml:space="preserve">- </w:t>
      </w:r>
      <w:proofErr w:type="spellStart"/>
      <w:r w:rsidRPr="00307571">
        <w:rPr>
          <w:sz w:val="12"/>
        </w:rPr>
        <w:t>oping</w:t>
      </w:r>
      <w:proofErr w:type="spellEnd"/>
      <w:r w:rsidRPr="00307571">
        <w:rPr>
          <w:sz w:val="12"/>
        </w:rPr>
        <w:t xml:space="preserve"> its own system for holistic planning, monitoring, and evaluation as part of its ongoing reorganization and reform effort. </w:t>
      </w:r>
      <w:r w:rsidRPr="00307571">
        <w:rPr>
          <w:rStyle w:val="StyleUnderline"/>
        </w:rPr>
        <w:t xml:space="preserve">Training and education across the </w:t>
      </w:r>
      <w:proofErr w:type="gramStart"/>
      <w:r w:rsidRPr="00307571">
        <w:rPr>
          <w:rStyle w:val="StyleUnderline"/>
        </w:rPr>
        <w:t>DoD</w:t>
      </w:r>
      <w:proofErr w:type="gramEnd"/>
      <w:r w:rsidRPr="00307571">
        <w:rPr>
          <w:rStyle w:val="StyleUnderline"/>
        </w:rPr>
        <w:t xml:space="preserve"> and </w:t>
      </w:r>
      <w:proofErr w:type="spellStart"/>
      <w:r w:rsidRPr="00307571">
        <w:rPr>
          <w:rStyle w:val="StyleUnderline"/>
        </w:rPr>
        <w:t>DoS</w:t>
      </w:r>
      <w:proofErr w:type="spellEnd"/>
      <w:r w:rsidRPr="00307571">
        <w:rPr>
          <w:rStyle w:val="StyleUnderline"/>
        </w:rPr>
        <w:t xml:space="preserve"> workforce</w:t>
      </w:r>
      <w:r w:rsidRPr="00307571">
        <w:rPr>
          <w:sz w:val="12"/>
        </w:rPr>
        <w:t xml:space="preserve"> for </w:t>
      </w:r>
      <w:proofErr w:type="spellStart"/>
      <w:r w:rsidRPr="00307571">
        <w:rPr>
          <w:sz w:val="12"/>
        </w:rPr>
        <w:t>SSA</w:t>
      </w:r>
      <w:proofErr w:type="spellEnd"/>
      <w:r w:rsidRPr="00307571">
        <w:rPr>
          <w:sz w:val="12"/>
        </w:rPr>
        <w:t xml:space="preserve"> planning, monitoring, and evaluation </w:t>
      </w:r>
      <w:r w:rsidRPr="00307571">
        <w:rPr>
          <w:rStyle w:val="StyleUnderline"/>
        </w:rPr>
        <w:t>should be prioritized</w:t>
      </w:r>
      <w:r w:rsidRPr="00307571">
        <w:rPr>
          <w:sz w:val="12"/>
        </w:rPr>
        <w:t xml:space="preserve"> and resourced. Agencies </w:t>
      </w:r>
      <w:proofErr w:type="spellStart"/>
      <w:r w:rsidRPr="00307571">
        <w:rPr>
          <w:sz w:val="12"/>
        </w:rPr>
        <w:t>respon</w:t>
      </w:r>
      <w:proofErr w:type="spellEnd"/>
      <w:r w:rsidRPr="00307571">
        <w:rPr>
          <w:sz w:val="12"/>
        </w:rPr>
        <w:t xml:space="preserve">- </w:t>
      </w:r>
      <w:proofErr w:type="spellStart"/>
      <w:r w:rsidRPr="00307571">
        <w:rPr>
          <w:sz w:val="12"/>
        </w:rPr>
        <w:t>sible</w:t>
      </w:r>
      <w:proofErr w:type="spellEnd"/>
      <w:r w:rsidRPr="00307571">
        <w:rPr>
          <w:sz w:val="12"/>
        </w:rPr>
        <w:t xml:space="preserve"> for developing and administering SSA programs should more actively and closely collaborate with partner countries on program design. This will help ensure an alignment of objectives and encourage partner buy-in. </w:t>
      </w:r>
      <w:proofErr w:type="gramStart"/>
      <w:r w:rsidRPr="00307571">
        <w:rPr>
          <w:sz w:val="12"/>
        </w:rPr>
        <w:t>Additionally</w:t>
      </w:r>
      <w:proofErr w:type="gramEnd"/>
      <w:r w:rsidRPr="00307571">
        <w:rPr>
          <w:sz w:val="12"/>
        </w:rPr>
        <w:t xml:space="preserve">, </w:t>
      </w:r>
      <w:r w:rsidRPr="00307571">
        <w:rPr>
          <w:rStyle w:val="StyleUnderline"/>
        </w:rPr>
        <w:t>there should be an increased emphasis on interagency coordination.</w:t>
      </w:r>
      <w:r w:rsidRPr="00307571">
        <w:rPr>
          <w:sz w:val="12"/>
        </w:rPr>
        <w:t xml:space="preserve"> Specifically, a </w:t>
      </w:r>
      <w:proofErr w:type="spellStart"/>
      <w:r w:rsidRPr="00307571">
        <w:rPr>
          <w:sz w:val="12"/>
        </w:rPr>
        <w:t>DoS</w:t>
      </w:r>
      <w:proofErr w:type="spellEnd"/>
      <w:r w:rsidRPr="00307571">
        <w:rPr>
          <w:sz w:val="12"/>
        </w:rPr>
        <w:t xml:space="preserve"> “conductor” for security sector planning and cooperation should be identified and empowered to bring together interagency actors to develop a common plan for partner countries.1 To help facilitate this, Congress should conduct a review of Title 22 </w:t>
      </w:r>
      <w:proofErr w:type="spellStart"/>
      <w:r w:rsidRPr="00307571">
        <w:rPr>
          <w:sz w:val="12"/>
        </w:rPr>
        <w:t>authori</w:t>
      </w:r>
      <w:proofErr w:type="spellEnd"/>
      <w:r w:rsidRPr="00307571">
        <w:rPr>
          <w:sz w:val="12"/>
        </w:rPr>
        <w:t xml:space="preserve">- ties, constructed during the Cold War era, to determine if they should be modernized to address the twenty-first-century competitive landscape. Congress should mandate M&amp;E for Title 22 SSA programs. Enhancing interagency coordination and empowering a </w:t>
      </w:r>
      <w:proofErr w:type="spellStart"/>
      <w:r w:rsidRPr="00307571">
        <w:rPr>
          <w:sz w:val="12"/>
        </w:rPr>
        <w:t>DoS</w:t>
      </w:r>
      <w:proofErr w:type="spellEnd"/>
      <w:r w:rsidRPr="00307571">
        <w:rPr>
          <w:sz w:val="12"/>
        </w:rPr>
        <w:t xml:space="preserve"> conductor will go a long way toward ensuring that SSA is linked to strategic objectives. To facilitate strong program design and M&amp;E, agencies must invest in recruiting and training a workforce fluent in theories of change and capable of designing and implementing M&amp;E regimes.2 USAID’s M&amp;E best practices can serve as a useful guide and training resource for other U.S. agencies conducting SSA. </w:t>
      </w:r>
      <w:r w:rsidRPr="00307571">
        <w:rPr>
          <w:rStyle w:val="StyleUnderline"/>
        </w:rPr>
        <w:t xml:space="preserve">To improve </w:t>
      </w:r>
      <w:proofErr w:type="spellStart"/>
      <w:r w:rsidRPr="00307571">
        <w:rPr>
          <w:rStyle w:val="StyleUnderline"/>
        </w:rPr>
        <w:t>DoS</w:t>
      </w:r>
      <w:proofErr w:type="spellEnd"/>
      <w:r w:rsidRPr="00307571">
        <w:rPr>
          <w:rStyle w:val="StyleUnderline"/>
        </w:rPr>
        <w:t xml:space="preserve"> and </w:t>
      </w:r>
      <w:proofErr w:type="gramStart"/>
      <w:r w:rsidRPr="00307571">
        <w:rPr>
          <w:rStyle w:val="StyleUnderline"/>
        </w:rPr>
        <w:t>DoD’s</w:t>
      </w:r>
      <w:proofErr w:type="gramEnd"/>
      <w:r w:rsidRPr="00307571">
        <w:rPr>
          <w:rStyle w:val="StyleUnderline"/>
        </w:rPr>
        <w:t xml:space="preserve"> ability to track and monitor the </w:t>
      </w:r>
      <w:r w:rsidRPr="00307571">
        <w:rPr>
          <w:rStyle w:val="Emphasis"/>
        </w:rPr>
        <w:t>end use</w:t>
      </w:r>
      <w:r w:rsidRPr="00307571">
        <w:rPr>
          <w:rStyle w:val="StyleUnderline"/>
        </w:rPr>
        <w:t xml:space="preserve"> of U.S. weapons provided to security partners</w:t>
      </w:r>
      <w:r w:rsidRPr="00307571">
        <w:rPr>
          <w:sz w:val="12"/>
        </w:rPr>
        <w:t xml:space="preserve">, </w:t>
      </w:r>
      <w:r w:rsidRPr="00307571">
        <w:rPr>
          <w:rStyle w:val="StyleUnderline"/>
        </w:rPr>
        <w:t>the following actions should be taken</w:t>
      </w:r>
      <w:r w:rsidRPr="00307571">
        <w:rPr>
          <w:sz w:val="12"/>
        </w:rPr>
        <w:t xml:space="preserve">. </w:t>
      </w:r>
      <w:r w:rsidRPr="00307571">
        <w:rPr>
          <w:rStyle w:val="StyleUnderline"/>
        </w:rPr>
        <w:t xml:space="preserve">First, to improve the completeness and timeliness of Blue Lantern checks, </w:t>
      </w:r>
      <w:proofErr w:type="spellStart"/>
      <w:r w:rsidRPr="00307571">
        <w:rPr>
          <w:rStyle w:val="StyleUnderline"/>
        </w:rPr>
        <w:t>DoS</w:t>
      </w:r>
      <w:proofErr w:type="spellEnd"/>
      <w:r w:rsidRPr="00307571">
        <w:rPr>
          <w:rStyle w:val="StyleUnderline"/>
        </w:rPr>
        <w:t xml:space="preserve"> should ensure that its workforce is resourced to consistently conduct checks and should foster greater host government cooperation by utilizing available Blue Lantern outreach programs</w:t>
      </w:r>
      <w:r w:rsidRPr="00307571">
        <w:rPr>
          <w:sz w:val="12"/>
        </w:rPr>
        <w:t xml:space="preserve">. </w:t>
      </w:r>
      <w:r w:rsidRPr="00307571">
        <w:rPr>
          <w:rStyle w:val="StyleUnderline"/>
        </w:rPr>
        <w:t xml:space="preserve">Second, to improve partner oversight and </w:t>
      </w:r>
      <w:proofErr w:type="spellStart"/>
      <w:r w:rsidRPr="00307571">
        <w:rPr>
          <w:rStyle w:val="StyleUnderline"/>
        </w:rPr>
        <w:t>accountabil</w:t>
      </w:r>
      <w:proofErr w:type="spellEnd"/>
      <w:r w:rsidRPr="00307571">
        <w:rPr>
          <w:rStyle w:val="StyleUnderline"/>
        </w:rPr>
        <w:t xml:space="preserve">- </w:t>
      </w:r>
      <w:proofErr w:type="spellStart"/>
      <w:r w:rsidRPr="00307571">
        <w:rPr>
          <w:rStyle w:val="StyleUnderline"/>
        </w:rPr>
        <w:t>ity</w:t>
      </w:r>
      <w:proofErr w:type="spellEnd"/>
      <w:r w:rsidRPr="00307571">
        <w:rPr>
          <w:rStyle w:val="StyleUnderline"/>
        </w:rPr>
        <w:t xml:space="preserve">, Blue Lantern implementation guidance should articulate the conditions under which site visits are required to complete a pre-license screening.3 Third, to improve tracking of FMS weapons, the </w:t>
      </w:r>
      <w:proofErr w:type="gramStart"/>
      <w:r w:rsidRPr="00307571">
        <w:rPr>
          <w:rStyle w:val="StyleUnderline"/>
        </w:rPr>
        <w:t>DoD</w:t>
      </w:r>
      <w:proofErr w:type="gramEnd"/>
      <w:r w:rsidRPr="00307571">
        <w:rPr>
          <w:rStyle w:val="StyleUnderline"/>
        </w:rPr>
        <w:t xml:space="preserve"> should assess and address gaps in its documentation and record-keeping procedures and subject ITEF programs to EUM.</w:t>
      </w:r>
    </w:p>
    <w:p w:rsidR="00B80F19" w:rsidRDefault="00B80F19" w:rsidP="00B80F19">
      <w:pPr>
        <w:pStyle w:val="Heading2"/>
      </w:pPr>
      <w:r>
        <w:lastRenderedPageBreak/>
        <w:t>Solvency – Human Rights</w:t>
      </w:r>
    </w:p>
    <w:p w:rsidR="00B80F19" w:rsidRDefault="00B80F19" w:rsidP="00B80F19">
      <w:pPr>
        <w:pStyle w:val="Heading4"/>
      </w:pPr>
      <w:r>
        <w:t xml:space="preserve">EUM reform solves via focus on post-transfer follow up and increased accountability especially by those prone </w:t>
      </w:r>
      <w:proofErr w:type="gramStart"/>
      <w:r>
        <w:t>to  military</w:t>
      </w:r>
      <w:proofErr w:type="gramEnd"/>
      <w:r>
        <w:t xml:space="preserve"> and human rights abuses</w:t>
      </w:r>
    </w:p>
    <w:p w:rsidR="00B80F19" w:rsidRDefault="00B80F19" w:rsidP="00B80F19">
      <w:r w:rsidRPr="00C2755B">
        <w:rPr>
          <w:rStyle w:val="Style13ptBold"/>
        </w:rPr>
        <w:t xml:space="preserve">Thrall and </w:t>
      </w:r>
      <w:proofErr w:type="spellStart"/>
      <w:r w:rsidRPr="00C2755B">
        <w:rPr>
          <w:rStyle w:val="Style13ptBold"/>
        </w:rPr>
        <w:t>Dorminey</w:t>
      </w:r>
      <w:proofErr w:type="spellEnd"/>
      <w:r w:rsidRPr="00C2755B">
        <w:rPr>
          <w:rStyle w:val="Style13ptBold"/>
        </w:rPr>
        <w:t xml:space="preserve"> ’18</w:t>
      </w:r>
      <w:r>
        <w:t xml:space="preserve"> [A. Trevor Thrall is an associate professor at George Mason University’s </w:t>
      </w:r>
      <w:proofErr w:type="spellStart"/>
      <w:r>
        <w:t>Schar</w:t>
      </w:r>
      <w:proofErr w:type="spellEnd"/>
      <w:r>
        <w:t xml:space="preserve"> School of Policy and Government and a senior fellow at the Cato Institute’s Defense and Foreign Policy Department AND Caroline </w:t>
      </w:r>
      <w:proofErr w:type="spellStart"/>
      <w:r>
        <w:t>Dorminey</w:t>
      </w:r>
      <w:proofErr w:type="spellEnd"/>
      <w:r>
        <w:t xml:space="preserve"> is a policy analyst at the Cato Institute’s Defense and Foreign Policy Department, 3/13/18,“Risky Business: The Role of Arms Sales in U.S. Foreign Policy” CATO, </w:t>
      </w:r>
      <w:hyperlink r:id="rId14" w:history="1">
        <w:r w:rsidRPr="000017AB">
          <w:rPr>
            <w:rStyle w:val="Hyperlink"/>
          </w:rPr>
          <w:t>https://www.cato.org/publications/policy-analysis/risky-business-role-arms-sales-us-foreign-policy</w:t>
        </w:r>
      </w:hyperlink>
      <w:r>
        <w:t xml:space="preserve">, </w:t>
      </w:r>
      <w:proofErr w:type="spellStart"/>
      <w:r>
        <w:t>cs</w:t>
      </w:r>
      <w:proofErr w:type="spellEnd"/>
      <w:r>
        <w:t>]</w:t>
      </w:r>
    </w:p>
    <w:p w:rsidR="00B80F19" w:rsidRPr="00C2755B" w:rsidRDefault="00B80F19" w:rsidP="00B80F19">
      <w:pPr>
        <w:rPr>
          <w:sz w:val="12"/>
        </w:rPr>
      </w:pPr>
      <w:r w:rsidRPr="00C2755B">
        <w:rPr>
          <w:sz w:val="12"/>
        </w:rPr>
        <w:t xml:space="preserve">3. Improve and Respond to End-Use Monitoring — </w:t>
      </w:r>
      <w:r w:rsidRPr="00561A95">
        <w:rPr>
          <w:rStyle w:val="StyleUnderline"/>
        </w:rPr>
        <w:t>The United States should significantly expand its tracking of the use and misuse of American weapons.</w:t>
      </w:r>
      <w:r w:rsidRPr="00C2755B">
        <w:rPr>
          <w:sz w:val="12"/>
        </w:rPr>
        <w:t xml:space="preserve"> The </w:t>
      </w:r>
      <w:r w:rsidRPr="00561A95">
        <w:rPr>
          <w:rStyle w:val="StyleUnderline"/>
        </w:rPr>
        <w:t xml:space="preserve">current </w:t>
      </w:r>
      <w:r w:rsidRPr="00C2755B">
        <w:rPr>
          <w:sz w:val="12"/>
        </w:rPr>
        <w:t xml:space="preserve">system of </w:t>
      </w:r>
      <w:r w:rsidRPr="00561A95">
        <w:rPr>
          <w:rStyle w:val="StyleUnderline"/>
        </w:rPr>
        <w:t>end-use monitoring does not collect enough data on how weapons are used once</w:t>
      </w:r>
      <w:r w:rsidRPr="00C2755B">
        <w:rPr>
          <w:sz w:val="12"/>
        </w:rPr>
        <w:t xml:space="preserve"> they are </w:t>
      </w:r>
      <w:r w:rsidRPr="00561A95">
        <w:rPr>
          <w:rStyle w:val="StyleUnderline"/>
        </w:rPr>
        <w:t>transferred.</w:t>
      </w:r>
      <w:r w:rsidRPr="00C2755B">
        <w:rPr>
          <w:sz w:val="12"/>
        </w:rPr>
        <w:t xml:space="preserve"> This is largely </w:t>
      </w:r>
      <w:r w:rsidRPr="00561A95">
        <w:rPr>
          <w:rStyle w:val="StyleUnderline"/>
        </w:rPr>
        <w:t xml:space="preserve">because the system is designed to monitor and prevent </w:t>
      </w:r>
      <w:r w:rsidRPr="00C2755B">
        <w:rPr>
          <w:sz w:val="12"/>
        </w:rPr>
        <w:t>instances of</w:t>
      </w:r>
      <w:r w:rsidRPr="00561A95">
        <w:rPr>
          <w:rStyle w:val="StyleUnderline"/>
        </w:rPr>
        <w:t xml:space="preserve"> dispersion and corruption and is not</w:t>
      </w:r>
      <w:r w:rsidRPr="00C2755B">
        <w:rPr>
          <w:sz w:val="12"/>
        </w:rPr>
        <w:t xml:space="preserve"> necessarily </w:t>
      </w:r>
      <w:r w:rsidRPr="00561A95">
        <w:rPr>
          <w:rStyle w:val="StyleUnderline"/>
        </w:rPr>
        <w:t>focused on the use of force by the client</w:t>
      </w:r>
      <w:r w:rsidRPr="00C2755B">
        <w:rPr>
          <w:sz w:val="12"/>
        </w:rPr>
        <w:t xml:space="preserve"> military and government. </w:t>
      </w:r>
      <w:r w:rsidRPr="00561A95">
        <w:rPr>
          <w:rStyle w:val="StyleUnderline"/>
        </w:rPr>
        <w:t>Rather than focusing on tracking abuse down to a single military unit, end-use monitoring should hold countries accountable for the actions of their militaries as a whole</w:t>
      </w:r>
      <w:r w:rsidRPr="00C2755B">
        <w:rPr>
          <w:sz w:val="12"/>
        </w:rPr>
        <w:t xml:space="preserve">. </w:t>
      </w:r>
      <w:r w:rsidRPr="00561A95">
        <w:rPr>
          <w:rStyle w:val="StyleUnderline"/>
        </w:rPr>
        <w:t>End-use monitoring should take into account</w:t>
      </w:r>
      <w:r w:rsidRPr="00C2755B">
        <w:rPr>
          <w:sz w:val="12"/>
        </w:rPr>
        <w:t xml:space="preserve"> the bigger picture of</w:t>
      </w:r>
      <w:r w:rsidRPr="00561A95">
        <w:rPr>
          <w:rStyle w:val="StyleUnderline"/>
        </w:rPr>
        <w:t xml:space="preserve"> a country’s strategic environment and should assess weapons sales based on a </w:t>
      </w:r>
      <w:r w:rsidRPr="00C2755B">
        <w:rPr>
          <w:sz w:val="12"/>
        </w:rPr>
        <w:t xml:space="preserve">proposed </w:t>
      </w:r>
      <w:r w:rsidRPr="00561A95">
        <w:rPr>
          <w:rStyle w:val="StyleUnderline"/>
        </w:rPr>
        <w:t>customer’s history,</w:t>
      </w:r>
      <w:r w:rsidRPr="00C2755B">
        <w:rPr>
          <w:sz w:val="12"/>
        </w:rPr>
        <w:t xml:space="preserve"> actions, and participation </w:t>
      </w:r>
      <w:r w:rsidRPr="00561A95">
        <w:rPr>
          <w:rStyle w:val="StyleUnderline"/>
        </w:rPr>
        <w:t>in ongoing conflicts. End-use monitoring should be tracked and reported annually, and the results should be made public to enforce oversight and give Congress the information needed</w:t>
      </w:r>
      <w:r w:rsidRPr="00C2755B">
        <w:rPr>
          <w:sz w:val="12"/>
        </w:rPr>
        <w:t xml:space="preserve"> to make better-informed decisions.</w:t>
      </w:r>
    </w:p>
    <w:p w:rsidR="00B80F19" w:rsidRDefault="00B80F19" w:rsidP="00B80F19"/>
    <w:p w:rsidR="00B80F19" w:rsidRDefault="00B80F19" w:rsidP="00B80F19">
      <w:pPr>
        <w:pStyle w:val="Heading4"/>
      </w:pPr>
      <w:r>
        <w:t xml:space="preserve">Stronger EUM transparency shores up human rights protections and international law credibility </w:t>
      </w:r>
    </w:p>
    <w:p w:rsidR="00B80F19" w:rsidRDefault="00B80F19" w:rsidP="00B80F19">
      <w:proofErr w:type="spellStart"/>
      <w:r w:rsidRPr="00D02281">
        <w:rPr>
          <w:rStyle w:val="Style13ptBold"/>
        </w:rPr>
        <w:t>Czejdo</w:t>
      </w:r>
      <w:proofErr w:type="spellEnd"/>
      <w:r w:rsidRPr="00D02281">
        <w:rPr>
          <w:rStyle w:val="Style13ptBold"/>
        </w:rPr>
        <w:t xml:space="preserve"> and Abramson ’19</w:t>
      </w:r>
      <w:r>
        <w:t xml:space="preserve"> [Izabella </w:t>
      </w:r>
      <w:proofErr w:type="spellStart"/>
      <w:r>
        <w:t>Czejdo</w:t>
      </w:r>
      <w:proofErr w:type="spellEnd"/>
      <w:r>
        <w:t xml:space="preserve"> is an Arms Control Association intern AND Jeff Abramson is a non-resident senior fellow for arms control and conventional arms transfers at the Arms Control Association, April 2019, “U.S., Saudi Arms Transfers Top Global Trade,” Arms Control Association, </w:t>
      </w:r>
      <w:hyperlink r:id="rId15" w:history="1">
        <w:r w:rsidRPr="000017AB">
          <w:rPr>
            <w:rStyle w:val="Hyperlink"/>
          </w:rPr>
          <w:t>https://www.armscontrol.org/taxonomy/term/36</w:t>
        </w:r>
      </w:hyperlink>
      <w:r>
        <w:t xml:space="preserve">, </w:t>
      </w:r>
      <w:proofErr w:type="spellStart"/>
      <w:r>
        <w:t>cs</w:t>
      </w:r>
      <w:proofErr w:type="spellEnd"/>
      <w:r>
        <w:t>]</w:t>
      </w:r>
    </w:p>
    <w:p w:rsidR="00B80F19" w:rsidRPr="00D02281" w:rsidRDefault="00B80F19" w:rsidP="00B80F19">
      <w:pPr>
        <w:rPr>
          <w:sz w:val="12"/>
        </w:rPr>
      </w:pPr>
      <w:r w:rsidRPr="00D02281">
        <w:rPr>
          <w:sz w:val="12"/>
        </w:rPr>
        <w:t xml:space="preserve">Similarly, </w:t>
      </w:r>
      <w:r w:rsidRPr="0023718F">
        <w:rPr>
          <w:rStyle w:val="StyleUnderline"/>
        </w:rPr>
        <w:t>much greater transparency into the arms sales process at a public level is critical</w:t>
      </w:r>
      <w:r w:rsidRPr="00D02281">
        <w:rPr>
          <w:sz w:val="12"/>
        </w:rPr>
        <w:t xml:space="preserve">. </w:t>
      </w:r>
      <w:r w:rsidRPr="007D5293">
        <w:rPr>
          <w:rStyle w:val="StyleUnderline"/>
        </w:rPr>
        <w:t>Under current procedure Congress is notified of potential major arms sales</w:t>
      </w:r>
      <w:r w:rsidRPr="00D02281">
        <w:rPr>
          <w:sz w:val="12"/>
        </w:rPr>
        <w:t xml:space="preserve"> whether through the foreign military sales (FMS) process or via direct commercial sales (DCS), </w:t>
      </w:r>
      <w:r w:rsidRPr="007D5293">
        <w:rPr>
          <w:rStyle w:val="StyleUnderline"/>
        </w:rPr>
        <w:t>starting a review period by which it could block agreement</w:t>
      </w:r>
      <w:r w:rsidRPr="00D02281">
        <w:rPr>
          <w:sz w:val="12"/>
        </w:rPr>
        <w:t xml:space="preserve"> to the sale. </w:t>
      </w:r>
      <w:r w:rsidRPr="0023718F">
        <w:rPr>
          <w:rStyle w:val="StyleUnderline"/>
        </w:rPr>
        <w:t>Unlike FMS notifications, DCS notifications are not posted on a publicly accessible website, giving the American people less time to inform their representatives</w:t>
      </w:r>
      <w:r w:rsidRPr="00D02281">
        <w:rPr>
          <w:sz w:val="12"/>
        </w:rPr>
        <w:t xml:space="preserve"> of any concerns. If the administration wants to make it easier for companies to negotiate their arms sales, it should also improve transparency into them. While Congress can block or amend an arms sale up until a weapon is delivered, those </w:t>
      </w:r>
      <w:r w:rsidRPr="007D5293">
        <w:rPr>
          <w:rStyle w:val="StyleUnderline"/>
        </w:rPr>
        <w:t>deliveries often occur years after notification</w:t>
      </w:r>
      <w:r w:rsidRPr="00D02281">
        <w:rPr>
          <w:sz w:val="12"/>
        </w:rPr>
        <w:t xml:space="preserve">. There is typically much less public attention on arms sales during this period. If </w:t>
      </w:r>
      <w:r w:rsidRPr="007D5293">
        <w:rPr>
          <w:rStyle w:val="StyleUnderline"/>
        </w:rPr>
        <w:t>the administration</w:t>
      </w:r>
      <w:r w:rsidRPr="00D02281">
        <w:rPr>
          <w:sz w:val="12"/>
        </w:rPr>
        <w:t xml:space="preserve"> wants to speed the time between agreement and delivery, it </w:t>
      </w:r>
      <w:r w:rsidRPr="007D5293">
        <w:rPr>
          <w:rStyle w:val="StyleUnderline"/>
        </w:rPr>
        <w:t>should</w:t>
      </w:r>
      <w:r w:rsidRPr="00D02281">
        <w:rPr>
          <w:sz w:val="12"/>
        </w:rPr>
        <w:t xml:space="preserve"> agree to also </w:t>
      </w:r>
      <w:r w:rsidRPr="007D5293">
        <w:rPr>
          <w:rStyle w:val="StyleUnderline"/>
        </w:rPr>
        <w:t>make clear when a delivery is imminent, so as to create predictable moments for oversight.</w:t>
      </w:r>
      <w:r w:rsidRPr="00D02281">
        <w:rPr>
          <w:sz w:val="12"/>
        </w:rPr>
        <w:t xml:space="preserve"> In 2014, Congress created a mechanism for receiving notification at least 30 days before delivery when requested on select sales, but has only used the authority once. The administration should instead make this standard on all sales and make it public. </w:t>
      </w:r>
      <w:r w:rsidRPr="007D5293">
        <w:rPr>
          <w:rStyle w:val="StyleUnderline"/>
        </w:rPr>
        <w:t>Public reporting afterward</w:t>
      </w:r>
      <w:r w:rsidRPr="00D02281">
        <w:rPr>
          <w:sz w:val="12"/>
        </w:rPr>
        <w:t xml:space="preserve">, via the State Department’s so-called 655 report, also now </w:t>
      </w:r>
      <w:r w:rsidRPr="007D5293">
        <w:rPr>
          <w:rStyle w:val="StyleUnderline"/>
        </w:rPr>
        <w:t>has less detail than in the past. These reports</w:t>
      </w:r>
      <w:r w:rsidRPr="00D02281">
        <w:rPr>
          <w:sz w:val="12"/>
        </w:rPr>
        <w:t xml:space="preserve">, </w:t>
      </w:r>
      <w:r w:rsidRPr="007D5293">
        <w:rPr>
          <w:rStyle w:val="StyleUnderline"/>
        </w:rPr>
        <w:t>as well as others on end-use monitoring</w:t>
      </w:r>
      <w:r w:rsidRPr="00D02281">
        <w:rPr>
          <w:sz w:val="12"/>
        </w:rPr>
        <w:t xml:space="preserve">, </w:t>
      </w:r>
      <w:r w:rsidRPr="007D5293">
        <w:rPr>
          <w:rStyle w:val="StyleUnderline"/>
        </w:rPr>
        <w:t>should provide information on the number of specific weapons involved and other data, rather than broad categorical details</w:t>
      </w:r>
      <w:r w:rsidRPr="00D02281">
        <w:rPr>
          <w:sz w:val="12"/>
        </w:rPr>
        <w:t xml:space="preserve">. Importantly, reports from the Commerce Department should also improve in detail, especially if the changes on firearm exports are put into place that transfer oversight away from the State Department. </w:t>
      </w:r>
      <w:r w:rsidRPr="007D5293">
        <w:rPr>
          <w:rStyle w:val="StyleUnderline"/>
        </w:rPr>
        <w:t>Without</w:t>
      </w:r>
      <w:r w:rsidRPr="00D02281">
        <w:rPr>
          <w:sz w:val="12"/>
        </w:rPr>
        <w:t xml:space="preserve"> these </w:t>
      </w:r>
      <w:r w:rsidRPr="007D5293">
        <w:rPr>
          <w:rStyle w:val="StyleUnderline"/>
        </w:rPr>
        <w:t xml:space="preserve">specifics, it becomes </w:t>
      </w:r>
      <w:r w:rsidRPr="00D02281">
        <w:rPr>
          <w:sz w:val="12"/>
        </w:rPr>
        <w:t xml:space="preserve">more </w:t>
      </w:r>
      <w:r w:rsidRPr="007D5293">
        <w:rPr>
          <w:rStyle w:val="StyleUnderline"/>
        </w:rPr>
        <w:t xml:space="preserve">difficult </w:t>
      </w:r>
      <w:r w:rsidRPr="00D02281">
        <w:rPr>
          <w:sz w:val="12"/>
        </w:rPr>
        <w:t xml:space="preserve">not only </w:t>
      </w:r>
      <w:r w:rsidRPr="007D5293">
        <w:rPr>
          <w:rStyle w:val="StyleUnderline"/>
        </w:rPr>
        <w:t>to assess</w:t>
      </w:r>
      <w:r w:rsidRPr="00D02281">
        <w:rPr>
          <w:sz w:val="12"/>
        </w:rPr>
        <w:t xml:space="preserve"> these </w:t>
      </w:r>
      <w:r w:rsidRPr="007D5293">
        <w:rPr>
          <w:rStyle w:val="StyleUnderline"/>
        </w:rPr>
        <w:t xml:space="preserve">policy </w:t>
      </w:r>
      <w:r w:rsidRPr="00D02281">
        <w:rPr>
          <w:sz w:val="12"/>
        </w:rPr>
        <w:t xml:space="preserve">changes, but to further </w:t>
      </w:r>
      <w:r w:rsidRPr="007D5293">
        <w:rPr>
          <w:rStyle w:val="StyleUnderline"/>
        </w:rPr>
        <w:t>goals such as combating illicit trafficking and weapons flows to</w:t>
      </w:r>
      <w:r w:rsidRPr="00D02281">
        <w:rPr>
          <w:sz w:val="12"/>
        </w:rPr>
        <w:t xml:space="preserve"> terrorists and other </w:t>
      </w:r>
      <w:r w:rsidRPr="007D5293">
        <w:rPr>
          <w:rStyle w:val="StyleUnderline"/>
        </w:rPr>
        <w:t>unintended users.</w:t>
      </w:r>
      <w:r w:rsidRPr="00D02281">
        <w:rPr>
          <w:sz w:val="12"/>
        </w:rPr>
        <w:t xml:space="preserve"> </w:t>
      </w:r>
      <w:r w:rsidRPr="007D5293">
        <w:rPr>
          <w:rStyle w:val="StyleUnderline"/>
        </w:rPr>
        <w:t xml:space="preserve">A recent report </w:t>
      </w:r>
      <w:r w:rsidRPr="00D02281">
        <w:rPr>
          <w:sz w:val="12"/>
        </w:rPr>
        <w:t xml:space="preserve">from the Center for Civilians in Conflict and Stimson Center </w:t>
      </w:r>
      <w:r w:rsidRPr="007D5293">
        <w:rPr>
          <w:rStyle w:val="StyleUnderline"/>
        </w:rPr>
        <w:t xml:space="preserve">offers </w:t>
      </w:r>
      <w:r w:rsidRPr="00D02281">
        <w:rPr>
          <w:sz w:val="12"/>
        </w:rPr>
        <w:t>an array of good</w:t>
      </w:r>
      <w:r w:rsidRPr="007D5293">
        <w:rPr>
          <w:rStyle w:val="StyleUnderline"/>
        </w:rPr>
        <w:t xml:space="preserve"> suggestions</w:t>
      </w:r>
      <w:r w:rsidRPr="00D02281">
        <w:rPr>
          <w:sz w:val="12"/>
        </w:rPr>
        <w:t xml:space="preserve"> </w:t>
      </w:r>
      <w:r w:rsidRPr="007D5293">
        <w:rPr>
          <w:rStyle w:val="StyleUnderline"/>
        </w:rPr>
        <w:t xml:space="preserve">that run the life of a weapon—from pre-transfer to </w:t>
      </w:r>
      <w:r w:rsidRPr="00D02281">
        <w:rPr>
          <w:rStyle w:val="Emphasis"/>
        </w:rPr>
        <w:t>end-use monitoring</w:t>
      </w:r>
      <w:r w:rsidRPr="00D02281">
        <w:rPr>
          <w:sz w:val="12"/>
        </w:rPr>
        <w:t>—</w:t>
      </w:r>
      <w:r w:rsidRPr="007D5293">
        <w:rPr>
          <w:rStyle w:val="StyleUnderline"/>
        </w:rPr>
        <w:t>with “trigger” mechanisms along the way that allow for reassessment as situations change. Those recommendations</w:t>
      </w:r>
      <w:r w:rsidRPr="00D02281">
        <w:rPr>
          <w:sz w:val="12"/>
        </w:rPr>
        <w:t xml:space="preserve">, primarily focused on protecting civilians but </w:t>
      </w:r>
      <w:r w:rsidRPr="007D5293">
        <w:rPr>
          <w:rStyle w:val="StyleUnderline"/>
        </w:rPr>
        <w:t xml:space="preserve">also relevant to </w:t>
      </w:r>
      <w:r w:rsidRPr="00D02281">
        <w:rPr>
          <w:sz w:val="12"/>
        </w:rPr>
        <w:t>promoting</w:t>
      </w:r>
      <w:r w:rsidRPr="007D5293">
        <w:rPr>
          <w:rStyle w:val="StyleUnderline"/>
        </w:rPr>
        <w:t xml:space="preserve"> human rights and international law, deserve </w:t>
      </w:r>
      <w:r w:rsidRPr="00D02281">
        <w:rPr>
          <w:sz w:val="12"/>
        </w:rPr>
        <w:t xml:space="preserve">strong </w:t>
      </w:r>
      <w:r w:rsidRPr="007D5293">
        <w:rPr>
          <w:rStyle w:val="StyleUnderline"/>
        </w:rPr>
        <w:t>consideration</w:t>
      </w:r>
      <w:r w:rsidRPr="00D02281">
        <w:rPr>
          <w:sz w:val="12"/>
        </w:rPr>
        <w:t>.</w:t>
      </w:r>
    </w:p>
    <w:p w:rsidR="00B80F19" w:rsidRDefault="00B80F19" w:rsidP="00B80F19"/>
    <w:p w:rsidR="00B80F19" w:rsidRDefault="00B80F19" w:rsidP="00B80F19">
      <w:pPr>
        <w:pStyle w:val="Heading4"/>
      </w:pPr>
      <w:r>
        <w:t>Increased EUM transparency solves HR abuses and black market sales</w:t>
      </w:r>
    </w:p>
    <w:p w:rsidR="00B80F19" w:rsidRDefault="00B80F19" w:rsidP="00B80F19">
      <w:r w:rsidRPr="00D671E3">
        <w:rPr>
          <w:rStyle w:val="Style13ptBold"/>
        </w:rPr>
        <w:t>Waltz ’07</w:t>
      </w:r>
      <w:r>
        <w:t xml:space="preserve"> [Susan Waltz of the Gerald R. Ford School of Public Policy, 10/13/07</w:t>
      </w:r>
      <w:proofErr w:type="gramStart"/>
      <w:r>
        <w:t>,“</w:t>
      </w:r>
      <w:proofErr w:type="gramEnd"/>
      <w:r>
        <w:t xml:space="preserve">US Policy on Small Arms Transfers: A Human Rights Perspective,” working paper no. 43, Human Rights and Human Welfare, </w:t>
      </w:r>
      <w:hyperlink r:id="rId16" w:history="1">
        <w:r w:rsidRPr="000017AB">
          <w:rPr>
            <w:rStyle w:val="Hyperlink"/>
          </w:rPr>
          <w:t>https://www.du.edu/korbel/hrhw/workingpapers/2007/43-waltz-2007_rev.pdf</w:t>
        </w:r>
      </w:hyperlink>
      <w:r>
        <w:t xml:space="preserve">, </w:t>
      </w:r>
      <w:proofErr w:type="spellStart"/>
      <w:r>
        <w:t>cs</w:t>
      </w:r>
      <w:proofErr w:type="spellEnd"/>
      <w:r>
        <w:t>]</w:t>
      </w:r>
    </w:p>
    <w:p w:rsidR="00B80F19" w:rsidRPr="00D671E3" w:rsidRDefault="00B80F19" w:rsidP="00B80F19"/>
    <w:p w:rsidR="00B80F19" w:rsidRPr="00D671E3" w:rsidRDefault="00B80F19" w:rsidP="00B80F19">
      <w:pPr>
        <w:rPr>
          <w:sz w:val="12"/>
        </w:rPr>
      </w:pPr>
      <w:r w:rsidRPr="00D671E3">
        <w:rPr>
          <w:sz w:val="12"/>
        </w:rPr>
        <w:lastRenderedPageBreak/>
        <w:t>Human rights</w:t>
      </w:r>
      <w:r w:rsidRPr="007B09C1">
        <w:rPr>
          <w:rStyle w:val="StyleUnderline"/>
        </w:rPr>
        <w:t xml:space="preserve"> advocates concerned about the effects of US arms transfers on human rights</w:t>
      </w:r>
      <w:r w:rsidRPr="00D671E3">
        <w:rPr>
          <w:sz w:val="12"/>
        </w:rPr>
        <w:t xml:space="preserve"> and human security </w:t>
      </w:r>
      <w:r w:rsidRPr="007B09C1">
        <w:rPr>
          <w:rStyle w:val="StyleUnderline"/>
        </w:rPr>
        <w:t>would do well to</w:t>
      </w:r>
      <w:r w:rsidRPr="00D671E3">
        <w:rPr>
          <w:sz w:val="12"/>
        </w:rPr>
        <w:t xml:space="preserve"> focus on and </w:t>
      </w:r>
      <w:r w:rsidRPr="007B09C1">
        <w:rPr>
          <w:rStyle w:val="StyleUnderline"/>
        </w:rPr>
        <w:t xml:space="preserve">publicize </w:t>
      </w:r>
      <w:r w:rsidRPr="00D671E3">
        <w:rPr>
          <w:sz w:val="12"/>
        </w:rPr>
        <w:t>the</w:t>
      </w:r>
      <w:r w:rsidRPr="007B09C1">
        <w:rPr>
          <w:rStyle w:val="StyleUnderline"/>
        </w:rPr>
        <w:t xml:space="preserve"> discrepancies between aspects of the arms transfer policy that are publicly advertised, and those </w:t>
      </w:r>
      <w:r w:rsidRPr="00D671E3">
        <w:rPr>
          <w:sz w:val="12"/>
        </w:rPr>
        <w:t>kept</w:t>
      </w:r>
      <w:r w:rsidRPr="007B09C1">
        <w:rPr>
          <w:rStyle w:val="StyleUnderline"/>
        </w:rPr>
        <w:t xml:space="preserve"> in the shadows</w:t>
      </w:r>
      <w:r w:rsidRPr="00D671E3">
        <w:rPr>
          <w:sz w:val="12"/>
        </w:rPr>
        <w:t xml:space="preserve">. In particular, </w:t>
      </w:r>
      <w:r w:rsidRPr="007B09C1">
        <w:rPr>
          <w:rStyle w:val="StyleUnderline"/>
        </w:rPr>
        <w:t>attention should be drawn to provisions of the law, implementing regulations, and programs that allow any weapons transactions to escape the most robust standards of accountability</w:t>
      </w:r>
      <w:r w:rsidRPr="00D671E3">
        <w:rPr>
          <w:sz w:val="12"/>
        </w:rPr>
        <w:t xml:space="preserve"> and broadest interpretations of US statutes on arms transfers. </w:t>
      </w:r>
      <w:r w:rsidRPr="007B09C1">
        <w:rPr>
          <w:rStyle w:val="StyleUnderline"/>
        </w:rPr>
        <w:t xml:space="preserve">This includes arms transfers associated with covert actions, but </w:t>
      </w:r>
      <w:r w:rsidRPr="00D671E3">
        <w:rPr>
          <w:sz w:val="12"/>
        </w:rPr>
        <w:t xml:space="preserve">it </w:t>
      </w:r>
      <w:r w:rsidRPr="007B09C1">
        <w:rPr>
          <w:rStyle w:val="StyleUnderline"/>
        </w:rPr>
        <w:t xml:space="preserve">also </w:t>
      </w:r>
      <w:r w:rsidRPr="00D671E3">
        <w:rPr>
          <w:sz w:val="12"/>
        </w:rPr>
        <w:t>relates</w:t>
      </w:r>
      <w:r w:rsidRPr="007B09C1">
        <w:rPr>
          <w:rStyle w:val="StyleUnderline"/>
        </w:rPr>
        <w:t xml:space="preserve"> to growing reliance on </w:t>
      </w:r>
      <w:proofErr w:type="spellStart"/>
      <w:r w:rsidRPr="007B09C1">
        <w:rPr>
          <w:rStyle w:val="StyleUnderline"/>
        </w:rPr>
        <w:t>Pentagondirected</w:t>
      </w:r>
      <w:proofErr w:type="spellEnd"/>
      <w:r w:rsidRPr="007B09C1">
        <w:rPr>
          <w:rStyle w:val="StyleUnderline"/>
        </w:rPr>
        <w:t xml:space="preserve"> programs that downplay or circumvent human rights </w:t>
      </w:r>
      <w:r w:rsidRPr="00D671E3">
        <w:rPr>
          <w:sz w:val="12"/>
        </w:rPr>
        <w:t>considerations</w:t>
      </w:r>
      <w:r w:rsidRPr="007B09C1">
        <w:rPr>
          <w:rStyle w:val="StyleUnderline"/>
        </w:rPr>
        <w:t>,</w:t>
      </w:r>
      <w:r w:rsidRPr="00D671E3">
        <w:rPr>
          <w:sz w:val="12"/>
        </w:rPr>
        <w:t xml:space="preserve"> </w:t>
      </w:r>
      <w:r w:rsidRPr="007B09C1">
        <w:rPr>
          <w:rStyle w:val="StyleUnderline"/>
        </w:rPr>
        <w:t xml:space="preserve">and to Defense Authorization legislation that fails to ensure intended </w:t>
      </w:r>
      <w:r w:rsidRPr="007B09C1">
        <w:rPr>
          <w:rStyle w:val="Emphasis"/>
        </w:rPr>
        <w:t>end-use</w:t>
      </w:r>
      <w:r w:rsidRPr="007B09C1">
        <w:rPr>
          <w:rStyle w:val="StyleUnderline"/>
        </w:rPr>
        <w:t xml:space="preserve"> and limit re-transfer options</w:t>
      </w:r>
      <w:r w:rsidRPr="00D671E3">
        <w:rPr>
          <w:sz w:val="12"/>
        </w:rPr>
        <w:t xml:space="preserve">. </w:t>
      </w:r>
      <w:r w:rsidRPr="007B09C1">
        <w:rPr>
          <w:rStyle w:val="StyleUnderline"/>
        </w:rPr>
        <w:t xml:space="preserve">Where full accountability is not established, the risk of diversion into black market can be </w:t>
      </w:r>
      <w:r w:rsidRPr="00D671E3">
        <w:rPr>
          <w:sz w:val="12"/>
        </w:rPr>
        <w:t xml:space="preserve">very </w:t>
      </w:r>
      <w:r w:rsidRPr="007B09C1">
        <w:rPr>
          <w:rStyle w:val="StyleUnderline"/>
        </w:rPr>
        <w:t xml:space="preserve">high, and </w:t>
      </w:r>
      <w:r w:rsidRPr="00D671E3">
        <w:rPr>
          <w:sz w:val="12"/>
        </w:rPr>
        <w:t>the</w:t>
      </w:r>
      <w:r w:rsidRPr="007B09C1">
        <w:rPr>
          <w:rStyle w:val="StyleUnderline"/>
        </w:rPr>
        <w:t xml:space="preserve"> probability </w:t>
      </w:r>
      <w:r w:rsidRPr="00D671E3">
        <w:rPr>
          <w:sz w:val="12"/>
        </w:rPr>
        <w:t>that</w:t>
      </w:r>
      <w:r w:rsidRPr="007B09C1">
        <w:rPr>
          <w:rStyle w:val="StyleUnderline"/>
        </w:rPr>
        <w:t xml:space="preserve"> weapons will be used to the detriment of human rights </w:t>
      </w:r>
      <w:r w:rsidRPr="00D671E3">
        <w:rPr>
          <w:sz w:val="12"/>
        </w:rPr>
        <w:t>and welfare</w:t>
      </w:r>
      <w:r w:rsidRPr="007B09C1">
        <w:rPr>
          <w:rStyle w:val="StyleUnderline"/>
        </w:rPr>
        <w:t xml:space="preserve"> is increased.</w:t>
      </w:r>
      <w:r w:rsidRPr="00D671E3">
        <w:rPr>
          <w:sz w:val="12"/>
        </w:rPr>
        <w:t xml:space="preserve"> Any eventual normative agreement on arms supply must be applicable to all transfers. Otherwise, it will have little purpose or effect. </w:t>
      </w:r>
    </w:p>
    <w:p w:rsidR="00B80F19" w:rsidRDefault="00B80F19" w:rsidP="00B80F19"/>
    <w:p w:rsidR="00C601A6" w:rsidRDefault="00C601A6" w:rsidP="00C601A6">
      <w:pPr>
        <w:pStyle w:val="Heading2"/>
      </w:pPr>
      <w:r>
        <w:lastRenderedPageBreak/>
        <w:t xml:space="preserve">Solvency </w:t>
      </w:r>
      <w:r w:rsidR="00B80F19">
        <w:t>–</w:t>
      </w:r>
      <w:r>
        <w:t xml:space="preserve"> Terrorism</w:t>
      </w:r>
    </w:p>
    <w:p w:rsidR="00C601A6" w:rsidRDefault="00C601A6" w:rsidP="00C601A6">
      <w:pPr>
        <w:pStyle w:val="Heading4"/>
      </w:pPr>
      <w:r>
        <w:t>EUM reform solves terrorism</w:t>
      </w:r>
    </w:p>
    <w:p w:rsidR="00C601A6" w:rsidRDefault="00C601A6" w:rsidP="00C601A6">
      <w:r>
        <w:t xml:space="preserve">Jeff </w:t>
      </w:r>
      <w:r w:rsidRPr="000F228D">
        <w:rPr>
          <w:rStyle w:val="Style13ptBold"/>
        </w:rPr>
        <w:t>Abramson</w:t>
      </w:r>
      <w:r>
        <w:t xml:space="preserve"> (Senior Fellow, Arms Control Association) 6/7/</w:t>
      </w:r>
      <w:r w:rsidRPr="000F228D">
        <w:rPr>
          <w:rStyle w:val="Style13ptBold"/>
        </w:rPr>
        <w:t>2018</w:t>
      </w:r>
      <w:r>
        <w:t xml:space="preserve"> [“If the Trump administration is serious about changing U.S. arms sales policies, it should add much greater transparency into the arms transfer and monitoring process.” Online @ </w:t>
      </w:r>
      <w:hyperlink r:id="rId17" w:history="1">
        <w:r w:rsidRPr="001B0CC7">
          <w:rPr>
            <w:rStyle w:val="Hyperlink"/>
          </w:rPr>
          <w:t>https://www.armscontrol.org/taxonomy/term/36</w:t>
        </w:r>
      </w:hyperlink>
      <w:r>
        <w:t>, loghry]</w:t>
      </w:r>
    </w:p>
    <w:p w:rsidR="00C601A6" w:rsidRPr="00EF5CCB" w:rsidRDefault="00C601A6" w:rsidP="00C601A6">
      <w:pPr>
        <w:rPr>
          <w:sz w:val="12"/>
        </w:rPr>
      </w:pPr>
      <w:r w:rsidRPr="00EF5CCB">
        <w:rPr>
          <w:sz w:val="12"/>
        </w:rPr>
        <w:t xml:space="preserve">As </w:t>
      </w:r>
      <w:r w:rsidRPr="000F228D">
        <w:rPr>
          <w:rStyle w:val="StyleUnderline"/>
        </w:rPr>
        <w:t>the Trump administration</w:t>
      </w:r>
      <w:r w:rsidRPr="00EF5CCB">
        <w:rPr>
          <w:sz w:val="12"/>
        </w:rPr>
        <w:t xml:space="preserve"> works to implement these changes, it </w:t>
      </w:r>
      <w:r w:rsidRPr="000F228D">
        <w:rPr>
          <w:rStyle w:val="StyleUnderline"/>
        </w:rPr>
        <w:t>should build in transparency and process changes that make it possible to assess whether U.S. arms exports are meeting the stated goals</w:t>
      </w:r>
      <w:r w:rsidRPr="00EF5CCB">
        <w:rPr>
          <w:sz w:val="12"/>
        </w:rPr>
        <w:t xml:space="preserve"> of the new policies. This would not only be good public policy, but </w:t>
      </w:r>
      <w:r w:rsidRPr="000F228D">
        <w:rPr>
          <w:rStyle w:val="StyleUnderline"/>
        </w:rPr>
        <w:t>such an approach has the potential to address rising congressional and international distress about an administration that has shown less restraint</w:t>
      </w:r>
      <w:r w:rsidRPr="00EF5CCB">
        <w:rPr>
          <w:sz w:val="12"/>
        </w:rPr>
        <w:t xml:space="preserve">, including by moving ahead with arms sales to Bahrain, Nigeria, and Saudi Arabia that the previous administration had held back on due to serious human rights concerns. As a start, </w:t>
      </w:r>
      <w:r w:rsidRPr="000F228D">
        <w:rPr>
          <w:rStyle w:val="StyleUnderline"/>
        </w:rPr>
        <w:t>a public accounting and evaluation of training that might go along with arms sales is desperately needed</w:t>
      </w:r>
      <w:r w:rsidRPr="00EF5CCB">
        <w:rPr>
          <w:sz w:val="12"/>
        </w:rPr>
        <w:t xml:space="preserve">, especially if it will be a cornerstone of an effort to protect civilians. With another round of controversial precision-guided munition sales expected soon to Saudi Arabia (as well as the UAE), it is imperative that much more is shared about how training is done, who receives it, and whether it works. As the Saudi-led coalition continues to hit civilian areas and an invasion of the port of Hodeida looms that threatens to further exacerbate the humanitarian crisis in Yemen, it is not enough to simply say training is important. It must make a difference. Similarly, </w:t>
      </w:r>
      <w:r w:rsidRPr="000F228D">
        <w:rPr>
          <w:rStyle w:val="StyleUnderline"/>
        </w:rPr>
        <w:t>much greater transparency into the arms sales process at a public level is critical. Under current procedure Congress is notified of potential major arms sales whether through the foreign military sales</w:t>
      </w:r>
      <w:r w:rsidRPr="00EF5CCB">
        <w:rPr>
          <w:sz w:val="12"/>
        </w:rPr>
        <w:t xml:space="preserve"> (FMS) </w:t>
      </w:r>
      <w:r w:rsidRPr="000F228D">
        <w:rPr>
          <w:rStyle w:val="StyleUnderline"/>
        </w:rPr>
        <w:t>process or via direct commercial sales</w:t>
      </w:r>
      <w:r w:rsidRPr="00EF5CCB">
        <w:rPr>
          <w:sz w:val="12"/>
        </w:rPr>
        <w:t xml:space="preserve"> (DCS), </w:t>
      </w:r>
      <w:r w:rsidRPr="000F228D">
        <w:rPr>
          <w:rStyle w:val="StyleUnderline"/>
        </w:rPr>
        <w:t>starting a review period by which it could block agreement to the sale</w:t>
      </w:r>
      <w:r w:rsidRPr="00EF5CCB">
        <w:rPr>
          <w:sz w:val="12"/>
        </w:rPr>
        <w:t xml:space="preserve">. Unlike FMS notifications, </w:t>
      </w:r>
      <w:r w:rsidRPr="000F228D">
        <w:rPr>
          <w:rStyle w:val="StyleUnderline"/>
        </w:rPr>
        <w:t>DCS notifications are not posted on a publicly accessible website, giving the American people less time to inform their representatives of any concerns</w:t>
      </w:r>
      <w:r w:rsidRPr="00EF5CCB">
        <w:rPr>
          <w:sz w:val="12"/>
        </w:rPr>
        <w:t xml:space="preserve">. </w:t>
      </w:r>
      <w:r w:rsidRPr="000F228D">
        <w:rPr>
          <w:rStyle w:val="StyleUnderline"/>
        </w:rPr>
        <w:t>If the administration wants to make it easier for companies to negotiate their arms sales, it should also improve transparency into them</w:t>
      </w:r>
      <w:r w:rsidRPr="00EF5CCB">
        <w:rPr>
          <w:sz w:val="12"/>
        </w:rPr>
        <w:t xml:space="preserve">. While Congress can block or amend an arms sale up until a weapon is delivered, those deliveries often occur years after notification. There is typically much less public attention on arms sales during this period. If </w:t>
      </w:r>
      <w:r w:rsidRPr="000F228D">
        <w:rPr>
          <w:rStyle w:val="StyleUnderline"/>
        </w:rPr>
        <w:t>the administration</w:t>
      </w:r>
      <w:r w:rsidRPr="00EF5CCB">
        <w:rPr>
          <w:sz w:val="12"/>
        </w:rPr>
        <w:t xml:space="preserve"> wants to speed the time between agreement and delivery, it </w:t>
      </w:r>
      <w:r w:rsidRPr="000F228D">
        <w:rPr>
          <w:rStyle w:val="StyleUnderline"/>
        </w:rPr>
        <w:t>should</w:t>
      </w:r>
      <w:r w:rsidRPr="00EF5CCB">
        <w:rPr>
          <w:sz w:val="12"/>
        </w:rPr>
        <w:t xml:space="preserve"> agree to also </w:t>
      </w:r>
      <w:r w:rsidRPr="000F228D">
        <w:rPr>
          <w:rStyle w:val="StyleUnderline"/>
        </w:rPr>
        <w:t>make clear when a delivery is imminent, so as to create predictable moments for oversight</w:t>
      </w:r>
      <w:r w:rsidRPr="00EF5CCB">
        <w:rPr>
          <w:sz w:val="12"/>
        </w:rPr>
        <w:t xml:space="preserve">. In 2014, </w:t>
      </w:r>
      <w:r w:rsidRPr="000F228D">
        <w:rPr>
          <w:rStyle w:val="StyleUnderline"/>
        </w:rPr>
        <w:t>Congress created a mechanism for receiving notification at least 30 days before delivery when requested on select sales, but has only used the authority once.</w:t>
      </w:r>
      <w:r w:rsidRPr="00EF5CCB">
        <w:rPr>
          <w:sz w:val="12"/>
        </w:rPr>
        <w:t xml:space="preserve"> </w:t>
      </w:r>
      <w:r w:rsidRPr="000F228D">
        <w:rPr>
          <w:rStyle w:val="StyleUnderline"/>
        </w:rPr>
        <w:t>The administration should</w:t>
      </w:r>
      <w:r w:rsidRPr="00EF5CCB">
        <w:rPr>
          <w:sz w:val="12"/>
        </w:rPr>
        <w:t xml:space="preserve"> instead </w:t>
      </w:r>
      <w:r w:rsidRPr="000F228D">
        <w:rPr>
          <w:rStyle w:val="StyleUnderline"/>
        </w:rPr>
        <w:t>make this standard on all sales and make it public</w:t>
      </w:r>
      <w:r w:rsidRPr="00EF5CCB">
        <w:rPr>
          <w:sz w:val="12"/>
        </w:rPr>
        <w:t xml:space="preserve">. </w:t>
      </w:r>
      <w:r w:rsidRPr="000F228D">
        <w:rPr>
          <w:rStyle w:val="StyleUnderline"/>
        </w:rPr>
        <w:t>Public reporting afterward, via the State Department’s</w:t>
      </w:r>
      <w:r w:rsidRPr="00EF5CCB">
        <w:rPr>
          <w:sz w:val="12"/>
        </w:rPr>
        <w:t xml:space="preserve"> so-called </w:t>
      </w:r>
      <w:r w:rsidRPr="000F228D">
        <w:rPr>
          <w:rStyle w:val="StyleUnderline"/>
        </w:rPr>
        <w:t>655 report, also now has less detail than in the past. These reports, as well as others on end-use monitoring, should provide information on the number of specific weapons involved and other data, rather than broad categorical details</w:t>
      </w:r>
      <w:r w:rsidRPr="00EF5CCB">
        <w:rPr>
          <w:sz w:val="12"/>
        </w:rPr>
        <w:t xml:space="preserve">. Importantly, reports from the Commerce Department should also improve in detail, especially if the changes on firearm exports are put into place that transfer oversight away from the State Department. </w:t>
      </w:r>
      <w:r w:rsidRPr="000F228D">
        <w:rPr>
          <w:rStyle w:val="StyleUnderline"/>
        </w:rPr>
        <w:t>Without these specifics, it becomes more difficult not only to assess these policy changes, but to further goals such as</w:t>
      </w:r>
      <w:r w:rsidRPr="00EF5CCB">
        <w:rPr>
          <w:sz w:val="12"/>
        </w:rPr>
        <w:t xml:space="preserve"> </w:t>
      </w:r>
      <w:r w:rsidRPr="000F228D">
        <w:rPr>
          <w:rStyle w:val="Emphasis"/>
        </w:rPr>
        <w:t>combating illicit trafficking and weapons flows to terrorists</w:t>
      </w:r>
      <w:r w:rsidRPr="00EF5CCB">
        <w:rPr>
          <w:sz w:val="12"/>
        </w:rPr>
        <w:t xml:space="preserve"> and other unintended users.</w:t>
      </w:r>
    </w:p>
    <w:p w:rsidR="00C601A6" w:rsidRDefault="00C601A6" w:rsidP="00C601A6"/>
    <w:p w:rsidR="00B80F19" w:rsidRDefault="00B80F19" w:rsidP="00B80F19">
      <w:pPr>
        <w:pStyle w:val="Heading2"/>
      </w:pPr>
      <w:r>
        <w:lastRenderedPageBreak/>
        <w:t>Solvency – Third Party Transfers</w:t>
      </w:r>
    </w:p>
    <w:p w:rsidR="00B80F19" w:rsidRDefault="00B80F19" w:rsidP="00B80F19">
      <w:pPr>
        <w:pStyle w:val="Heading4"/>
      </w:pPr>
      <w:r>
        <w:t>Strong EUM solves third-party transfer abuse</w:t>
      </w:r>
    </w:p>
    <w:p w:rsidR="00B80F19" w:rsidRPr="008E17AC" w:rsidRDefault="00B80F19" w:rsidP="00B80F19">
      <w:r w:rsidRPr="00197C6A">
        <w:rPr>
          <w:rStyle w:val="Style13ptBold"/>
        </w:rPr>
        <w:t>Little ’17</w:t>
      </w:r>
      <w:r>
        <w:t xml:space="preserve"> [Thomas D. Little is a retired Transportation Corps officer and an </w:t>
      </w:r>
      <w:proofErr w:type="spellStart"/>
      <w:r>
        <w:t>EUM</w:t>
      </w:r>
      <w:proofErr w:type="spellEnd"/>
      <w:r>
        <w:t xml:space="preserve"> program manager in the Middle East, 9/5/17, “End-use monitoring is the key to success in foreign military sales,” </w:t>
      </w:r>
      <w:hyperlink r:id="rId18" w:history="1">
        <w:r w:rsidRPr="000017AB">
          <w:rPr>
            <w:rStyle w:val="Hyperlink"/>
          </w:rPr>
          <w:t>https://www.army.mil/article/192447/end_use_monitoring_is_the_key_to_success_in_foreign_military_sales</w:t>
        </w:r>
      </w:hyperlink>
      <w:r>
        <w:t xml:space="preserve">, </w:t>
      </w:r>
      <w:proofErr w:type="spellStart"/>
      <w:r>
        <w:t>cs</w:t>
      </w:r>
      <w:proofErr w:type="spellEnd"/>
      <w:r>
        <w:t>]</w:t>
      </w:r>
    </w:p>
    <w:p w:rsidR="00B80F19" w:rsidRPr="00197C6A" w:rsidRDefault="00B80F19" w:rsidP="00B80F19">
      <w:pPr>
        <w:rPr>
          <w:sz w:val="12"/>
        </w:rPr>
      </w:pPr>
      <w:r w:rsidRPr="00197C6A">
        <w:rPr>
          <w:sz w:val="12"/>
        </w:rPr>
        <w:t xml:space="preserve">TRANSFERS AND DEMILITARIZATION </w:t>
      </w:r>
      <w:r w:rsidRPr="008E17AC">
        <w:rPr>
          <w:rStyle w:val="StyleUnderline"/>
        </w:rPr>
        <w:t>During the life cycle of a defense item, a nation may decide to transfer, demilitarize, or dispose of the item</w:t>
      </w:r>
      <w:r w:rsidRPr="00197C6A">
        <w:rPr>
          <w:sz w:val="12"/>
        </w:rPr>
        <w:t xml:space="preserve">. Sometimes items such as munitions, weapons, or vehicles may be transferred to another nation that needs an item to fill a shortage, particularly during combat operations. </w:t>
      </w:r>
      <w:r w:rsidRPr="008E17AC">
        <w:rPr>
          <w:rStyle w:val="StyleUnderline"/>
        </w:rPr>
        <w:t>Moving an FMS item from one nation to another is called a third-party transfer</w:t>
      </w:r>
      <w:r w:rsidRPr="00197C6A">
        <w:rPr>
          <w:sz w:val="12"/>
        </w:rPr>
        <w:t xml:space="preserve">. </w:t>
      </w:r>
      <w:r w:rsidRPr="008E17AC">
        <w:rPr>
          <w:rStyle w:val="StyleUnderline"/>
        </w:rPr>
        <w:t>Third-party transfers require notification and approval from the Department of State</w:t>
      </w:r>
      <w:r w:rsidRPr="00197C6A">
        <w:rPr>
          <w:sz w:val="12"/>
        </w:rPr>
        <w:t xml:space="preserve">'s Office of Regional Security and Arms Transfers. This office manages the sale and transfer of U.S. defense articles and services to foreign governments. </w:t>
      </w:r>
      <w:r w:rsidRPr="008E17AC">
        <w:rPr>
          <w:rStyle w:val="StyleUnderline"/>
        </w:rPr>
        <w:t>Once permission is obtained,</w:t>
      </w:r>
      <w:r w:rsidRPr="00197C6A">
        <w:rPr>
          <w:sz w:val="12"/>
        </w:rPr>
        <w:t xml:space="preserve"> the nations can begin the transfer. </w:t>
      </w:r>
      <w:r w:rsidRPr="008E17AC">
        <w:rPr>
          <w:rStyle w:val="StyleUnderline"/>
        </w:rPr>
        <w:t>The EUM program manager manages the process to ensure inventory control</w:t>
      </w:r>
      <w:r w:rsidRPr="00197C6A">
        <w:rPr>
          <w:sz w:val="12"/>
        </w:rPr>
        <w:t xml:space="preserve"> throughout the transaction. </w:t>
      </w:r>
      <w:r w:rsidRPr="008E17AC">
        <w:rPr>
          <w:rStyle w:val="StyleUnderline"/>
        </w:rPr>
        <w:t>A nation may also dispose of defense articles that are old</w:t>
      </w:r>
      <w:r w:rsidRPr="00197C6A">
        <w:rPr>
          <w:sz w:val="12"/>
        </w:rPr>
        <w:t xml:space="preserve">, obsolete, </w:t>
      </w:r>
      <w:r w:rsidRPr="008E17AC">
        <w:rPr>
          <w:rStyle w:val="StyleUnderline"/>
        </w:rPr>
        <w:t>or damaged. After receiving permission</w:t>
      </w:r>
      <w:r w:rsidRPr="00197C6A">
        <w:rPr>
          <w:sz w:val="12"/>
        </w:rPr>
        <w:t xml:space="preserve"> from the Department of State</w:t>
      </w:r>
      <w:r w:rsidRPr="008E17AC">
        <w:rPr>
          <w:rStyle w:val="StyleUnderline"/>
        </w:rPr>
        <w:t>, the nation disposes of equipment under the observation of at least two U.S. government employees</w:t>
      </w:r>
      <w:r w:rsidRPr="00197C6A">
        <w:rPr>
          <w:sz w:val="12"/>
        </w:rPr>
        <w:t xml:space="preserve">, who take photos of the operation and include them with the certificate of demilitarization that is submitted to the Department of State for final disposition. </w:t>
      </w:r>
      <w:r w:rsidRPr="008E17AC">
        <w:rPr>
          <w:rStyle w:val="Emphasis"/>
        </w:rPr>
        <w:t>EUM is one of the most important functions supporting FMS</w:t>
      </w:r>
      <w:r w:rsidRPr="00197C6A">
        <w:rPr>
          <w:sz w:val="12"/>
        </w:rPr>
        <w:t xml:space="preserve">. </w:t>
      </w:r>
      <w:r w:rsidRPr="008E17AC">
        <w:rPr>
          <w:rStyle w:val="StyleUnderline"/>
        </w:rPr>
        <w:t>Security cooperation professionals managing EUM programs around the world use their skills to ensure</w:t>
      </w:r>
      <w:r w:rsidRPr="00197C6A">
        <w:rPr>
          <w:sz w:val="12"/>
        </w:rPr>
        <w:t xml:space="preserve"> that </w:t>
      </w:r>
      <w:r w:rsidRPr="008E17AC">
        <w:rPr>
          <w:rStyle w:val="StyleUnderline"/>
        </w:rPr>
        <w:t>100 percent accountability</w:t>
      </w:r>
      <w:r w:rsidRPr="00197C6A">
        <w:rPr>
          <w:sz w:val="12"/>
        </w:rPr>
        <w:t xml:space="preserve"> is maintained and U.S. technology is protected. </w:t>
      </w:r>
      <w:r w:rsidRPr="008E17AC">
        <w:rPr>
          <w:rStyle w:val="Emphasis"/>
        </w:rPr>
        <w:t>FMS cannot be successful without quality EUM</w:t>
      </w:r>
      <w:r w:rsidRPr="00197C6A">
        <w:rPr>
          <w:sz w:val="12"/>
        </w:rPr>
        <w:t xml:space="preserve"> happening every day around the world.</w:t>
      </w:r>
    </w:p>
    <w:p w:rsidR="00B80F19" w:rsidRDefault="00B80F19" w:rsidP="00B80F19"/>
    <w:p w:rsidR="00C601A6" w:rsidRDefault="00C601A6" w:rsidP="00C601A6">
      <w:pPr>
        <w:pStyle w:val="Heading2"/>
      </w:pPr>
      <w:r>
        <w:lastRenderedPageBreak/>
        <w:t>Solvency – Lifetime Tracking</w:t>
      </w:r>
    </w:p>
    <w:p w:rsidR="00C601A6" w:rsidRDefault="00C601A6" w:rsidP="00C601A6">
      <w:pPr>
        <w:pStyle w:val="Heading4"/>
      </w:pPr>
      <w:r>
        <w:t>Lifetime tracking resolves most abuses</w:t>
      </w:r>
    </w:p>
    <w:p w:rsidR="00C601A6" w:rsidRDefault="00C601A6" w:rsidP="00C601A6">
      <w:r w:rsidRPr="009A13FF">
        <w:rPr>
          <w:rStyle w:val="Style13ptBold"/>
        </w:rPr>
        <w:t xml:space="preserve">Thrall and </w:t>
      </w:r>
      <w:proofErr w:type="spellStart"/>
      <w:r w:rsidRPr="009A13FF">
        <w:rPr>
          <w:rStyle w:val="Style13ptBold"/>
        </w:rPr>
        <w:t>Dorminey</w:t>
      </w:r>
      <w:proofErr w:type="spellEnd"/>
      <w:r w:rsidRPr="009A13FF">
        <w:rPr>
          <w:rStyle w:val="Style13ptBold"/>
        </w:rPr>
        <w:t xml:space="preserve"> ’18</w:t>
      </w:r>
      <w:r>
        <w:t xml:space="preserve"> [A. Trevor Thrall is an associate professor at George Mason University’s </w:t>
      </w:r>
      <w:proofErr w:type="spellStart"/>
      <w:r>
        <w:t>Schar</w:t>
      </w:r>
      <w:proofErr w:type="spellEnd"/>
      <w:r>
        <w:t xml:space="preserve"> School of Policy and Government and a senior fellow at the Cato Institute’s Defense and Foreign Policy Department AND Caroline </w:t>
      </w:r>
      <w:proofErr w:type="spellStart"/>
      <w:r>
        <w:t>Dorminey</w:t>
      </w:r>
      <w:proofErr w:type="spellEnd"/>
      <w:r>
        <w:t xml:space="preserve"> is a policy analyst at the Cato Institute’s Defense and Foreign Policy Department, 6/13/18, “A NEW FRAMEWORK FOR ASSESSING THE RISKS FROM U.S. ARMS SALES” War on the Rocks, </w:t>
      </w:r>
      <w:hyperlink r:id="rId19" w:history="1">
        <w:r w:rsidRPr="000017AB">
          <w:rPr>
            <w:rStyle w:val="Hyperlink"/>
          </w:rPr>
          <w:t>https://warontherocks.com/2018/06/a-new-framework-for-assessing-the-risks-from-u-s-arms-sales/</w:t>
        </w:r>
      </w:hyperlink>
      <w:r>
        <w:t xml:space="preserve">, </w:t>
      </w:r>
      <w:proofErr w:type="spellStart"/>
      <w:r>
        <w:t>cs</w:t>
      </w:r>
      <w:proofErr w:type="spellEnd"/>
      <w:r>
        <w:t>]</w:t>
      </w:r>
    </w:p>
    <w:p w:rsidR="00C601A6" w:rsidRPr="009A13FF" w:rsidRDefault="00C601A6" w:rsidP="00C601A6">
      <w:pPr>
        <w:rPr>
          <w:sz w:val="10"/>
        </w:rPr>
      </w:pPr>
      <w:r w:rsidRPr="009A13FF">
        <w:rPr>
          <w:sz w:val="10"/>
        </w:rPr>
        <w:t xml:space="preserve">Third, </w:t>
      </w:r>
      <w:r w:rsidRPr="009F115B">
        <w:rPr>
          <w:rStyle w:val="StyleUnderline"/>
        </w:rPr>
        <w:t>the United States should implement a more</w:t>
      </w:r>
      <w:r w:rsidRPr="009A13FF">
        <w:rPr>
          <w:sz w:val="10"/>
        </w:rPr>
        <w:t xml:space="preserve"> </w:t>
      </w:r>
      <w:r w:rsidRPr="009F115B">
        <w:rPr>
          <w:rStyle w:val="Emphasis"/>
        </w:rPr>
        <w:t>comprehensive system of end use monitoring</w:t>
      </w:r>
      <w:r w:rsidRPr="009A13FF">
        <w:rPr>
          <w:sz w:val="10"/>
        </w:rPr>
        <w:t xml:space="preserve"> </w:t>
      </w:r>
      <w:r w:rsidRPr="009F115B">
        <w:rPr>
          <w:rStyle w:val="StyleUnderline"/>
        </w:rPr>
        <w:t>that tracks</w:t>
      </w:r>
      <w:r w:rsidRPr="009A13FF">
        <w:rPr>
          <w:sz w:val="10"/>
        </w:rPr>
        <w:t xml:space="preserve"> </w:t>
      </w:r>
      <w:r w:rsidRPr="009F115B">
        <w:rPr>
          <w:rStyle w:val="StyleUnderline"/>
        </w:rPr>
        <w:t>not only the physical location of American weapons</w:t>
      </w:r>
      <w:r w:rsidRPr="009A13FF">
        <w:rPr>
          <w:sz w:val="10"/>
        </w:rPr>
        <w:t xml:space="preserve"> (as is done today), </w:t>
      </w:r>
      <w:r w:rsidRPr="009F115B">
        <w:rPr>
          <w:rStyle w:val="Emphasis"/>
        </w:rPr>
        <w:t>but also</w:t>
      </w:r>
      <w:r w:rsidRPr="009A13FF">
        <w:rPr>
          <w:sz w:val="10"/>
        </w:rPr>
        <w:t xml:space="preserve"> attempts to </w:t>
      </w:r>
      <w:r w:rsidRPr="00561A95">
        <w:rPr>
          <w:rStyle w:val="StyleUnderline"/>
        </w:rPr>
        <w:t>account for how those weapons are used over the</w:t>
      </w:r>
      <w:r w:rsidRPr="009A13FF">
        <w:rPr>
          <w:sz w:val="10"/>
        </w:rPr>
        <w:t xml:space="preserve"> several </w:t>
      </w:r>
      <w:r w:rsidRPr="00561A95">
        <w:rPr>
          <w:rStyle w:val="StyleUnderline"/>
        </w:rPr>
        <w:t>decades</w:t>
      </w:r>
      <w:r w:rsidRPr="009A13FF">
        <w:rPr>
          <w:sz w:val="10"/>
        </w:rPr>
        <w:t xml:space="preserve"> during which </w:t>
      </w:r>
      <w:r w:rsidRPr="00561A95">
        <w:rPr>
          <w:rStyle w:val="StyleUnderline"/>
        </w:rPr>
        <w:t>they will be in service</w:t>
      </w:r>
      <w:r w:rsidRPr="009A13FF">
        <w:rPr>
          <w:sz w:val="10"/>
        </w:rPr>
        <w:t xml:space="preserve">. As much of </w:t>
      </w:r>
      <w:r w:rsidRPr="00561A95">
        <w:rPr>
          <w:rStyle w:val="StyleUnderline"/>
        </w:rPr>
        <w:t>this data</w:t>
      </w:r>
      <w:r w:rsidRPr="009A13FF">
        <w:rPr>
          <w:sz w:val="10"/>
        </w:rPr>
        <w:t xml:space="preserve"> as possible </w:t>
      </w:r>
      <w:r w:rsidRPr="00561A95">
        <w:rPr>
          <w:rStyle w:val="StyleUnderline"/>
        </w:rPr>
        <w:t>should be made publicly available</w:t>
      </w:r>
      <w:r w:rsidRPr="009A13FF">
        <w:rPr>
          <w:sz w:val="10"/>
        </w:rPr>
        <w:t xml:space="preserve">. </w:t>
      </w:r>
      <w:r w:rsidRPr="00561A95">
        <w:rPr>
          <w:rStyle w:val="StyleUnderline"/>
        </w:rPr>
        <w:t>Much of the difficulty in weighing risks and benefits is a product of</w:t>
      </w:r>
      <w:r w:rsidRPr="009A13FF">
        <w:rPr>
          <w:sz w:val="10"/>
        </w:rPr>
        <w:t xml:space="preserve"> the simple </w:t>
      </w:r>
      <w:r w:rsidRPr="00561A95">
        <w:rPr>
          <w:rStyle w:val="Emphasis"/>
        </w:rPr>
        <w:t xml:space="preserve">lack of data </w:t>
      </w:r>
      <w:r w:rsidRPr="00561A95">
        <w:rPr>
          <w:rStyle w:val="StyleUnderline"/>
        </w:rPr>
        <w:t xml:space="preserve">on what happens </w:t>
      </w:r>
      <w:r w:rsidRPr="009A13FF">
        <w:rPr>
          <w:szCs w:val="16"/>
        </w:rPr>
        <w:t>over the</w:t>
      </w:r>
      <w:r w:rsidRPr="00561A95">
        <w:rPr>
          <w:rStyle w:val="StyleUnderline"/>
        </w:rPr>
        <w:t xml:space="preserve"> long-term</w:t>
      </w:r>
      <w:r w:rsidRPr="009A13FF">
        <w:rPr>
          <w:sz w:val="10"/>
        </w:rPr>
        <w:t xml:space="preserve"> when America sends weapons abroad. Having </w:t>
      </w:r>
      <w:r w:rsidRPr="00561A95">
        <w:rPr>
          <w:rStyle w:val="StyleUnderline"/>
        </w:rPr>
        <w:t>more information about both the positive and negative outcomes will help policymakers make more informed decisions about arms sales</w:t>
      </w:r>
      <w:r w:rsidRPr="009A13FF">
        <w:rPr>
          <w:sz w:val="10"/>
        </w:rPr>
        <w:t xml:space="preserve"> in the future.</w:t>
      </w:r>
    </w:p>
    <w:p w:rsidR="00C601A6" w:rsidRDefault="00C601A6" w:rsidP="00C601A6"/>
    <w:p w:rsidR="00B80F19" w:rsidRPr="00073FC3" w:rsidRDefault="00B80F19" w:rsidP="00B80F19">
      <w:pPr>
        <w:pStyle w:val="Heading2"/>
      </w:pPr>
      <w:r>
        <w:lastRenderedPageBreak/>
        <w:t>Solvency – Middle East</w:t>
      </w:r>
    </w:p>
    <w:p w:rsidR="00B80F19" w:rsidRDefault="00B80F19" w:rsidP="00B80F19">
      <w:pPr>
        <w:pStyle w:val="Heading4"/>
      </w:pPr>
      <w:r>
        <w:t xml:space="preserve">Strengthening EUM shores up failures of monitoring in the </w:t>
      </w:r>
      <w:proofErr w:type="spellStart"/>
      <w:r>
        <w:t>squo</w:t>
      </w:r>
      <w:proofErr w:type="spellEnd"/>
      <w:r>
        <w:t xml:space="preserve"> (</w:t>
      </w:r>
      <w:proofErr w:type="gramStart"/>
      <w:r>
        <w:t>middle east</w:t>
      </w:r>
      <w:proofErr w:type="gramEnd"/>
      <w:r>
        <w:t xml:space="preserve"> specific)</w:t>
      </w:r>
    </w:p>
    <w:p w:rsidR="00B80F19" w:rsidRDefault="00B80F19" w:rsidP="00B80F19">
      <w:r w:rsidRPr="00881950">
        <w:rPr>
          <w:rStyle w:val="Style13ptBold"/>
        </w:rPr>
        <w:t>Congressional Research Service</w:t>
      </w:r>
      <w:r>
        <w:t xml:space="preserve"> (known as Congress's think tank, is a public policy research arm of the United States Congress) 10/11/</w:t>
      </w:r>
      <w:r w:rsidRPr="00881950">
        <w:rPr>
          <w:rStyle w:val="Style13ptBold"/>
        </w:rPr>
        <w:t>2017</w:t>
      </w:r>
      <w:r>
        <w:t xml:space="preserve"> [“Arms Sales in the Middle East: Trends and Analytical Perspectives for U.S. Policy” online @ </w:t>
      </w:r>
      <w:hyperlink r:id="rId20" w:anchor="_Toc496166482" w:history="1">
        <w:r w:rsidRPr="001B0CC7">
          <w:rPr>
            <w:rStyle w:val="Hyperlink"/>
          </w:rPr>
          <w:t>https://www.everycrsreport.com/reports/R44984.html#_Toc496166482</w:t>
        </w:r>
      </w:hyperlink>
      <w:r>
        <w:t>, loghry]</w:t>
      </w:r>
    </w:p>
    <w:p w:rsidR="00B80F19" w:rsidRDefault="00B80F19" w:rsidP="00B80F19">
      <w:r>
        <w:t xml:space="preserve">The </w:t>
      </w:r>
      <w:r w:rsidRPr="00881950">
        <w:rPr>
          <w:rStyle w:val="StyleUnderline"/>
        </w:rPr>
        <w:t>challenges of accounting for</w:t>
      </w:r>
      <w:r>
        <w:t xml:space="preserve"> the whereabouts of </w:t>
      </w:r>
      <w:r w:rsidRPr="00881950">
        <w:rPr>
          <w:rStyle w:val="StyleUnderline"/>
        </w:rPr>
        <w:t>U.S. arms have</w:t>
      </w:r>
      <w:r>
        <w:t xml:space="preserve"> perhaps </w:t>
      </w:r>
      <w:r w:rsidRPr="00881950">
        <w:rPr>
          <w:rStyle w:val="StyleUnderline"/>
        </w:rPr>
        <w:t>grown as the United States has transferred more weapons</w:t>
      </w:r>
      <w:r>
        <w:t xml:space="preserve"> into Iraq to help Iraqi forces confront the Islamic State. In May 2017, Amnesty International obtained (via a Freedom of Information Act request) and released a September 2016 DOD audit that determined that </w:t>
      </w:r>
      <w:r w:rsidRPr="00881950">
        <w:rPr>
          <w:rStyle w:val="StyleUnderline"/>
        </w:rPr>
        <w:t>the Army "did not have effective controls" to track equipment transfers provided to Iraqi forces through the Iraq Train and Equip Fund</w:t>
      </w:r>
      <w:r>
        <w:t xml:space="preserve"> (ITEF). The audit characterized the Army's recordkeeping as inconsistent, out of date, and prone to human error.143 A DOD spokeswoman stated, "The bottom line is that the US military does not have a means to track equipment that has been taken from the Government of Iraq by ISIL."144 The implications for these sales under the AECA are unclear. The DOD spokeswoman cited above explained the situation by saying that "the current conflict in Iraq limits some aspects of ... monitoring activities, including travel to many areas of Iraq and access to Iraqi units in combat areas, as well as combat use, damage and losses of war material."145 </w:t>
      </w:r>
      <w:r w:rsidRPr="00881950">
        <w:rPr>
          <w:rStyle w:val="StyleUnderline"/>
        </w:rPr>
        <w:t>End-use monitoring is</w:t>
      </w:r>
      <w:r>
        <w:t xml:space="preserve"> considered </w:t>
      </w:r>
      <w:r w:rsidRPr="00881950">
        <w:rPr>
          <w:rStyle w:val="StyleUnderline"/>
        </w:rPr>
        <w:t>an important part of ensuring that recipient governments in the Middle East</w:t>
      </w:r>
      <w:r>
        <w:t xml:space="preserve"> </w:t>
      </w:r>
      <w:r w:rsidRPr="00881950">
        <w:rPr>
          <w:rStyle w:val="Emphasis"/>
        </w:rPr>
        <w:t>adhere to human rights</w:t>
      </w:r>
      <w:r>
        <w:t xml:space="preserve"> </w:t>
      </w:r>
      <w:r w:rsidRPr="00881950">
        <w:rPr>
          <w:rStyle w:val="StyleUnderline"/>
        </w:rPr>
        <w:t>standards</w:t>
      </w:r>
      <w:r>
        <w:t xml:space="preserve">. In April 2016, </w:t>
      </w:r>
      <w:r w:rsidRPr="00881950">
        <w:rPr>
          <w:rStyle w:val="StyleUnderline"/>
        </w:rPr>
        <w:t>the</w:t>
      </w:r>
      <w:r>
        <w:t xml:space="preserve"> Government Accountability Office (</w:t>
      </w:r>
      <w:r w:rsidRPr="00881950">
        <w:rPr>
          <w:rStyle w:val="StyleUnderline"/>
        </w:rPr>
        <w:t>GAO</w:t>
      </w:r>
      <w:r>
        <w:t xml:space="preserve">) published a report that </w:t>
      </w:r>
      <w:r w:rsidRPr="00881950">
        <w:rPr>
          <w:rStyle w:val="StyleUnderline"/>
        </w:rPr>
        <w:t>recommended "strengthening" end-use monitoring of military equipment</w:t>
      </w:r>
      <w:r>
        <w:t xml:space="preserve"> sold to Egypt, citing the Egyptian government's failure to admit U.S. officials to storage sites and other issues.146 </w:t>
      </w:r>
      <w:r w:rsidRPr="00881950">
        <w:rPr>
          <w:rStyle w:val="StyleUnderline"/>
        </w:rPr>
        <w:t>Similar GAO reports have been published on aid to Lebanon</w:t>
      </w:r>
      <w:r>
        <w:t xml:space="preserve"> (February 2014)147 </w:t>
      </w:r>
      <w:r w:rsidRPr="00881950">
        <w:rPr>
          <w:rStyle w:val="StyleUnderline"/>
        </w:rPr>
        <w:t>and GCC countries</w:t>
      </w:r>
      <w:r>
        <w:t xml:space="preserve"> (November 2011).148 Common </w:t>
      </w:r>
      <w:r w:rsidRPr="00881950">
        <w:rPr>
          <w:rStyle w:val="StyleUnderline"/>
        </w:rPr>
        <w:t>recommendations</w:t>
      </w:r>
      <w:r>
        <w:t xml:space="preserve"> across these reports </w:t>
      </w:r>
      <w:r w:rsidRPr="00881950">
        <w:rPr>
          <w:rStyle w:val="StyleUnderline"/>
        </w:rPr>
        <w:t>include</w:t>
      </w:r>
      <w:r>
        <w:t xml:space="preserve"> </w:t>
      </w:r>
      <w:r w:rsidRPr="00881950">
        <w:rPr>
          <w:rStyle w:val="StyleUnderline"/>
        </w:rPr>
        <w:t>greater coordination between the Departments of State and Defense</w:t>
      </w:r>
      <w:r>
        <w:t xml:space="preserve"> (which operate two different EUM programs), </w:t>
      </w:r>
      <w:r w:rsidRPr="00881950">
        <w:rPr>
          <w:rStyle w:val="StyleUnderline"/>
        </w:rPr>
        <w:t>more comprehensive vetting of recipients of security assistance, and</w:t>
      </w:r>
      <w:r>
        <w:rPr>
          <w:rStyle w:val="StyleUnderline"/>
        </w:rPr>
        <w:t xml:space="preserve"> </w:t>
      </w:r>
      <w:r w:rsidRPr="00881950">
        <w:rPr>
          <w:rStyle w:val="StyleUnderline"/>
        </w:rPr>
        <w:t>the development of guidance (by both departments) establishing procedures for documenting end-use monitoring efforts and violations thereof</w:t>
      </w:r>
      <w:r>
        <w:t>.</w:t>
      </w:r>
    </w:p>
    <w:p w:rsidR="00C601A6" w:rsidRDefault="00C601A6" w:rsidP="00C601A6">
      <w:pPr>
        <w:pStyle w:val="Heading2"/>
      </w:pPr>
      <w:r>
        <w:lastRenderedPageBreak/>
        <w:t>Solvency – Blue Lantern</w:t>
      </w:r>
    </w:p>
    <w:p w:rsidR="00C601A6" w:rsidRDefault="00C601A6" w:rsidP="00C601A6">
      <w:pPr>
        <w:pStyle w:val="Heading4"/>
      </w:pPr>
      <w:r>
        <w:t>Blue Lantern oversight resolves abuses, license revocation solves</w:t>
      </w:r>
    </w:p>
    <w:p w:rsidR="00C601A6" w:rsidRPr="004972E0" w:rsidRDefault="00C601A6" w:rsidP="00C601A6">
      <w:r w:rsidRPr="00255FC6">
        <w:rPr>
          <w:rStyle w:val="Style13ptBold"/>
        </w:rPr>
        <w:t>McCauley ’13</w:t>
      </w:r>
      <w:r>
        <w:t xml:space="preserve"> [Ashley McCauley is an Attorney, “Blue Lantern Highlights the Need for a Strong Compliance Program,” 4/9/13, International Trade Law Group </w:t>
      </w:r>
      <w:proofErr w:type="spellStart"/>
      <w:r>
        <w:t>Braumiller</w:t>
      </w:r>
      <w:proofErr w:type="spellEnd"/>
      <w:r>
        <w:t xml:space="preserve">, </w:t>
      </w:r>
      <w:hyperlink r:id="rId21" w:history="1">
        <w:r w:rsidRPr="000017AB">
          <w:rPr>
            <w:rStyle w:val="Hyperlink"/>
          </w:rPr>
          <w:t>https://www.braumillerlaw.com/blue-lantern-highlights-the-need-for-a-strong-compliance-program/</w:t>
        </w:r>
      </w:hyperlink>
      <w:r>
        <w:t xml:space="preserve">, </w:t>
      </w:r>
      <w:proofErr w:type="spellStart"/>
      <w:r>
        <w:t>cs</w:t>
      </w:r>
      <w:proofErr w:type="spellEnd"/>
      <w:r>
        <w:t>]</w:t>
      </w:r>
    </w:p>
    <w:p w:rsidR="00C601A6" w:rsidRDefault="00C601A6" w:rsidP="00C601A6">
      <w:pPr>
        <w:tabs>
          <w:tab w:val="left" w:pos="5695"/>
        </w:tabs>
      </w:pPr>
      <w:r>
        <w:tab/>
      </w:r>
    </w:p>
    <w:p w:rsidR="00C601A6" w:rsidRPr="00255FC6" w:rsidRDefault="00C601A6" w:rsidP="00C601A6">
      <w:pPr>
        <w:rPr>
          <w:sz w:val="12"/>
        </w:rPr>
      </w:pPr>
      <w:r w:rsidRPr="00255FC6">
        <w:rPr>
          <w:sz w:val="12"/>
        </w:rPr>
        <w:t xml:space="preserve">The Department of State, through the Research &amp; Analysis Division (RAD), Office of Defense Trade Controls Compliance (DTCC), </w:t>
      </w:r>
      <w:proofErr w:type="gramStart"/>
      <w:r w:rsidRPr="00255FC6">
        <w:rPr>
          <w:sz w:val="12"/>
        </w:rPr>
        <w:t>Bureau</w:t>
      </w:r>
      <w:proofErr w:type="gramEnd"/>
      <w:r w:rsidRPr="00255FC6">
        <w:rPr>
          <w:sz w:val="12"/>
        </w:rPr>
        <w:t xml:space="preserve"> of Political-Military Affairs (PM) operates an end-use monitoring program called Blue Lantern. </w:t>
      </w:r>
      <w:r w:rsidRPr="00255FC6">
        <w:rPr>
          <w:rStyle w:val="StyleUnderline"/>
        </w:rPr>
        <w:t>The Blue Lantern program monitors the end-use of defense articles, defense services, and brokering activities to ensure that “the recipient is complying with the requirements imposed by the U.S.</w:t>
      </w:r>
      <w:r w:rsidRPr="00255FC6">
        <w:rPr>
          <w:sz w:val="12"/>
        </w:rPr>
        <w:t xml:space="preserve"> government with respect to use, transfers, and security of defense articles and defense services,” and that “such articles and services are being used for the purposes for which they are provided.” The Blue Lantern program involves “pre-license, post-license, or post-shipment inquiries or checks” to verify the legitimacy of transactions and all parties to those transactions. </w:t>
      </w:r>
      <w:r w:rsidRPr="00255FC6">
        <w:rPr>
          <w:rStyle w:val="StyleUnderline"/>
        </w:rPr>
        <w:t>On an annual basis, the department releases the results of the Blue Lantern reviews for the most recent fiscal year.</w:t>
      </w:r>
      <w:r w:rsidRPr="00255FC6">
        <w:rPr>
          <w:sz w:val="12"/>
        </w:rPr>
        <w:t xml:space="preserve"> While many exporters may never be the subject of a Blue Lantern review, the annual program results can serve as a reminder of the importance of risk identification and strong export compliance programs for all exporters. </w:t>
      </w:r>
      <w:r w:rsidRPr="00255FC6">
        <w:rPr>
          <w:rStyle w:val="StyleUnderline"/>
        </w:rPr>
        <w:t xml:space="preserve">In FY 2012, the department initiated 820 Blue Lantern inquiries in 103 countries ranging from Saudi Arabia to Tanzania. The reviews are not initiated randomly. Instead, inquiries are initiated based on the “potential risk of diversion or misuse.” Of the 706 inquiries closed for FY 2012, 144 were deemed “unfavorable,” </w:t>
      </w:r>
      <w:r w:rsidRPr="00255FC6">
        <w:rPr>
          <w:sz w:val="12"/>
        </w:rPr>
        <w:t xml:space="preserve">generally meaning the findings of fact were not consistent with the facts presented to DDTC in connection with the request for an export license or other authorization. </w:t>
      </w:r>
      <w:r w:rsidRPr="00255FC6">
        <w:rPr>
          <w:rStyle w:val="StyleUnderline"/>
        </w:rPr>
        <w:t xml:space="preserve">The causes of unfavorable findings range from the inability to confirm the order or receipt of goods by the end-user, the involvement of a foreign party in a transaction that was not listed on an application or license, indications of unauthorized diversions, retransfers, or re-exports, unauthorized stockpiling, and the lack of secure storage facilities. </w:t>
      </w:r>
      <w:r w:rsidRPr="00255FC6">
        <w:rPr>
          <w:sz w:val="12"/>
        </w:rPr>
        <w:t xml:space="preserve">For FY 2012, the most common cause of an unfavorable result was “derogatory information/foreign party deemed unreliable,” which can include information ranging from criminal records to concerns related to a company’s bona fides. This was also the primary cause of unfavorable results in FY 2011. </w:t>
      </w:r>
      <w:r w:rsidRPr="00255FC6">
        <w:rPr>
          <w:rStyle w:val="StyleUnderline"/>
        </w:rPr>
        <w:t>Unfavorable findings can lead to several results, such as the denial of a license application or revocation of a license, or referral to the Enforcement Division (END</w:t>
      </w:r>
      <w:r w:rsidRPr="00255FC6">
        <w:rPr>
          <w:sz w:val="12"/>
        </w:rPr>
        <w:t xml:space="preserve">). </w:t>
      </w:r>
      <w:r w:rsidRPr="00255FC6">
        <w:rPr>
          <w:rStyle w:val="StyleUnderline"/>
        </w:rPr>
        <w:t>In FY 2012, the unfavorable inquiries resulted in the denial of 13 license applications or other authorization requests, the return without action of 20 such requests, five revocations of existing authorizations, and nine directed disclosures. In addition, nine referrals to law enforcement assisted in six criminal investigations, one re-opening of an investigation, and one Project Shield America outreach to an exporter.</w:t>
      </w:r>
      <w:r>
        <w:rPr>
          <w:rStyle w:val="StyleUnderline"/>
        </w:rPr>
        <w:t xml:space="preserve"> </w:t>
      </w:r>
      <w:r w:rsidRPr="00255FC6">
        <w:rPr>
          <w:rStyle w:val="StyleUnderline"/>
        </w:rPr>
        <w:t>The number of Blue Lantern inquiries initiated in the last several years has steadily increased.</w:t>
      </w:r>
      <w:r w:rsidRPr="00255FC6">
        <w:rPr>
          <w:sz w:val="12"/>
        </w:rPr>
        <w:t xml:space="preserve"> </w:t>
      </w:r>
      <w:r w:rsidRPr="00255FC6">
        <w:rPr>
          <w:rStyle w:val="StyleUnderline"/>
        </w:rPr>
        <w:t>In 2010 and 2011, the department initiated 536 and 783 Blue Lantern inquiries, respectively</w:t>
      </w:r>
      <w:r w:rsidRPr="00255FC6">
        <w:rPr>
          <w:sz w:val="12"/>
        </w:rPr>
        <w:t>. A review of the geographic areas and industries in which the department has initiated reviews can also shed light on areas and industries the department considers high risk, meaning exporters involved in those areas may find their transactions subject to additional scrutiny. For example, in FY 2012 the most unfavorable findings occurred in South Central Asia and in Europe, followed by the Americas. The Department noted that Europe typically has the lowest unfavorable finding rate, but was elevated in the FY 2012 results due to 30 checks or inquiries on a single entity. In South Central and East Asia, the highest number of unfavorable findings involved aircraft parts; several unfavorable findings in East Asia also involved military electronics. Most unfavorable results in the Americas, by contrast, involved firearms, ammunition, and armor.</w:t>
      </w:r>
    </w:p>
    <w:p w:rsidR="00C601A6" w:rsidRDefault="00C601A6" w:rsidP="00C601A6"/>
    <w:p w:rsidR="00C601A6" w:rsidRDefault="00C601A6" w:rsidP="00C601A6">
      <w:pPr>
        <w:pStyle w:val="Heading4"/>
      </w:pPr>
      <w:r>
        <w:t>Blue Lantern shores up any shortcomings of other EUM schemes</w:t>
      </w:r>
    </w:p>
    <w:p w:rsidR="00C601A6" w:rsidRDefault="00C601A6" w:rsidP="00C601A6">
      <w:proofErr w:type="spellStart"/>
      <w:r w:rsidRPr="00197C6A">
        <w:rPr>
          <w:rStyle w:val="Style13ptBold"/>
        </w:rPr>
        <w:t>Vranckx</w:t>
      </w:r>
      <w:proofErr w:type="spellEnd"/>
      <w:r w:rsidRPr="00197C6A">
        <w:rPr>
          <w:rStyle w:val="Style13ptBold"/>
        </w:rPr>
        <w:t xml:space="preserve"> ’16</w:t>
      </w:r>
      <w:r>
        <w:t xml:space="preserve"> [An </w:t>
      </w:r>
      <w:proofErr w:type="spellStart"/>
      <w:r>
        <w:t>Vranckx</w:t>
      </w:r>
      <w:proofErr w:type="spellEnd"/>
      <w:r>
        <w:t xml:space="preserve"> was an Associate Research Fellow at UNU-CRIS until the end of December 2016 and holds a Ph.D. from the </w:t>
      </w:r>
      <w:proofErr w:type="spellStart"/>
      <w:r>
        <w:t>Vrije</w:t>
      </w:r>
      <w:proofErr w:type="spellEnd"/>
      <w:r>
        <w:t xml:space="preserve"> </w:t>
      </w:r>
      <w:proofErr w:type="spellStart"/>
      <w:r>
        <w:t>Universiteit</w:t>
      </w:r>
      <w:proofErr w:type="spellEnd"/>
      <w:r>
        <w:t xml:space="preserve"> Brussel (</w:t>
      </w:r>
      <w:proofErr w:type="spellStart"/>
      <w:r>
        <w:t>VUB</w:t>
      </w:r>
      <w:proofErr w:type="spellEnd"/>
      <w:r>
        <w:t xml:space="preserve">), “Containing Diversion: Arms end-use and post-delivery controls,” GRIP REPORTS 2016/4, </w:t>
      </w:r>
      <w:hyperlink r:id="rId22" w:history="1">
        <w:r w:rsidRPr="000017AB">
          <w:rPr>
            <w:rStyle w:val="Hyperlink"/>
          </w:rPr>
          <w:t>http://www.smallarmssurvey.org/fileadmin/docs/L-External-publications/2016/GRIP-2016-Containing-diversion.pdf</w:t>
        </w:r>
      </w:hyperlink>
      <w:r>
        <w:t xml:space="preserve">, </w:t>
      </w:r>
      <w:proofErr w:type="spellStart"/>
      <w:r>
        <w:t>cs</w:t>
      </w:r>
      <w:proofErr w:type="spellEnd"/>
      <w:r>
        <w:t>]</w:t>
      </w:r>
    </w:p>
    <w:p w:rsidR="00C601A6" w:rsidRPr="00197C6A" w:rsidRDefault="00C601A6" w:rsidP="00C601A6"/>
    <w:p w:rsidR="00C601A6" w:rsidRPr="00197C6A" w:rsidRDefault="00C601A6" w:rsidP="00C601A6">
      <w:pPr>
        <w:rPr>
          <w:rStyle w:val="StyleUnderline"/>
        </w:rPr>
      </w:pPr>
      <w:r w:rsidRPr="00197C6A">
        <w:rPr>
          <w:rStyle w:val="StyleUnderline"/>
        </w:rPr>
        <w:t xml:space="preserve">Licensing authorities that seek assurance over the veracity of end-use documentation have good reasons to be in awe of the Blue Lantern </w:t>
      </w:r>
      <w:proofErr w:type="spellStart"/>
      <w:r w:rsidRPr="00197C6A">
        <w:rPr>
          <w:rStyle w:val="StyleUnderline"/>
        </w:rPr>
        <w:t>programme</w:t>
      </w:r>
      <w:proofErr w:type="spellEnd"/>
      <w:r w:rsidRPr="00197C6A">
        <w:rPr>
          <w:rStyle w:val="StyleUnderline"/>
        </w:rPr>
        <w:t xml:space="preserve"> </w:t>
      </w:r>
      <w:r w:rsidRPr="00197C6A">
        <w:rPr>
          <w:sz w:val="12"/>
        </w:rPr>
        <w:t xml:space="preserve">that was set up in the United States over 25 years ago. </w:t>
      </w:r>
      <w:r w:rsidRPr="00197C6A">
        <w:rPr>
          <w:rStyle w:val="StyleUnderline"/>
        </w:rPr>
        <w:t xml:space="preserve">The </w:t>
      </w:r>
      <w:proofErr w:type="spellStart"/>
      <w:r w:rsidRPr="00197C6A">
        <w:rPr>
          <w:rStyle w:val="StyleUnderline"/>
        </w:rPr>
        <w:t>programme</w:t>
      </w:r>
      <w:proofErr w:type="spellEnd"/>
      <w:r w:rsidRPr="00197C6A">
        <w:rPr>
          <w:rStyle w:val="StyleUnderline"/>
        </w:rPr>
        <w:t xml:space="preserve"> verifies the bona fides of foreign consignees and end-users</w:t>
      </w:r>
      <w:r w:rsidRPr="00197C6A">
        <w:rPr>
          <w:sz w:val="12"/>
        </w:rPr>
        <w:t xml:space="preserve"> of – what is called locally - “defense articles and defense services” that manufacturers based in the U.S. propose to supply. </w:t>
      </w:r>
      <w:r w:rsidRPr="00197C6A">
        <w:rPr>
          <w:rStyle w:val="StyleUnderline"/>
        </w:rPr>
        <w:t>The Blue Lantern also aims to monitor that use after delivery.</w:t>
      </w:r>
      <w:r w:rsidRPr="00197C6A">
        <w:rPr>
          <w:sz w:val="12"/>
        </w:rPr>
        <w:t xml:space="preserve">26 </w:t>
      </w:r>
      <w:r w:rsidRPr="00197C6A">
        <w:rPr>
          <w:rStyle w:val="StyleUnderline"/>
        </w:rPr>
        <w:t xml:space="preserve">The </w:t>
      </w:r>
      <w:proofErr w:type="spellStart"/>
      <w:r w:rsidRPr="00197C6A">
        <w:rPr>
          <w:rStyle w:val="StyleUnderline"/>
        </w:rPr>
        <w:t>programme</w:t>
      </w:r>
      <w:proofErr w:type="spellEnd"/>
      <w:r w:rsidRPr="00197C6A">
        <w:rPr>
          <w:rStyle w:val="StyleUnderline"/>
        </w:rPr>
        <w:t xml:space="preserve"> provides for pre-</w:t>
      </w:r>
      <w:proofErr w:type="spellStart"/>
      <w:r w:rsidRPr="00197C6A">
        <w:rPr>
          <w:rStyle w:val="StyleUnderline"/>
        </w:rPr>
        <w:t>licence</w:t>
      </w:r>
      <w:proofErr w:type="spellEnd"/>
      <w:r w:rsidRPr="00197C6A">
        <w:rPr>
          <w:rStyle w:val="StyleUnderline"/>
        </w:rPr>
        <w:t>, post-</w:t>
      </w:r>
      <w:proofErr w:type="spellStart"/>
      <w:r w:rsidRPr="00197C6A">
        <w:rPr>
          <w:rStyle w:val="StyleUnderline"/>
        </w:rPr>
        <w:t>licence</w:t>
      </w:r>
      <w:proofErr w:type="spellEnd"/>
      <w:r w:rsidRPr="00197C6A">
        <w:rPr>
          <w:rStyle w:val="StyleUnderline"/>
        </w:rPr>
        <w:t>, and post-shipment checks as required</w:t>
      </w:r>
      <w:r w:rsidRPr="00197C6A">
        <w:rPr>
          <w:sz w:val="12"/>
        </w:rPr>
        <w:t xml:space="preserve">, including “through physical verification on locations with the proposed party of the transaction”, and all that with the aim to “determine if that party is a reliable recipient and that items are or will be used as agreed in the end use documentation”.27 </w:t>
      </w:r>
      <w:r w:rsidRPr="00197C6A">
        <w:rPr>
          <w:rStyle w:val="StyleUnderline"/>
        </w:rPr>
        <w:t xml:space="preserve">The Blue Lantern </w:t>
      </w:r>
      <w:proofErr w:type="spellStart"/>
      <w:r w:rsidRPr="00197C6A">
        <w:rPr>
          <w:rStyle w:val="StyleUnderline"/>
        </w:rPr>
        <w:t>programmes</w:t>
      </w:r>
      <w:proofErr w:type="spellEnd"/>
      <w:r w:rsidRPr="00197C6A">
        <w:rPr>
          <w:rStyle w:val="StyleUnderline"/>
        </w:rPr>
        <w:t xml:space="preserve"> can significantly help that deliberation process in conducting inspections</w:t>
      </w:r>
      <w:r w:rsidRPr="00197C6A">
        <w:rPr>
          <w:sz w:val="12"/>
        </w:rPr>
        <w:t xml:space="preserve"> at the site where, according to the end-use documentation, the controlled goods are proposed to be transferred, especially if those inspections are done before the </w:t>
      </w:r>
      <w:proofErr w:type="spellStart"/>
      <w:r w:rsidRPr="00197C6A">
        <w:rPr>
          <w:sz w:val="12"/>
        </w:rPr>
        <w:t>licence</w:t>
      </w:r>
      <w:proofErr w:type="spellEnd"/>
      <w:r w:rsidRPr="00197C6A">
        <w:rPr>
          <w:sz w:val="12"/>
        </w:rPr>
        <w:t xml:space="preserve"> is formally granted. </w:t>
      </w:r>
      <w:r w:rsidRPr="00197C6A">
        <w:rPr>
          <w:rStyle w:val="StyleUnderline"/>
        </w:rPr>
        <w:t>The in-site checks are a means to address some of the unknowns about potential customers</w:t>
      </w:r>
      <w:r w:rsidRPr="00197C6A">
        <w:rPr>
          <w:sz w:val="12"/>
        </w:rPr>
        <w:t xml:space="preserve">. An inspection visit can include an assessment of Physical Security and Stockpile Management (PSSM) at facilities where the end-user proposes to store the transferred equipment. Such </w:t>
      </w:r>
      <w:r w:rsidRPr="00197C6A">
        <w:rPr>
          <w:rStyle w:val="StyleUnderline"/>
        </w:rPr>
        <w:t xml:space="preserve">assessment can help probe the risk that equipment will go missing from the facilities.28 </w:t>
      </w:r>
      <w:proofErr w:type="gramStart"/>
      <w:r w:rsidRPr="00197C6A">
        <w:rPr>
          <w:rStyle w:val="StyleUnderline"/>
        </w:rPr>
        <w:t>These</w:t>
      </w:r>
      <w:proofErr w:type="gramEnd"/>
      <w:r w:rsidRPr="00197C6A">
        <w:rPr>
          <w:rStyle w:val="StyleUnderline"/>
        </w:rPr>
        <w:t xml:space="preserve"> and other pre-licensing checks are embedded in a monitoring cycle that actively follows through the transfer process after the </w:t>
      </w:r>
      <w:proofErr w:type="spellStart"/>
      <w:r w:rsidRPr="00197C6A">
        <w:rPr>
          <w:rStyle w:val="StyleUnderline"/>
        </w:rPr>
        <w:t>licence</w:t>
      </w:r>
      <w:proofErr w:type="spellEnd"/>
      <w:r w:rsidRPr="00197C6A">
        <w:rPr>
          <w:rStyle w:val="StyleUnderline"/>
        </w:rPr>
        <w:t xml:space="preserve"> is approved. After approval, </w:t>
      </w:r>
      <w:r w:rsidRPr="00197C6A">
        <w:rPr>
          <w:rStyle w:val="StyleUnderline"/>
        </w:rPr>
        <w:lastRenderedPageBreak/>
        <w:t>this cycle includes the possibility to send Blue Lantern envoys on site to have a proper look at the use being made of the transferred equipment</w:t>
      </w:r>
      <w:r w:rsidRPr="00197C6A">
        <w:rPr>
          <w:sz w:val="12"/>
        </w:rPr>
        <w:t xml:space="preserve">. </w:t>
      </w:r>
      <w:r w:rsidRPr="00197C6A">
        <w:rPr>
          <w:rStyle w:val="StyleUnderline"/>
        </w:rPr>
        <w:t>The monitoring cycle</w:t>
      </w:r>
      <w:r w:rsidRPr="00197C6A">
        <w:rPr>
          <w:sz w:val="12"/>
        </w:rPr>
        <w:t xml:space="preserve"> in turn </w:t>
      </w:r>
      <w:r w:rsidRPr="00197C6A">
        <w:rPr>
          <w:rStyle w:val="StyleUnderline"/>
        </w:rPr>
        <w:t xml:space="preserve">is integrated in an information system, which comprises a Watch List </w:t>
      </w:r>
      <w:r w:rsidRPr="00197C6A">
        <w:rPr>
          <w:sz w:val="12"/>
        </w:rPr>
        <w:t xml:space="preserve">That list is </w:t>
      </w:r>
      <w:r w:rsidRPr="00197C6A">
        <w:rPr>
          <w:rStyle w:val="StyleUnderline"/>
        </w:rPr>
        <w:t>a database that serves as an internal screening tool containing over 100 000 entities as of 2014</w:t>
      </w:r>
      <w:r w:rsidRPr="00197C6A">
        <w:rPr>
          <w:sz w:val="12"/>
        </w:rPr>
        <w:t xml:space="preserve">.29 That list includes files on clients that were effectively “sanctioned”, but also files on clients where the investigation is still ongoing, that have the status of “suspect”. </w:t>
      </w:r>
      <w:r w:rsidRPr="00197C6A">
        <w:rPr>
          <w:rStyle w:val="StyleUnderline"/>
        </w:rPr>
        <w:t>The database is used to flag export license applications for possible Blue Lantern checks. Entities in the database are constantly being reviewed and modified</w:t>
      </w:r>
      <w:r w:rsidRPr="00197C6A">
        <w:rPr>
          <w:sz w:val="12"/>
        </w:rPr>
        <w:t xml:space="preserve"> – new entities are added, while others are deleted when the cause of concern is reliably proven to have gone away. Following </w:t>
      </w:r>
      <w:proofErr w:type="spellStart"/>
      <w:r w:rsidRPr="00197C6A">
        <w:rPr>
          <w:sz w:val="12"/>
        </w:rPr>
        <w:t>reorganisation</w:t>
      </w:r>
      <w:proofErr w:type="spellEnd"/>
      <w:r w:rsidRPr="00197C6A">
        <w:rPr>
          <w:sz w:val="12"/>
        </w:rPr>
        <w:t xml:space="preserve"> of the U.S. Directorate of Defense Trade Controls (DDTC), which was completed in 2014, the Blue Lantern is currently managed by a Regional Affairs and Analysis Division, Office of Defense Trade Controls Policy, Bureau of Political-Military Affairs. DDTC continues to implement end-use monitoring provisions contained in the 1976 U.S. Arms Export Control Act (amended and updated since). </w:t>
      </w:r>
      <w:r w:rsidRPr="00197C6A">
        <w:rPr>
          <w:rStyle w:val="StyleUnderline"/>
        </w:rPr>
        <w:t>The U.S. Arms Export Control Act</w:t>
      </w:r>
      <w:r w:rsidRPr="00197C6A">
        <w:rPr>
          <w:sz w:val="12"/>
        </w:rPr>
        <w:t xml:space="preserve"> conceived of the need, and the means to fill that need, to “confirm the legitimacy of proposed transactions, and to provide reasonable assurance that the recipient is complying with the requirements imposed by the U.S. government with respect to use, transfers, and security of defense articles and defense services; and that such articles and services are being used for the purposes for which they are provided”.30 The Act, as amended, </w:t>
      </w:r>
      <w:r w:rsidRPr="00197C6A">
        <w:rPr>
          <w:rStyle w:val="StyleUnderline"/>
        </w:rPr>
        <w:t xml:space="preserve">further requires the submission to the U.S. Congress of an annual report describing action taken to implement the </w:t>
      </w:r>
      <w:r w:rsidRPr="00197C6A">
        <w:rPr>
          <w:rStyle w:val="Emphasis"/>
        </w:rPr>
        <w:t>end-use monitoring</w:t>
      </w:r>
      <w:r w:rsidRPr="00197C6A">
        <w:rPr>
          <w:rStyle w:val="StyleUnderline"/>
        </w:rPr>
        <w:t xml:space="preserve"> of the articles and services exported abroad, including an account of the costs and number of personnel associated with the monitoring </w:t>
      </w:r>
      <w:proofErr w:type="spellStart"/>
      <w:r w:rsidRPr="00197C6A">
        <w:rPr>
          <w:rStyle w:val="StyleUnderline"/>
        </w:rPr>
        <w:t>programme</w:t>
      </w:r>
      <w:proofErr w:type="spellEnd"/>
      <w:r w:rsidRPr="00197C6A">
        <w:rPr>
          <w:sz w:val="12"/>
        </w:rPr>
        <w:t>. According to its latest report</w:t>
      </w:r>
      <w:proofErr w:type="gramStart"/>
      <w:r w:rsidRPr="00197C6A">
        <w:rPr>
          <w:sz w:val="12"/>
        </w:rPr>
        <w:t>,31</w:t>
      </w:r>
      <w:proofErr w:type="gramEnd"/>
      <w:r w:rsidRPr="00197C6A">
        <w:rPr>
          <w:sz w:val="12"/>
        </w:rPr>
        <w:t xml:space="preserve"> six State Department employees and two contractors in the Regional Affairs and Analysis Division managed the Blue Lantern in 2014. They also travelled to meet with U.S. embassy personnel involved in conducting the actual background checks, with host government officials, and local businesses engaged in trade of the items U.S. legislation stipulates they monitor. The latest report further reveals that DDTC processed “roughly 63 000 </w:t>
      </w:r>
      <w:proofErr w:type="spellStart"/>
      <w:r w:rsidRPr="00197C6A">
        <w:rPr>
          <w:sz w:val="12"/>
        </w:rPr>
        <w:t>licences</w:t>
      </w:r>
      <w:proofErr w:type="spellEnd"/>
      <w:r w:rsidRPr="00197C6A">
        <w:rPr>
          <w:sz w:val="12"/>
        </w:rPr>
        <w:t xml:space="preserve">” in 2014, and that it saw the need to formally initiate 564 checks in 79 countries (such checks are colloquially called “Blue Lanterns”). The highest ratio of Blue Lantern inquiries to </w:t>
      </w:r>
      <w:proofErr w:type="spellStart"/>
      <w:r w:rsidRPr="00197C6A">
        <w:rPr>
          <w:sz w:val="12"/>
        </w:rPr>
        <w:t>licence</w:t>
      </w:r>
      <w:proofErr w:type="spellEnd"/>
      <w:r w:rsidRPr="00197C6A">
        <w:rPr>
          <w:sz w:val="12"/>
        </w:rPr>
        <w:t xml:space="preserve"> application requests was seen in the Americas and South Central Asia ‘due principally to concerns about unfamiliar foreign parties and the effect on regional security and stability of firearms and ammunition exports’. That same year, 641 Blue Lanterns were “closed” – some of which had been initiated before 2014. In 524 (82 per cent) of these 641 cases, the checks allowed to verify in a </w:t>
      </w:r>
      <w:proofErr w:type="spellStart"/>
      <w:r w:rsidRPr="00197C6A">
        <w:rPr>
          <w:sz w:val="12"/>
        </w:rPr>
        <w:t>favourable</w:t>
      </w:r>
      <w:proofErr w:type="spellEnd"/>
      <w:r w:rsidRPr="00197C6A">
        <w:rPr>
          <w:sz w:val="12"/>
        </w:rPr>
        <w:t xml:space="preserve"> way the bona fides of parties (including intermediaries to the delivery of the goods). The report further indicates that in many of these cases additional post-shipment inspections certified that the articles were received and secured by the </w:t>
      </w:r>
      <w:proofErr w:type="spellStart"/>
      <w:r w:rsidRPr="00197C6A">
        <w:rPr>
          <w:sz w:val="12"/>
        </w:rPr>
        <w:t>authorised</w:t>
      </w:r>
      <w:proofErr w:type="spellEnd"/>
      <w:r w:rsidRPr="00197C6A">
        <w:rPr>
          <w:sz w:val="12"/>
        </w:rPr>
        <w:t xml:space="preserve"> end-users. In the remaining 117 cases (18% of checks initiated that year), the findings of these inquiries were not consistent with information in the </w:t>
      </w:r>
      <w:proofErr w:type="spellStart"/>
      <w:r w:rsidRPr="00197C6A">
        <w:rPr>
          <w:sz w:val="12"/>
        </w:rPr>
        <w:t>licence</w:t>
      </w:r>
      <w:proofErr w:type="spellEnd"/>
      <w:r w:rsidRPr="00197C6A">
        <w:rPr>
          <w:sz w:val="12"/>
        </w:rPr>
        <w:t xml:space="preserve"> application request. In 29 instances, on-site checks to clear out the concern found the foreign party was indeed unreliable. In 23 cases a violation of </w:t>
      </w:r>
      <w:proofErr w:type="spellStart"/>
      <w:r w:rsidRPr="00197C6A">
        <w:rPr>
          <w:sz w:val="12"/>
        </w:rPr>
        <w:t>licence</w:t>
      </w:r>
      <w:proofErr w:type="spellEnd"/>
      <w:r w:rsidRPr="00197C6A">
        <w:rPr>
          <w:sz w:val="12"/>
        </w:rPr>
        <w:t xml:space="preserve"> terms was brought to light by a </w:t>
      </w:r>
      <w:proofErr w:type="spellStart"/>
      <w:r w:rsidRPr="00197C6A">
        <w:rPr>
          <w:sz w:val="12"/>
        </w:rPr>
        <w:t>postshipment</w:t>
      </w:r>
      <w:proofErr w:type="spellEnd"/>
      <w:r w:rsidRPr="00197C6A">
        <w:rPr>
          <w:sz w:val="12"/>
        </w:rPr>
        <w:t xml:space="preserve"> check that found the involved parties had provided misleading information regarding the actual end-use of the transferred goods. These findings lead to the denial of 14 </w:t>
      </w:r>
      <w:proofErr w:type="spellStart"/>
      <w:r w:rsidRPr="00197C6A">
        <w:rPr>
          <w:sz w:val="12"/>
        </w:rPr>
        <w:t>licence</w:t>
      </w:r>
      <w:proofErr w:type="spellEnd"/>
      <w:r w:rsidRPr="00197C6A">
        <w:rPr>
          <w:sz w:val="12"/>
        </w:rPr>
        <w:t xml:space="preserve"> application requests, and revocation of one </w:t>
      </w:r>
      <w:proofErr w:type="spellStart"/>
      <w:r w:rsidRPr="00197C6A">
        <w:rPr>
          <w:sz w:val="12"/>
        </w:rPr>
        <w:t>licence</w:t>
      </w:r>
      <w:proofErr w:type="spellEnd"/>
      <w:r w:rsidRPr="00197C6A">
        <w:rPr>
          <w:sz w:val="12"/>
        </w:rPr>
        <w:t xml:space="preserve"> that had previously been approved. One case investigated by the Blue Lantern was referred to the U.S. law enforcement for criminal investigation. The data about the verifications are rather compelling and worth examining up close: Two thirds of the aforementioned 117 cases had originally been examined due to diversion concern. </w:t>
      </w:r>
      <w:r w:rsidRPr="00197C6A">
        <w:rPr>
          <w:rStyle w:val="StyleUnderline"/>
        </w:rPr>
        <w:t>Diversion concern as the source of the majority of the “unfavorable” cases points to the paramount importance of incorporating diversion risks into arms control policy and practice. If the diversion concern had remained unarticulated, two thirds of these “unfavorable” cases could have been missed entirely</w:t>
      </w:r>
      <w:r w:rsidRPr="00197C6A">
        <w:rPr>
          <w:sz w:val="12"/>
        </w:rPr>
        <w:t xml:space="preserve">. In these cases, debate or regulation of the documented specific terms of arms control policy would serve as a distraction rather than serve their purpose. </w:t>
      </w:r>
      <w:r w:rsidRPr="00197C6A">
        <w:rPr>
          <w:rStyle w:val="StyleUnderline"/>
        </w:rPr>
        <w:t>The Blue Lantern quite clearly helps ensure that arms controls serve their purpose. This would suggest that careful inspections incorporating diversion risks, similar to Blue Lanterns, are relevant, and necessary, to enforce the carefully crafted formal conditions for arms transfers across the globe.</w:t>
      </w:r>
    </w:p>
    <w:p w:rsidR="00C601A6" w:rsidRDefault="00C601A6" w:rsidP="00C601A6">
      <w:pPr>
        <w:pStyle w:val="Heading2"/>
      </w:pPr>
      <w:r>
        <w:lastRenderedPageBreak/>
        <w:t>Net Benefit – Commerce Oversight</w:t>
      </w:r>
    </w:p>
    <w:p w:rsidR="00C601A6" w:rsidRPr="004E3FF0" w:rsidRDefault="00C601A6" w:rsidP="00C601A6"/>
    <w:p w:rsidR="00C601A6" w:rsidRDefault="00C601A6" w:rsidP="00C601A6">
      <w:pPr>
        <w:pStyle w:val="Heading4"/>
      </w:pPr>
      <w:r>
        <w:t xml:space="preserve">Incoming </w:t>
      </w:r>
      <w:proofErr w:type="spellStart"/>
      <w:r>
        <w:t>squo</w:t>
      </w:r>
      <w:proofErr w:type="spellEnd"/>
      <w:r>
        <w:t xml:space="preserve"> changes to the EUM process will make small arms proliferation more likely, the CP resolves this and other countries turn the </w:t>
      </w:r>
      <w:proofErr w:type="spellStart"/>
      <w:r>
        <w:t>aff</w:t>
      </w:r>
      <w:proofErr w:type="spellEnd"/>
      <w:r>
        <w:t>.</w:t>
      </w:r>
    </w:p>
    <w:p w:rsidR="00C601A6" w:rsidRDefault="00C601A6" w:rsidP="00C601A6">
      <w:r w:rsidRPr="009411DF">
        <w:rPr>
          <w:rStyle w:val="Style13ptBold"/>
        </w:rPr>
        <w:t>Smith ’18</w:t>
      </w:r>
      <w:r>
        <w:t xml:space="preserve"> [Nate Smith is Chair of the Military, Security and Police Transfers Thematic Group at Amnesty International USA, 6/15/18</w:t>
      </w:r>
      <w:proofErr w:type="gramStart"/>
      <w:r>
        <w:t>,  “</w:t>
      </w:r>
      <w:proofErr w:type="gramEnd"/>
      <w:r>
        <w:t xml:space="preserve">How the Proposal to Loosen Arms Export Regulations Threatens Human Rights,” Medium, </w:t>
      </w:r>
      <w:hyperlink r:id="rId23" w:history="1">
        <w:r w:rsidRPr="000017AB">
          <w:rPr>
            <w:rStyle w:val="Hyperlink"/>
          </w:rPr>
          <w:t>https://medium.com/@amnestyusa/business-with-a-bang-23c3a351c14</w:t>
        </w:r>
      </w:hyperlink>
      <w:r>
        <w:t xml:space="preserve">, </w:t>
      </w:r>
      <w:proofErr w:type="spellStart"/>
      <w:r>
        <w:t>cs</w:t>
      </w:r>
      <w:proofErr w:type="spellEnd"/>
      <w:r>
        <w:t>]</w:t>
      </w:r>
    </w:p>
    <w:p w:rsidR="00C601A6" w:rsidRDefault="00C601A6" w:rsidP="00C601A6">
      <w:pPr>
        <w:rPr>
          <w:sz w:val="12"/>
        </w:rPr>
      </w:pPr>
      <w:r w:rsidRPr="009411DF">
        <w:rPr>
          <w:sz w:val="12"/>
        </w:rPr>
        <w:t xml:space="preserve">A tale of two lists </w:t>
      </w:r>
      <w:proofErr w:type="gramStart"/>
      <w:r w:rsidRPr="009411DF">
        <w:rPr>
          <w:sz w:val="12"/>
        </w:rPr>
        <w:t>First</w:t>
      </w:r>
      <w:proofErr w:type="gramEnd"/>
      <w:r w:rsidRPr="009411DF">
        <w:rPr>
          <w:sz w:val="12"/>
        </w:rPr>
        <w:t xml:space="preserve">, let’s summarize the changes. The short version is as follows: </w:t>
      </w:r>
      <w:r w:rsidRPr="009411DF">
        <w:rPr>
          <w:rStyle w:val="StyleUnderline"/>
        </w:rPr>
        <w:t>the export of weapons</w:t>
      </w:r>
      <w:r w:rsidRPr="009411DF">
        <w:rPr>
          <w:sz w:val="12"/>
        </w:rPr>
        <w:t xml:space="preserve"> (and items that may be used as weapons, or to make weapons) </w:t>
      </w:r>
      <w:r w:rsidRPr="009411DF">
        <w:rPr>
          <w:rStyle w:val="StyleUnderline"/>
        </w:rPr>
        <w:t>is divided into two lists: the</w:t>
      </w:r>
      <w:r w:rsidRPr="009411DF">
        <w:rPr>
          <w:sz w:val="12"/>
        </w:rPr>
        <w:t xml:space="preserve"> </w:t>
      </w:r>
      <w:r w:rsidRPr="009411DF">
        <w:rPr>
          <w:rStyle w:val="StyleUnderline"/>
        </w:rPr>
        <w:t>USML (US Munitions List) and the Commerce Control List (CCL).</w:t>
      </w:r>
      <w:r w:rsidRPr="009411DF">
        <w:rPr>
          <w:sz w:val="12"/>
        </w:rPr>
        <w:t xml:space="preserve"> </w:t>
      </w:r>
      <w:r w:rsidRPr="009411DF">
        <w:rPr>
          <w:rStyle w:val="StyleUnderline"/>
        </w:rPr>
        <w:t>The former is for items whose use is primarily military — things like tanks, missiles, and yes, firearms. The latter is for “dual-use” items </w:t>
      </w:r>
      <w:r w:rsidRPr="009411DF">
        <w:rPr>
          <w:sz w:val="12"/>
        </w:rPr>
        <w:t xml:space="preserve">— things like avionics and navigation technology, certain chemicals, equipment for materials manufacturing, and so on. </w:t>
      </w:r>
      <w:r w:rsidRPr="009411DF">
        <w:rPr>
          <w:rStyle w:val="StyleUnderline"/>
        </w:rPr>
        <w:t xml:space="preserve">For items on the USML, there are an accompanying set of laws and regulations to ensure that these items don’t fall into the wrong hands: laws regarding exporter registration, controls on brokering, </w:t>
      </w:r>
      <w:r w:rsidRPr="009411DF">
        <w:rPr>
          <w:rStyle w:val="Emphasis"/>
        </w:rPr>
        <w:t>end-use certification and checks</w:t>
      </w:r>
      <w:r w:rsidRPr="009411DF">
        <w:rPr>
          <w:rStyle w:val="StyleUnderline"/>
        </w:rPr>
        <w:t>, and human rights checks</w:t>
      </w:r>
      <w:r w:rsidRPr="009411DF">
        <w:rPr>
          <w:sz w:val="12"/>
        </w:rPr>
        <w:t xml:space="preserve">, to name a few. Traditionally, the US has boasted the “gold standard” with regard to these types of checks — at least in principle. In practice, of course, there have been a number of ill-advised and even irresponsible arms deals conducted by the US government — not least the ongoing support of Saudi Arabia in the war in Yemen. But </w:t>
      </w:r>
      <w:r w:rsidRPr="009411DF">
        <w:rPr>
          <w:rStyle w:val="StyleUnderline"/>
        </w:rPr>
        <w:t>there have been plenty of examples of these laws helping to bring to light and halt other irresponsible transfers.</w:t>
      </w:r>
      <w:r w:rsidRPr="009411DF">
        <w:rPr>
          <w:sz w:val="12"/>
        </w:rPr>
        <w:t xml:space="preserve"> When it comes to not arming criminals and repressive regimes, every little bit helps. </w:t>
      </w:r>
      <w:r w:rsidRPr="009411DF">
        <w:rPr>
          <w:rStyle w:val="StyleUnderline"/>
        </w:rPr>
        <w:t>The Commerce Control List, on the other hand, is meant for items that are not as easily diverted to the black market as firearms. It’s meant for things like telecommunications equipment or encryption algorithms, not AK-47s.</w:t>
      </w:r>
      <w:r w:rsidRPr="009411DF">
        <w:rPr>
          <w:sz w:val="12"/>
        </w:rPr>
        <w:t xml:space="preserve"> </w:t>
      </w:r>
      <w:r w:rsidRPr="009411DF">
        <w:rPr>
          <w:rStyle w:val="StyleUnderline"/>
        </w:rPr>
        <w:t>The requirements currently imposed by law on USML</w:t>
      </w:r>
      <w:r w:rsidRPr="009411DF">
        <w:rPr>
          <w:sz w:val="12"/>
        </w:rPr>
        <w:t xml:space="preserve"> items like firearms or artillery pieces — the US’ vaunted “gold standard” — </w:t>
      </w:r>
      <w:r w:rsidRPr="009411DF">
        <w:rPr>
          <w:rStyle w:val="StyleUnderline"/>
        </w:rPr>
        <w:t>do not apply to the Commerce List</w:t>
      </w:r>
      <w:r w:rsidRPr="009411DF">
        <w:rPr>
          <w:sz w:val="12"/>
        </w:rPr>
        <w:t xml:space="preserve">. But that’s all about to change. </w:t>
      </w:r>
      <w:r w:rsidRPr="009411DF">
        <w:rPr>
          <w:rStyle w:val="StyleUnderline"/>
        </w:rPr>
        <w:t>The proposal at hand involves moving a number of dangerous items, including semi-automatic firearms, from the USML to the CCL.</w:t>
      </w:r>
      <w:r w:rsidRPr="009411DF">
        <w:rPr>
          <w:sz w:val="12"/>
        </w:rPr>
        <w:t xml:space="preserve"> Amnesty USA is opposing some of these proposed changes on the grounds that the presence or absence of an item (in this case, a semi-automatic firearm) on the USML dramatically changes which other laws apply to that item. </w:t>
      </w:r>
      <w:r w:rsidRPr="009411DF">
        <w:rPr>
          <w:rStyle w:val="StyleUnderline"/>
        </w:rPr>
        <w:t>Changes of this nature affect everything from Congressional reporting to controls on brokering to end-use monitoring and even the potential for 3D printing of dangerous weapons</w:t>
      </w:r>
      <w:r w:rsidRPr="009411DF">
        <w:rPr>
          <w:sz w:val="12"/>
        </w:rPr>
        <w:t xml:space="preserve"> by anyone in their own home.</w:t>
      </w:r>
    </w:p>
    <w:p w:rsidR="00C601A6" w:rsidRDefault="00C601A6" w:rsidP="00C601A6">
      <w:pPr>
        <w:pStyle w:val="Heading4"/>
      </w:pPr>
      <w:r>
        <w:t xml:space="preserve">Reform now avoids inevitable cuts to blue lantern coming in the status quo. Independently the </w:t>
      </w:r>
      <w:proofErr w:type="spellStart"/>
      <w:r>
        <w:t>aff</w:t>
      </w:r>
      <w:proofErr w:type="spellEnd"/>
      <w:r>
        <w:t xml:space="preserve"> can’t resolve </w:t>
      </w:r>
      <w:proofErr w:type="spellStart"/>
      <w:r>
        <w:t>squo</w:t>
      </w:r>
      <w:proofErr w:type="spellEnd"/>
      <w:r>
        <w:t xml:space="preserve"> EUM shortcomings which makes their impacts inevitable.</w:t>
      </w:r>
    </w:p>
    <w:p w:rsidR="00C601A6" w:rsidRDefault="00C601A6" w:rsidP="00C601A6">
      <w:r w:rsidRPr="0021174A">
        <w:rPr>
          <w:rStyle w:val="Style13ptBold"/>
        </w:rPr>
        <w:t>Violence Policy Center 2019</w:t>
      </w:r>
      <w:r>
        <w:t xml:space="preserve"> “The Trump administration proposes making gun exports easier. Here’s how to submit your public comment on this dangerous proposal.” Online @ </w:t>
      </w:r>
      <w:hyperlink r:id="rId24" w:history="1">
        <w:r w:rsidRPr="000017AB">
          <w:rPr>
            <w:rStyle w:val="Hyperlink"/>
          </w:rPr>
          <w:t>http://vpc.org/the-trump-administration-proposes-making-gun-exports-easier-heres-how-to-submit-your-public-comment-on-this-dangerous-proposal/</w:t>
        </w:r>
      </w:hyperlink>
      <w:r w:rsidR="00544BE4">
        <w:rPr>
          <w:rStyle w:val="Hyperlink"/>
        </w:rPr>
        <w:t>]</w:t>
      </w:r>
    </w:p>
    <w:p w:rsidR="00C601A6" w:rsidRDefault="00C601A6" w:rsidP="00C601A6"/>
    <w:p w:rsidR="00C601A6" w:rsidRPr="00D671E3" w:rsidRDefault="00C601A6" w:rsidP="00C601A6">
      <w:pPr>
        <w:rPr>
          <w:sz w:val="12"/>
        </w:rPr>
      </w:pPr>
      <w:r w:rsidRPr="00D671E3">
        <w:rPr>
          <w:sz w:val="12"/>
        </w:rPr>
        <w:t>I oppose the proposed rule for the following reasons: The proposed rule treats semi-automatic assault rifles as “non-military.” But many state and non-state groups in importing countries use semi-automatic rifles in armed conflicts, causing enormous damage. U.S. troops use rifles in semi-automatic mode an overwhelming amount of the time. Regarding wide retail availability of firearms, about which comment has been requested, many countries prohibit civilian possession of semi-automatic rifles and handguns, as well as of any larger caliber firearm. Six U.S. states, the District of Columbia, and several large retail chains also prohibit retail sale of semi-automatic assault rifles. Many semi-automatic rifles are also easily converted to fully automatic firearms. Because military-style assault rifles clearly have substantial military utility, transfer of these firearms to Commerce Department control is inconsistent with the statutory framework enacted by the Congress to regulate the export of arms. The proposed rule would eliminate Congressional oversight for important gun export deals. Congress will no longer be automatically informed about sizable sales of these weapons. That will limit its ability to comment on related human rights concerns, as it recently did on the Philippines and Turkey.[2] Congressional action in 2002 required sales of firearms regulated by the US Munitions List valued at $1 million or more be notified to Congress. Items moved to Commerce control would no longer be subject to such notification. In a September 15, 2017, letter, Senators Benjamin Cardin, Dianne Feinstein, and Patrick Leahy explicitly noted that this move would violate Congressional intent and effectively eliminate Congress’ proper role. The new rules would transfer the cost of processing licenses from gun manufacturers to taxpayers. Registration fees that since the 1940s have been used to offset the costs to the government of tracking who is manufacturing weapons would no longer apply to manufacturers of semi-automatic weapons, and Commerce does not charge any fee for licensing. So the government — i.e., taxpayers — will absorb the cost of reviewing applications and processing licenses. Gun exporters that benefit from these sales should shoulder this cost. National laws for brokers and financiers who arrange firearm shipments are a weak link in the chain of efforts to curtail trafficking of small arms and light weapons. There is good reason for concern that firearms brokers will no longer be subject to US brokering law. Although Commerce states it will retain rules on brokering for a State Department list that includes assault rifles, there is no statutory basis for brokers of these weapons to register and obtain a license, increasing the risk of trafficking. That will make it easier for unscrupulous dealers to escape attention</w:t>
      </w:r>
      <w:proofErr w:type="gramStart"/>
      <w:r w:rsidRPr="00D671E3">
        <w:rPr>
          <w:sz w:val="12"/>
        </w:rPr>
        <w:t>.[</w:t>
      </w:r>
      <w:proofErr w:type="gramEnd"/>
      <w:r w:rsidRPr="00D671E3">
        <w:rPr>
          <w:sz w:val="12"/>
        </w:rPr>
        <w:t xml:space="preserve">3] </w:t>
      </w:r>
      <w:r w:rsidRPr="00075C9C">
        <w:rPr>
          <w:rStyle w:val="StyleUnderline"/>
        </w:rPr>
        <w:t>The rule reduces end-use controls for gun exports. It would eliminate the State Department’s Blue Lantern program</w:t>
      </w:r>
      <w:r w:rsidRPr="00D671E3">
        <w:rPr>
          <w:sz w:val="12"/>
        </w:rPr>
        <w:t xml:space="preserve"> for gun and ammunition exports, </w:t>
      </w:r>
      <w:r w:rsidRPr="00075C9C">
        <w:rPr>
          <w:rStyle w:val="StyleUnderline"/>
        </w:rPr>
        <w:t>which carries out hundreds of pre-license and post-shipment inspections</w:t>
      </w:r>
      <w:r w:rsidRPr="00D671E3">
        <w:rPr>
          <w:sz w:val="12"/>
        </w:rPr>
        <w:t xml:space="preserve"> </w:t>
      </w:r>
      <w:r w:rsidRPr="00075C9C">
        <w:rPr>
          <w:rStyle w:val="StyleUnderline"/>
        </w:rPr>
        <w:t xml:space="preserve">and publicly reports </w:t>
      </w:r>
      <w:r w:rsidRPr="00D671E3">
        <w:rPr>
          <w:sz w:val="12"/>
        </w:rPr>
        <w:t xml:space="preserve">on them. </w:t>
      </w:r>
      <w:r w:rsidRPr="00075C9C">
        <w:rPr>
          <w:rStyle w:val="StyleUnderline"/>
        </w:rPr>
        <w:t>It also would move license approval out of the department that compiles the U.S. Government’s information on human rights violations</w:t>
      </w:r>
      <w:r w:rsidRPr="00D671E3">
        <w:rPr>
          <w:sz w:val="12"/>
        </w:rPr>
        <w:t xml:space="preserve">, reducing the ability to effectively deny weapons licenses to international human rights </w:t>
      </w:r>
      <w:proofErr w:type="spellStart"/>
      <w:r w:rsidRPr="00D671E3">
        <w:rPr>
          <w:sz w:val="12"/>
        </w:rPr>
        <w:t>violators.</w:t>
      </w:r>
      <w:r w:rsidRPr="00075C9C">
        <w:rPr>
          <w:rStyle w:val="StyleUnderline"/>
        </w:rPr>
        <w:t>End</w:t>
      </w:r>
      <w:proofErr w:type="spellEnd"/>
      <w:r w:rsidRPr="00075C9C">
        <w:rPr>
          <w:rStyle w:val="StyleUnderline"/>
        </w:rPr>
        <w:t>-use controls also are weakened by eliminating registration of firearms exporters</w:t>
      </w:r>
      <w:r w:rsidRPr="00D671E3">
        <w:rPr>
          <w:sz w:val="12"/>
        </w:rPr>
        <w:t xml:space="preserve">, a requirement since the 1940s. </w:t>
      </w:r>
      <w:r w:rsidRPr="00075C9C">
        <w:rPr>
          <w:rStyle w:val="StyleUnderline"/>
        </w:rPr>
        <w:t>Registration of exporters allows the State Department to check an exporter’s history</w:t>
      </w:r>
      <w:r w:rsidRPr="00D671E3">
        <w:rPr>
          <w:sz w:val="12"/>
        </w:rPr>
        <w:t xml:space="preserve"> whenever a manufacturer or broker requests a license for a particular gun export sale. But the </w:t>
      </w:r>
      <w:r w:rsidRPr="00075C9C">
        <w:rPr>
          <w:rStyle w:val="StyleUnderline"/>
        </w:rPr>
        <w:t>transfer of licensing to Commerce will remove new exporters and brokers of these firearms from the State Department database, weakening enforcement</w:t>
      </w:r>
      <w:r w:rsidRPr="00D671E3">
        <w:rPr>
          <w:sz w:val="12"/>
        </w:rPr>
        <w:t xml:space="preserve"> against arms trafficking. </w:t>
      </w:r>
      <w:r w:rsidRPr="00075C9C">
        <w:rPr>
          <w:rStyle w:val="StyleUnderline"/>
        </w:rPr>
        <w:t>The rule enables unchecked gun production in the U.S. and exports abroad by removing the block on 3D printing of firearms</w:t>
      </w:r>
      <w:r w:rsidRPr="00D671E3">
        <w:rPr>
          <w:sz w:val="12"/>
        </w:rPr>
        <w:t xml:space="preserve">. When </w:t>
      </w:r>
      <w:r w:rsidRPr="00D671E3">
        <w:rPr>
          <w:sz w:val="12"/>
        </w:rPr>
        <w:lastRenderedPageBreak/>
        <w:t xml:space="preserve">Defense Distributed founder Cody Wilson posted online instructions for 3D-printing weapons, the State Department successfully charged him with violating arms export laws, since his open-source posting made it possible for anyone with access to a 3D printer, anywhere, to produce a lethal weapon. The Commerce Department is unlikely to make the same argument once those weapons are transferred to their control. Unless corrected, the new regulations run the risk of effectively condoning and enabling 3D printing of firearms in the U.S. and around the globe. </w:t>
      </w:r>
      <w:r w:rsidRPr="00075C9C">
        <w:rPr>
          <w:rStyle w:val="StyleUnderline"/>
        </w:rPr>
        <w:t>By effectively eliminating</w:t>
      </w:r>
      <w:r w:rsidRPr="00D671E3">
        <w:rPr>
          <w:sz w:val="12"/>
        </w:rPr>
        <w:t xml:space="preserve"> many means to detect firearms, background checks on domestic sales and </w:t>
      </w:r>
      <w:r w:rsidRPr="00075C9C">
        <w:rPr>
          <w:rStyle w:val="StyleUnderline"/>
        </w:rPr>
        <w:t>end-use controls on international exports for such weapons, this change could generate many preventable tragedies.</w:t>
      </w:r>
      <w:r>
        <w:rPr>
          <w:rStyle w:val="StyleUnderline"/>
        </w:rPr>
        <w:t xml:space="preserve"> </w:t>
      </w:r>
      <w:r w:rsidRPr="00075C9C">
        <w:rPr>
          <w:rStyle w:val="StyleUnderline"/>
        </w:rPr>
        <w:t>The Commerce Department does not have resources to enforce</w:t>
      </w:r>
      <w:r w:rsidRPr="00D671E3">
        <w:rPr>
          <w:sz w:val="12"/>
        </w:rPr>
        <w:t xml:space="preserve"> export controls, even before the addition of 10,000 firearms export license applicants as a result of this rule predicted by Commerce</w:t>
      </w:r>
      <w:proofErr w:type="gramStart"/>
      <w:r w:rsidRPr="00D671E3">
        <w:rPr>
          <w:sz w:val="12"/>
        </w:rPr>
        <w:t>.[</w:t>
      </w:r>
      <w:proofErr w:type="gramEnd"/>
      <w:r w:rsidRPr="00D671E3">
        <w:rPr>
          <w:sz w:val="12"/>
        </w:rPr>
        <w:t xml:space="preserve">4] </w:t>
      </w:r>
      <w:r w:rsidRPr="00075C9C">
        <w:rPr>
          <w:rStyle w:val="StyleUnderline"/>
        </w:rPr>
        <w:t>The BIS’s enforcement office, with no staff in</w:t>
      </w:r>
      <w:r w:rsidRPr="00D671E3">
        <w:rPr>
          <w:sz w:val="12"/>
        </w:rPr>
        <w:t xml:space="preserve"> Latin America, Africa, or </w:t>
      </w:r>
      <w:r w:rsidRPr="00075C9C">
        <w:rPr>
          <w:rStyle w:val="StyleUnderline"/>
        </w:rPr>
        <w:t>many</w:t>
      </w:r>
      <w:r w:rsidRPr="00D671E3">
        <w:rPr>
          <w:sz w:val="12"/>
        </w:rPr>
        <w:t xml:space="preserve"> other </w:t>
      </w:r>
      <w:r w:rsidRPr="00075C9C">
        <w:rPr>
          <w:rStyle w:val="StyleUnderline"/>
        </w:rPr>
        <w:t xml:space="preserve">parts of the world, is not equipped to take the same level of preventive measures for end-use controls. </w:t>
      </w:r>
      <w:r w:rsidRPr="00D671E3">
        <w:rPr>
          <w:sz w:val="12"/>
        </w:rPr>
        <w:t xml:space="preserve">Moreover, </w:t>
      </w:r>
      <w:r w:rsidRPr="00075C9C">
        <w:rPr>
          <w:rStyle w:val="StyleUnderline"/>
        </w:rPr>
        <w:t>the State Department has developed extensive data, expertise and institutional relations to implement the Leahy Law for security assistance, which can serve as a critical foundation in both pre-license and post-shipment checks to control and verify end uses and end users. Commerce does not have these resources.</w:t>
      </w:r>
      <w:r w:rsidRPr="00D671E3">
        <w:rPr>
          <w:sz w:val="12"/>
        </w:rPr>
        <w:t xml:space="preserve"> The proposed change will reduce transparency and reporting on gun exports. The rule would eliminate Congressional and public awareness of the total amount (dollar value and items) of firearms sales authorizations and deliveries around the world, since the Commerce Department annual reports currently only cover about 20 countries. This rule would transfer gun export licensing to an agency – the Commerce Department – whose principle mission is to promote trade. Firearms, both assault weapons and non-semi-automatic weapons, are uniquely and pervasively used in criminal violence around the world. Controlling their export should be handled by the State Department, which is mandated and structured to address the potential impacts in importing nations on stability, human security, conflict, and human rights. Firearms are used to kill a thousand people every day around the world in acts of organized crime, political violence, terrorism, and human rights violations. Research indicates that the types of weapons being transferred to Commerce control, including AR-15, AK-47, and other military-style assault rifles and their ammunition, are weapons of choice for criminal organizations in Mexico and other Latin American countries that are responsible for most of the increasing and record levels of homicides in those countries</w:t>
      </w:r>
      <w:proofErr w:type="gramStart"/>
      <w:r w:rsidRPr="00D671E3">
        <w:rPr>
          <w:sz w:val="12"/>
        </w:rPr>
        <w:t>.[</w:t>
      </w:r>
      <w:proofErr w:type="gramEnd"/>
      <w:r w:rsidRPr="00D671E3">
        <w:rPr>
          <w:sz w:val="12"/>
        </w:rPr>
        <w:t>5] The export of these weapons should be subject to more controls, not less.</w:t>
      </w:r>
    </w:p>
    <w:p w:rsidR="00B80F19" w:rsidRDefault="00B80F19" w:rsidP="00B80F19">
      <w:pPr>
        <w:pStyle w:val="Heading2"/>
      </w:pPr>
      <w:r>
        <w:lastRenderedPageBreak/>
        <w:t xml:space="preserve">AT: Perm – Timeframe </w:t>
      </w:r>
    </w:p>
    <w:p w:rsidR="00B80F19" w:rsidRDefault="00B80F19" w:rsidP="00B80F19">
      <w:pPr>
        <w:pStyle w:val="Heading4"/>
      </w:pPr>
      <w:r>
        <w:t xml:space="preserve">Incoming changes to EUM mean now is key for the CP. </w:t>
      </w:r>
    </w:p>
    <w:p w:rsidR="00B80F19" w:rsidRDefault="00B80F19" w:rsidP="00B80F19">
      <w:r w:rsidRPr="00C63359">
        <w:rPr>
          <w:rStyle w:val="Style13ptBold"/>
        </w:rPr>
        <w:t>Waltz ’19</w:t>
      </w:r>
      <w:r>
        <w:t xml:space="preserve"> [Susan Waltz is a Professor, Gerald R. Ford School of Public Policy, University of Michigan, February 2019, “Implications of Proposed Changes to Firearms Export Regulations,” Forum Arms Trade, </w:t>
      </w:r>
      <w:hyperlink r:id="rId25" w:history="1">
        <w:r w:rsidRPr="000017AB">
          <w:rPr>
            <w:rStyle w:val="Hyperlink"/>
          </w:rPr>
          <w:t>https://www.forumarmstrade.org/uploads/1/9/0/8/19082495/waltz_implications_of_cati-iii-2019.pdf</w:t>
        </w:r>
      </w:hyperlink>
      <w:r>
        <w:rPr>
          <w:rStyle w:val="Hyperlink"/>
        </w:rPr>
        <w:t xml:space="preserve">, </w:t>
      </w:r>
      <w:proofErr w:type="spellStart"/>
      <w:r>
        <w:rPr>
          <w:rStyle w:val="Hyperlink"/>
        </w:rPr>
        <w:t>cs</w:t>
      </w:r>
      <w:proofErr w:type="spellEnd"/>
      <w:r>
        <w:t>]</w:t>
      </w:r>
    </w:p>
    <w:p w:rsidR="00B80F19" w:rsidRDefault="00B80F19" w:rsidP="00B80F19">
      <w:r>
        <w:t xml:space="preserve">3. Retaining authority to monitor end use and block further sales if equipment is misused </w:t>
      </w:r>
      <w:proofErr w:type="gramStart"/>
      <w:r w:rsidRPr="00BA319C">
        <w:rPr>
          <w:rStyle w:val="StyleUnderline"/>
        </w:rPr>
        <w:t>What’s</w:t>
      </w:r>
      <w:proofErr w:type="gramEnd"/>
      <w:r w:rsidRPr="00BA319C">
        <w:rPr>
          <w:rStyle w:val="StyleUnderline"/>
        </w:rPr>
        <w:t xml:space="preserve"> in an asterisk? Some of the items included on the US Munitions List are marked with an asterisk (*) to signify that they are considered significant military equipment</w:t>
      </w:r>
      <w:r>
        <w:t xml:space="preserve"> (SME), defense articles “</w:t>
      </w:r>
      <w:r w:rsidRPr="00BA319C">
        <w:rPr>
          <w:rStyle w:val="StyleUnderline"/>
        </w:rPr>
        <w:t>for which special export controls are warranted because of the capacity of such articles for substantial military utility or capability.”</w:t>
      </w:r>
      <w:r>
        <w:t xml:space="preserve"> 6 Semi-automatic firearms are currently classified as SME, but that would change if the current proposals go forward. All of the provisions covering defense articles (discussed above) apply to SME. In addition, </w:t>
      </w:r>
      <w:r w:rsidRPr="00BA319C">
        <w:rPr>
          <w:rStyle w:val="StyleUnderline"/>
        </w:rPr>
        <w:t xml:space="preserve">there are a few statutory provisions that apply specifically to SME. The most relevant of these applies to </w:t>
      </w:r>
      <w:r w:rsidRPr="00BA319C">
        <w:rPr>
          <w:rStyle w:val="Emphasis"/>
        </w:rPr>
        <w:t>end use controls,</w:t>
      </w:r>
      <w:r w:rsidRPr="00BA319C">
        <w:rPr>
          <w:rStyle w:val="StyleUnderline"/>
        </w:rPr>
        <w:t xml:space="preserve"> which could be significantly weakened by the proposed changes</w:t>
      </w:r>
      <w:r>
        <w:t xml:space="preserve">. As provided by 22 USC 2753, </w:t>
      </w:r>
      <w:r w:rsidRPr="00BA319C">
        <w:rPr>
          <w:rStyle w:val="StyleUnderline"/>
        </w:rPr>
        <w:t>re-transfers of SME require explicit authorization. A special form for end-use control</w:t>
      </w:r>
      <w:r>
        <w:t xml:space="preserve"> (DSP-83) is </w:t>
      </w:r>
      <w:r w:rsidRPr="00BA319C">
        <w:rPr>
          <w:rStyle w:val="StyleUnderline"/>
        </w:rPr>
        <w:t>currently required for SME weapons transfers</w:t>
      </w:r>
      <w:r>
        <w:t xml:space="preserve"> (22 CFR 123.10), </w:t>
      </w:r>
      <w:r w:rsidRPr="00BA319C">
        <w:rPr>
          <w:rStyle w:val="StyleUnderline"/>
        </w:rPr>
        <w:t>and suppliers must provide precise information about the transferred equipment along with a certification by the foreign government at destination that the equipment will not be re-transferred without prior written approval of the US government. Under current law, if significant military equipment is re-transferred without permission</w:t>
      </w:r>
      <w:r>
        <w:t xml:space="preserve"> or used against anything other than a legitimate military target, </w:t>
      </w:r>
      <w:r w:rsidRPr="00BA319C">
        <w:rPr>
          <w:rStyle w:val="StyleUnderline"/>
        </w:rPr>
        <w:t>the President must notify the Congress and suspend further transfers. The proposed rule would eliminate these oversight provisions</w:t>
      </w:r>
      <w:r>
        <w:t>. What Congress should do if the proposal moves forward: Amend the Arms Export Control Act (notably 22 USC 2753) to ensure that all items currently designated as significant military equipment remain subject to end use monitoring and retain the prohibition on further sales or deliveries in the event of a violation of an end use agreement.</w:t>
      </w:r>
    </w:p>
    <w:p w:rsidR="00B80F19" w:rsidRDefault="00B80F19" w:rsidP="00B80F19"/>
    <w:p w:rsidR="00C601A6" w:rsidRDefault="00544BE4" w:rsidP="00C601A6">
      <w:pPr>
        <w:pStyle w:val="Heading2"/>
      </w:pPr>
      <w:r>
        <w:lastRenderedPageBreak/>
        <w:t>AT: No S</w:t>
      </w:r>
      <w:r w:rsidR="00C601A6">
        <w:t>olvency Advocate</w:t>
      </w:r>
    </w:p>
    <w:p w:rsidR="00C601A6" w:rsidRDefault="00C601A6" w:rsidP="00C601A6">
      <w:pPr>
        <w:pStyle w:val="Heading4"/>
      </w:pPr>
      <w:r>
        <w:t>EUM reform should: include use and expenditure, criteria for outcome not just compliance, include a category in Blue Lantern unfavorable review for HR abuses, and tie EUM to future sales</w:t>
      </w:r>
    </w:p>
    <w:p w:rsidR="00C601A6" w:rsidRDefault="00C601A6" w:rsidP="00C601A6">
      <w:proofErr w:type="spellStart"/>
      <w:r w:rsidRPr="00255FC6">
        <w:rPr>
          <w:rStyle w:val="Style13ptBold"/>
        </w:rPr>
        <w:t>Mahanty</w:t>
      </w:r>
      <w:proofErr w:type="spellEnd"/>
      <w:r w:rsidRPr="00255FC6">
        <w:rPr>
          <w:rStyle w:val="Style13ptBold"/>
        </w:rPr>
        <w:t xml:space="preserve"> and </w:t>
      </w:r>
      <w:proofErr w:type="spellStart"/>
      <w:r w:rsidRPr="00255FC6">
        <w:rPr>
          <w:rStyle w:val="Style13ptBold"/>
        </w:rPr>
        <w:t>Shiel</w:t>
      </w:r>
      <w:proofErr w:type="spellEnd"/>
      <w:r w:rsidRPr="00255FC6">
        <w:rPr>
          <w:rStyle w:val="Style13ptBold"/>
        </w:rPr>
        <w:t xml:space="preserve"> ’18</w:t>
      </w:r>
      <w:r>
        <w:t xml:space="preserve"> [Daniel </w:t>
      </w:r>
      <w:proofErr w:type="spellStart"/>
      <w:r>
        <w:t>Mahanty</w:t>
      </w:r>
      <w:proofErr w:type="spellEnd"/>
      <w:r>
        <w:t xml:space="preserve"> and Annie </w:t>
      </w:r>
      <w:proofErr w:type="spellStart"/>
      <w:r>
        <w:t>Shiel</w:t>
      </w:r>
      <w:proofErr w:type="spellEnd"/>
      <w:r>
        <w:t xml:space="preserve">, 1/10/18,“‘With Great Power’: Modifying US Arms Sales to Reduce Civilian Harm,” This report is the final product of a joint initiative of the Center for Civilians in Conflict (CIVIC) AND Stimson Center, a nonpartisan policy research center working to solve the world’s greatest threats to security and prosperity, </w:t>
      </w:r>
      <w:hyperlink r:id="rId26" w:history="1">
        <w:r w:rsidRPr="000017AB">
          <w:rPr>
            <w:rStyle w:val="Hyperlink"/>
          </w:rPr>
          <w:t>https://civiliansinconflict.org/wp-content/uploads/2018/01/With-Great-Power.pdf</w:t>
        </w:r>
      </w:hyperlink>
      <w:r>
        <w:t xml:space="preserve">, </w:t>
      </w:r>
      <w:proofErr w:type="spellStart"/>
      <w:r>
        <w:t>cs</w:t>
      </w:r>
      <w:proofErr w:type="spellEnd"/>
      <w:r>
        <w:t>]</w:t>
      </w:r>
    </w:p>
    <w:p w:rsidR="00C601A6" w:rsidRDefault="00C601A6" w:rsidP="00C601A6">
      <w:r>
        <w:t xml:space="preserve">9. </w:t>
      </w:r>
      <w:r w:rsidRPr="009F115B">
        <w:rPr>
          <w:rStyle w:val="StyleUnderline"/>
        </w:rPr>
        <w:t>Require end-use monitoring programs to</w:t>
      </w:r>
      <w:r>
        <w:rPr>
          <w:rStyle w:val="StyleUnderline"/>
        </w:rPr>
        <w:t xml:space="preserve"> </w:t>
      </w:r>
      <w:r w:rsidRPr="009F115B">
        <w:rPr>
          <w:rStyle w:val="StyleUnderline"/>
        </w:rPr>
        <w:t>assess use, especially in conflict, and explicitly</w:t>
      </w:r>
      <w:r>
        <w:rPr>
          <w:rStyle w:val="StyleUnderline"/>
        </w:rPr>
        <w:t xml:space="preserve"> </w:t>
      </w:r>
      <w:r w:rsidRPr="009F115B">
        <w:rPr>
          <w:rStyle w:val="StyleUnderline"/>
        </w:rPr>
        <w:t>link end-use monitoring results to future sales.</w:t>
      </w:r>
      <w:r>
        <w:rPr>
          <w:rStyle w:val="StyleUnderline"/>
        </w:rPr>
        <w:t xml:space="preserve"> </w:t>
      </w:r>
      <w:r>
        <w:t xml:space="preserve">The US government should ensure that it has the access it needs to maintain visibility into the ways in which the major weapons systems it sells are used, especially during conflict. </w:t>
      </w:r>
      <w:r w:rsidRPr="009F115B">
        <w:rPr>
          <w:rStyle w:val="StyleUnderline"/>
        </w:rPr>
        <w:t>End-use monitoring and</w:t>
      </w:r>
      <w:r>
        <w:rPr>
          <w:rStyle w:val="StyleUnderline"/>
        </w:rPr>
        <w:t xml:space="preserve"> </w:t>
      </w:r>
      <w:r w:rsidRPr="009F115B">
        <w:rPr>
          <w:rStyle w:val="StyleUnderline"/>
        </w:rPr>
        <w:t xml:space="preserve">evaluation </w:t>
      </w:r>
      <w:r w:rsidRPr="00271183">
        <w:rPr>
          <w:rStyle w:val="StyleUnderline"/>
        </w:rPr>
        <w:t>of USML items</w:t>
      </w:r>
      <w:r w:rsidRPr="009F115B">
        <w:t xml:space="preserve"> such as</w:t>
      </w:r>
      <w:r w:rsidRPr="009F115B">
        <w:rPr>
          <w:rStyle w:val="StyleUnderline"/>
        </w:rPr>
        <w:t xml:space="preserve"> bombs, missiles,</w:t>
      </w:r>
      <w:r>
        <w:rPr>
          <w:rStyle w:val="StyleUnderline"/>
        </w:rPr>
        <w:t xml:space="preserve"> </w:t>
      </w:r>
      <w:r w:rsidRPr="009F115B">
        <w:rPr>
          <w:rStyle w:val="StyleUnderline"/>
        </w:rPr>
        <w:t xml:space="preserve">and fighter aircraft should </w:t>
      </w:r>
      <w:r w:rsidRPr="009F115B">
        <w:t xml:space="preserve">be required to </w:t>
      </w:r>
      <w:r w:rsidRPr="009F115B">
        <w:rPr>
          <w:rStyle w:val="StyleUnderline"/>
        </w:rPr>
        <w:t>include</w:t>
      </w:r>
      <w:r>
        <w:rPr>
          <w:rStyle w:val="StyleUnderline"/>
        </w:rPr>
        <w:t xml:space="preserve"> </w:t>
      </w:r>
      <w:r w:rsidRPr="009F115B">
        <w:rPr>
          <w:rStyle w:val="StyleUnderline"/>
        </w:rPr>
        <w:t>a review of use and expenditure.</w:t>
      </w:r>
      <w:r>
        <w:t xml:space="preserve"> </w:t>
      </w:r>
      <w:r w:rsidRPr="009F115B">
        <w:rPr>
          <w:rStyle w:val="StyleUnderline"/>
        </w:rPr>
        <w:t xml:space="preserve">The criteria </w:t>
      </w:r>
      <w:r w:rsidRPr="009F115B">
        <w:t>for evaluation</w:t>
      </w:r>
      <w:r w:rsidRPr="009F115B">
        <w:rPr>
          <w:rStyle w:val="StyleUnderline"/>
        </w:rPr>
        <w:t xml:space="preserve"> should include the outcomes of use</w:t>
      </w:r>
      <w:r>
        <w:rPr>
          <w:rStyle w:val="StyleUnderline"/>
        </w:rPr>
        <w:t xml:space="preserve"> </w:t>
      </w:r>
      <w:r>
        <w:t xml:space="preserve">(for example, any reported cases civilian harm), </w:t>
      </w:r>
      <w:r w:rsidRPr="009F115B">
        <w:rPr>
          <w:rStyle w:val="StyleUnderline"/>
        </w:rPr>
        <w:t>rather than solely compliance with international law.</w:t>
      </w:r>
      <w:r>
        <w:rPr>
          <w:rStyle w:val="StyleUnderline"/>
        </w:rPr>
        <w:t xml:space="preserve"> </w:t>
      </w:r>
      <w:r w:rsidRPr="009F115B">
        <w:rPr>
          <w:rStyle w:val="StyleUnderline"/>
        </w:rPr>
        <w:t xml:space="preserve">Under the Blue Lantern program, the category for “unfavorable review” should </w:t>
      </w:r>
      <w:r w:rsidRPr="009F115B">
        <w:t>be further delineated to</w:t>
      </w:r>
      <w:r w:rsidRPr="009F115B">
        <w:rPr>
          <w:rStyle w:val="StyleUnderline"/>
        </w:rPr>
        <w:t xml:space="preserve"> include a category for </w:t>
      </w:r>
      <w:r w:rsidRPr="009F115B">
        <w:t>credibly reported</w:t>
      </w:r>
      <w:r w:rsidRPr="009F115B">
        <w:rPr>
          <w:rStyle w:val="StyleUnderline"/>
        </w:rPr>
        <w:t xml:space="preserve"> human</w:t>
      </w:r>
      <w:r>
        <w:rPr>
          <w:rStyle w:val="StyleUnderline"/>
        </w:rPr>
        <w:t xml:space="preserve"> </w:t>
      </w:r>
      <w:r w:rsidRPr="009F115B">
        <w:rPr>
          <w:rStyle w:val="StyleUnderline"/>
        </w:rPr>
        <w:t xml:space="preserve">rights abuses, </w:t>
      </w:r>
      <w:r w:rsidRPr="009F115B">
        <w:t xml:space="preserve">violations of IHL, </w:t>
      </w:r>
      <w:r w:rsidRPr="009F115B">
        <w:rPr>
          <w:rStyle w:val="StyleUnderline"/>
        </w:rPr>
        <w:t>and harm to civilians</w:t>
      </w:r>
      <w:r>
        <w:rPr>
          <w:rStyle w:val="StyleUnderline"/>
        </w:rPr>
        <w:t xml:space="preserve"> </w:t>
      </w:r>
      <w:r w:rsidRPr="009F115B">
        <w:rPr>
          <w:rStyle w:val="StyleUnderline"/>
        </w:rPr>
        <w:t xml:space="preserve">or civilian infrastructure as a result of </w:t>
      </w:r>
      <w:r w:rsidRPr="009F115B">
        <w:t>deliberate or inappropriate</w:t>
      </w:r>
      <w:r w:rsidRPr="009F115B">
        <w:rPr>
          <w:rStyle w:val="StyleUnderline"/>
        </w:rPr>
        <w:t xml:space="preserve"> use. The US government should more</w:t>
      </w:r>
      <w:r>
        <w:rPr>
          <w:rStyle w:val="StyleUnderline"/>
        </w:rPr>
        <w:t xml:space="preserve"> </w:t>
      </w:r>
      <w:r w:rsidRPr="009F115B">
        <w:rPr>
          <w:rStyle w:val="StyleUnderline"/>
        </w:rPr>
        <w:t>consistently enforce sanctions for non-compliance,</w:t>
      </w:r>
      <w:r>
        <w:rPr>
          <w:rStyle w:val="StyleUnderline"/>
        </w:rPr>
        <w:t xml:space="preserve"> </w:t>
      </w:r>
      <w:r w:rsidRPr="009F115B">
        <w:rPr>
          <w:rStyle w:val="StyleUnderline"/>
        </w:rPr>
        <w:t>and link the results of end-use monitoring to future</w:t>
      </w:r>
      <w:r>
        <w:rPr>
          <w:rStyle w:val="StyleUnderline"/>
        </w:rPr>
        <w:t xml:space="preserve"> </w:t>
      </w:r>
      <w:r w:rsidRPr="009F115B">
        <w:rPr>
          <w:rStyle w:val="StyleUnderline"/>
        </w:rPr>
        <w:t xml:space="preserve">or prospective sales </w:t>
      </w:r>
      <w:r w:rsidRPr="009F115B">
        <w:t>in the terms and conditions of sale.</w:t>
      </w:r>
    </w:p>
    <w:p w:rsidR="00C601A6" w:rsidRDefault="00C601A6" w:rsidP="00C601A6"/>
    <w:p w:rsidR="00C601A6" w:rsidRDefault="00C601A6" w:rsidP="00C601A6">
      <w:pPr>
        <w:pStyle w:val="Heading2"/>
      </w:pPr>
      <w:r>
        <w:lastRenderedPageBreak/>
        <w:t xml:space="preserve">AT: </w:t>
      </w:r>
      <w:proofErr w:type="spellStart"/>
      <w:r>
        <w:t>EUM</w:t>
      </w:r>
      <w:proofErr w:type="spellEnd"/>
      <w:r>
        <w:t xml:space="preserve"> Fails </w:t>
      </w:r>
    </w:p>
    <w:p w:rsidR="00C601A6" w:rsidRDefault="00C601A6" w:rsidP="00C601A6">
      <w:pPr>
        <w:pStyle w:val="Heading4"/>
      </w:pPr>
      <w:r>
        <w:t>EUM has a high success rate</w:t>
      </w:r>
    </w:p>
    <w:p w:rsidR="00C601A6" w:rsidRDefault="00C601A6" w:rsidP="00C601A6">
      <w:proofErr w:type="spellStart"/>
      <w:r w:rsidRPr="00197C6A">
        <w:rPr>
          <w:rStyle w:val="Style13ptBold"/>
        </w:rPr>
        <w:t>Vranckx</w:t>
      </w:r>
      <w:proofErr w:type="spellEnd"/>
      <w:r w:rsidRPr="00197C6A">
        <w:rPr>
          <w:rStyle w:val="Style13ptBold"/>
        </w:rPr>
        <w:t xml:space="preserve"> ’16</w:t>
      </w:r>
      <w:r>
        <w:t xml:space="preserve"> [An </w:t>
      </w:r>
      <w:proofErr w:type="spellStart"/>
      <w:r>
        <w:t>Vranckx</w:t>
      </w:r>
      <w:proofErr w:type="spellEnd"/>
      <w:r>
        <w:t xml:space="preserve"> was an Associate Research Fellow at UNU-CRIS until the end of December 2016 and holds a Ph.D. from the </w:t>
      </w:r>
      <w:proofErr w:type="spellStart"/>
      <w:r>
        <w:t>Vrije</w:t>
      </w:r>
      <w:proofErr w:type="spellEnd"/>
      <w:r>
        <w:t xml:space="preserve"> </w:t>
      </w:r>
      <w:proofErr w:type="spellStart"/>
      <w:r>
        <w:t>Universiteit</w:t>
      </w:r>
      <w:proofErr w:type="spellEnd"/>
      <w:r>
        <w:t xml:space="preserve"> Brussel (</w:t>
      </w:r>
      <w:proofErr w:type="spellStart"/>
      <w:r>
        <w:t>VUB</w:t>
      </w:r>
      <w:proofErr w:type="spellEnd"/>
      <w:r>
        <w:t xml:space="preserve">), “Containing Diversion: Arms end-use and post-delivery controls,” GRIP REPORTS 2016/4, </w:t>
      </w:r>
      <w:hyperlink r:id="rId27" w:history="1">
        <w:r w:rsidRPr="000017AB">
          <w:rPr>
            <w:rStyle w:val="Hyperlink"/>
          </w:rPr>
          <w:t>http://www.smallarmssurvey.org/fileadmin/docs/L-External-publications/2016/GRIP-2016-Containing-diversion.pdf</w:t>
        </w:r>
      </w:hyperlink>
      <w:r>
        <w:t xml:space="preserve">, </w:t>
      </w:r>
      <w:proofErr w:type="spellStart"/>
      <w:r>
        <w:t>cs</w:t>
      </w:r>
      <w:proofErr w:type="spellEnd"/>
      <w:r>
        <w:t>]</w:t>
      </w:r>
    </w:p>
    <w:p w:rsidR="00C601A6" w:rsidRPr="00255FC6" w:rsidRDefault="00C601A6" w:rsidP="00C601A6"/>
    <w:p w:rsidR="00C601A6" w:rsidRPr="00197C6A" w:rsidRDefault="00C601A6" w:rsidP="00C601A6">
      <w:pPr>
        <w:rPr>
          <w:sz w:val="12"/>
        </w:rPr>
      </w:pPr>
      <w:r w:rsidRPr="00197C6A">
        <w:rPr>
          <w:sz w:val="12"/>
        </w:rPr>
        <w:t>For the purposes of this analysis</w:t>
      </w:r>
      <w:r w:rsidRPr="00197C6A">
        <w:rPr>
          <w:rStyle w:val="StyleUnderline"/>
        </w:rPr>
        <w:t>, it appears instructive to consider</w:t>
      </w:r>
      <w:r w:rsidRPr="00197C6A">
        <w:rPr>
          <w:sz w:val="12"/>
        </w:rPr>
        <w:t xml:space="preserve"> this particular case of </w:t>
      </w:r>
      <w:r w:rsidRPr="00197C6A">
        <w:rPr>
          <w:rStyle w:val="StyleUnderline"/>
        </w:rPr>
        <w:t>non-compliance with end-use documentation as an “</w:t>
      </w:r>
      <w:proofErr w:type="spellStart"/>
      <w:r w:rsidRPr="00197C6A">
        <w:rPr>
          <w:rStyle w:val="StyleUnderline"/>
        </w:rPr>
        <w:t>unenvisaged</w:t>
      </w:r>
      <w:proofErr w:type="spellEnd"/>
      <w:r w:rsidRPr="00197C6A">
        <w:rPr>
          <w:rStyle w:val="StyleUnderline"/>
        </w:rPr>
        <w:t>” case of diversion</w:t>
      </w:r>
      <w:r w:rsidRPr="00197C6A">
        <w:rPr>
          <w:sz w:val="12"/>
        </w:rPr>
        <w:t xml:space="preserve">. Such case needs to be distinguished from diversion operations that are designed with the purpose to mislead licensing authorities, and that enable </w:t>
      </w:r>
      <w:proofErr w:type="spellStart"/>
      <w:r w:rsidRPr="00197C6A">
        <w:rPr>
          <w:sz w:val="12"/>
        </w:rPr>
        <w:t>authorised</w:t>
      </w:r>
      <w:proofErr w:type="spellEnd"/>
      <w:r w:rsidRPr="00197C6A">
        <w:rPr>
          <w:sz w:val="12"/>
        </w:rPr>
        <w:t xml:space="preserve"> arms exports to be transferred to </w:t>
      </w:r>
      <w:proofErr w:type="spellStart"/>
      <w:r w:rsidRPr="00197C6A">
        <w:rPr>
          <w:sz w:val="12"/>
        </w:rPr>
        <w:t>unauthorised</w:t>
      </w:r>
      <w:proofErr w:type="spellEnd"/>
      <w:r w:rsidRPr="00197C6A">
        <w:rPr>
          <w:sz w:val="12"/>
        </w:rPr>
        <w:t xml:space="preserve"> – often illicit - end-use and end-uses. </w:t>
      </w:r>
      <w:r w:rsidRPr="00197C6A">
        <w:rPr>
          <w:rStyle w:val="StyleUnderline"/>
        </w:rPr>
        <w:t xml:space="preserve">However large the difficulty the U.S. State Department’s Blue Lantern would face to predict changes in the importer’s military policy, the </w:t>
      </w:r>
      <w:proofErr w:type="spellStart"/>
      <w:r w:rsidRPr="00197C6A">
        <w:rPr>
          <w:rStyle w:val="StyleUnderline"/>
        </w:rPr>
        <w:t>programme</w:t>
      </w:r>
      <w:proofErr w:type="spellEnd"/>
      <w:r w:rsidRPr="00197C6A">
        <w:rPr>
          <w:rStyle w:val="StyleUnderline"/>
        </w:rPr>
        <w:t xml:space="preserve"> is proving rather effective in detecting, and preventing, attempts to mislead the U.S. arms export control authority</w:t>
      </w:r>
      <w:r w:rsidRPr="00197C6A">
        <w:rPr>
          <w:sz w:val="12"/>
        </w:rPr>
        <w:t xml:space="preserve">. Year after year </w:t>
      </w:r>
      <w:r w:rsidRPr="00197C6A">
        <w:rPr>
          <w:rStyle w:val="StyleUnderline"/>
        </w:rPr>
        <w:t>it reports “</w:t>
      </w:r>
      <w:proofErr w:type="spellStart"/>
      <w:r w:rsidRPr="00197C6A">
        <w:rPr>
          <w:rStyle w:val="StyleUnderline"/>
        </w:rPr>
        <w:t>unfavourable</w:t>
      </w:r>
      <w:proofErr w:type="spellEnd"/>
      <w:r w:rsidRPr="00197C6A">
        <w:rPr>
          <w:rStyle w:val="StyleUnderline"/>
        </w:rPr>
        <w:t xml:space="preserve">” findings of Blue Lantern checks that lead the requested </w:t>
      </w:r>
      <w:proofErr w:type="spellStart"/>
      <w:r w:rsidRPr="00197C6A">
        <w:rPr>
          <w:rStyle w:val="StyleUnderline"/>
        </w:rPr>
        <w:t>licences</w:t>
      </w:r>
      <w:proofErr w:type="spellEnd"/>
      <w:r w:rsidRPr="00197C6A">
        <w:rPr>
          <w:rStyle w:val="StyleUnderline"/>
        </w:rPr>
        <w:t xml:space="preserve"> to be denied, revoked or even passed on to criminal investigation</w:t>
      </w:r>
      <w:r w:rsidRPr="00197C6A">
        <w:rPr>
          <w:sz w:val="12"/>
        </w:rPr>
        <w:t xml:space="preserve">. In the course of the years examined in Table 3, </w:t>
      </w:r>
      <w:r w:rsidRPr="00197C6A">
        <w:rPr>
          <w:rStyle w:val="StyleUnderline"/>
        </w:rPr>
        <w:t>the “</w:t>
      </w:r>
      <w:proofErr w:type="spellStart"/>
      <w:r w:rsidRPr="00197C6A">
        <w:rPr>
          <w:rStyle w:val="StyleUnderline"/>
        </w:rPr>
        <w:t>unfavourable</w:t>
      </w:r>
      <w:proofErr w:type="spellEnd"/>
      <w:r w:rsidRPr="00197C6A">
        <w:rPr>
          <w:rStyle w:val="StyleUnderline"/>
        </w:rPr>
        <w:t xml:space="preserve"> rate” was also seen to diminish. Diligent scrutiny of end-use </w:t>
      </w:r>
      <w:r w:rsidRPr="00197C6A">
        <w:rPr>
          <w:sz w:val="12"/>
        </w:rPr>
        <w:t>documentation</w:t>
      </w:r>
      <w:r w:rsidRPr="00197C6A">
        <w:rPr>
          <w:rStyle w:val="StyleUnderline"/>
        </w:rPr>
        <w:t xml:space="preserve"> is </w:t>
      </w:r>
      <w:r w:rsidRPr="00197C6A">
        <w:rPr>
          <w:sz w:val="12"/>
        </w:rPr>
        <w:t>a</w:t>
      </w:r>
      <w:r w:rsidRPr="00197C6A">
        <w:rPr>
          <w:rStyle w:val="StyleUnderline"/>
        </w:rPr>
        <w:t xml:space="preserve"> key </w:t>
      </w:r>
      <w:r w:rsidRPr="00197C6A">
        <w:rPr>
          <w:sz w:val="12"/>
        </w:rPr>
        <w:t>line of</w:t>
      </w:r>
      <w:r w:rsidRPr="00197C6A">
        <w:rPr>
          <w:rStyle w:val="StyleUnderline"/>
        </w:rPr>
        <w:t xml:space="preserve"> </w:t>
      </w:r>
      <w:proofErr w:type="spellStart"/>
      <w:r w:rsidRPr="00197C6A">
        <w:rPr>
          <w:rStyle w:val="StyleUnderline"/>
        </w:rPr>
        <w:t>defence</w:t>
      </w:r>
      <w:proofErr w:type="spellEnd"/>
      <w:r w:rsidRPr="00197C6A">
        <w:rPr>
          <w:rStyle w:val="StyleUnderline"/>
        </w:rPr>
        <w:t xml:space="preserve"> against </w:t>
      </w:r>
      <w:r w:rsidRPr="00197C6A">
        <w:rPr>
          <w:sz w:val="12"/>
        </w:rPr>
        <w:t xml:space="preserve">the latter, </w:t>
      </w:r>
      <w:r w:rsidRPr="00197C6A">
        <w:rPr>
          <w:rStyle w:val="StyleUnderline"/>
        </w:rPr>
        <w:t>more deceptive type of diversion scheme, where “such documents are effective only in the context of a broader system that includes a thorough consideration of diversion risks at the licensing stage, the verification of end-user documentation, and complementary post-shipment controls</w:t>
      </w:r>
      <w:r w:rsidRPr="00197C6A">
        <w:rPr>
          <w:sz w:val="12"/>
        </w:rPr>
        <w:t xml:space="preserve">”.38 </w:t>
      </w:r>
      <w:r w:rsidRPr="00197C6A">
        <w:rPr>
          <w:rStyle w:val="StyleUnderline"/>
        </w:rPr>
        <w:t xml:space="preserve">In the Blue Lantern </w:t>
      </w:r>
      <w:proofErr w:type="spellStart"/>
      <w:r w:rsidRPr="00197C6A">
        <w:rPr>
          <w:rStyle w:val="StyleUnderline"/>
        </w:rPr>
        <w:t>programme</w:t>
      </w:r>
      <w:proofErr w:type="spellEnd"/>
      <w:r w:rsidRPr="00197C6A">
        <w:rPr>
          <w:rStyle w:val="StyleUnderline"/>
        </w:rPr>
        <w:t xml:space="preserve">, information gleaned from each of these controls and verifications </w:t>
      </w:r>
      <w:r w:rsidRPr="00197C6A">
        <w:rPr>
          <w:sz w:val="12"/>
        </w:rPr>
        <w:t xml:space="preserve">is additionally ensured to </w:t>
      </w:r>
      <w:r w:rsidRPr="00197C6A">
        <w:rPr>
          <w:rStyle w:val="StyleUnderline"/>
        </w:rPr>
        <w:t xml:space="preserve">feed into a monitoring cycle, which revolves around an agile and </w:t>
      </w:r>
      <w:r w:rsidRPr="00197C6A">
        <w:rPr>
          <w:sz w:val="12"/>
        </w:rPr>
        <w:t>well-maintained</w:t>
      </w:r>
      <w:r w:rsidRPr="00197C6A">
        <w:rPr>
          <w:rStyle w:val="StyleUnderline"/>
        </w:rPr>
        <w:t xml:space="preserve"> information system</w:t>
      </w:r>
      <w:r w:rsidRPr="00197C6A">
        <w:rPr>
          <w:sz w:val="12"/>
        </w:rPr>
        <w:t>. The importance of that information cycle in effectively detecting and preventing diversion is something that export licensing authorities elsewhere might care to bear in mind.</w:t>
      </w:r>
    </w:p>
    <w:p w:rsidR="00C601A6" w:rsidRDefault="00C601A6" w:rsidP="00C601A6"/>
    <w:p w:rsidR="00C601A6" w:rsidRDefault="00DE0CF0" w:rsidP="00C601A6">
      <w:pPr>
        <w:pStyle w:val="Heading2"/>
      </w:pPr>
      <w:r>
        <w:lastRenderedPageBreak/>
        <w:t xml:space="preserve">End-Use Monitoring CP – </w:t>
      </w:r>
      <w:proofErr w:type="spellStart"/>
      <w:r>
        <w:t>AFF</w:t>
      </w:r>
      <w:proofErr w:type="spellEnd"/>
      <w:r>
        <w:t xml:space="preserve"> </w:t>
      </w:r>
    </w:p>
    <w:p w:rsidR="00C601A6" w:rsidRDefault="00544BE4" w:rsidP="00C601A6">
      <w:pPr>
        <w:pStyle w:val="Heading3"/>
      </w:pPr>
      <w:r>
        <w:lastRenderedPageBreak/>
        <w:t xml:space="preserve">No </w:t>
      </w:r>
      <w:r w:rsidR="00C601A6">
        <w:t>Solvency</w:t>
      </w:r>
    </w:p>
    <w:p w:rsidR="00C601A6" w:rsidRDefault="00C601A6" w:rsidP="00C601A6">
      <w:pPr>
        <w:pStyle w:val="Heading4"/>
      </w:pPr>
      <w:r>
        <w:t>Multiple structural barriers to effective EUM that the CP can’t shore up.</w:t>
      </w:r>
    </w:p>
    <w:p w:rsidR="00C601A6" w:rsidRDefault="00C601A6" w:rsidP="00C601A6"/>
    <w:p w:rsidR="00C601A6" w:rsidRDefault="00C601A6" w:rsidP="00C601A6">
      <w:r w:rsidRPr="00EF5CCB">
        <w:rPr>
          <w:rStyle w:val="Style13ptBold"/>
        </w:rPr>
        <w:t>Dalton et al ’18</w:t>
      </w:r>
      <w:r>
        <w:t xml:space="preserve"> [Melissa G. Dalton is a senior fellow and deputy director of the CSIS International Security Program, Hijab Shah is a research associate with the International Security Program at CSIS, Shannon N. Green is the director and senior fellow of the Human Rights Initiative at CSIS., Rebecca Hughes is an intern with the CSIS International Security Program with an M.S. in foreign service from Georgetown University, February 2018, “Oversight and Accountability in U.S. Security Sector Assistance: Seeking Return on Investment,” A Report of the CSIS INTERNATIONAL SECURITY PROGRAM, Center for Strategic and International Studies, PROJECT DIRECTOR Melissa G. Dalton, </w:t>
      </w:r>
      <w:hyperlink r:id="rId28" w:history="1">
        <w:r w:rsidRPr="000017AB">
          <w:rPr>
            <w:rStyle w:val="Hyperlink"/>
          </w:rPr>
          <w:t>https://csis-prod.s3.amazonaws.com/s3fs-public/publication/180207_Dalton_OversightAccountability_Web.pdf?9CJj6j5KVqQgWAlLSLJkOpdCga.Yz28l</w:t>
        </w:r>
      </w:hyperlink>
      <w:r>
        <w:t xml:space="preserve">, </w:t>
      </w:r>
      <w:proofErr w:type="spellStart"/>
      <w:r>
        <w:t>cs</w:t>
      </w:r>
      <w:proofErr w:type="spellEnd"/>
      <w:r>
        <w:t>]</w:t>
      </w:r>
    </w:p>
    <w:p w:rsidR="00C601A6" w:rsidRDefault="00C601A6" w:rsidP="00C601A6"/>
    <w:p w:rsidR="00C601A6" w:rsidRPr="00307571" w:rsidRDefault="00C601A6" w:rsidP="00C601A6">
      <w:pPr>
        <w:rPr>
          <w:sz w:val="12"/>
        </w:rPr>
      </w:pPr>
      <w:r w:rsidRPr="00307571">
        <w:rPr>
          <w:sz w:val="12"/>
        </w:rPr>
        <w:t xml:space="preserve">Every year the United States disburses billions of dollars on SSA and conducts thousands of </w:t>
      </w:r>
      <w:proofErr w:type="spellStart"/>
      <w:r w:rsidRPr="00307571">
        <w:rPr>
          <w:sz w:val="12"/>
        </w:rPr>
        <w:t>secu</w:t>
      </w:r>
      <w:proofErr w:type="spellEnd"/>
      <w:r w:rsidRPr="00307571">
        <w:rPr>
          <w:sz w:val="12"/>
        </w:rPr>
        <w:t xml:space="preserve">- </w:t>
      </w:r>
      <w:proofErr w:type="spellStart"/>
      <w:r w:rsidRPr="00307571">
        <w:rPr>
          <w:sz w:val="12"/>
        </w:rPr>
        <w:t>rity</w:t>
      </w:r>
      <w:proofErr w:type="spellEnd"/>
      <w:r w:rsidRPr="00307571">
        <w:rPr>
          <w:sz w:val="12"/>
        </w:rPr>
        <w:t xml:space="preserve"> cooperation activities with foreign security officials and forces.16 </w:t>
      </w:r>
      <w:r w:rsidRPr="00EF5CCB">
        <w:rPr>
          <w:rStyle w:val="StyleUnderline"/>
        </w:rPr>
        <w:t>Effective monitoring and evaluation can enable the U.S. government to track how the dollars and efforts it expends on security assistance perform in terms of return on investment for meeting strategic and operational goals, and whether partner countries use</w:t>
      </w:r>
      <w:r w:rsidRPr="00307571">
        <w:rPr>
          <w:sz w:val="12"/>
        </w:rPr>
        <w:t xml:space="preserve"> SSA </w:t>
      </w:r>
      <w:r w:rsidRPr="00EF5CCB">
        <w:rPr>
          <w:rStyle w:val="StyleUnderline"/>
        </w:rPr>
        <w:t>responsibly and with respect for human rights</w:t>
      </w:r>
      <w:r w:rsidRPr="00307571">
        <w:rPr>
          <w:sz w:val="12"/>
        </w:rPr>
        <w:t xml:space="preserve"> norms and values. Through monitoring and evaluation over years of an SSA relationship, the United States may truly be able to define its return on investment. However, to assess strategic and programmatic performance through monitoring and evaluation, the U.S. government must have a baseline understanding of what it is trying to accomplish in the particular regional context into which SSA resources will flow. Effective planning through an interagency process provides the foundation. Planning occurs prior to implementation, and ideally is undertaken in collaboration with all relevant U.S. agencies and the partner nation. Planning entails developing a baseline assessment of the environment in which security cooperation </w:t>
      </w:r>
      <w:proofErr w:type="spellStart"/>
      <w:r w:rsidRPr="00307571">
        <w:rPr>
          <w:sz w:val="12"/>
        </w:rPr>
        <w:t>activi</w:t>
      </w:r>
      <w:proofErr w:type="spellEnd"/>
      <w:r w:rsidRPr="00307571">
        <w:rPr>
          <w:sz w:val="12"/>
        </w:rPr>
        <w:t xml:space="preserve">- ties will take place, the partner’s existing capabilities and ability to absorb assistance, and the extent to which the partner country’s interests, values, and objectives are aligned with those of the United States. During the planning phase partners should identify metrics for determining progress and success, and develop a monitoring plan that reflects those metrics. In order to do this, part- </w:t>
      </w:r>
      <w:proofErr w:type="spellStart"/>
      <w:r w:rsidRPr="00307571">
        <w:rPr>
          <w:sz w:val="12"/>
        </w:rPr>
        <w:t>ners</w:t>
      </w:r>
      <w:proofErr w:type="spellEnd"/>
      <w:r w:rsidRPr="00307571">
        <w:rPr>
          <w:sz w:val="12"/>
        </w:rPr>
        <w:t xml:space="preserve"> must establish SMART objectives—objectives that are specific, measurable, achievable, </w:t>
      </w:r>
      <w:proofErr w:type="spellStart"/>
      <w:r w:rsidRPr="00307571">
        <w:rPr>
          <w:sz w:val="12"/>
        </w:rPr>
        <w:t>rel</w:t>
      </w:r>
      <w:proofErr w:type="spellEnd"/>
      <w:r w:rsidRPr="00307571">
        <w:rPr>
          <w:sz w:val="12"/>
        </w:rPr>
        <w:t xml:space="preserve">- </w:t>
      </w:r>
      <w:proofErr w:type="spellStart"/>
      <w:r w:rsidRPr="00307571">
        <w:rPr>
          <w:sz w:val="12"/>
        </w:rPr>
        <w:t>evant</w:t>
      </w:r>
      <w:proofErr w:type="spellEnd"/>
      <w:r w:rsidRPr="00307571">
        <w:rPr>
          <w:sz w:val="12"/>
        </w:rPr>
        <w:t xml:space="preserve"> and results-orientated, and time-bound.17 </w:t>
      </w:r>
      <w:proofErr w:type="gramStart"/>
      <w:r w:rsidRPr="00307571">
        <w:rPr>
          <w:sz w:val="12"/>
        </w:rPr>
        <w:t>The</w:t>
      </w:r>
      <w:proofErr w:type="gramEnd"/>
      <w:r w:rsidRPr="00307571">
        <w:rPr>
          <w:sz w:val="12"/>
        </w:rPr>
        <w:t xml:space="preserve"> planning process is vital in the scheme of SSA activities. Following the FY 2017 NDAA reforms, </w:t>
      </w:r>
      <w:proofErr w:type="gramStart"/>
      <w:r w:rsidRPr="00307571">
        <w:rPr>
          <w:sz w:val="12"/>
        </w:rPr>
        <w:t>DoD</w:t>
      </w:r>
      <w:proofErr w:type="gramEnd"/>
      <w:r w:rsidRPr="00307571">
        <w:rPr>
          <w:sz w:val="12"/>
        </w:rPr>
        <w:t xml:space="preserve"> developed a cross-agency planning process to guide SSA development, currently in its first year of execution and summarized as follows: 1. Assess Threat and Articulate Desired Outcome 2. Jointly Articulate Desired Partner Role in Achieving Outcome 3. Jointly Articulate Desired U.S. Support Role in Achieving Outcome 4. Identify Partner Capability Areas for Achieving Outcome 5. Outline Specific Activities for Achieving Outcome Monitoring is the process by which efforts are tracked to determine whether inputs (e.g., training and money) have translated into intermediate objectives (e.g., number of people trained and equipment obtained). </w:t>
      </w:r>
      <w:r w:rsidRPr="00EF5CCB">
        <w:rPr>
          <w:rStyle w:val="StyleUnderline"/>
        </w:rPr>
        <w:t xml:space="preserve">Evaluation is the process by which policymakers and implementers examine the extent to which security cooperation activities have achieved their stated objectives. This process is critical to providing leaders and </w:t>
      </w:r>
      <w:proofErr w:type="spellStart"/>
      <w:r w:rsidRPr="00EF5CCB">
        <w:rPr>
          <w:rStyle w:val="StyleUnderline"/>
        </w:rPr>
        <w:t>decisionmakers</w:t>
      </w:r>
      <w:proofErr w:type="spellEnd"/>
      <w:r w:rsidRPr="00EF5CCB">
        <w:rPr>
          <w:rStyle w:val="StyleUnderline"/>
        </w:rPr>
        <w:t xml:space="preserve"> with</w:t>
      </w:r>
      <w:r w:rsidRPr="00307571">
        <w:rPr>
          <w:sz w:val="12"/>
        </w:rPr>
        <w:t xml:space="preserve"> an </w:t>
      </w:r>
      <w:r w:rsidRPr="00EF5CCB">
        <w:rPr>
          <w:rStyle w:val="StyleUnderline"/>
        </w:rPr>
        <w:t>understanding</w:t>
      </w:r>
      <w:r w:rsidRPr="00307571">
        <w:rPr>
          <w:sz w:val="12"/>
        </w:rPr>
        <w:t xml:space="preserve"> of what is work- </w:t>
      </w:r>
      <w:proofErr w:type="spellStart"/>
      <w:r w:rsidRPr="00307571">
        <w:rPr>
          <w:sz w:val="12"/>
        </w:rPr>
        <w:t>ing</w:t>
      </w:r>
      <w:proofErr w:type="spellEnd"/>
      <w:r w:rsidRPr="00307571">
        <w:rPr>
          <w:sz w:val="12"/>
        </w:rPr>
        <w:t xml:space="preserve"> and what is not. Planning, monitoring, and evaluation are crucial to ensuring that SSA activities are supportive of U.S. objectives. Accordingly, the U.S. security cooperation workforce must be trained to conduct baseline assessments, establish SMART objectives that articulate desired end states, define metrics by which to measure a program’s success, evaluate risks and identify </w:t>
      </w:r>
      <w:proofErr w:type="spellStart"/>
      <w:r w:rsidRPr="00307571">
        <w:rPr>
          <w:sz w:val="12"/>
        </w:rPr>
        <w:t>mitiga</w:t>
      </w:r>
      <w:proofErr w:type="spellEnd"/>
      <w:r w:rsidRPr="00307571">
        <w:rPr>
          <w:sz w:val="12"/>
        </w:rPr>
        <w:t xml:space="preserve">- </w:t>
      </w:r>
      <w:proofErr w:type="spellStart"/>
      <w:r w:rsidRPr="00307571">
        <w:rPr>
          <w:sz w:val="12"/>
        </w:rPr>
        <w:t>tion</w:t>
      </w:r>
      <w:proofErr w:type="spellEnd"/>
      <w:r w:rsidRPr="00307571">
        <w:rPr>
          <w:sz w:val="12"/>
        </w:rPr>
        <w:t xml:space="preserve"> steps, and design programs with strong feedback loops. An upfront approach to SSA will help policymakers articulate long-term security cooperation objectives and measure progress against those objectives throughout the life cycle of the program. </w:t>
      </w:r>
      <w:r w:rsidRPr="00307571">
        <w:rPr>
          <w:rStyle w:val="StyleUnderline"/>
        </w:rPr>
        <w:t>Monitoring and evaluation</w:t>
      </w:r>
      <w:r w:rsidRPr="00307571">
        <w:rPr>
          <w:sz w:val="12"/>
        </w:rPr>
        <w:t xml:space="preserve"> (</w:t>
      </w:r>
      <w:r w:rsidRPr="00307571">
        <w:rPr>
          <w:rStyle w:val="Emphasis"/>
        </w:rPr>
        <w:t>M&amp;E</w:t>
      </w:r>
      <w:r w:rsidRPr="00307571">
        <w:rPr>
          <w:sz w:val="12"/>
        </w:rPr>
        <w:t xml:space="preserve">) also </w:t>
      </w:r>
      <w:r w:rsidRPr="00307571">
        <w:rPr>
          <w:rStyle w:val="StyleUnderline"/>
        </w:rPr>
        <w:t>plays a vital role in enhancing oversight of how training and equipment are employed by partner nations</w:t>
      </w:r>
      <w:r w:rsidRPr="00307571">
        <w:rPr>
          <w:sz w:val="12"/>
        </w:rPr>
        <w:t xml:space="preserve">. </w:t>
      </w:r>
      <w:r w:rsidRPr="00307571">
        <w:rPr>
          <w:rStyle w:val="StyleUnderline"/>
        </w:rPr>
        <w:t xml:space="preserve">Specifically, end-use monitoring </w:t>
      </w:r>
      <w:r w:rsidRPr="00307571">
        <w:rPr>
          <w:rStyle w:val="Emphasis"/>
        </w:rPr>
        <w:t>(EUM)</w:t>
      </w:r>
      <w:r w:rsidRPr="00307571">
        <w:rPr>
          <w:sz w:val="12"/>
        </w:rPr>
        <w:t xml:space="preserve"> pro- grams </w:t>
      </w:r>
      <w:r w:rsidRPr="00307571">
        <w:rPr>
          <w:rStyle w:val="StyleUnderline"/>
        </w:rPr>
        <w:t xml:space="preserve">aim to reduce the security risks involved in transfers of U.S. arms and equipment by </w:t>
      </w:r>
      <w:proofErr w:type="spellStart"/>
      <w:r w:rsidRPr="00307571">
        <w:rPr>
          <w:rStyle w:val="StyleUnderline"/>
        </w:rPr>
        <w:t>ensur</w:t>
      </w:r>
      <w:proofErr w:type="spellEnd"/>
      <w:r w:rsidRPr="00307571">
        <w:rPr>
          <w:rStyle w:val="StyleUnderline"/>
        </w:rPr>
        <w:t xml:space="preserve">- </w:t>
      </w:r>
      <w:proofErr w:type="spellStart"/>
      <w:r w:rsidRPr="00307571">
        <w:rPr>
          <w:rStyle w:val="StyleUnderline"/>
        </w:rPr>
        <w:t>ing</w:t>
      </w:r>
      <w:proofErr w:type="spellEnd"/>
      <w:r w:rsidRPr="00307571">
        <w:rPr>
          <w:rStyle w:val="StyleUnderline"/>
        </w:rPr>
        <w:t xml:space="preserve"> that they are not misused and remain within the security force to which they are assigned</w:t>
      </w:r>
      <w:r w:rsidRPr="00307571">
        <w:rPr>
          <w:sz w:val="12"/>
        </w:rPr>
        <w:t xml:space="preserve">.18 </w:t>
      </w:r>
      <w:proofErr w:type="gramStart"/>
      <w:r w:rsidRPr="00307571">
        <w:rPr>
          <w:rStyle w:val="StyleUnderline"/>
        </w:rPr>
        <w:t>The</w:t>
      </w:r>
      <w:proofErr w:type="gramEnd"/>
      <w:r w:rsidRPr="00307571">
        <w:rPr>
          <w:rStyle w:val="StyleUnderline"/>
        </w:rPr>
        <w:t xml:space="preserve"> two primary U.S. government EUM programs are Blue Lantern and Golden Sentry.</w:t>
      </w:r>
      <w:r w:rsidRPr="00307571">
        <w:rPr>
          <w:sz w:val="12"/>
        </w:rPr>
        <w:t xml:space="preserve"> </w:t>
      </w:r>
      <w:proofErr w:type="spellStart"/>
      <w:r w:rsidRPr="00307571">
        <w:rPr>
          <w:rStyle w:val="StyleUnderline"/>
        </w:rPr>
        <w:t>DoS</w:t>
      </w:r>
      <w:r w:rsidRPr="00307571">
        <w:rPr>
          <w:sz w:val="12"/>
        </w:rPr>
        <w:t>’s</w:t>
      </w:r>
      <w:proofErr w:type="spellEnd"/>
      <w:r w:rsidRPr="00307571">
        <w:rPr>
          <w:sz w:val="12"/>
        </w:rPr>
        <w:t xml:space="preserve"> Directorate of the Defense Trade Controls (DDTC) </w:t>
      </w:r>
      <w:r w:rsidRPr="00307571">
        <w:rPr>
          <w:rStyle w:val="StyleUnderline"/>
        </w:rPr>
        <w:t>coordinates the Blue Lantern program, in which U.S. embassy officials conduct pre-license checks and post-shipment verifications of items transferred via Direct Commercial Sales (DCS)</w:t>
      </w:r>
      <w:r w:rsidRPr="00307571">
        <w:rPr>
          <w:sz w:val="12"/>
        </w:rPr>
        <w:t xml:space="preserve">.19 </w:t>
      </w:r>
      <w:r w:rsidRPr="00307571">
        <w:rPr>
          <w:rStyle w:val="StyleUnderline"/>
        </w:rPr>
        <w:t>DoD</w:t>
      </w:r>
      <w:r w:rsidRPr="00307571">
        <w:rPr>
          <w:sz w:val="12"/>
        </w:rPr>
        <w:t xml:space="preserve">’s Defense Security Cooperation Agency (DSCA) </w:t>
      </w:r>
      <w:r w:rsidRPr="00307571">
        <w:rPr>
          <w:rStyle w:val="StyleUnderline"/>
        </w:rPr>
        <w:t>manages the Golden Sentry program, which performs an analogous function for foreign military sales (FMS) transfers</w:t>
      </w:r>
      <w:r w:rsidRPr="00307571">
        <w:rPr>
          <w:sz w:val="12"/>
        </w:rPr>
        <w:t>.20 Strengths, Weaknesses, and Gaps Strong strategic and programmatic planning, monitoring, and evaluation enhances the ability of U.S. policymakers and planners to precisely target SSA, gauge its return on investment, and link it to strategic objectives. I</w:t>
      </w:r>
      <w:r w:rsidRPr="00307571">
        <w:rPr>
          <w:rStyle w:val="StyleUnderline"/>
        </w:rPr>
        <w:t>n the short term, M&amp;E can help implementers identify and address programmatic weaknesses and gaps. Over the long term, M&amp;E enables organizations to absorb and apply lessons learned and best practices to future engagements</w:t>
      </w:r>
      <w:r w:rsidRPr="00307571">
        <w:rPr>
          <w:sz w:val="12"/>
        </w:rPr>
        <w:t xml:space="preserve">.21 In recent years, interest from senior policymakers, the requirements of the Presidential Policy Directive 23 on Security Sector Assistance (PPD 23), and pressure from Congress have pushed agencies to think more strategically about SSA and improve M&amp;E mechanisms.22 Yet, despite increased policy and legislative attention, DoD and </w:t>
      </w:r>
      <w:proofErr w:type="spellStart"/>
      <w:r w:rsidRPr="00307571">
        <w:rPr>
          <w:sz w:val="12"/>
        </w:rPr>
        <w:t>DoS</w:t>
      </w:r>
      <w:proofErr w:type="spellEnd"/>
      <w:r w:rsidRPr="00307571">
        <w:rPr>
          <w:sz w:val="12"/>
        </w:rPr>
        <w:t xml:space="preserve"> are still in the early stages of their efforts to implement </w:t>
      </w:r>
      <w:proofErr w:type="spellStart"/>
      <w:r w:rsidRPr="00307571">
        <w:rPr>
          <w:sz w:val="12"/>
        </w:rPr>
        <w:t>consis</w:t>
      </w:r>
      <w:proofErr w:type="spellEnd"/>
      <w:r w:rsidRPr="00307571">
        <w:rPr>
          <w:sz w:val="12"/>
        </w:rPr>
        <w:t xml:space="preserve">- tent </w:t>
      </w:r>
      <w:proofErr w:type="spellStart"/>
      <w:r w:rsidRPr="00307571">
        <w:rPr>
          <w:sz w:val="12"/>
        </w:rPr>
        <w:t>M&amp;E</w:t>
      </w:r>
      <w:proofErr w:type="spellEnd"/>
      <w:r w:rsidRPr="00307571">
        <w:rPr>
          <w:sz w:val="12"/>
        </w:rPr>
        <w:t xml:space="preserve"> systems. As indicated in the flowchart above, </w:t>
      </w:r>
      <w:proofErr w:type="gramStart"/>
      <w:r w:rsidRPr="00307571">
        <w:rPr>
          <w:sz w:val="12"/>
        </w:rPr>
        <w:t>DoD</w:t>
      </w:r>
      <w:proofErr w:type="gramEnd"/>
      <w:r w:rsidRPr="00307571">
        <w:rPr>
          <w:sz w:val="12"/>
        </w:rPr>
        <w:t xml:space="preserve"> is taking steps to improve its planning process for SSA, designing a new system to distill partner and U.S. objectives, requirements, and M&amp;E criteria. Policymakers at </w:t>
      </w:r>
      <w:proofErr w:type="gramStart"/>
      <w:r w:rsidRPr="00307571">
        <w:rPr>
          <w:sz w:val="12"/>
        </w:rPr>
        <w:t>DoD</w:t>
      </w:r>
      <w:proofErr w:type="gramEnd"/>
      <w:r w:rsidRPr="00307571">
        <w:rPr>
          <w:sz w:val="12"/>
        </w:rPr>
        <w:t xml:space="preserve"> have developed a “concept-first approach” to encourage upfront analysis and strong program design. Broadly, however, planning of SSA programs and activities is still inhibited by U.S. agencies’ failure to coordinate with partner countries and with each other. U.S. agencies responsible for SSA may not coordinate with partner countries and design projects with both U.S. and partner country objectives in mind. This can result in a misalignment of goals, decreased partner country buy-in, or diminished strategic impact. </w:t>
      </w:r>
      <w:r w:rsidRPr="00307571">
        <w:rPr>
          <w:rStyle w:val="StyleUnderline"/>
        </w:rPr>
        <w:t xml:space="preserve">Lack of interagency </w:t>
      </w:r>
      <w:proofErr w:type="spellStart"/>
      <w:r w:rsidRPr="00307571">
        <w:rPr>
          <w:rStyle w:val="StyleUnderline"/>
        </w:rPr>
        <w:t>coordina</w:t>
      </w:r>
      <w:proofErr w:type="spellEnd"/>
      <w:r w:rsidRPr="00307571">
        <w:rPr>
          <w:rStyle w:val="StyleUnderline"/>
        </w:rPr>
        <w:t xml:space="preserve">- </w:t>
      </w:r>
      <w:proofErr w:type="spellStart"/>
      <w:r w:rsidRPr="00307571">
        <w:rPr>
          <w:rStyle w:val="StyleUnderline"/>
        </w:rPr>
        <w:t>tion</w:t>
      </w:r>
      <w:proofErr w:type="spellEnd"/>
      <w:r w:rsidRPr="00307571">
        <w:rPr>
          <w:rStyle w:val="StyleUnderline"/>
        </w:rPr>
        <w:t xml:space="preserve"> and a dearth of strategic guidance documents hinder the U.S. government’s ability to prioritize funding and resources, though both DoD and </w:t>
      </w:r>
      <w:proofErr w:type="spellStart"/>
      <w:r w:rsidRPr="00307571">
        <w:rPr>
          <w:rStyle w:val="StyleUnderline"/>
        </w:rPr>
        <w:t>DoS</w:t>
      </w:r>
      <w:proofErr w:type="spellEnd"/>
      <w:r w:rsidRPr="00307571">
        <w:rPr>
          <w:rStyle w:val="StyleUnderline"/>
        </w:rPr>
        <w:t xml:space="preserve"> are taking steps to improve these gaps</w:t>
      </w:r>
      <w:r w:rsidRPr="00307571">
        <w:rPr>
          <w:sz w:val="12"/>
        </w:rPr>
        <w:t xml:space="preserve">.23 In addition, many experts in the DoD operational community worry that a lengthy planning, monitor- </w:t>
      </w:r>
      <w:proofErr w:type="spellStart"/>
      <w:r w:rsidRPr="00307571">
        <w:rPr>
          <w:sz w:val="12"/>
        </w:rPr>
        <w:t>ing</w:t>
      </w:r>
      <w:proofErr w:type="spellEnd"/>
      <w:r w:rsidRPr="00307571">
        <w:rPr>
          <w:sz w:val="12"/>
        </w:rPr>
        <w:t xml:space="preserve">, and evaluation process will impede the U.S. ability to respond to short-term operational requirements critical to U.S. interests (e.g., terrorist threats). Several factors contribute to inadequate monitoring of U.S. SSA. First, the U.S. government lacks a central system that tracks all SSA and is accessible to all the relevant stakeholders. With dozens of offices in dif­ferent agencies responsible for developing and administering SSA programs, it is difficult for planners and implementers to visualize the full picture of SSA programming for a country or region.24 Second, the system is only beginning to adapt to design programs with SMART objectives and strong feedback loops that facilitate M&amp;E. Without specific goals and clear metrics identified in the planning stage, effective monitoring and evaluation are nearly impossible. Third, most agencies’ workforces do not receive adequate training on program design, planning, and M&amp;E. Thus, instead of focusing on the long-term implications and objectives of SSA programs and activities, agencies instead fixate on present-day relations and short-term outcomes.25 </w:t>
      </w:r>
      <w:r w:rsidRPr="00307571">
        <w:rPr>
          <w:rStyle w:val="StyleUnderline"/>
        </w:rPr>
        <w:t>Well-designed and administered EUM programs reduce the security risks inherent in transfers of arms and equipment. However, the U.S. government occasionally struggles to implement EUM programs, for several reasons</w:t>
      </w:r>
      <w:r w:rsidRPr="00307571">
        <w:rPr>
          <w:sz w:val="12"/>
        </w:rPr>
        <w:t xml:space="preserve">. First, </w:t>
      </w:r>
      <w:r w:rsidRPr="00307571">
        <w:rPr>
          <w:rStyle w:val="StyleUnderline"/>
        </w:rPr>
        <w:t xml:space="preserve">while there is abundant policy guidance for the </w:t>
      </w:r>
      <w:proofErr w:type="spellStart"/>
      <w:r w:rsidRPr="00307571">
        <w:rPr>
          <w:rStyle w:val="StyleUnderline"/>
        </w:rPr>
        <w:t>implementa</w:t>
      </w:r>
      <w:proofErr w:type="spellEnd"/>
      <w:r w:rsidRPr="00307571">
        <w:rPr>
          <w:rStyle w:val="StyleUnderline"/>
        </w:rPr>
        <w:t xml:space="preserve">- </w:t>
      </w:r>
      <w:proofErr w:type="spellStart"/>
      <w:r w:rsidRPr="00307571">
        <w:rPr>
          <w:rStyle w:val="StyleUnderline"/>
        </w:rPr>
        <w:t>tion</w:t>
      </w:r>
      <w:proofErr w:type="spellEnd"/>
      <w:r w:rsidRPr="00307571">
        <w:rPr>
          <w:rStyle w:val="StyleUnderline"/>
        </w:rPr>
        <w:t xml:space="preserve"> of </w:t>
      </w:r>
      <w:proofErr w:type="gramStart"/>
      <w:r w:rsidRPr="00307571">
        <w:rPr>
          <w:rStyle w:val="StyleUnderline"/>
        </w:rPr>
        <w:t>DoD’s</w:t>
      </w:r>
      <w:proofErr w:type="gramEnd"/>
      <w:r w:rsidRPr="00307571">
        <w:rPr>
          <w:rStyle w:val="StyleUnderline"/>
        </w:rPr>
        <w:t xml:space="preserve"> Golden Sentry program, there is a dearth of guidance for </w:t>
      </w:r>
      <w:proofErr w:type="spellStart"/>
      <w:r w:rsidRPr="00307571">
        <w:rPr>
          <w:rStyle w:val="StyleUnderline"/>
        </w:rPr>
        <w:t>DoS’s</w:t>
      </w:r>
      <w:proofErr w:type="spellEnd"/>
      <w:r w:rsidRPr="00307571">
        <w:rPr>
          <w:rStyle w:val="StyleUnderline"/>
        </w:rPr>
        <w:t xml:space="preserve"> Blue Lantern pro- gram</w:t>
      </w:r>
      <w:r w:rsidRPr="00307571">
        <w:rPr>
          <w:sz w:val="12"/>
        </w:rPr>
        <w:t xml:space="preserve">. For instance, Blue Lantern policy does not specify the criteria U.S. embassy employees should use to determine </w:t>
      </w:r>
      <w:r w:rsidRPr="00307571">
        <w:rPr>
          <w:sz w:val="12"/>
        </w:rPr>
        <w:lastRenderedPageBreak/>
        <w:t xml:space="preserve">whether to make site visits to partner nation military facilities to validate Blue Lantern compliance.26 </w:t>
      </w:r>
      <w:r w:rsidRPr="00307571">
        <w:rPr>
          <w:rStyle w:val="StyleUnderline"/>
        </w:rPr>
        <w:t>Instead, all site visits are deemed optional and are thus unevenly conducted</w:t>
      </w:r>
      <w:r w:rsidRPr="00307571">
        <w:rPr>
          <w:sz w:val="12"/>
        </w:rPr>
        <w:t xml:space="preserve">. </w:t>
      </w:r>
      <w:r w:rsidRPr="00307571">
        <w:rPr>
          <w:rStyle w:val="StyleUnderline"/>
        </w:rPr>
        <w:t xml:space="preserve">Second, government audits have demonstrated that agencies struggle to maintain record-keeping systems on EUM implementation. Third, due to </w:t>
      </w:r>
      <w:r w:rsidRPr="00307571">
        <w:rPr>
          <w:sz w:val="12"/>
        </w:rPr>
        <w:t xml:space="preserve">staffing transitions and </w:t>
      </w:r>
      <w:r w:rsidRPr="00307571">
        <w:rPr>
          <w:rStyle w:val="StyleUnderline"/>
        </w:rPr>
        <w:t>limited staffing, U.S. embassies sometimes lack the personnel to carry out routine EUM in a timely manner.</w:t>
      </w:r>
      <w:r w:rsidRPr="00307571">
        <w:rPr>
          <w:sz w:val="12"/>
        </w:rPr>
        <w:t xml:space="preserve">27 </w:t>
      </w:r>
      <w:r w:rsidRPr="00307571">
        <w:rPr>
          <w:rStyle w:val="StyleUnderline"/>
        </w:rPr>
        <w:t>Finally, “pseudo” FMS programs</w:t>
      </w:r>
      <w:r w:rsidRPr="00307571">
        <w:rPr>
          <w:sz w:val="12"/>
        </w:rPr>
        <w:t xml:space="preserve"> (those that do not require partner nation signature on requisite program paperwork), such as the Iraq Train and Equip Fund (ITEF), </w:t>
      </w:r>
      <w:r w:rsidRPr="00307571">
        <w:rPr>
          <w:rStyle w:val="StyleUnderline"/>
        </w:rPr>
        <w:t>are not subjected to Golden Sentry monitoring and thus rely on other</w:t>
      </w:r>
      <w:r w:rsidRPr="00307571">
        <w:rPr>
          <w:sz w:val="12"/>
        </w:rPr>
        <w:t xml:space="preserve"> (and at times inconsistent) embassy and </w:t>
      </w:r>
      <w:r w:rsidRPr="00307571">
        <w:rPr>
          <w:rStyle w:val="StyleUnderline"/>
        </w:rPr>
        <w:t>intelligence reporting sources to ensure appropriate use.</w:t>
      </w:r>
      <w:r w:rsidRPr="00307571">
        <w:rPr>
          <w:sz w:val="12"/>
        </w:rPr>
        <w:t xml:space="preserve">28 </w:t>
      </w:r>
    </w:p>
    <w:p w:rsidR="00C601A6" w:rsidRDefault="00C601A6" w:rsidP="00C601A6">
      <w:pPr>
        <w:pStyle w:val="Heading4"/>
      </w:pPr>
      <w:r>
        <w:t>Already plenty of EUM with little result</w:t>
      </w:r>
    </w:p>
    <w:p w:rsidR="00C601A6" w:rsidRDefault="00C601A6" w:rsidP="00C601A6">
      <w:r w:rsidRPr="004D59EB">
        <w:rPr>
          <w:rStyle w:val="Style13ptBold"/>
        </w:rPr>
        <w:t>Schroeder ’05</w:t>
      </w:r>
      <w:r>
        <w:t xml:space="preserve"> [Matt </w:t>
      </w:r>
      <w:proofErr w:type="spellStart"/>
      <w:r>
        <w:t>Schroeder</w:t>
      </w:r>
      <w:proofErr w:type="gramStart"/>
      <w:r>
        <w:t>,“</w:t>
      </w:r>
      <w:proofErr w:type="gramEnd"/>
      <w:r>
        <w:t>Transparency</w:t>
      </w:r>
      <w:proofErr w:type="spellEnd"/>
      <w:r>
        <w:t xml:space="preserve"> and accountability in arms export systems: the</w:t>
      </w:r>
    </w:p>
    <w:p w:rsidR="00C601A6" w:rsidRDefault="00C601A6" w:rsidP="00C601A6">
      <w:r>
        <w:t xml:space="preserve">United States as a case study,” October 2005, Printed at United Nations, Disarmament Forum, Geneva GE.05-024743,750 </w:t>
      </w:r>
      <w:proofErr w:type="spellStart"/>
      <w:r>
        <w:t>UNIDIR</w:t>
      </w:r>
      <w:proofErr w:type="spellEnd"/>
      <w:r>
        <w:t xml:space="preserve">/DF/2005/2 ISSN 1020-7287, </w:t>
      </w:r>
      <w:hyperlink r:id="rId29" w:history="1">
        <w:r w:rsidRPr="000017AB">
          <w:rPr>
            <w:rStyle w:val="Hyperlink"/>
          </w:rPr>
          <w:t>http://unidir.org/files/publications/pdfs/investing-in-security-en-340.pdf</w:t>
        </w:r>
      </w:hyperlink>
      <w:r>
        <w:t xml:space="preserve">, </w:t>
      </w:r>
      <w:proofErr w:type="spellStart"/>
      <w:r>
        <w:t>cs</w:t>
      </w:r>
      <w:proofErr w:type="spellEnd"/>
      <w:r>
        <w:t>]</w:t>
      </w:r>
    </w:p>
    <w:p w:rsidR="00C601A6" w:rsidRDefault="00C601A6" w:rsidP="00C601A6"/>
    <w:p w:rsidR="00C601A6" w:rsidRPr="004D59EB" w:rsidRDefault="00C601A6" w:rsidP="00C601A6">
      <w:pPr>
        <w:rPr>
          <w:sz w:val="12"/>
        </w:rPr>
      </w:pPr>
      <w:r w:rsidRPr="004D59EB">
        <w:rPr>
          <w:sz w:val="12"/>
        </w:rPr>
        <w:t xml:space="preserve">Over the past five years, </w:t>
      </w:r>
      <w:r w:rsidRPr="003B25B2">
        <w:rPr>
          <w:rStyle w:val="StyleUnderline"/>
        </w:rPr>
        <w:t xml:space="preserve">US end-use monitoring </w:t>
      </w:r>
      <w:proofErr w:type="spellStart"/>
      <w:r w:rsidRPr="003B25B2">
        <w:rPr>
          <w:rStyle w:val="StyleUnderline"/>
        </w:rPr>
        <w:t>programmes</w:t>
      </w:r>
      <w:proofErr w:type="spellEnd"/>
      <w:r w:rsidRPr="003B25B2">
        <w:rPr>
          <w:rStyle w:val="StyleUnderline"/>
        </w:rPr>
        <w:t xml:space="preserve"> have expanded steadily</w:t>
      </w:r>
      <w:r w:rsidRPr="004D59EB">
        <w:rPr>
          <w:sz w:val="12"/>
        </w:rPr>
        <w:t xml:space="preserve">. </w:t>
      </w:r>
      <w:r w:rsidRPr="003B25B2">
        <w:rPr>
          <w:rStyle w:val="StyleUnderline"/>
        </w:rPr>
        <w:t>In 2004,</w:t>
      </w:r>
      <w:r>
        <w:rPr>
          <w:rStyle w:val="StyleUnderline"/>
        </w:rPr>
        <w:t xml:space="preserve"> </w:t>
      </w:r>
      <w:r w:rsidRPr="003B25B2">
        <w:rPr>
          <w:rStyle w:val="StyleUnderline"/>
        </w:rPr>
        <w:t xml:space="preserve">eight on-site inspections were completed through the Golden Sentry </w:t>
      </w:r>
      <w:proofErr w:type="spellStart"/>
      <w:r w:rsidRPr="003B25B2">
        <w:rPr>
          <w:rStyle w:val="StyleUnderline"/>
        </w:rPr>
        <w:t>programme</w:t>
      </w:r>
      <w:proofErr w:type="spellEnd"/>
      <w:r w:rsidRPr="003B25B2">
        <w:rPr>
          <w:rStyle w:val="StyleUnderline"/>
        </w:rPr>
        <w:t>—a fourfold increase</w:t>
      </w:r>
      <w:r>
        <w:rPr>
          <w:rStyle w:val="StyleUnderline"/>
        </w:rPr>
        <w:t xml:space="preserve"> </w:t>
      </w:r>
      <w:r w:rsidRPr="003B25B2">
        <w:rPr>
          <w:rStyle w:val="StyleUnderline"/>
        </w:rPr>
        <w:t>over 2003</w:t>
      </w:r>
      <w:r w:rsidRPr="004D59EB">
        <w:rPr>
          <w:sz w:val="12"/>
        </w:rPr>
        <w:t xml:space="preserve">. This year, </w:t>
      </w:r>
      <w:r w:rsidRPr="003B25B2">
        <w:rPr>
          <w:rStyle w:val="StyleUnderline"/>
        </w:rPr>
        <w:t xml:space="preserve">the </w:t>
      </w:r>
      <w:proofErr w:type="spellStart"/>
      <w:r w:rsidRPr="003B25B2">
        <w:rPr>
          <w:rStyle w:val="StyleUnderline"/>
        </w:rPr>
        <w:t>programme’s</w:t>
      </w:r>
      <w:proofErr w:type="spellEnd"/>
      <w:r w:rsidRPr="003B25B2">
        <w:rPr>
          <w:rStyle w:val="StyleUnderline"/>
        </w:rPr>
        <w:t xml:space="preserve"> staff will increase from two to five employees</w:t>
      </w:r>
      <w:r w:rsidRPr="004D59EB">
        <w:rPr>
          <w:sz w:val="12"/>
        </w:rPr>
        <w:t>.13 Similarly</w:t>
      </w:r>
      <w:r w:rsidRPr="003B25B2">
        <w:rPr>
          <w:rStyle w:val="StyleUnderline"/>
        </w:rPr>
        <w:t>, the</w:t>
      </w:r>
      <w:r>
        <w:rPr>
          <w:rStyle w:val="StyleUnderline"/>
        </w:rPr>
        <w:t xml:space="preserve"> </w:t>
      </w:r>
      <w:r w:rsidRPr="003B25B2">
        <w:rPr>
          <w:rStyle w:val="StyleUnderline"/>
        </w:rPr>
        <w:t xml:space="preserve">number of checks performed through the Blue Lantern </w:t>
      </w:r>
      <w:proofErr w:type="spellStart"/>
      <w:r w:rsidRPr="003B25B2">
        <w:rPr>
          <w:rStyle w:val="StyleUnderline"/>
        </w:rPr>
        <w:t>programme</w:t>
      </w:r>
      <w:proofErr w:type="spellEnd"/>
      <w:r w:rsidRPr="003B25B2">
        <w:rPr>
          <w:rStyle w:val="StyleUnderline"/>
        </w:rPr>
        <w:t xml:space="preserve"> increased from 360 in 1999 to</w:t>
      </w:r>
      <w:r>
        <w:rPr>
          <w:rStyle w:val="StyleUnderline"/>
        </w:rPr>
        <w:t xml:space="preserve"> </w:t>
      </w:r>
      <w:r w:rsidRPr="003B25B2">
        <w:rPr>
          <w:rStyle w:val="StyleUnderline"/>
        </w:rPr>
        <w:t>530 in 2004.</w:t>
      </w:r>
      <w:r w:rsidRPr="004D59EB">
        <w:rPr>
          <w:sz w:val="12"/>
        </w:rPr>
        <w:t xml:space="preserve">14 </w:t>
      </w:r>
      <w:r w:rsidRPr="003B25B2">
        <w:rPr>
          <w:rStyle w:val="Emphasis"/>
        </w:rPr>
        <w:t>Despite these increases</w:t>
      </w:r>
      <w:r w:rsidRPr="004D59EB">
        <w:rPr>
          <w:sz w:val="12"/>
        </w:rPr>
        <w:t xml:space="preserve">, recent </w:t>
      </w:r>
      <w:r w:rsidRPr="003B25B2">
        <w:rPr>
          <w:rStyle w:val="StyleUnderline"/>
        </w:rPr>
        <w:t>reports from the</w:t>
      </w:r>
      <w:r w:rsidRPr="004D59EB">
        <w:rPr>
          <w:sz w:val="12"/>
        </w:rPr>
        <w:t xml:space="preserve"> </w:t>
      </w:r>
      <w:r w:rsidRPr="003B25B2">
        <w:rPr>
          <w:rStyle w:val="StyleUnderline"/>
        </w:rPr>
        <w:t>Government Accountability Office</w:t>
      </w:r>
      <w:r w:rsidRPr="004D59EB">
        <w:rPr>
          <w:sz w:val="12"/>
        </w:rPr>
        <w:t xml:space="preserve"> (GAO)—the audit, evaluation and investigation arm of Congress—</w:t>
      </w:r>
      <w:r w:rsidRPr="003B25B2">
        <w:rPr>
          <w:rStyle w:val="StyleUnderline"/>
        </w:rPr>
        <w:t>have revealed</w:t>
      </w:r>
      <w:r w:rsidRPr="004D59EB">
        <w:rPr>
          <w:sz w:val="12"/>
        </w:rPr>
        <w:t xml:space="preserve"> </w:t>
      </w:r>
      <w:r w:rsidRPr="003B25B2">
        <w:rPr>
          <w:rStyle w:val="Emphasis"/>
        </w:rPr>
        <w:t>shortcomings in both</w:t>
      </w:r>
      <w:r>
        <w:rPr>
          <w:rStyle w:val="Emphasis"/>
        </w:rPr>
        <w:t xml:space="preserve"> </w:t>
      </w:r>
      <w:proofErr w:type="spellStart"/>
      <w:r w:rsidRPr="003B25B2">
        <w:rPr>
          <w:rStyle w:val="Emphasis"/>
        </w:rPr>
        <w:t>programmes</w:t>
      </w:r>
      <w:proofErr w:type="spellEnd"/>
      <w:r w:rsidRPr="004D59EB">
        <w:rPr>
          <w:sz w:val="12"/>
        </w:rPr>
        <w:t xml:space="preserve">. </w:t>
      </w:r>
      <w:r w:rsidRPr="003B25B2">
        <w:rPr>
          <w:rStyle w:val="StyleUnderline"/>
        </w:rPr>
        <w:t>In 2004, for example, it reported that neither the Department of State nor the Department</w:t>
      </w:r>
      <w:r>
        <w:rPr>
          <w:rStyle w:val="StyleUnderline"/>
        </w:rPr>
        <w:t xml:space="preserve"> </w:t>
      </w:r>
      <w:r w:rsidRPr="003B25B2">
        <w:rPr>
          <w:rStyle w:val="StyleUnderline"/>
        </w:rPr>
        <w:t xml:space="preserve">of Defense had conducted more than a handful of post-shipment verifications of </w:t>
      </w:r>
      <w:r w:rsidRPr="004D59EB">
        <w:rPr>
          <w:sz w:val="12"/>
        </w:rPr>
        <w:t>cruise missile and unmanned aerial vehicle (</w:t>
      </w:r>
      <w:r w:rsidRPr="003B25B2">
        <w:rPr>
          <w:rStyle w:val="StyleUnderline"/>
        </w:rPr>
        <w:t>UAV) exports</w:t>
      </w:r>
      <w:r w:rsidRPr="004D59EB">
        <w:rPr>
          <w:sz w:val="12"/>
        </w:rPr>
        <w:t>—weapon systems that pose a particularly grave threat to US national security.15 To their credit, both departments have taken steps to correct these shortcomings.16</w:t>
      </w:r>
    </w:p>
    <w:p w:rsidR="00C601A6" w:rsidRDefault="00C601A6" w:rsidP="00C601A6"/>
    <w:p w:rsidR="00C601A6" w:rsidRDefault="00C601A6" w:rsidP="00C601A6"/>
    <w:p w:rsidR="00C601A6" w:rsidRDefault="00C601A6" w:rsidP="00C601A6">
      <w:pPr>
        <w:pStyle w:val="Heading3"/>
      </w:pPr>
      <w:r>
        <w:lastRenderedPageBreak/>
        <w:t>Sales Reduction Net Better</w:t>
      </w:r>
    </w:p>
    <w:p w:rsidR="00C601A6" w:rsidRDefault="00C601A6" w:rsidP="00C601A6">
      <w:pPr>
        <w:pStyle w:val="Heading4"/>
      </w:pPr>
      <w:r>
        <w:t xml:space="preserve">EUM has proven ineffective too long – need reduction in sales – Saudi Arabia and UAE prove </w:t>
      </w:r>
    </w:p>
    <w:p w:rsidR="00C601A6" w:rsidRDefault="00C601A6" w:rsidP="00C601A6">
      <w:r w:rsidRPr="00B87C77">
        <w:rPr>
          <w:rStyle w:val="Style13ptBold"/>
        </w:rPr>
        <w:t xml:space="preserve">Thrall and </w:t>
      </w:r>
      <w:proofErr w:type="spellStart"/>
      <w:r w:rsidRPr="00B87C77">
        <w:rPr>
          <w:rStyle w:val="Style13ptBold"/>
        </w:rPr>
        <w:t>Dorminey</w:t>
      </w:r>
      <w:proofErr w:type="spellEnd"/>
      <w:r w:rsidRPr="00B87C77">
        <w:rPr>
          <w:rStyle w:val="Style13ptBold"/>
        </w:rPr>
        <w:t xml:space="preserve"> ’19</w:t>
      </w:r>
      <w:r>
        <w:t xml:space="preserve"> [A. Trevor Thrall is an associate professor at George Mason University’s </w:t>
      </w:r>
      <w:proofErr w:type="spellStart"/>
      <w:r>
        <w:t>Schar</w:t>
      </w:r>
      <w:proofErr w:type="spellEnd"/>
      <w:r>
        <w:t xml:space="preserve"> School of Policy and Government and a senior fellow at the Cato Institute’s Defense and Foreign Policy Department AND Caroline </w:t>
      </w:r>
      <w:proofErr w:type="spellStart"/>
      <w:r>
        <w:t>Dorminey</w:t>
      </w:r>
      <w:proofErr w:type="spellEnd"/>
      <w:r>
        <w:t xml:space="preserve"> is a policy analyst at the Cato Institute’s Defense and Foreign Policy Department, “American Weapons in Yemen: A Cautionary Tale,” 2/5/19, CATO, https://www.cato.org/blog/american-weapons-yemen-cautionary-tale] </w:t>
      </w:r>
    </w:p>
    <w:p w:rsidR="00C601A6" w:rsidRDefault="00C601A6" w:rsidP="00C601A6"/>
    <w:p w:rsidR="00C601A6" w:rsidRPr="00B87C77" w:rsidRDefault="00C601A6" w:rsidP="00C601A6">
      <w:pPr>
        <w:rPr>
          <w:rStyle w:val="Emphasis"/>
        </w:rPr>
      </w:pPr>
      <w:r w:rsidRPr="00B87C77">
        <w:rPr>
          <w:rStyle w:val="StyleUnderline"/>
        </w:rPr>
        <w:t>CNN broke an important story</w:t>
      </w:r>
      <w:r w:rsidRPr="00B87C77">
        <w:rPr>
          <w:sz w:val="12"/>
        </w:rPr>
        <w:t xml:space="preserve"> today </w:t>
      </w:r>
      <w:r w:rsidRPr="00B87C77">
        <w:rPr>
          <w:rStyle w:val="StyleUnderline"/>
        </w:rPr>
        <w:t>outlining how Saudi Arabia and the</w:t>
      </w:r>
      <w:r w:rsidRPr="00B87C77">
        <w:rPr>
          <w:sz w:val="12"/>
        </w:rPr>
        <w:t xml:space="preserve"> United Arab Emirates (</w:t>
      </w:r>
      <w:r w:rsidRPr="00B87C77">
        <w:rPr>
          <w:rStyle w:val="StyleUnderline"/>
        </w:rPr>
        <w:t>UAE) have intentionally transferred American-made weapons to violent non-state actors</w:t>
      </w:r>
      <w:r w:rsidRPr="00B87C77">
        <w:rPr>
          <w:sz w:val="12"/>
        </w:rPr>
        <w:t xml:space="preserve">. </w:t>
      </w:r>
      <w:r w:rsidRPr="00B87C77">
        <w:rPr>
          <w:rStyle w:val="StyleUnderline"/>
        </w:rPr>
        <w:t xml:space="preserve">Intended as a government to government sale, everything from American rifles to Oshkosh armored vehicles to TOW anti-tank missiles have made their way into the hands of “Al Qaeda-linked fighters, </w:t>
      </w:r>
      <w:proofErr w:type="spellStart"/>
      <w:r w:rsidRPr="00B87C77">
        <w:rPr>
          <w:rStyle w:val="StyleUnderline"/>
        </w:rPr>
        <w:t>hard-line</w:t>
      </w:r>
      <w:proofErr w:type="spellEnd"/>
      <w:r w:rsidRPr="00B87C77">
        <w:rPr>
          <w:rStyle w:val="StyleUnderline"/>
        </w:rPr>
        <w:t xml:space="preserve"> Salafi militias, and other factions waging war in Yemen.”</w:t>
      </w:r>
      <w:r>
        <w:rPr>
          <w:rStyle w:val="StyleUnderline"/>
        </w:rPr>
        <w:t xml:space="preserve"> </w:t>
      </w:r>
      <w:r w:rsidRPr="00B87C77">
        <w:rPr>
          <w:sz w:val="12"/>
        </w:rPr>
        <w:t xml:space="preserve">Although the extent of the problem in Yemen is disturbing, the illegal dispersion of American weapons is nothing new. And the fact that Saudi Arabia and the UAE are unreliable customers should not come as any surprise. American experience in the Middle East has long demonstrated that </w:t>
      </w:r>
      <w:r w:rsidRPr="00B87C77">
        <w:rPr>
          <w:rStyle w:val="StyleUnderline"/>
        </w:rPr>
        <w:t>sending weapons into conflict zones is a recipe for trouble</w:t>
      </w:r>
      <w:r w:rsidRPr="00B87C77">
        <w:rPr>
          <w:sz w:val="12"/>
        </w:rPr>
        <w:t xml:space="preserve">. </w:t>
      </w:r>
      <w:r w:rsidRPr="00B87C77">
        <w:rPr>
          <w:rStyle w:val="StyleUnderline"/>
        </w:rPr>
        <w:t>After the U.S. invasion of Iraq, for example, the United States provided Iraq with a vast amount of weapons</w:t>
      </w:r>
      <w:r w:rsidRPr="00B87C77">
        <w:rPr>
          <w:sz w:val="12"/>
        </w:rPr>
        <w:t xml:space="preserve"> and equipment in order to rebuild the Iraqi army. </w:t>
      </w:r>
      <w:r w:rsidRPr="00B87C77">
        <w:rPr>
          <w:rStyle w:val="StyleUnderline"/>
        </w:rPr>
        <w:t>Later</w:t>
      </w:r>
      <w:r w:rsidRPr="00B87C77">
        <w:rPr>
          <w:sz w:val="12"/>
        </w:rPr>
        <w:t>, however, the Islamic State (</w:t>
      </w:r>
      <w:r w:rsidRPr="00B87C77">
        <w:rPr>
          <w:rStyle w:val="StyleUnderline"/>
        </w:rPr>
        <w:t>ISIS) wound up with almost an entire division’s worth of American equipment after defeating the Iraqi army</w:t>
      </w:r>
      <w:r w:rsidRPr="00B87C77">
        <w:rPr>
          <w:sz w:val="12"/>
        </w:rPr>
        <w:t xml:space="preserve"> in 2014, helping fuel its emergence. </w:t>
      </w:r>
      <w:r w:rsidRPr="00B87C77">
        <w:rPr>
          <w:rStyle w:val="StyleUnderline"/>
        </w:rPr>
        <w:t>This equipment found its way into Syria,</w:t>
      </w:r>
      <w:r w:rsidRPr="00B87C77">
        <w:rPr>
          <w:sz w:val="12"/>
        </w:rPr>
        <w:t xml:space="preserve"> where ISIS also stole American-supplied rockets just weeks after they were sent to arm Syrian rebels fighting ISIS and Assad. Nor is the problem of dispersion limited to the battlefield. </w:t>
      </w:r>
      <w:r w:rsidRPr="00B87C77">
        <w:rPr>
          <w:rStyle w:val="StyleUnderline"/>
        </w:rPr>
        <w:t>American weapons often wind up crossing national borders to be sold to the highest bidders on the black market</w:t>
      </w:r>
      <w:r w:rsidRPr="00B87C77">
        <w:rPr>
          <w:sz w:val="12"/>
        </w:rPr>
        <w:t>. The CNN report notes that Yemeni black markets are showcasing American weapons, but so are markets in Somalia, South Sudan, Mali, Cote d-</w:t>
      </w:r>
      <w:proofErr w:type="spellStart"/>
      <w:r w:rsidRPr="00B87C77">
        <w:rPr>
          <w:sz w:val="12"/>
        </w:rPr>
        <w:t>Ivoire</w:t>
      </w:r>
      <w:proofErr w:type="spellEnd"/>
      <w:r w:rsidRPr="00B87C77">
        <w:rPr>
          <w:sz w:val="12"/>
        </w:rPr>
        <w:t xml:space="preserve">, and Latin America. Losing weapons to adversaries and criminals makes life difficult enough. What makes the Yemen case particularly troublesome is the fact that </w:t>
      </w:r>
      <w:r w:rsidRPr="00B87C77">
        <w:rPr>
          <w:rStyle w:val="StyleUnderline"/>
        </w:rPr>
        <w:t>Saudi Arabia and the UAE felt free to give up control over American weapons on purpose</w:t>
      </w:r>
      <w:r w:rsidRPr="00B87C77">
        <w:rPr>
          <w:sz w:val="12"/>
        </w:rPr>
        <w:t xml:space="preserve">. The Saudi coalition hoped to gain traction and support from the militias in the complex political landscape of the protracted conflict. </w:t>
      </w:r>
      <w:r w:rsidRPr="00B87C77">
        <w:rPr>
          <w:rStyle w:val="StyleUnderline"/>
        </w:rPr>
        <w:t>The fact that such transfers were technically illegal meant little.</w:t>
      </w:r>
      <w:r>
        <w:rPr>
          <w:rStyle w:val="StyleUnderline"/>
        </w:rPr>
        <w:t xml:space="preserve"> </w:t>
      </w:r>
      <w:r w:rsidRPr="00B87C77">
        <w:rPr>
          <w:sz w:val="12"/>
        </w:rPr>
        <w:t xml:space="preserve">Though arms sales advocates argue that selling weapons to allies will allow the United States to influence their behavior, Yemen illustrates the exact opposite. When arms sales customers have more immediate concerns in their own backyard, their willingness to take direction from Washington, D.C. dwindles. </w:t>
      </w:r>
      <w:r w:rsidRPr="00B87C77">
        <w:rPr>
          <w:rStyle w:val="StyleUnderline"/>
        </w:rPr>
        <w:t>Policy makers should take this report as an opportunity to rethink U.S. arms sales policy</w:t>
      </w:r>
      <w:r w:rsidRPr="00B87C77">
        <w:rPr>
          <w:sz w:val="12"/>
        </w:rPr>
        <w:t xml:space="preserve">. As we have shown in previous research, these challenges are not impossible to predict. Some countries to which the United States transfers weapons, like Saudi Arabia, Egypt, Afghanistan, Sudan, and Iraq, represent greater risks for unintended negative consequences than others. </w:t>
      </w:r>
      <w:r w:rsidRPr="00B87C77">
        <w:rPr>
          <w:rStyle w:val="StyleUnderline"/>
        </w:rPr>
        <w:t>A more prudent arms sales policy would acknowledge that</w:t>
      </w:r>
      <w:r w:rsidRPr="00B87C77">
        <w:rPr>
          <w:sz w:val="12"/>
        </w:rPr>
        <w:t xml:space="preserve"> </w:t>
      </w:r>
      <w:r w:rsidRPr="00B87C77">
        <w:rPr>
          <w:rStyle w:val="StyleUnderline"/>
        </w:rPr>
        <w:t>promises and</w:t>
      </w:r>
      <w:r w:rsidRPr="00B87C77">
        <w:rPr>
          <w:sz w:val="12"/>
        </w:rPr>
        <w:t xml:space="preserve"> </w:t>
      </w:r>
      <w:r w:rsidRPr="00B87C77">
        <w:rPr>
          <w:rStyle w:val="Emphasis"/>
        </w:rPr>
        <w:t xml:space="preserve">end-use monitoring </w:t>
      </w:r>
      <w:r w:rsidRPr="00B87C77">
        <w:rPr>
          <w:rStyle w:val="StyleUnderline"/>
        </w:rPr>
        <w:t>are insufficient to prevent the misuse of American weapons abroad</w:t>
      </w:r>
      <w:r w:rsidRPr="00B87C77">
        <w:rPr>
          <w:sz w:val="12"/>
        </w:rPr>
        <w:t xml:space="preserve">. </w:t>
      </w:r>
      <w:r w:rsidRPr="00B87C77">
        <w:rPr>
          <w:rStyle w:val="StyleUnderline"/>
        </w:rPr>
        <w:t>In some cases,</w:t>
      </w:r>
      <w:r w:rsidRPr="00B87C77">
        <w:rPr>
          <w:sz w:val="12"/>
        </w:rPr>
        <w:t xml:space="preserve"> </w:t>
      </w:r>
      <w:r w:rsidRPr="00B87C77">
        <w:rPr>
          <w:rStyle w:val="Emphasis"/>
        </w:rPr>
        <w:t>not selling weapons may be the only way to prevent downstream problems.</w:t>
      </w:r>
    </w:p>
    <w:p w:rsidR="00C601A6" w:rsidRDefault="00C601A6" w:rsidP="00C601A6"/>
    <w:p w:rsidR="00C601A6" w:rsidRDefault="00C601A6" w:rsidP="00C601A6">
      <w:pPr>
        <w:pStyle w:val="Heading3"/>
      </w:pPr>
      <w:r>
        <w:lastRenderedPageBreak/>
        <w:t xml:space="preserve">EUM fails – General </w:t>
      </w:r>
    </w:p>
    <w:p w:rsidR="00C601A6" w:rsidRDefault="00C601A6" w:rsidP="00C601A6">
      <w:pPr>
        <w:pStyle w:val="Heading4"/>
      </w:pPr>
      <w:r>
        <w:t>All EUM programs ineffective – recent transfers prove</w:t>
      </w:r>
    </w:p>
    <w:p w:rsidR="00C601A6" w:rsidRPr="004972E0" w:rsidRDefault="00C601A6" w:rsidP="00C601A6">
      <w:proofErr w:type="spellStart"/>
      <w:r w:rsidRPr="00B87C77">
        <w:rPr>
          <w:rStyle w:val="Style13ptBold"/>
        </w:rPr>
        <w:t>Vittori</w:t>
      </w:r>
      <w:proofErr w:type="spellEnd"/>
      <w:r w:rsidRPr="00B87C77">
        <w:rPr>
          <w:rStyle w:val="Style13ptBold"/>
        </w:rPr>
        <w:t xml:space="preserve"> ’19</w:t>
      </w:r>
      <w:r>
        <w:t xml:space="preserve"> [Jodi </w:t>
      </w:r>
      <w:proofErr w:type="spellStart"/>
      <w:r>
        <w:t>Vittori</w:t>
      </w:r>
      <w:proofErr w:type="spellEnd"/>
      <w:r>
        <w:t xml:space="preserve"> is </w:t>
      </w:r>
      <w:proofErr w:type="spellStart"/>
      <w:r>
        <w:t>anonresident</w:t>
      </w:r>
      <w:proofErr w:type="spellEnd"/>
      <w:r>
        <w:t xml:space="preserve"> scholar in the Democracy, Conflict, and Governance Program and is the U.S. research and policy manager for Transparency International’s Defense and Security Program and an adjunct professor at Georgetown University, “American Weapons in the Wrong Hands,”2/19/19, Carnegie Endowment for International Peace, </w:t>
      </w:r>
      <w:hyperlink r:id="rId30" w:history="1">
        <w:r w:rsidRPr="000017AB">
          <w:rPr>
            <w:rStyle w:val="Hyperlink"/>
          </w:rPr>
          <w:t>https://carnegieendowment.org/2019/02/19/american-weapons-in-wrong-hands-pub-78408</w:t>
        </w:r>
      </w:hyperlink>
      <w:r>
        <w:t xml:space="preserve">, </w:t>
      </w:r>
      <w:proofErr w:type="spellStart"/>
      <w:r>
        <w:t>cs</w:t>
      </w:r>
      <w:proofErr w:type="spellEnd"/>
      <w:r>
        <w:t>]</w:t>
      </w:r>
    </w:p>
    <w:p w:rsidR="00C601A6" w:rsidRDefault="00C601A6" w:rsidP="00C601A6"/>
    <w:p w:rsidR="00C601A6" w:rsidRPr="00021B23" w:rsidRDefault="00C601A6" w:rsidP="00C601A6">
      <w:pPr>
        <w:rPr>
          <w:sz w:val="12"/>
        </w:rPr>
      </w:pPr>
      <w:r w:rsidRPr="00021B23">
        <w:rPr>
          <w:rStyle w:val="StyleUnderline"/>
        </w:rPr>
        <w:t xml:space="preserve">Earlier this month, a CNN investigation provided further evidence that U.S. military equipment has been transferred from Saudi Arabia and the </w:t>
      </w:r>
      <w:r w:rsidRPr="00021B23">
        <w:rPr>
          <w:sz w:val="12"/>
        </w:rPr>
        <w:t xml:space="preserve">United Arab Emirates </w:t>
      </w:r>
      <w:r w:rsidRPr="00021B23">
        <w:rPr>
          <w:rStyle w:val="StyleUnderline"/>
        </w:rPr>
        <w:t>(UAE) to a variety of militias, including some linked to al-Qaeda</w:t>
      </w:r>
      <w:r w:rsidRPr="00021B23">
        <w:rPr>
          <w:sz w:val="12"/>
        </w:rPr>
        <w:t xml:space="preserve">. Given the additional scrutiny of U.S.-Saudi relations since the murder of journalist Jamal </w:t>
      </w:r>
      <w:proofErr w:type="spellStart"/>
      <w:r w:rsidRPr="00021B23">
        <w:rPr>
          <w:sz w:val="12"/>
        </w:rPr>
        <w:t>Khashoggi</w:t>
      </w:r>
      <w:proofErr w:type="spellEnd"/>
      <w:r w:rsidRPr="00021B23">
        <w:rPr>
          <w:sz w:val="12"/>
        </w:rPr>
        <w:t xml:space="preserve">, recent U.S. Senate and House resolutions on arms sales to Saudi Arabia, and ongoing Saudi and Emirati tensions with neighbor Qatar, </w:t>
      </w:r>
      <w:r w:rsidRPr="00021B23">
        <w:rPr>
          <w:rStyle w:val="StyleUnderline"/>
        </w:rPr>
        <w:t>now is the time for a full-scale review of U.S. arms sales to the Gulf region.</w:t>
      </w:r>
      <w:r>
        <w:rPr>
          <w:rStyle w:val="StyleUnderline"/>
        </w:rPr>
        <w:t xml:space="preserve"> </w:t>
      </w:r>
      <w:r w:rsidRPr="00021B23">
        <w:rPr>
          <w:rStyle w:val="StyleUnderline"/>
        </w:rPr>
        <w:t>There are clear rules against arms transfers to third parties</w:t>
      </w:r>
      <w:r w:rsidRPr="00021B23">
        <w:rPr>
          <w:sz w:val="12"/>
        </w:rPr>
        <w:t xml:space="preserve">. </w:t>
      </w:r>
      <w:r w:rsidRPr="00021B23">
        <w:rPr>
          <w:rStyle w:val="StyleUnderline"/>
        </w:rPr>
        <w:t>There are also end-use monitoring requirements for U.S. arms exports</w:t>
      </w:r>
      <w:r w:rsidRPr="00021B23">
        <w:rPr>
          <w:sz w:val="12"/>
        </w:rPr>
        <w:t xml:space="preserve">, </w:t>
      </w:r>
      <w:r w:rsidRPr="00021B23">
        <w:rPr>
          <w:rStyle w:val="Emphasis"/>
        </w:rPr>
        <w:t>but these checks are hardly universal</w:t>
      </w:r>
      <w:r w:rsidRPr="00021B23">
        <w:rPr>
          <w:sz w:val="12"/>
        </w:rPr>
        <w:t xml:space="preserve">. </w:t>
      </w:r>
      <w:r w:rsidRPr="00021B23">
        <w:rPr>
          <w:rStyle w:val="StyleUnderline"/>
        </w:rPr>
        <w:t>Given that at least some of the equipment found in militia hands can be tied to U.S. arms sales</w:t>
      </w:r>
      <w:r w:rsidRPr="00021B23">
        <w:rPr>
          <w:sz w:val="12"/>
        </w:rPr>
        <w:t xml:space="preserve">, </w:t>
      </w:r>
      <w:r w:rsidRPr="00021B23">
        <w:rPr>
          <w:rStyle w:val="Emphasis"/>
        </w:rPr>
        <w:t xml:space="preserve">the Department of Defense, State Department, and Commerce Department are clearly not adequately monitoring sales. </w:t>
      </w:r>
      <w:r w:rsidRPr="00021B23">
        <w:rPr>
          <w:sz w:val="12"/>
        </w:rPr>
        <w:t xml:space="preserve">(Which U.S. agency is responsible for end-use checks depends on the type of sale conducted.) The United States is the largest arms supplier to Saudi Arabia and the UAE, two lucrative customers of the U.S. defense industry. Saudi Arabia was the largest importer of U.S. arms, having purchased $112 billion in weapons from 2013 through 2017. The UAE was the second-largest importer of U.S. arms in the same time span. Since 2009, over $27 billion in weapons have been offered to the UAE in thirty-two separate deals under the Pentagon’s Foreign Military Sales program. These </w:t>
      </w:r>
      <w:r w:rsidRPr="00021B23">
        <w:rPr>
          <w:rStyle w:val="StyleUnderline"/>
        </w:rPr>
        <w:t xml:space="preserve">arms sales continue, despite both countries’ history of diverting arms to favored militias. </w:t>
      </w:r>
      <w:r w:rsidRPr="00021B23">
        <w:rPr>
          <w:sz w:val="12"/>
        </w:rPr>
        <w:t>Saudi Arabia has been purchasing weapons from third parties to pass on to allied governments and groups at least since the 1970s, sometimes on behalf of the U.S. government. Transparency International’s Government Defense Anti-Corruption Index ranks Saudi Arabia and the UAE in its high-risk category for corruption, with Saudi Arabia receiving a score of zero out of four (zero being the worst) and the UAE receiving a score of one for lacking a well-scrutinized process for arms export decisions that aligns with international protocols.</w:t>
      </w:r>
    </w:p>
    <w:p w:rsidR="00C601A6" w:rsidRPr="00021B23" w:rsidRDefault="00C601A6" w:rsidP="00C601A6"/>
    <w:p w:rsidR="00C601A6" w:rsidRDefault="00C601A6" w:rsidP="00C601A6">
      <w:pPr>
        <w:pStyle w:val="Heading3"/>
      </w:pPr>
      <w:r>
        <w:lastRenderedPageBreak/>
        <w:t>EUM fails – Mid East</w:t>
      </w:r>
    </w:p>
    <w:p w:rsidR="00C601A6" w:rsidRPr="00021B23" w:rsidRDefault="00C601A6" w:rsidP="00C601A6">
      <w:pPr>
        <w:pStyle w:val="Heading4"/>
      </w:pPr>
      <w:r>
        <w:t>All EUM</w:t>
      </w:r>
      <w:r w:rsidRPr="00021B23">
        <w:t xml:space="preserve"> fails</w:t>
      </w:r>
      <w:r>
        <w:t xml:space="preserve"> in Middle East</w:t>
      </w:r>
      <w:r w:rsidRPr="00021B23">
        <w:t xml:space="preserve"> – too disjointed</w:t>
      </w:r>
      <w:r>
        <w:t xml:space="preserve"> and not at vital steps of process</w:t>
      </w:r>
    </w:p>
    <w:p w:rsidR="00C601A6" w:rsidRDefault="00C601A6" w:rsidP="00C601A6">
      <w:r w:rsidRPr="00484E68">
        <w:rPr>
          <w:rStyle w:val="Style13ptBold"/>
        </w:rPr>
        <w:t>GAO ’11</w:t>
      </w:r>
      <w:r>
        <w:t xml:space="preserve"> [Government Accountability Office, November 2011, “Implementation Gaps Limit the Effectiveness of</w:t>
      </w:r>
    </w:p>
    <w:p w:rsidR="00C601A6" w:rsidRPr="002136B6" w:rsidRDefault="00C601A6" w:rsidP="00C601A6">
      <w:r>
        <w:t xml:space="preserve">End-Use Monitoring and Human Rights Vetting for U.S. Military Equipment,” PERSIAN GULF, </w:t>
      </w:r>
      <w:hyperlink r:id="rId31" w:history="1">
        <w:r w:rsidR="00544BE4" w:rsidRPr="000017AB">
          <w:rPr>
            <w:rStyle w:val="Hyperlink"/>
          </w:rPr>
          <w:t>https://www.gao.gov/assets/590/586356.pdf</w:t>
        </w:r>
      </w:hyperlink>
      <w:r w:rsidR="00544BE4">
        <w:t xml:space="preserve">, </w:t>
      </w:r>
      <w:proofErr w:type="spellStart"/>
      <w:r w:rsidR="00544BE4">
        <w:t>cs</w:t>
      </w:r>
      <w:proofErr w:type="spellEnd"/>
      <w:r>
        <w:t>]</w:t>
      </w:r>
    </w:p>
    <w:p w:rsidR="00C601A6" w:rsidRDefault="00C601A6" w:rsidP="00C601A6"/>
    <w:p w:rsidR="00C601A6" w:rsidRDefault="00C601A6" w:rsidP="00C601A6"/>
    <w:p w:rsidR="00C601A6" w:rsidRPr="00484E68" w:rsidRDefault="00C601A6" w:rsidP="00C601A6">
      <w:pPr>
        <w:rPr>
          <w:sz w:val="12"/>
        </w:rPr>
      </w:pPr>
      <w:r w:rsidRPr="00484E68">
        <w:rPr>
          <w:sz w:val="12"/>
        </w:rPr>
        <w:t xml:space="preserve">What GAO Found </w:t>
      </w:r>
      <w:r w:rsidRPr="00484E68">
        <w:rPr>
          <w:rStyle w:val="StyleUnderline"/>
        </w:rPr>
        <w:t xml:space="preserve">Gaps in implementation limit the effectiveness of U.S. efforts to safeguard military equipment sold or exported to the Persian </w:t>
      </w:r>
      <w:proofErr w:type="gramStart"/>
      <w:r w:rsidRPr="00484E68">
        <w:rPr>
          <w:rStyle w:val="StyleUnderline"/>
        </w:rPr>
        <w:t>Gulf</w:t>
      </w:r>
      <w:r w:rsidRPr="00484E68">
        <w:rPr>
          <w:sz w:val="12"/>
        </w:rPr>
        <w:t>.</w:t>
      </w:r>
      <w:proofErr w:type="gramEnd"/>
      <w:r w:rsidRPr="00484E68">
        <w:rPr>
          <w:sz w:val="12"/>
        </w:rPr>
        <w:t xml:space="preserve"> </w:t>
      </w:r>
      <w:r w:rsidRPr="00484E68">
        <w:rPr>
          <w:rStyle w:val="StyleUnderline"/>
        </w:rPr>
        <w:t>Under</w:t>
      </w:r>
      <w:r w:rsidRPr="00484E68">
        <w:rPr>
          <w:sz w:val="12"/>
        </w:rPr>
        <w:t xml:space="preserve"> the </w:t>
      </w:r>
      <w:r w:rsidRPr="00484E68">
        <w:rPr>
          <w:rStyle w:val="StyleUnderline"/>
        </w:rPr>
        <w:t>Golden Sentry</w:t>
      </w:r>
      <w:r w:rsidRPr="00484E68">
        <w:rPr>
          <w:sz w:val="12"/>
        </w:rPr>
        <w:t xml:space="preserve"> program, </w:t>
      </w:r>
      <w:r w:rsidRPr="00484E68">
        <w:rPr>
          <w:rStyle w:val="StyleUnderline"/>
        </w:rPr>
        <w:t>DOD did not document its efforts to verify host country security and accountability procedures for sensitive military equipment</w:t>
      </w:r>
      <w:r w:rsidRPr="00484E68">
        <w:rPr>
          <w:sz w:val="12"/>
        </w:rPr>
        <w:t xml:space="preserve">, </w:t>
      </w:r>
      <w:r w:rsidRPr="00484E68">
        <w:rPr>
          <w:rStyle w:val="StyleUnderline"/>
        </w:rPr>
        <w:t>and DOD personnel in five of six Gulf countries did not document their activities</w:t>
      </w:r>
      <w:r w:rsidRPr="00484E68">
        <w:rPr>
          <w:sz w:val="12"/>
        </w:rPr>
        <w:t xml:space="preserve"> to monitor less sensitive items. </w:t>
      </w:r>
      <w:r w:rsidRPr="00484E68">
        <w:rPr>
          <w:rStyle w:val="StyleUnderline"/>
        </w:rPr>
        <w:t xml:space="preserve">Under its Blue Lantern program, State officials conducted </w:t>
      </w:r>
      <w:proofErr w:type="spellStart"/>
      <w:r w:rsidRPr="00484E68">
        <w:rPr>
          <w:rStyle w:val="StyleUnderline"/>
        </w:rPr>
        <w:t>postshipment</w:t>
      </w:r>
      <w:proofErr w:type="spellEnd"/>
      <w:r w:rsidRPr="00484E68">
        <w:rPr>
          <w:rStyle w:val="StyleUnderline"/>
        </w:rPr>
        <w:t xml:space="preserve"> checks without visiting end-users of U.S. military equipment in 10 of 13 cases GAO reviewed</w:t>
      </w:r>
      <w:r w:rsidRPr="00484E68">
        <w:rPr>
          <w:sz w:val="12"/>
        </w:rPr>
        <w:t xml:space="preserve">, and </w:t>
      </w:r>
      <w:r w:rsidRPr="00484E68">
        <w:rPr>
          <w:rStyle w:val="StyleUnderline"/>
        </w:rPr>
        <w:t>delays in requesting and conducting checks have prevented State from verifying receipt</w:t>
      </w:r>
      <w:r w:rsidRPr="00484E68">
        <w:rPr>
          <w:sz w:val="12"/>
        </w:rPr>
        <w:t xml:space="preserve"> of some items. In addition, </w:t>
      </w:r>
      <w:r w:rsidRPr="00484E68">
        <w:rPr>
          <w:rStyle w:val="StyleUnderline"/>
        </w:rPr>
        <w:t>State closed post-shipment checks without receiving confirmation of receipt in 2 of 13 cases GAO reviewed</w:t>
      </w:r>
      <w:r w:rsidRPr="00484E68">
        <w:rPr>
          <w:sz w:val="12"/>
        </w:rPr>
        <w:t xml:space="preserve">. </w:t>
      </w:r>
      <w:r w:rsidRPr="00484E68">
        <w:rPr>
          <w:rStyle w:val="StyleUnderline"/>
        </w:rPr>
        <w:t>DOD and State both treat night vision devices</w:t>
      </w:r>
      <w:r w:rsidRPr="00484E68">
        <w:rPr>
          <w:sz w:val="12"/>
        </w:rPr>
        <w:t xml:space="preserve"> (NVD) </w:t>
      </w:r>
      <w:r w:rsidRPr="00484E68">
        <w:rPr>
          <w:rStyle w:val="StyleUnderline"/>
        </w:rPr>
        <w:t>as</w:t>
      </w:r>
      <w:r w:rsidRPr="00484E68">
        <w:rPr>
          <w:sz w:val="12"/>
        </w:rPr>
        <w:t xml:space="preserve"> a </w:t>
      </w:r>
      <w:r w:rsidRPr="00484E68">
        <w:rPr>
          <w:rStyle w:val="StyleUnderline"/>
        </w:rPr>
        <w:t>sensitive</w:t>
      </w:r>
      <w:r w:rsidRPr="00484E68">
        <w:rPr>
          <w:sz w:val="12"/>
        </w:rPr>
        <w:t xml:space="preserve"> technology, </w:t>
      </w:r>
      <w:r w:rsidRPr="00484E68">
        <w:rPr>
          <w:rStyle w:val="StyleUnderline"/>
        </w:rPr>
        <w:t>but their end-use monitoring for these items varies markedly, leaving them prone to diversion</w:t>
      </w:r>
      <w:r w:rsidRPr="00484E68">
        <w:rPr>
          <w:sz w:val="12"/>
        </w:rPr>
        <w:t xml:space="preserve">. Man-portable NVDs sold through Foreign Military Sales (FMS) must be tracked by serial number, inventoried following delivery, and inventoried periodically thereafter. In contrast, State does not track NVDs by serial number or conduct regular inventories for NVDs exported through direct commercial sales (DCS). As a result, less advanced NVDs purchased through FMS have received more rigorous monitoring than more advanced NVDs purchased through DCS. In Saudi Arabia, DOD officials inventoried thousands of second-generation NVDs that were purchased through FMS in the early 1990s. Meanwhile, State approved licenses for the sale of thousands of advanced, third-generation NVDs to Saudi Arabia since 2005, which are subject to less rigorous end-use monitoring. </w:t>
      </w:r>
      <w:r w:rsidRPr="00484E68">
        <w:rPr>
          <w:rStyle w:val="StyleUnderline"/>
        </w:rPr>
        <w:t>State has conducted human rights vetting for hundreds of individuals and units that were nominated for U.S.-funded training in the Gulf countries, but has not conducted comparable vetting for anticipated recipients of about $188 million in U.S.-funded equipment for Bahrain and Oman.</w:t>
      </w:r>
      <w:r w:rsidRPr="00484E68">
        <w:rPr>
          <w:sz w:val="12"/>
        </w:rPr>
        <w:t xml:space="preserve"> Such vetting is especially critical given Bahrain’s use of its security forces to quell public demonstrations since </w:t>
      </w:r>
      <w:proofErr w:type="gramStart"/>
      <w:r w:rsidRPr="00484E68">
        <w:rPr>
          <w:sz w:val="12"/>
        </w:rPr>
        <w:t>Spring</w:t>
      </w:r>
      <w:proofErr w:type="gramEnd"/>
      <w:r w:rsidRPr="00484E68">
        <w:rPr>
          <w:sz w:val="12"/>
        </w:rPr>
        <w:t xml:space="preserve"> 2011. In November 2010, </w:t>
      </w:r>
      <w:r w:rsidRPr="00484E68">
        <w:rPr>
          <w:rStyle w:val="StyleUnderline"/>
        </w:rPr>
        <w:t>State established a new system for human rights vetting in the Gulf co</w:t>
      </w:r>
      <w:r w:rsidRPr="00484E68">
        <w:rPr>
          <w:sz w:val="12"/>
        </w:rPr>
        <w:t xml:space="preserve">untries and has since vetted almost 800 individuals and units nominated for U.S.-funded training. </w:t>
      </w:r>
      <w:r w:rsidRPr="00484E68">
        <w:rPr>
          <w:rStyle w:val="StyleUnderline"/>
        </w:rPr>
        <w:t>However, recipients of equipment are not screened through this system</w:t>
      </w:r>
      <w:r w:rsidRPr="00484E68">
        <w:rPr>
          <w:sz w:val="12"/>
        </w:rPr>
        <w:t xml:space="preserve">. According to State, it does not vet recipients of equipment at the individual or unit level because the recipients are not generally known at the time that the assistance is approved, </w:t>
      </w:r>
      <w:r w:rsidRPr="00484E68">
        <w:rPr>
          <w:rStyle w:val="Style13ptBold"/>
        </w:rPr>
        <w:t>and State does not have procedures in place to conduct vetting later in the acquisition process</w:t>
      </w:r>
      <w:r w:rsidRPr="00484E68">
        <w:rPr>
          <w:sz w:val="12"/>
        </w:rPr>
        <w:t xml:space="preserve">. </w:t>
      </w:r>
    </w:p>
    <w:p w:rsidR="00290A42" w:rsidRDefault="00290A42" w:rsidP="00C601A6"/>
    <w:sectPr w:rsidR="00290A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proofState w:spelling="clean"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01A6"/>
    <w:rsid w:val="00290A42"/>
    <w:rsid w:val="00544BE4"/>
    <w:rsid w:val="00B80F19"/>
    <w:rsid w:val="00C601A6"/>
    <w:rsid w:val="00DE0CF0"/>
    <w:rsid w:val="00F706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F706A8"/>
    <w:pPr>
      <w:spacing w:after="0" w:line="240" w:lineRule="auto"/>
    </w:pPr>
    <w:rPr>
      <w:rFonts w:ascii="Calibri" w:hAnsi="Calibri" w:cs="Times New Roman"/>
      <w:sz w:val="16"/>
    </w:rPr>
  </w:style>
  <w:style w:type="paragraph" w:styleId="Heading1">
    <w:name w:val="heading 1"/>
    <w:aliases w:val="Pocket"/>
    <w:basedOn w:val="Normal"/>
    <w:next w:val="Normal"/>
    <w:link w:val="Heading1Char"/>
    <w:uiPriority w:val="1"/>
    <w:qFormat/>
    <w:rsid w:val="00F706A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706A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706A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F706A8"/>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F706A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706A8"/>
  </w:style>
  <w:style w:type="character" w:customStyle="1" w:styleId="Heading1Char">
    <w:name w:val="Heading 1 Char"/>
    <w:aliases w:val="Pocket Char"/>
    <w:basedOn w:val="DefaultParagraphFont"/>
    <w:link w:val="Heading1"/>
    <w:uiPriority w:val="1"/>
    <w:rsid w:val="00F706A8"/>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F706A8"/>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F706A8"/>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F706A8"/>
    <w:rPr>
      <w:rFonts w:ascii="Calibri" w:eastAsiaTheme="majorEastAsia" w:hAnsi="Calibri" w:cstheme="majorBidi"/>
      <w:b/>
      <w:bCs/>
      <w:iCs/>
      <w:sz w:val="24"/>
    </w:rPr>
  </w:style>
  <w:style w:type="character" w:styleId="Emphasis">
    <w:name w:val="Emphasis"/>
    <w:basedOn w:val="DefaultParagraphFont"/>
    <w:uiPriority w:val="7"/>
    <w:qFormat/>
    <w:rsid w:val="00F706A8"/>
    <w:rPr>
      <w:rFonts w:ascii="Calibri" w:hAnsi="Calibri" w:cs="Times New Roman"/>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StyleBold"/>
    <w:uiPriority w:val="5"/>
    <w:qFormat/>
    <w:rsid w:val="00F706A8"/>
    <w:rPr>
      <w:b/>
      <w:bCs/>
      <w:sz w:val="24"/>
      <w:u w:val="single"/>
    </w:rPr>
  </w:style>
  <w:style w:type="character" w:customStyle="1" w:styleId="StyleUnderline">
    <w:name w:val="Style Underline"/>
    <w:aliases w:val="Underline,Style Bold Underline"/>
    <w:basedOn w:val="DefaultParagraphFont"/>
    <w:uiPriority w:val="6"/>
    <w:qFormat/>
    <w:rsid w:val="00F706A8"/>
    <w:rPr>
      <w:b/>
      <w:bCs/>
      <w:sz w:val="20"/>
      <w:u w:val="single"/>
    </w:rPr>
  </w:style>
  <w:style w:type="character" w:styleId="Hyperlink">
    <w:name w:val="Hyperlink"/>
    <w:aliases w:val="heading 1 (block title),Important,Read,Card Text,Internet Link,Analytic Text,Internet link"/>
    <w:basedOn w:val="DefaultParagraphFont"/>
    <w:uiPriority w:val="99"/>
    <w:rsid w:val="00F706A8"/>
    <w:rPr>
      <w:color w:val="auto"/>
      <w:u w:val="none"/>
    </w:rPr>
  </w:style>
  <w:style w:type="character" w:styleId="FollowedHyperlink">
    <w:name w:val="FollowedHyperlink"/>
    <w:basedOn w:val="DefaultParagraphFont"/>
    <w:uiPriority w:val="99"/>
    <w:semiHidden/>
    <w:rsid w:val="00F706A8"/>
    <w:rPr>
      <w:color w:val="auto"/>
      <w:u w:val="none"/>
    </w:rPr>
  </w:style>
  <w:style w:type="character" w:customStyle="1" w:styleId="StyleBold">
    <w:name w:val="Style Bold"/>
    <w:basedOn w:val="DefaultParagraphFont"/>
    <w:uiPriority w:val="9"/>
    <w:semiHidden/>
    <w:rsid w:val="00F706A8"/>
    <w:rPr>
      <w:b/>
      <w:bCs/>
    </w:rPr>
  </w:style>
  <w:style w:type="paragraph" w:styleId="Header">
    <w:name w:val="header"/>
    <w:basedOn w:val="Normal"/>
    <w:link w:val="HeaderChar"/>
    <w:uiPriority w:val="99"/>
    <w:semiHidden/>
    <w:rsid w:val="00F706A8"/>
    <w:pPr>
      <w:tabs>
        <w:tab w:val="center" w:pos="4680"/>
        <w:tab w:val="right" w:pos="9360"/>
      </w:tabs>
    </w:pPr>
  </w:style>
  <w:style w:type="character" w:customStyle="1" w:styleId="HeaderChar">
    <w:name w:val="Header Char"/>
    <w:basedOn w:val="DefaultParagraphFont"/>
    <w:link w:val="Header"/>
    <w:uiPriority w:val="99"/>
    <w:semiHidden/>
    <w:rsid w:val="00F706A8"/>
    <w:rPr>
      <w:rFonts w:ascii="Calibri" w:hAnsi="Calibri" w:cs="Times New Roman"/>
      <w:sz w:val="16"/>
    </w:rPr>
  </w:style>
  <w:style w:type="paragraph" w:styleId="Footer">
    <w:name w:val="footer"/>
    <w:basedOn w:val="Normal"/>
    <w:link w:val="FooterChar"/>
    <w:uiPriority w:val="99"/>
    <w:semiHidden/>
    <w:rsid w:val="00F706A8"/>
    <w:pPr>
      <w:tabs>
        <w:tab w:val="center" w:pos="4680"/>
        <w:tab w:val="right" w:pos="9360"/>
      </w:tabs>
    </w:pPr>
  </w:style>
  <w:style w:type="character" w:customStyle="1" w:styleId="FooterChar">
    <w:name w:val="Footer Char"/>
    <w:basedOn w:val="DefaultParagraphFont"/>
    <w:link w:val="Footer"/>
    <w:uiPriority w:val="99"/>
    <w:semiHidden/>
    <w:rsid w:val="00F706A8"/>
    <w:rPr>
      <w:rFonts w:ascii="Calibri" w:hAnsi="Calibri" w:cs="Times New Roman"/>
      <w:sz w:val="16"/>
    </w:rPr>
  </w:style>
  <w:style w:type="paragraph" w:styleId="ListParagraph">
    <w:name w:val="List Paragraph"/>
    <w:basedOn w:val="Normal"/>
    <w:uiPriority w:val="34"/>
    <w:qFormat/>
    <w:rsid w:val="00C601A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F706A8"/>
    <w:pPr>
      <w:spacing w:after="0" w:line="240" w:lineRule="auto"/>
    </w:pPr>
    <w:rPr>
      <w:rFonts w:ascii="Calibri" w:hAnsi="Calibri" w:cs="Times New Roman"/>
      <w:sz w:val="16"/>
    </w:rPr>
  </w:style>
  <w:style w:type="paragraph" w:styleId="Heading1">
    <w:name w:val="heading 1"/>
    <w:aliases w:val="Pocket"/>
    <w:basedOn w:val="Normal"/>
    <w:next w:val="Normal"/>
    <w:link w:val="Heading1Char"/>
    <w:uiPriority w:val="1"/>
    <w:qFormat/>
    <w:rsid w:val="00F706A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706A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706A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F706A8"/>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F706A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706A8"/>
  </w:style>
  <w:style w:type="character" w:customStyle="1" w:styleId="Heading1Char">
    <w:name w:val="Heading 1 Char"/>
    <w:aliases w:val="Pocket Char"/>
    <w:basedOn w:val="DefaultParagraphFont"/>
    <w:link w:val="Heading1"/>
    <w:uiPriority w:val="1"/>
    <w:rsid w:val="00F706A8"/>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F706A8"/>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F706A8"/>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F706A8"/>
    <w:rPr>
      <w:rFonts w:ascii="Calibri" w:eastAsiaTheme="majorEastAsia" w:hAnsi="Calibri" w:cstheme="majorBidi"/>
      <w:b/>
      <w:bCs/>
      <w:iCs/>
      <w:sz w:val="24"/>
    </w:rPr>
  </w:style>
  <w:style w:type="character" w:styleId="Emphasis">
    <w:name w:val="Emphasis"/>
    <w:basedOn w:val="DefaultParagraphFont"/>
    <w:uiPriority w:val="7"/>
    <w:qFormat/>
    <w:rsid w:val="00F706A8"/>
    <w:rPr>
      <w:rFonts w:ascii="Calibri" w:hAnsi="Calibri" w:cs="Times New Roman"/>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StyleBold"/>
    <w:uiPriority w:val="5"/>
    <w:qFormat/>
    <w:rsid w:val="00F706A8"/>
    <w:rPr>
      <w:b/>
      <w:bCs/>
      <w:sz w:val="24"/>
      <w:u w:val="single"/>
    </w:rPr>
  </w:style>
  <w:style w:type="character" w:customStyle="1" w:styleId="StyleUnderline">
    <w:name w:val="Style Underline"/>
    <w:aliases w:val="Underline,Style Bold Underline"/>
    <w:basedOn w:val="DefaultParagraphFont"/>
    <w:uiPriority w:val="6"/>
    <w:qFormat/>
    <w:rsid w:val="00F706A8"/>
    <w:rPr>
      <w:b/>
      <w:bCs/>
      <w:sz w:val="20"/>
      <w:u w:val="single"/>
    </w:rPr>
  </w:style>
  <w:style w:type="character" w:styleId="Hyperlink">
    <w:name w:val="Hyperlink"/>
    <w:aliases w:val="heading 1 (block title),Important,Read,Card Text,Internet Link,Analytic Text,Internet link"/>
    <w:basedOn w:val="DefaultParagraphFont"/>
    <w:uiPriority w:val="99"/>
    <w:rsid w:val="00F706A8"/>
    <w:rPr>
      <w:color w:val="auto"/>
      <w:u w:val="none"/>
    </w:rPr>
  </w:style>
  <w:style w:type="character" w:styleId="FollowedHyperlink">
    <w:name w:val="FollowedHyperlink"/>
    <w:basedOn w:val="DefaultParagraphFont"/>
    <w:uiPriority w:val="99"/>
    <w:semiHidden/>
    <w:rsid w:val="00F706A8"/>
    <w:rPr>
      <w:color w:val="auto"/>
      <w:u w:val="none"/>
    </w:rPr>
  </w:style>
  <w:style w:type="character" w:customStyle="1" w:styleId="StyleBold">
    <w:name w:val="Style Bold"/>
    <w:basedOn w:val="DefaultParagraphFont"/>
    <w:uiPriority w:val="9"/>
    <w:semiHidden/>
    <w:rsid w:val="00F706A8"/>
    <w:rPr>
      <w:b/>
      <w:bCs/>
    </w:rPr>
  </w:style>
  <w:style w:type="paragraph" w:styleId="Header">
    <w:name w:val="header"/>
    <w:basedOn w:val="Normal"/>
    <w:link w:val="HeaderChar"/>
    <w:uiPriority w:val="99"/>
    <w:semiHidden/>
    <w:rsid w:val="00F706A8"/>
    <w:pPr>
      <w:tabs>
        <w:tab w:val="center" w:pos="4680"/>
        <w:tab w:val="right" w:pos="9360"/>
      </w:tabs>
    </w:pPr>
  </w:style>
  <w:style w:type="character" w:customStyle="1" w:styleId="HeaderChar">
    <w:name w:val="Header Char"/>
    <w:basedOn w:val="DefaultParagraphFont"/>
    <w:link w:val="Header"/>
    <w:uiPriority w:val="99"/>
    <w:semiHidden/>
    <w:rsid w:val="00F706A8"/>
    <w:rPr>
      <w:rFonts w:ascii="Calibri" w:hAnsi="Calibri" w:cs="Times New Roman"/>
      <w:sz w:val="16"/>
    </w:rPr>
  </w:style>
  <w:style w:type="paragraph" w:styleId="Footer">
    <w:name w:val="footer"/>
    <w:basedOn w:val="Normal"/>
    <w:link w:val="FooterChar"/>
    <w:uiPriority w:val="99"/>
    <w:semiHidden/>
    <w:rsid w:val="00F706A8"/>
    <w:pPr>
      <w:tabs>
        <w:tab w:val="center" w:pos="4680"/>
        <w:tab w:val="right" w:pos="9360"/>
      </w:tabs>
    </w:pPr>
  </w:style>
  <w:style w:type="character" w:customStyle="1" w:styleId="FooterChar">
    <w:name w:val="Footer Char"/>
    <w:basedOn w:val="DefaultParagraphFont"/>
    <w:link w:val="Footer"/>
    <w:uiPriority w:val="99"/>
    <w:semiHidden/>
    <w:rsid w:val="00F706A8"/>
    <w:rPr>
      <w:rFonts w:ascii="Calibri" w:hAnsi="Calibri" w:cs="Times New Roman"/>
      <w:sz w:val="16"/>
    </w:rPr>
  </w:style>
  <w:style w:type="paragraph" w:styleId="ListParagraph">
    <w:name w:val="List Paragraph"/>
    <w:basedOn w:val="Normal"/>
    <w:uiPriority w:val="34"/>
    <w:qFormat/>
    <w:rsid w:val="00C601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iscs.dsca.mil/documents/greenbook/18_Chapter.pdf?id=1" TargetMode="External"/><Relationship Id="rId13" Type="http://schemas.openxmlformats.org/officeDocument/2006/relationships/hyperlink" Target="https://csis-prod.s3.amazonaws.com/s3fs-public/publication/180207_Dalton_OversightAccountability_Web.pdf?9CJj6j5KVqQgWAlLSLJkOpdCga.Yz28l" TargetMode="External"/><Relationship Id="rId18" Type="http://schemas.openxmlformats.org/officeDocument/2006/relationships/hyperlink" Target="https://www.army.mil/article/192447/end_use_monitoring_is_the_key_to_success_in_foreign_military_sales" TargetMode="External"/><Relationship Id="rId26" Type="http://schemas.openxmlformats.org/officeDocument/2006/relationships/hyperlink" Target="https://civiliansinconflict.org/wp-content/uploads/2018/01/With-Great-Power.pdf" TargetMode="External"/><Relationship Id="rId3" Type="http://schemas.microsoft.com/office/2007/relationships/stylesWithEffects" Target="stylesWithEffects.xml"/><Relationship Id="rId21" Type="http://schemas.openxmlformats.org/officeDocument/2006/relationships/hyperlink" Target="https://www.braumillerlaw.com/blue-lantern-highlights-the-need-for-a-strong-compliance-program/" TargetMode="External"/><Relationship Id="rId7" Type="http://schemas.openxmlformats.org/officeDocument/2006/relationships/hyperlink" Target="https://www.dsca.mil/about-us/end-use-monitoring-eum" TargetMode="External"/><Relationship Id="rId12" Type="http://schemas.openxmlformats.org/officeDocument/2006/relationships/hyperlink" Target="https://www.gao.gov/assets/590/586356.pdf" TargetMode="External"/><Relationship Id="rId17" Type="http://schemas.openxmlformats.org/officeDocument/2006/relationships/hyperlink" Target="https://www.armscontrol.org/taxonomy/term/36" TargetMode="External"/><Relationship Id="rId25" Type="http://schemas.openxmlformats.org/officeDocument/2006/relationships/hyperlink" Target="https://www.forumarmstrade.org/uploads/1/9/0/8/19082495/waltz_implications_of_cati-iii-2019.pdf"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du.edu/korbel/hrhw/workingpapers/2007/43-waltz-2007_rev.pdf" TargetMode="External"/><Relationship Id="rId20" Type="http://schemas.openxmlformats.org/officeDocument/2006/relationships/hyperlink" Target="https://www.everycrsreport.com/reports/R44984.html" TargetMode="External"/><Relationship Id="rId29" Type="http://schemas.openxmlformats.org/officeDocument/2006/relationships/hyperlink" Target="http://unidir.org/files/publications/pdfs/investing-in-security-en-340.pdf" TargetMode="External"/><Relationship Id="rId1" Type="http://schemas.openxmlformats.org/officeDocument/2006/relationships/numbering" Target="numbering.xml"/><Relationship Id="rId6" Type="http://schemas.openxmlformats.org/officeDocument/2006/relationships/hyperlink" Target="https://www.discs.dsca.mil/documents/greenbook/18_Chapter.pdf?id=1" TargetMode="External"/><Relationship Id="rId11" Type="http://schemas.openxmlformats.org/officeDocument/2006/relationships/hyperlink" Target="https://www.armscontrol.org/blog/2019-03-26/abramson-testimony-proposed-small-arms-transfers" TargetMode="External"/><Relationship Id="rId24" Type="http://schemas.openxmlformats.org/officeDocument/2006/relationships/hyperlink" Target="http://vpc.org/the-trump-administration-proposes-making-gun-exports-easier-heres-how-to-submit-your-public-comment-on-this-dangerous-proposal/"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armscontrol.org/taxonomy/term/36" TargetMode="External"/><Relationship Id="rId23" Type="http://schemas.openxmlformats.org/officeDocument/2006/relationships/hyperlink" Target="https://medium.com/@amnestyusa/business-with-a-bang-23c3a351c14" TargetMode="External"/><Relationship Id="rId28" Type="http://schemas.openxmlformats.org/officeDocument/2006/relationships/hyperlink" Target="https://csis-prod.s3.amazonaws.com/s3fs-public/publication/180207_Dalton_OversightAccountability_Web.pdf?9CJj6j5KVqQgWAlLSLJkOpdCga.Yz28l" TargetMode="External"/><Relationship Id="rId10" Type="http://schemas.openxmlformats.org/officeDocument/2006/relationships/hyperlink" Target="https://www.dsca.mil/about-us/end-use-monitoring-eum" TargetMode="External"/><Relationship Id="rId19" Type="http://schemas.openxmlformats.org/officeDocument/2006/relationships/hyperlink" Target="https://warontherocks.com/2018/06/a-new-framework-for-assessing-the-risks-from-u-s-arms-sales/" TargetMode="External"/><Relationship Id="rId31" Type="http://schemas.openxmlformats.org/officeDocument/2006/relationships/hyperlink" Target="https://www.gao.gov/assets/590/586356.pdf" TargetMode="External"/><Relationship Id="rId4" Type="http://schemas.openxmlformats.org/officeDocument/2006/relationships/settings" Target="settings.xml"/><Relationship Id="rId9" Type="http://schemas.openxmlformats.org/officeDocument/2006/relationships/hyperlink" Target="https://www.discs.dsca.mil/documents/greenbook/18_Chapter.pdf?id=1" TargetMode="External"/><Relationship Id="rId14" Type="http://schemas.openxmlformats.org/officeDocument/2006/relationships/hyperlink" Target="https://www.cato.org/publications/policy-analysis/risky-business-role-arms-sales-us-foreign-policy" TargetMode="External"/><Relationship Id="rId22" Type="http://schemas.openxmlformats.org/officeDocument/2006/relationships/hyperlink" Target="http://www.smallarmssurvey.org/fileadmin/docs/L-External-publications/2016/GRIP-2016-Containing-diversion.pdf" TargetMode="External"/><Relationship Id="rId27" Type="http://schemas.openxmlformats.org/officeDocument/2006/relationships/hyperlink" Target="http://www.smallarmssurvey.org/fileadmin/docs/L-External-publications/2016/GRIP-2016-Containing-diversion.pdf" TargetMode="External"/><Relationship Id="rId30" Type="http://schemas.openxmlformats.org/officeDocument/2006/relationships/hyperlink" Target="https://carnegieendowment.org/2019/02/19/american-weapons-in-wrong-hands-pub-7840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20Logh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7</TotalTime>
  <Pages>27</Pages>
  <Words>15061</Words>
  <Characters>85848</Characters>
  <Application>Microsoft Office Word</Application>
  <DocSecurity>0</DocSecurity>
  <Lines>715</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Loghry</dc:creator>
  <cp:lastModifiedBy>Chris Loghry</cp:lastModifiedBy>
  <cp:revision>5</cp:revision>
  <dcterms:created xsi:type="dcterms:W3CDTF">2019-06-18T07:13:00Z</dcterms:created>
  <dcterms:modified xsi:type="dcterms:W3CDTF">2019-06-18T11:59:00Z</dcterms:modified>
</cp:coreProperties>
</file>