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A6686" w14:textId="0D1B7BB0" w:rsidR="009C2427" w:rsidRPr="009C2427" w:rsidRDefault="00B61A63" w:rsidP="009C2427">
      <w:pPr>
        <w:pStyle w:val="Heading3"/>
      </w:pPr>
      <w:r>
        <w:t xml:space="preserve">1NC </w:t>
      </w:r>
      <w:r w:rsidR="009C2427">
        <w:t>–</w:t>
      </w:r>
      <w:r>
        <w:t xml:space="preserve"> </w:t>
      </w:r>
      <w:proofErr w:type="spellStart"/>
      <w:r>
        <w:t>Interps</w:t>
      </w:r>
      <w:proofErr w:type="spellEnd"/>
    </w:p>
    <w:p w14:paraId="489DFED6" w14:textId="77777777" w:rsidR="00B61A63" w:rsidRDefault="00B61A63" w:rsidP="00B61A63">
      <w:pPr>
        <w:pStyle w:val="Heading4"/>
      </w:pPr>
      <w:r>
        <w:t>A) “United States Federal Government” means the three branches of government established by the constitution</w:t>
      </w:r>
    </w:p>
    <w:p w14:paraId="70462D62" w14:textId="77777777" w:rsidR="00B61A63" w:rsidRPr="00EE6411" w:rsidRDefault="00B61A63" w:rsidP="00B61A63">
      <w:pPr>
        <w:rPr>
          <w:rStyle w:val="Style13ptBold"/>
        </w:rPr>
      </w:pPr>
      <w:r w:rsidRPr="00EE6411">
        <w:rPr>
          <w:rStyle w:val="Style13ptBold"/>
        </w:rPr>
        <w:t>US Legal No Date</w:t>
      </w:r>
    </w:p>
    <w:p w14:paraId="4F47FA0B" w14:textId="77777777" w:rsidR="00B61A63" w:rsidRPr="00B61A63" w:rsidRDefault="00B61A63" w:rsidP="00B61A63">
      <w:r w:rsidRPr="00B61A63">
        <w:t xml:space="preserve">US Legal: United States Federal Government Law &amp; Legal Definition </w:t>
      </w:r>
      <w:proofErr w:type="spellStart"/>
      <w:r w:rsidRPr="00B61A63">
        <w:t>oDate</w:t>
      </w:r>
      <w:proofErr w:type="spellEnd"/>
      <w:r w:rsidRPr="00B61A63">
        <w:t xml:space="preserve"> [aw]</w:t>
      </w:r>
    </w:p>
    <w:p w14:paraId="17505223" w14:textId="77777777" w:rsidR="00B61A63" w:rsidRPr="00EE6411" w:rsidRDefault="00B61A63" w:rsidP="00B61A63">
      <w:pPr>
        <w:rPr>
          <w:rStyle w:val="StyleUnderline"/>
        </w:rPr>
      </w:pPr>
      <w:r w:rsidRPr="00B61A63">
        <w:rPr>
          <w:rStyle w:val="StyleUnderline"/>
        </w:rPr>
        <w:t xml:space="preserve">The United States Federal Government is established by the US Constitution. </w:t>
      </w:r>
      <w:r w:rsidRPr="00B61A63">
        <w:rPr>
          <w:sz w:val="16"/>
        </w:rPr>
        <w:t xml:space="preserve">The Federal Government </w:t>
      </w:r>
      <w:r w:rsidRPr="00B61A63">
        <w:rPr>
          <w:rStyle w:val="StyleUnderline"/>
        </w:rPr>
        <w:t>shares sovereignty over the United Sates with the individual governments of the States</w:t>
      </w:r>
      <w:r w:rsidRPr="00B61A63">
        <w:rPr>
          <w:sz w:val="16"/>
        </w:rPr>
        <w:t xml:space="preserve"> of US. </w:t>
      </w:r>
      <w:r w:rsidRPr="00B61A63">
        <w:rPr>
          <w:rStyle w:val="StyleUnderline"/>
        </w:rPr>
        <w:t xml:space="preserve">The Federal government has three branches: </w:t>
      </w:r>
      <w:proofErr w:type="spellStart"/>
      <w:r w:rsidRPr="00B61A63">
        <w:rPr>
          <w:rStyle w:val="StyleUnderline"/>
        </w:rPr>
        <w:t>i</w:t>
      </w:r>
      <w:proofErr w:type="spellEnd"/>
      <w:r w:rsidRPr="00B61A63">
        <w:rPr>
          <w:rStyle w:val="StyleUnderline"/>
        </w:rPr>
        <w:t>) the legislature, which is the US Congress, ii) Executive, comprised of the President and Vice president of the US and iii) Judiciary.</w:t>
      </w:r>
      <w:r w:rsidRPr="00B61A63">
        <w:rPr>
          <w:sz w:val="16"/>
        </w:rPr>
        <w:t xml:space="preserve"> The US Constitution prescribes a system of separation of powers and ‘checks and balances’ for the smooth functioning of all the three branches of the Federal Government. </w:t>
      </w:r>
      <w:r w:rsidRPr="00B61A63">
        <w:rPr>
          <w:rStyle w:val="StyleUnderline"/>
        </w:rPr>
        <w:t>The US Constitution limits the powers of the Federal Government</w:t>
      </w:r>
      <w:r w:rsidRPr="00EE6411">
        <w:rPr>
          <w:rStyle w:val="StyleUnderline"/>
        </w:rPr>
        <w:t xml:space="preserve"> to the powers assigned to it; all powers not expressly assigned to the Federal Government are reserved to the States or to the people.</w:t>
      </w:r>
    </w:p>
    <w:p w14:paraId="7F6BCFE5" w14:textId="77777777" w:rsidR="00B61A63" w:rsidRPr="00A13187" w:rsidRDefault="00B61A63" w:rsidP="00B61A63">
      <w:pPr>
        <w:pStyle w:val="Heading4"/>
      </w:pPr>
      <w:r>
        <w:t xml:space="preserve">B) </w:t>
      </w:r>
      <w:r w:rsidRPr="00A13187">
        <w:t>Should means must and immediate</w:t>
      </w:r>
    </w:p>
    <w:p w14:paraId="66137375" w14:textId="77777777" w:rsidR="00B61A63" w:rsidRDefault="00B61A63" w:rsidP="00B61A63">
      <w:r w:rsidRPr="00FD1F5D">
        <w:rPr>
          <w:rStyle w:val="Style13ptBold"/>
        </w:rPr>
        <w:t>Summers 94</w:t>
      </w:r>
      <w:r w:rsidRPr="00CA7914">
        <w:t xml:space="preserve"> </w:t>
      </w:r>
    </w:p>
    <w:p w14:paraId="134145AB" w14:textId="77777777" w:rsidR="00B61A63" w:rsidRDefault="00B61A63" w:rsidP="00B61A63">
      <w:r w:rsidRPr="00CA7914">
        <w:t xml:space="preserve">(Justice – Oklahoma Supreme Court, “Kelsey v. </w:t>
      </w:r>
      <w:proofErr w:type="spellStart"/>
      <w:r w:rsidRPr="00CA7914">
        <w:t>Dollarsaver</w:t>
      </w:r>
      <w:proofErr w:type="spellEnd"/>
      <w:r w:rsidRPr="00CA7914">
        <w:t xml:space="preserve"> Food Warehouse of Durant”, 1994 OK 123</w:t>
      </w:r>
      <w:r>
        <w:t xml:space="preserve">, 11-8, </w:t>
      </w:r>
      <w:r w:rsidRPr="00CA7914">
        <w:t>http://www.oscn.net/applications/oscn/DeliverDocument.asp?CiteID=20287#marker3fn13</w:t>
      </w:r>
      <w:r>
        <w:t>)</w:t>
      </w:r>
    </w:p>
    <w:p w14:paraId="4A1A75C1" w14:textId="77777777" w:rsidR="00B61A63" w:rsidRDefault="00B61A63" w:rsidP="00B61A63">
      <w:pPr>
        <w:rPr>
          <w:sz w:val="16"/>
        </w:rPr>
      </w:pPr>
      <w:r w:rsidRPr="00AC1A9B">
        <w:rPr>
          <w:sz w:val="12"/>
        </w:rPr>
        <w:t>¶</w:t>
      </w:r>
      <w:r w:rsidRPr="00AC1A9B">
        <w:rPr>
          <w:sz w:val="16"/>
        </w:rPr>
        <w:t xml:space="preserve">4 </w:t>
      </w:r>
      <w:r w:rsidRPr="00497C45">
        <w:rPr>
          <w:rStyle w:val="StyleUnderline"/>
          <w:rFonts w:eastAsia="Times New Roman"/>
        </w:rPr>
        <w:t>The legal question</w:t>
      </w:r>
      <w:r w:rsidRPr="00AF1EFF">
        <w:rPr>
          <w:rStyle w:val="StyleUnderline"/>
          <w:rFonts w:eastAsia="Times New Roman"/>
        </w:rPr>
        <w:t xml:space="preserve"> to be resolved by the court is whether the word "should"</w:t>
      </w:r>
      <w:hyperlink r:id="rId9" w:anchor="marker3fn13" w:history="1">
        <w:r w:rsidRPr="00AC1A9B">
          <w:rPr>
            <w:sz w:val="16"/>
          </w:rPr>
          <w:t>13</w:t>
        </w:r>
      </w:hyperlink>
      <w:r w:rsidRPr="00AC1A9B">
        <w:rPr>
          <w:sz w:val="16"/>
        </w:rPr>
        <w:t xml:space="preserve"> in the May 18 order connotes futurity or </w:t>
      </w:r>
      <w:r w:rsidRPr="00AF1EFF">
        <w:rPr>
          <w:rStyle w:val="StyleUnderline"/>
          <w:rFonts w:eastAsia="Times New Roman"/>
        </w:rPr>
        <w:t xml:space="preserve">may be deemed a ruling </w:t>
      </w:r>
      <w:r w:rsidRPr="00AF1EFF">
        <w:rPr>
          <w:rStyle w:val="StyleUnderline"/>
          <w:rFonts w:eastAsia="Times New Roman"/>
          <w:i/>
        </w:rPr>
        <w:t>in praesenti</w:t>
      </w:r>
      <w:r w:rsidRPr="00AC1A9B">
        <w:rPr>
          <w:sz w:val="16"/>
        </w:rPr>
        <w:t>.</w:t>
      </w:r>
      <w:hyperlink r:id="rId10" w:anchor="marker3fn14" w:history="1">
        <w:r w:rsidRPr="00AC1A9B">
          <w:rPr>
            <w:sz w:val="16"/>
          </w:rPr>
          <w:t>14</w:t>
        </w:r>
      </w:hyperlink>
      <w:r w:rsidRPr="00AC1A9B">
        <w:rPr>
          <w:sz w:val="16"/>
        </w:rPr>
        <w:t xml:space="preserve"> The answer to this query is not to be divined from rules of grammar;</w:t>
      </w:r>
      <w:hyperlink r:id="rId11" w:anchor="marker3fn15" w:history="1">
        <w:r w:rsidRPr="00AC1A9B">
          <w:rPr>
            <w:sz w:val="16"/>
          </w:rPr>
          <w:t>15</w:t>
        </w:r>
      </w:hyperlink>
      <w:r w:rsidRPr="00AC1A9B">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AC1A9B">
        <w:rPr>
          <w:sz w:val="16"/>
        </w:rPr>
        <w:t>futuro</w:t>
      </w:r>
      <w:proofErr w:type="spellEnd"/>
      <w:r w:rsidRPr="00AC1A9B">
        <w:rPr>
          <w:sz w:val="16"/>
        </w:rPr>
        <w:t xml:space="preserve"> ruling - i.e., an expression of what the judge will or would do at a later stage - or (2) constitutes an in in praesenti resolution of a disputed law issue, the trial judge's intent must be garnered </w:t>
      </w:r>
      <w:r w:rsidRPr="00B61A63">
        <w:rPr>
          <w:sz w:val="16"/>
        </w:rPr>
        <w:t>from the four corners of the entire record.</w:t>
      </w:r>
      <w:hyperlink r:id="rId12" w:anchor="marker3fn16" w:history="1">
        <w:r w:rsidRPr="00B61A63">
          <w:rPr>
            <w:sz w:val="16"/>
          </w:rPr>
          <w:t xml:space="preserve">16 </w:t>
        </w:r>
      </w:hyperlink>
      <w:r w:rsidRPr="00B61A63">
        <w:rPr>
          <w:sz w:val="12"/>
        </w:rPr>
        <w:t>¶</w:t>
      </w:r>
      <w:r w:rsidRPr="00B61A63">
        <w:rPr>
          <w:sz w:val="16"/>
        </w:rPr>
        <w:t xml:space="preserve"> [</w:t>
      </w:r>
      <w:r w:rsidRPr="00B61A63">
        <w:rPr>
          <w:rStyle w:val="StyleUnderline"/>
        </w:rPr>
        <w:t>CONTINUES – TO FOOTNOTE]</w:t>
      </w:r>
      <w:r w:rsidRPr="00B61A63">
        <w:rPr>
          <w:sz w:val="12"/>
        </w:rPr>
        <w:t>¶</w:t>
      </w:r>
      <w:r w:rsidRPr="00B61A63">
        <w:rPr>
          <w:sz w:val="16"/>
        </w:rPr>
        <w:t xml:space="preserve"> </w:t>
      </w:r>
      <w:hyperlink r:id="rId13" w:anchor="marker2fn13" w:history="1">
        <w:r w:rsidRPr="00B61A63">
          <w:rPr>
            <w:sz w:val="16"/>
          </w:rPr>
          <w:t>13</w:t>
        </w:r>
      </w:hyperlink>
      <w:r w:rsidRPr="00B61A63">
        <w:rPr>
          <w:sz w:val="16"/>
        </w:rPr>
        <w:t xml:space="preserve"> "</w:t>
      </w:r>
      <w:r w:rsidRPr="00B61A63">
        <w:rPr>
          <w:i/>
          <w:iCs/>
          <w:sz w:val="16"/>
        </w:rPr>
        <w:t>Should</w:t>
      </w:r>
      <w:r w:rsidRPr="00B61A63">
        <w:rPr>
          <w:sz w:val="16"/>
        </w:rPr>
        <w:t xml:space="preserve">" not only is used as a "present indicative" synonymous with </w:t>
      </w:r>
      <w:r w:rsidRPr="00B61A63">
        <w:rPr>
          <w:i/>
          <w:iCs/>
          <w:sz w:val="16"/>
        </w:rPr>
        <w:t>ought</w:t>
      </w:r>
      <w:r w:rsidRPr="00B61A63">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B61A63">
        <w:rPr>
          <w:sz w:val="16"/>
        </w:rPr>
        <w:t>Okl</w:t>
      </w:r>
      <w:proofErr w:type="spellEnd"/>
      <w:r w:rsidRPr="00B61A63">
        <w:rPr>
          <w:sz w:val="16"/>
        </w:rPr>
        <w:t xml:space="preserve">. 143, 144 P. 1075, 1080-81 (1914). For a more detailed explanation, see the Partridge quotation infra note 15. </w:t>
      </w:r>
      <w:r w:rsidRPr="00B61A63">
        <w:rPr>
          <w:rStyle w:val="StyleUnderline"/>
          <w:rFonts w:eastAsia="Times New Roman"/>
        </w:rPr>
        <w:t xml:space="preserve">Certain contexts mandate a construction of the term "should" as </w:t>
      </w:r>
      <w:r w:rsidRPr="00B61A63">
        <w:rPr>
          <w:rStyle w:val="Emphasis"/>
          <w:rFonts w:eastAsia="Times New Roman"/>
        </w:rPr>
        <w:t>more</w:t>
      </w:r>
      <w:r w:rsidRPr="00B61A63">
        <w:rPr>
          <w:rStyle w:val="StyleUnderline"/>
          <w:rFonts w:eastAsia="Times New Roman"/>
        </w:rPr>
        <w:t xml:space="preserve"> than merely indicating</w:t>
      </w:r>
      <w:r w:rsidRPr="00B61A63">
        <w:rPr>
          <w:sz w:val="16"/>
        </w:rPr>
        <w:t xml:space="preserve"> preference or </w:t>
      </w:r>
      <w:r w:rsidRPr="00B61A63">
        <w:rPr>
          <w:rStyle w:val="StyleUnderline"/>
          <w:rFonts w:eastAsia="Times New Roman"/>
        </w:rPr>
        <w:t>desirability</w:t>
      </w:r>
      <w:r w:rsidRPr="00B61A63">
        <w:rPr>
          <w:sz w:val="16"/>
        </w:rPr>
        <w:t xml:space="preserve">. Brown, supra at 1080-81 (jury instructions stating that jurors "should" reduce the amount of damages in proportion to the amount of contributory negligence of the plaintiff was held to imply an </w:t>
      </w:r>
      <w:r w:rsidRPr="00B61A63">
        <w:rPr>
          <w:i/>
          <w:iCs/>
          <w:sz w:val="16"/>
        </w:rPr>
        <w:t>obligation</w:t>
      </w:r>
      <w:r w:rsidRPr="00B61A63">
        <w:rPr>
          <w:sz w:val="16"/>
        </w:rPr>
        <w:t xml:space="preserve"> </w:t>
      </w:r>
      <w:r w:rsidRPr="00B61A63">
        <w:rPr>
          <w:i/>
          <w:iCs/>
          <w:sz w:val="16"/>
        </w:rPr>
        <w:t>and to be more than advisory</w:t>
      </w:r>
      <w:r w:rsidRPr="00B61A63">
        <w:rPr>
          <w:sz w:val="16"/>
        </w:rPr>
        <w:t xml:space="preserve">); Carrigan v. California Horse Racing Board, 60 Wash. App. 79, </w:t>
      </w:r>
      <w:hyperlink r:id="rId14" w:history="1">
        <w:r w:rsidRPr="00B61A63">
          <w:rPr>
            <w:sz w:val="16"/>
          </w:rPr>
          <w:t>802 P.2d 813</w:t>
        </w:r>
      </w:hyperlink>
      <w:r w:rsidRPr="00B61A63">
        <w:rPr>
          <w:sz w:val="16"/>
        </w:rPr>
        <w:t xml:space="preserve"> (1990) (one of the Rules of Appellate Procedure requiring that a party "should devote a section of the brief to the request for the fee or expenses" was interpreted to mean that a party is under an </w:t>
      </w:r>
      <w:r w:rsidRPr="00B61A63">
        <w:rPr>
          <w:i/>
          <w:iCs/>
          <w:sz w:val="16"/>
        </w:rPr>
        <w:t>obligation</w:t>
      </w:r>
      <w:r w:rsidRPr="00B61A63">
        <w:rPr>
          <w:sz w:val="16"/>
        </w:rPr>
        <w:t xml:space="preserve"> to include the requested segment); State v. Rack, 318 S.W.2d 211, 215 (Mo. 1958) </w:t>
      </w:r>
      <w:r w:rsidRPr="00B61A63">
        <w:rPr>
          <w:rStyle w:val="StyleUnderline"/>
          <w:rFonts w:eastAsia="Times New Roman"/>
        </w:rPr>
        <w:t>("should" would mean the same as</w:t>
      </w:r>
      <w:r w:rsidRPr="00B61A63">
        <w:rPr>
          <w:sz w:val="16"/>
        </w:rPr>
        <w:t xml:space="preserve"> "shall" or </w:t>
      </w:r>
      <w:r w:rsidRPr="00B61A63">
        <w:rPr>
          <w:rStyle w:val="StyleUnderline"/>
          <w:rFonts w:eastAsia="Times New Roman"/>
        </w:rPr>
        <w:t>"must"</w:t>
      </w:r>
      <w:r w:rsidRPr="00B61A63">
        <w:rPr>
          <w:rStyle w:val="StyleUnderline"/>
        </w:rPr>
        <w:t xml:space="preserve"> </w:t>
      </w:r>
      <w:r w:rsidRPr="00B61A63">
        <w:rPr>
          <w:sz w:val="16"/>
        </w:rPr>
        <w:t xml:space="preserve">when used in an instruction to the jury which tells the triers they "should disregard false testimony"). </w:t>
      </w:r>
      <w:hyperlink r:id="rId15" w:anchor="marker2fn14" w:history="1">
        <w:r w:rsidRPr="00B61A63">
          <w:rPr>
            <w:sz w:val="16"/>
          </w:rPr>
          <w:t>14</w:t>
        </w:r>
      </w:hyperlink>
      <w:r w:rsidRPr="00B61A63">
        <w:rPr>
          <w:sz w:val="16"/>
        </w:rPr>
        <w:t xml:space="preserve"> </w:t>
      </w:r>
      <w:r w:rsidRPr="00B61A63">
        <w:rPr>
          <w:rStyle w:val="StyleUnderline"/>
          <w:rFonts w:eastAsia="Times New Roman"/>
          <w:i/>
        </w:rPr>
        <w:t>In praesenti</w:t>
      </w:r>
      <w:r w:rsidRPr="00B61A63">
        <w:rPr>
          <w:rStyle w:val="Heading3Char"/>
          <w:rFonts w:eastAsia="Calibri"/>
          <w:sz w:val="16"/>
        </w:rPr>
        <w:t xml:space="preserve"> </w:t>
      </w:r>
      <w:r w:rsidRPr="00B61A63">
        <w:rPr>
          <w:rStyle w:val="StyleUnderline"/>
          <w:rFonts w:eastAsia="Times New Roman"/>
        </w:rPr>
        <w:t>means literally "at the present time."</w:t>
      </w:r>
      <w:r w:rsidRPr="00B61A63">
        <w:rPr>
          <w:sz w:val="16"/>
        </w:rPr>
        <w:t xml:space="preserve"> BLACK'S LAW DICTIONARY 792 (6th Ed. 1990). In legal parlance </w:t>
      </w:r>
      <w:r w:rsidRPr="00B61A63">
        <w:rPr>
          <w:rStyle w:val="StyleUnderline"/>
          <w:rFonts w:eastAsia="Times New Roman"/>
        </w:rPr>
        <w:t>the phrase denotes</w:t>
      </w:r>
      <w:r w:rsidRPr="00B61A63">
        <w:rPr>
          <w:sz w:val="16"/>
        </w:rPr>
        <w:t xml:space="preserve"> that which in </w:t>
      </w:r>
      <w:r w:rsidRPr="00B61A63">
        <w:rPr>
          <w:rStyle w:val="StyleUnderline"/>
          <w:rFonts w:eastAsia="Times New Roman"/>
        </w:rPr>
        <w:t>law is</w:t>
      </w:r>
      <w:r w:rsidRPr="00B61A63">
        <w:rPr>
          <w:sz w:val="16"/>
        </w:rPr>
        <w:t xml:space="preserve"> </w:t>
      </w:r>
      <w:r w:rsidRPr="00B61A63">
        <w:rPr>
          <w:i/>
          <w:iCs/>
          <w:sz w:val="16"/>
        </w:rPr>
        <w:t>presently</w:t>
      </w:r>
      <w:r w:rsidRPr="00B61A63">
        <w:rPr>
          <w:sz w:val="16"/>
        </w:rPr>
        <w:t xml:space="preserve"> or </w:t>
      </w:r>
      <w:r w:rsidRPr="00B61A63">
        <w:rPr>
          <w:rStyle w:val="Emphasis"/>
          <w:rFonts w:eastAsia="Times New Roman"/>
          <w:i/>
        </w:rPr>
        <w:t>immediately effective</w:t>
      </w:r>
      <w:r w:rsidRPr="00B61A63">
        <w:rPr>
          <w:rStyle w:val="StyleUnderline"/>
        </w:rPr>
        <w:t xml:space="preserve">, </w:t>
      </w:r>
      <w:r w:rsidRPr="00B61A63">
        <w:rPr>
          <w:rStyle w:val="StyleUnderline"/>
          <w:rFonts w:eastAsia="Times New Roman"/>
        </w:rPr>
        <w:t>as opposed to something that</w:t>
      </w:r>
      <w:r w:rsidRPr="00B61A63">
        <w:rPr>
          <w:rStyle w:val="StyleUnderline"/>
        </w:rPr>
        <w:t xml:space="preserve"> </w:t>
      </w:r>
      <w:r w:rsidRPr="00B61A63">
        <w:rPr>
          <w:rStyle w:val="StyleUnderline"/>
          <w:rFonts w:eastAsia="Times New Roman"/>
          <w:i/>
        </w:rPr>
        <w:t>will</w:t>
      </w:r>
      <w:r w:rsidRPr="00B61A63">
        <w:rPr>
          <w:sz w:val="16"/>
        </w:rPr>
        <w:t xml:space="preserve"> or </w:t>
      </w:r>
      <w:r w:rsidRPr="00B61A63">
        <w:rPr>
          <w:i/>
          <w:iCs/>
          <w:sz w:val="16"/>
        </w:rPr>
        <w:t>would</w:t>
      </w:r>
      <w:r w:rsidRPr="00B61A63">
        <w:rPr>
          <w:sz w:val="16"/>
        </w:rPr>
        <w:t xml:space="preserve"> </w:t>
      </w:r>
      <w:r w:rsidRPr="00B61A63">
        <w:rPr>
          <w:rStyle w:val="StyleUnderline"/>
          <w:rFonts w:eastAsia="Times New Roman"/>
        </w:rPr>
        <w:t xml:space="preserve">become effective </w:t>
      </w:r>
      <w:r w:rsidRPr="00B61A63">
        <w:rPr>
          <w:rStyle w:val="Emphasis"/>
          <w:rFonts w:eastAsia="Times New Roman"/>
          <w:i/>
        </w:rPr>
        <w:t>in the future</w:t>
      </w:r>
      <w:r w:rsidRPr="00B61A63">
        <w:rPr>
          <w:i/>
          <w:iCs/>
          <w:sz w:val="16"/>
        </w:rPr>
        <w:t xml:space="preserve"> [in </w:t>
      </w:r>
      <w:proofErr w:type="spellStart"/>
      <w:r w:rsidRPr="00B61A63">
        <w:rPr>
          <w:i/>
          <w:iCs/>
          <w:sz w:val="16"/>
        </w:rPr>
        <w:t>futurol</w:t>
      </w:r>
      <w:proofErr w:type="spellEnd"/>
      <w:r w:rsidRPr="00B61A63">
        <w:rPr>
          <w:sz w:val="16"/>
        </w:rPr>
        <w:t xml:space="preserve">]. See Van </w:t>
      </w:r>
      <w:proofErr w:type="spellStart"/>
      <w:r w:rsidRPr="00B61A63">
        <w:rPr>
          <w:sz w:val="16"/>
        </w:rPr>
        <w:t>Wyck</w:t>
      </w:r>
      <w:proofErr w:type="spellEnd"/>
      <w:r w:rsidRPr="00B61A63">
        <w:rPr>
          <w:sz w:val="16"/>
        </w:rPr>
        <w:t xml:space="preserve"> v. </w:t>
      </w:r>
      <w:proofErr w:type="spellStart"/>
      <w:r w:rsidRPr="00B61A63">
        <w:rPr>
          <w:sz w:val="16"/>
        </w:rPr>
        <w:t>Knevals</w:t>
      </w:r>
      <w:proofErr w:type="spellEnd"/>
      <w:r w:rsidRPr="00AC1A9B">
        <w:rPr>
          <w:sz w:val="16"/>
        </w:rPr>
        <w:t xml:space="preserve">, </w:t>
      </w:r>
      <w:hyperlink r:id="rId16" w:history="1">
        <w:r w:rsidRPr="00AC1A9B">
          <w:rPr>
            <w:sz w:val="16"/>
          </w:rPr>
          <w:t>106 U.S. 360</w:t>
        </w:r>
      </w:hyperlink>
      <w:r w:rsidRPr="00AC1A9B">
        <w:rPr>
          <w:sz w:val="16"/>
        </w:rPr>
        <w:t xml:space="preserve">, 365, 1 </w:t>
      </w:r>
      <w:proofErr w:type="spellStart"/>
      <w:r w:rsidRPr="00AC1A9B">
        <w:rPr>
          <w:sz w:val="16"/>
        </w:rPr>
        <w:t>S.Ct</w:t>
      </w:r>
      <w:proofErr w:type="spellEnd"/>
      <w:r w:rsidRPr="00AC1A9B">
        <w:rPr>
          <w:sz w:val="16"/>
        </w:rPr>
        <w:t xml:space="preserve">. 336, 337, 27 </w:t>
      </w:r>
      <w:proofErr w:type="spellStart"/>
      <w:r w:rsidRPr="00AC1A9B">
        <w:rPr>
          <w:sz w:val="16"/>
        </w:rPr>
        <w:t>L.Ed</w:t>
      </w:r>
      <w:proofErr w:type="spellEnd"/>
      <w:r w:rsidRPr="00AC1A9B">
        <w:rPr>
          <w:sz w:val="16"/>
        </w:rPr>
        <w:t>. 201 (1882).</w:t>
      </w:r>
    </w:p>
    <w:p w14:paraId="742455A3" w14:textId="77777777" w:rsidR="00B61A63" w:rsidRDefault="00B61A63" w:rsidP="00B61A63">
      <w:pPr>
        <w:pStyle w:val="Heading4"/>
      </w:pPr>
      <w:r>
        <w:t>C) Reduce means to decrease the quantity of</w:t>
      </w:r>
    </w:p>
    <w:p w14:paraId="30F636F7" w14:textId="77777777" w:rsidR="00B61A63" w:rsidRPr="00925BE4" w:rsidRDefault="00B61A63" w:rsidP="00B61A63">
      <w:r w:rsidRPr="000C0E53">
        <w:rPr>
          <w:rStyle w:val="Style13ptBold"/>
        </w:rPr>
        <w:t xml:space="preserve">Ingram, </w:t>
      </w:r>
      <w:r>
        <w:rPr>
          <w:rStyle w:val="Style13ptBold"/>
        </w:rPr>
        <w:t>19</w:t>
      </w:r>
      <w:r w:rsidRPr="000C0E53">
        <w:rPr>
          <w:rStyle w:val="Style13ptBold"/>
        </w:rPr>
        <w:t>88</w:t>
      </w:r>
      <w:r>
        <w:rPr>
          <w:b/>
        </w:rPr>
        <w:t xml:space="preserve"> </w:t>
      </w:r>
      <w:r>
        <w:t xml:space="preserve">– law student (Cindi M. Ingram, Plaintiff's Right to Recover from Non-Settling Tortfeasor When Settlement with Joint Tortfeasor Exceeds the Jury Award, 53 Mo. L. Rev. (1988) Available at: </w:t>
      </w:r>
      <w:hyperlink r:id="rId17" w:history="1">
        <w:r w:rsidRPr="00387785">
          <w:rPr>
            <w:rStyle w:val="Hyperlink"/>
          </w:rPr>
          <w:t>http://scholarship.law.missouri.edu/mlr/vol53/iss2/8</w:t>
        </w:r>
      </w:hyperlink>
    </w:p>
    <w:p w14:paraId="70A7792B" w14:textId="77777777" w:rsidR="00B61A63" w:rsidRPr="000C0E53" w:rsidRDefault="00B61A63" w:rsidP="00B61A63">
      <w:pPr>
        <w:rPr>
          <w:sz w:val="16"/>
        </w:rPr>
      </w:pPr>
      <w:r w:rsidRPr="000C0E53">
        <w:rPr>
          <w:sz w:val="16"/>
        </w:rPr>
        <w:t xml:space="preserve">In answering this question, the Hampton court turned to various principles for guidance. The court looked first to the "plain meaning" of the statute.6 " Interpretation of a statute involves ascertaining the legislative intent behind the enactment of the statute. </w:t>
      </w:r>
      <w:r w:rsidRPr="00393064">
        <w:rPr>
          <w:rStyle w:val="StyleUnderline"/>
        </w:rPr>
        <w:t>Consideration of the "plain meaning" of the words used</w:t>
      </w:r>
      <w:r w:rsidRPr="000C0E53">
        <w:rPr>
          <w:sz w:val="16"/>
        </w:rPr>
        <w:t xml:space="preserve"> in the statute </w:t>
      </w:r>
      <w:r w:rsidRPr="00393064">
        <w:rPr>
          <w:rStyle w:val="StyleUnderline"/>
        </w:rPr>
        <w:t>is a basic principle of</w:t>
      </w:r>
      <w:r w:rsidRPr="000C0E53">
        <w:rPr>
          <w:sz w:val="16"/>
        </w:rPr>
        <w:t xml:space="preserve"> statutory construction in </w:t>
      </w:r>
      <w:r w:rsidRPr="00393064">
        <w:rPr>
          <w:rStyle w:val="StyleUnderline"/>
        </w:rPr>
        <w:t>determining legislative intent</w:t>
      </w:r>
      <w:r w:rsidRPr="000C0E53">
        <w:rPr>
          <w:sz w:val="16"/>
        </w:rPr>
        <w:t xml:space="preserve">.6 7 </w:t>
      </w:r>
      <w:r w:rsidRPr="00393064">
        <w:rPr>
          <w:rStyle w:val="StyleUnderline"/>
        </w:rPr>
        <w:t>The</w:t>
      </w:r>
      <w:r w:rsidRPr="000C0E53">
        <w:rPr>
          <w:sz w:val="16"/>
        </w:rPr>
        <w:t xml:space="preserve"> Hampton </w:t>
      </w:r>
      <w:r w:rsidRPr="00393064">
        <w:rPr>
          <w:rStyle w:val="StyleUnderline"/>
        </w:rPr>
        <w:t>court discussed</w:t>
      </w:r>
      <w:r w:rsidRPr="000C0E53">
        <w:rPr>
          <w:sz w:val="16"/>
        </w:rPr>
        <w:t xml:space="preserve"> </w:t>
      </w:r>
      <w:r w:rsidRPr="00393064">
        <w:rPr>
          <w:rStyle w:val="StyleUnderline"/>
        </w:rPr>
        <w:t xml:space="preserve">the "plain meaning" of </w:t>
      </w:r>
      <w:r w:rsidRPr="000C0E53">
        <w:rPr>
          <w:sz w:val="16"/>
        </w:rPr>
        <w:t>the words "</w:t>
      </w:r>
      <w:r w:rsidRPr="00393064">
        <w:rPr>
          <w:rStyle w:val="StyleUnderline"/>
        </w:rPr>
        <w:t>reduce</w:t>
      </w:r>
      <w:r w:rsidRPr="000C0E53">
        <w:rPr>
          <w:sz w:val="16"/>
        </w:rPr>
        <w:t xml:space="preserve">" and "claim" in reaching its construction of the statute. The court referred to the dictionary definition of "reduce" </w:t>
      </w:r>
      <w:r w:rsidRPr="00393064">
        <w:rPr>
          <w:rStyle w:val="StyleUnderline"/>
        </w:rPr>
        <w:t>as meaning "to diminish in size, amount, extent or number</w:t>
      </w:r>
      <w:r w:rsidRPr="000C0E53">
        <w:rPr>
          <w:sz w:val="16"/>
        </w:rPr>
        <w:t xml:space="preserve">; </w:t>
      </w:r>
      <w:r w:rsidRPr="00393064">
        <w:rPr>
          <w:rStyle w:val="StyleUnderline"/>
        </w:rPr>
        <w:t>to</w:t>
      </w:r>
      <w:r w:rsidRPr="000C0E53">
        <w:rPr>
          <w:sz w:val="16"/>
        </w:rPr>
        <w:t xml:space="preserve"> make small or to lower, </w:t>
      </w:r>
      <w:r w:rsidRPr="00393064">
        <w:rPr>
          <w:rStyle w:val="StyleUnderline"/>
        </w:rPr>
        <w:t>bring down</w:t>
      </w:r>
      <w:r w:rsidRPr="000C0E53">
        <w:rPr>
          <w:sz w:val="16"/>
        </w:rPr>
        <w:t xml:space="preserve"> or to change the denomination of </w:t>
      </w:r>
      <w:r w:rsidRPr="00393064">
        <w:rPr>
          <w:rStyle w:val="StyleUnderline"/>
        </w:rPr>
        <w:t>a quantity</w:t>
      </w:r>
      <w:r w:rsidRPr="000C0E53">
        <w:rPr>
          <w:sz w:val="16"/>
        </w:rPr>
        <w:t>." 68 The court then judicially defined "claim" as "the amount of damages as determined by an impartial fact finder - the jury."'</w:t>
      </w:r>
    </w:p>
    <w:p w14:paraId="63E065D9" w14:textId="77777777" w:rsidR="00B61A63" w:rsidRDefault="00B61A63" w:rsidP="00B61A63">
      <w:pPr>
        <w:pStyle w:val="Heading4"/>
      </w:pPr>
      <w:r>
        <w:t>D) DCS is licensed commercial sales</w:t>
      </w:r>
    </w:p>
    <w:p w14:paraId="32B02028" w14:textId="77777777" w:rsidR="00B61A63" w:rsidRDefault="00B61A63" w:rsidP="00B61A63">
      <w:r w:rsidRPr="00894513">
        <w:rPr>
          <w:rStyle w:val="Style13ptBold"/>
        </w:rPr>
        <w:t xml:space="preserve">Johnson </w:t>
      </w:r>
      <w:proofErr w:type="gramStart"/>
      <w:r w:rsidRPr="00894513">
        <w:rPr>
          <w:rStyle w:val="Style13ptBold"/>
        </w:rPr>
        <w:t>98</w:t>
      </w:r>
      <w:r>
        <w:t xml:space="preserve">  Wayne</w:t>
      </w:r>
      <w:proofErr w:type="gramEnd"/>
      <w:r>
        <w:t xml:space="preserve"> M. Johnson Lieutenant Colonel, USAF Air War College Maxwell Paper No. 16, Seller Beware US International Technology Transfer and Its Impact On National Security MAXWELL AIR FORCE BASE, ALABAMA December 1998, http://www.au.af.mil/au/awc/awcgate/maxwell/mp16.pdf</w:t>
      </w:r>
    </w:p>
    <w:p w14:paraId="29CE6EB5" w14:textId="77777777" w:rsidR="00B61A63" w:rsidRDefault="00B61A63" w:rsidP="00B61A63">
      <w:r w:rsidRPr="004E64EC">
        <w:rPr>
          <w:rStyle w:val="StyleUnderline"/>
        </w:rPr>
        <w:t xml:space="preserve">Direct commercial sales </w:t>
      </w:r>
      <w:proofErr w:type="gramStart"/>
      <w:r w:rsidRPr="004E64EC">
        <w:rPr>
          <w:rStyle w:val="StyleUnderline"/>
        </w:rPr>
        <w:t>refers</w:t>
      </w:r>
      <w:proofErr w:type="gramEnd"/>
      <w:r w:rsidRPr="004E64EC">
        <w:rPr>
          <w:rStyle w:val="StyleUnderline"/>
        </w:rPr>
        <w:t xml:space="preserve"> to commercial sales, under license, directly to a foreign country, without the US procurement community managing the program</w:t>
      </w:r>
      <w:r>
        <w:t>.</w:t>
      </w:r>
    </w:p>
    <w:p w14:paraId="6F79D6DD" w14:textId="77777777" w:rsidR="00B61A63" w:rsidRDefault="00B61A63" w:rsidP="00B61A63">
      <w:pPr>
        <w:pStyle w:val="Heading4"/>
      </w:pPr>
      <w:r>
        <w:t xml:space="preserve">E) FMS includes an offer or acceptance – There is a formal contract </w:t>
      </w:r>
    </w:p>
    <w:p w14:paraId="3034D692" w14:textId="77777777" w:rsidR="00B61A63" w:rsidRDefault="00B61A63" w:rsidP="00B61A63">
      <w:r w:rsidRPr="00902CB0">
        <w:rPr>
          <w:rStyle w:val="Style13ptBold"/>
        </w:rPr>
        <w:t>DSCA 19</w:t>
      </w:r>
      <w:r>
        <w:t xml:space="preserve"> Defense Security Contract Association, </w:t>
      </w:r>
      <w:hyperlink r:id="rId18" w:history="1">
        <w:r w:rsidRPr="00557640">
          <w:rPr>
            <w:rStyle w:val="Hyperlink"/>
          </w:rPr>
          <w:t>https://www.dsca.mil/programs/foreign-military-sales-fms</w:t>
        </w:r>
      </w:hyperlink>
    </w:p>
    <w:p w14:paraId="7618634C" w14:textId="77777777" w:rsidR="00B61A63" w:rsidRDefault="00B61A63" w:rsidP="00B61A63">
      <w:r>
        <w:t xml:space="preserve">Foreign Military Sales (FMS) </w:t>
      </w:r>
      <w:r w:rsidRPr="00205835">
        <w:rPr>
          <w:rStyle w:val="StyleUnderline"/>
        </w:rPr>
        <w:t>The Foreign Military Sales</w:t>
      </w:r>
      <w:r>
        <w:t xml:space="preserve"> (FMS) </w:t>
      </w:r>
      <w:r w:rsidRPr="00205835">
        <w:rPr>
          <w:rStyle w:val="StyleUnderline"/>
        </w:rPr>
        <w:t>program is a form of security assistance</w:t>
      </w:r>
      <w:r>
        <w:t xml:space="preserve"> authorized by the Arms Export Control Act (AECA), as amended [22 U.S.C. 2751, et. seq.] and a fundamental tool of U.S. foreign policy. Under Section 3, of the AECA, </w:t>
      </w:r>
      <w:r w:rsidRPr="00205835">
        <w:rPr>
          <w:rStyle w:val="StyleUnderline"/>
        </w:rPr>
        <w:t>the U.S. may sell defense articles and services to foreign countries and international organizations when the President formally finds that to do so will strengthen the security of the U.S. and promote world peace</w:t>
      </w:r>
      <w:r>
        <w:t xml:space="preserve">. </w:t>
      </w:r>
      <w:r w:rsidRPr="00205835">
        <w:rPr>
          <w:rStyle w:val="StyleUnderline"/>
        </w:rPr>
        <w:t>Under FMS, the U.S. Government and a foreign government enter into a government-to-government agreement called a Letter of Offer and Acceptance</w:t>
      </w:r>
      <w:r>
        <w:t xml:space="preserve"> (LOA). Who: Secretary of State determines which countries will have </w:t>
      </w:r>
      <w:proofErr w:type="gramStart"/>
      <w:r>
        <w:t>programs.</w:t>
      </w:r>
      <w:proofErr w:type="gramEnd"/>
      <w:r>
        <w:t xml:space="preserve"> Secretary of Defense executes the program. </w:t>
      </w:r>
      <w:r w:rsidRPr="00205835">
        <w:rPr>
          <w:rStyle w:val="StyleUnderline"/>
        </w:rPr>
        <w:t>Funding:</w:t>
      </w:r>
      <w:r>
        <w:rPr>
          <w:rStyle w:val="StyleUnderline"/>
        </w:rPr>
        <w:t xml:space="preserve"> </w:t>
      </w:r>
      <w:r w:rsidRPr="00205835">
        <w:rPr>
          <w:rStyle w:val="StyleUnderline"/>
        </w:rPr>
        <w:t>May be funded by country national funds or U.S. Government funds</w:t>
      </w:r>
      <w:r>
        <w:t>.</w:t>
      </w:r>
    </w:p>
    <w:p w14:paraId="20A646A9" w14:textId="77777777" w:rsidR="00B61A63" w:rsidRDefault="00B61A63" w:rsidP="00B61A63">
      <w:pPr>
        <w:pStyle w:val="Heading3"/>
      </w:pPr>
      <w:r>
        <w:t>Topic Education</w:t>
      </w:r>
    </w:p>
    <w:p w14:paraId="25F1722D" w14:textId="77777777" w:rsidR="00B61A63" w:rsidRDefault="00B61A63" w:rsidP="00B61A63">
      <w:pPr>
        <w:pStyle w:val="Heading4"/>
      </w:pPr>
      <w:r>
        <w:t>There are real material impacts to disseminating technical knowledge about arms sales practices to the public</w:t>
      </w:r>
    </w:p>
    <w:p w14:paraId="3AB5E557" w14:textId="77777777" w:rsidR="00B61A63" w:rsidRPr="00B61A63" w:rsidRDefault="00B61A63" w:rsidP="00B61A63">
      <w:pPr>
        <w:rPr>
          <w:rStyle w:val="Style13ptBold"/>
        </w:rPr>
      </w:pPr>
      <w:r w:rsidRPr="00B61A63">
        <w:rPr>
          <w:rStyle w:val="Style13ptBold"/>
        </w:rPr>
        <w:t>McDonald 16</w:t>
      </w:r>
    </w:p>
    <w:p w14:paraId="6F2C0EE6" w14:textId="77777777" w:rsidR="00B61A63" w:rsidRPr="00B61A63" w:rsidRDefault="00B61A63" w:rsidP="00B61A63">
      <w:pPr>
        <w:rPr>
          <w:sz w:val="16"/>
          <w:szCs w:val="16"/>
        </w:rPr>
      </w:pPr>
      <w:r w:rsidRPr="00B61A63">
        <w:rPr>
          <w:sz w:val="16"/>
          <w:szCs w:val="16"/>
        </w:rPr>
        <w:t xml:space="preserve">Anna McDonald (director of the Control Arms Secretariat, </w:t>
      </w:r>
      <w:proofErr w:type="spellStart"/>
      <w:r w:rsidRPr="00B61A63">
        <w:rPr>
          <w:sz w:val="16"/>
          <w:szCs w:val="16"/>
        </w:rPr>
        <w:t>co-ordinating</w:t>
      </w:r>
      <w:proofErr w:type="spellEnd"/>
      <w:r w:rsidRPr="00B61A63">
        <w:rPr>
          <w:sz w:val="16"/>
          <w:szCs w:val="16"/>
        </w:rPr>
        <w:t xml:space="preserve"> and supporting the work of the international Control Arms Coalition. She has a long history of working on arms and conflict issues, including in her role as head of arms control at Oxfam for many years.) The Guardian: Greater transparency around the arms trade would save countless lives </w:t>
      </w:r>
      <w:hyperlink r:id="rId19" w:history="1">
        <w:r w:rsidRPr="00B61A63">
          <w:rPr>
            <w:rStyle w:val="Hyperlink"/>
            <w:sz w:val="16"/>
            <w:szCs w:val="16"/>
          </w:rPr>
          <w:t>https://www.theguardian.com/commentisfree/2016/aug/24/greater-transparency-arms-trade-save-lives 6/24/16</w:t>
        </w:r>
      </w:hyperlink>
      <w:r w:rsidRPr="00B61A63">
        <w:rPr>
          <w:sz w:val="16"/>
          <w:szCs w:val="16"/>
        </w:rPr>
        <w:t xml:space="preserve"> [aw]</w:t>
      </w:r>
    </w:p>
    <w:p w14:paraId="084474A9" w14:textId="77777777" w:rsidR="00B61A63" w:rsidRPr="00B61A63" w:rsidRDefault="00B61A63" w:rsidP="00B61A63">
      <w:pPr>
        <w:rPr>
          <w:sz w:val="16"/>
        </w:rPr>
      </w:pPr>
      <w:r w:rsidRPr="00B61A63">
        <w:rPr>
          <w:rStyle w:val="StyleUnderline"/>
        </w:rPr>
        <w:t>Horrific images of bloodshed from across the world have kept coming all summer.</w:t>
      </w:r>
      <w:r w:rsidRPr="00B61A63">
        <w:rPr>
          <w:sz w:val="16"/>
        </w:rPr>
        <w:t xml:space="preserve"> The photo of five-year-old </w:t>
      </w:r>
      <w:proofErr w:type="spellStart"/>
      <w:r w:rsidRPr="00B61A63">
        <w:rPr>
          <w:sz w:val="16"/>
        </w:rPr>
        <w:t>Omran</w:t>
      </w:r>
      <w:proofErr w:type="spellEnd"/>
      <w:r w:rsidRPr="00B61A63">
        <w:rPr>
          <w:sz w:val="16"/>
        </w:rPr>
        <w:t xml:space="preserve"> </w:t>
      </w:r>
      <w:proofErr w:type="spellStart"/>
      <w:r w:rsidRPr="00B61A63">
        <w:rPr>
          <w:sz w:val="16"/>
        </w:rPr>
        <w:t>Daqneesh</w:t>
      </w:r>
      <w:proofErr w:type="spellEnd"/>
      <w:r w:rsidRPr="00B61A63">
        <w:rPr>
          <w:sz w:val="16"/>
        </w:rPr>
        <w:t>, in shock after being dragged from the rubble of his home in Aleppo, stunned the world, as have images of devastated families made homeless or left in mourning by Saudi airstrikes on Yemen.</w:t>
      </w:r>
    </w:p>
    <w:p w14:paraId="453C2879" w14:textId="77777777" w:rsidR="00B61A63" w:rsidRPr="00B61A63" w:rsidRDefault="00B61A63" w:rsidP="00B61A63">
      <w:pPr>
        <w:rPr>
          <w:rStyle w:val="StyleUnderline"/>
        </w:rPr>
      </w:pPr>
      <w:r w:rsidRPr="00B61A63">
        <w:rPr>
          <w:sz w:val="16"/>
        </w:rPr>
        <w:t xml:space="preserve">Little </w:t>
      </w:r>
      <w:proofErr w:type="spellStart"/>
      <w:r w:rsidRPr="00B61A63">
        <w:rPr>
          <w:sz w:val="16"/>
        </w:rPr>
        <w:t>Omran</w:t>
      </w:r>
      <w:proofErr w:type="spellEnd"/>
      <w:r w:rsidRPr="00B61A63">
        <w:rPr>
          <w:sz w:val="16"/>
        </w:rPr>
        <w:t xml:space="preserve"> exemplified the horror of Syria’s lengthy and bloody civil war. Many people looked at that photo and thought, “I wish could do something.” </w:t>
      </w:r>
      <w:r w:rsidRPr="00B61A63">
        <w:rPr>
          <w:rStyle w:val="StyleUnderline"/>
        </w:rPr>
        <w:t>This week, in Geneva, a major conference is taking place that is full of people who do have the power to bring an end to the arms sales that are making so many suffer.</w:t>
      </w:r>
    </w:p>
    <w:p w14:paraId="2FE982D3" w14:textId="77777777" w:rsidR="00B61A63" w:rsidRPr="00B61A63" w:rsidRDefault="00B61A63" w:rsidP="00B61A63">
      <w:pPr>
        <w:rPr>
          <w:sz w:val="16"/>
          <w:szCs w:val="16"/>
        </w:rPr>
      </w:pPr>
      <w:r w:rsidRPr="00B61A63">
        <w:rPr>
          <w:sz w:val="16"/>
          <w:szCs w:val="16"/>
        </w:rPr>
        <w:t>The Arms Trade Treaty is a relatively new UN treaty. It became international law in December 2014 and its annual Conference of States Parties brings together all the governments that have joined the treaty to debate its implementation and impact. The treaty brings some much-needed regulation to the $100bn global arms trade. The elephant in the room here is the fact that in Yemen civilians are dying every day because bombs, provided to Saudi Arabia by states sitting around the table, are being dropped on them.</w:t>
      </w:r>
    </w:p>
    <w:p w14:paraId="2C4C9C77" w14:textId="77777777" w:rsidR="00B61A63" w:rsidRPr="00B61A63" w:rsidRDefault="00B61A63" w:rsidP="00B61A63">
      <w:pPr>
        <w:rPr>
          <w:sz w:val="16"/>
          <w:szCs w:val="16"/>
        </w:rPr>
      </w:pPr>
      <w:r w:rsidRPr="00B61A63">
        <w:rPr>
          <w:sz w:val="16"/>
          <w:szCs w:val="16"/>
        </w:rPr>
        <w:t xml:space="preserve">Earlier this year, campaign group Control Arms </w:t>
      </w:r>
      <w:proofErr w:type="spellStart"/>
      <w:r w:rsidRPr="00B61A63">
        <w:rPr>
          <w:sz w:val="16"/>
          <w:szCs w:val="16"/>
        </w:rPr>
        <w:t>analysed</w:t>
      </w:r>
      <w:proofErr w:type="spellEnd"/>
      <w:r w:rsidRPr="00B61A63">
        <w:rPr>
          <w:sz w:val="16"/>
          <w:szCs w:val="16"/>
        </w:rPr>
        <w:t xml:space="preserve"> arms transfers to Saudi Arabia in the context of the Yemen crisis. We found nine parties to the ATT issued </w:t>
      </w:r>
      <w:proofErr w:type="spellStart"/>
      <w:r w:rsidRPr="00B61A63">
        <w:rPr>
          <w:sz w:val="16"/>
          <w:szCs w:val="16"/>
        </w:rPr>
        <w:t>licences</w:t>
      </w:r>
      <w:proofErr w:type="spellEnd"/>
      <w:r w:rsidRPr="00B61A63">
        <w:rPr>
          <w:sz w:val="16"/>
          <w:szCs w:val="16"/>
        </w:rPr>
        <w:t xml:space="preserve"> or carried out arms exports to Saudi Arabia in 2015: France, Germany, Italy, Montenegro, the Netherlands, Spain, Sweden, Switzerland and the UK, as well as two signatories, Turkey and the US. These sales and </w:t>
      </w:r>
      <w:proofErr w:type="spellStart"/>
      <w:r w:rsidRPr="00B61A63">
        <w:rPr>
          <w:sz w:val="16"/>
          <w:szCs w:val="16"/>
        </w:rPr>
        <w:t>licences</w:t>
      </w:r>
      <w:proofErr w:type="spellEnd"/>
      <w:r w:rsidRPr="00B61A63">
        <w:rPr>
          <w:sz w:val="16"/>
          <w:szCs w:val="16"/>
        </w:rPr>
        <w:t xml:space="preserve"> </w:t>
      </w:r>
      <w:proofErr w:type="spellStart"/>
      <w:r w:rsidRPr="00B61A63">
        <w:rPr>
          <w:sz w:val="16"/>
          <w:szCs w:val="16"/>
        </w:rPr>
        <w:t>totalled</w:t>
      </w:r>
      <w:proofErr w:type="spellEnd"/>
      <w:r w:rsidRPr="00B61A63">
        <w:rPr>
          <w:sz w:val="16"/>
          <w:szCs w:val="16"/>
        </w:rPr>
        <w:t xml:space="preserve"> more than US$25bn and included bombs, rockets and missiles – just like those falling on the people of Yemen.</w:t>
      </w:r>
    </w:p>
    <w:p w14:paraId="121B4378" w14:textId="77777777" w:rsidR="00B61A63" w:rsidRPr="00B61A63" w:rsidRDefault="00B61A63" w:rsidP="00B61A63">
      <w:pPr>
        <w:rPr>
          <w:rStyle w:val="StyleUnderline"/>
        </w:rPr>
      </w:pPr>
      <w:r w:rsidRPr="00B61A63">
        <w:rPr>
          <w:rStyle w:val="StyleUnderline"/>
        </w:rPr>
        <w:t xml:space="preserve">Some states, specifically the Netherlands, Switzerland and Sweden, have tightened up their export controls in response to the crisis in Yemen; but several, notably the UK, US and France, are continuing with business as usual, </w:t>
      </w:r>
      <w:r w:rsidRPr="00B61A63">
        <w:rPr>
          <w:sz w:val="16"/>
        </w:rPr>
        <w:t xml:space="preserve">violating the treaty in plain sight. Whether for profit or diplomatic gain, this is appalling hypocrisy. It is also illegal. </w:t>
      </w:r>
      <w:r w:rsidRPr="00B61A63">
        <w:rPr>
          <w:rStyle w:val="StyleUnderline"/>
        </w:rPr>
        <w:t xml:space="preserve">The UK, in a statement to the conference, confirmed its unerring commitment to the ATT, and chided those who might </w:t>
      </w:r>
      <w:proofErr w:type="spellStart"/>
      <w:r w:rsidRPr="00B61A63">
        <w:rPr>
          <w:rStyle w:val="StyleUnderline"/>
        </w:rPr>
        <w:t>criticise</w:t>
      </w:r>
      <w:proofErr w:type="spellEnd"/>
      <w:r w:rsidRPr="00B61A63">
        <w:rPr>
          <w:rStyle w:val="StyleUnderline"/>
        </w:rPr>
        <w:t xml:space="preserve"> treaty violators because “this could deter others joining”. Perhaps not violating the treaty would be a better way to discourage criticism.</w:t>
      </w:r>
    </w:p>
    <w:p w14:paraId="3AF81BF3" w14:textId="77777777" w:rsidR="00B61A63" w:rsidRPr="00B61A63" w:rsidRDefault="00B61A63" w:rsidP="00B61A63">
      <w:pPr>
        <w:rPr>
          <w:sz w:val="16"/>
          <w:szCs w:val="16"/>
        </w:rPr>
      </w:pPr>
      <w:r w:rsidRPr="00B61A63">
        <w:rPr>
          <w:sz w:val="16"/>
          <w:szCs w:val="16"/>
        </w:rPr>
        <w:t xml:space="preserve">The ATT prohibits arms deals where there can be reasonable knowledge the arms will be used in violations of international humanitarian law. Reports from UN </w:t>
      </w:r>
      <w:proofErr w:type="spellStart"/>
      <w:proofErr w:type="gramStart"/>
      <w:r w:rsidRPr="00B61A63">
        <w:rPr>
          <w:sz w:val="16"/>
          <w:szCs w:val="16"/>
        </w:rPr>
        <w:t>experts,The</w:t>
      </w:r>
      <w:proofErr w:type="spellEnd"/>
      <w:proofErr w:type="gramEnd"/>
      <w:r w:rsidRPr="00B61A63">
        <w:rPr>
          <w:sz w:val="16"/>
          <w:szCs w:val="16"/>
        </w:rPr>
        <w:t xml:space="preserve"> ATT prohibits arms deals where there can be reasonable knowledge the arms will be used in violations of international humanitarian law. Reports from UN experts, human rights groups and news reports of bombings of schools, hospitals and mosques could not make this clearer.</w:t>
      </w:r>
    </w:p>
    <w:p w14:paraId="5B550C72" w14:textId="77777777" w:rsidR="00B61A63" w:rsidRPr="00B61A63" w:rsidRDefault="00B61A63" w:rsidP="00B61A63">
      <w:pPr>
        <w:rPr>
          <w:rStyle w:val="Emphasis"/>
        </w:rPr>
      </w:pPr>
      <w:r w:rsidRPr="00B61A63">
        <w:rPr>
          <w:rStyle w:val="Emphasis"/>
        </w:rPr>
        <w:t>The arms trade has operated in the shadows for decades</w:t>
      </w:r>
      <w:r w:rsidRPr="00B61A63">
        <w:rPr>
          <w:sz w:val="16"/>
        </w:rPr>
        <w:t xml:space="preserve">. With the ATT in force, arms deals may not be made covertly any more. Each state must submit an annual report that declares which transfers have been </w:t>
      </w:r>
      <w:proofErr w:type="spellStart"/>
      <w:r w:rsidRPr="00B61A63">
        <w:rPr>
          <w:sz w:val="16"/>
        </w:rPr>
        <w:t>authorised</w:t>
      </w:r>
      <w:proofErr w:type="spellEnd"/>
      <w:r w:rsidRPr="00B61A63">
        <w:rPr>
          <w:sz w:val="16"/>
        </w:rPr>
        <w:t xml:space="preserve">. This week, </w:t>
      </w:r>
      <w:r w:rsidRPr="00B61A63">
        <w:rPr>
          <w:rStyle w:val="Emphasis"/>
        </w:rPr>
        <w:t>states will also decide whether these reports should be made public or stay secret. There should be no question about this. They shouldn’t even be given a choice. Reports must be made publicly available.</w:t>
      </w:r>
    </w:p>
    <w:p w14:paraId="68CB6314" w14:textId="77777777" w:rsidR="00B61A63" w:rsidRPr="00B61A63" w:rsidRDefault="00B61A63" w:rsidP="00B61A63">
      <w:pPr>
        <w:rPr>
          <w:sz w:val="16"/>
        </w:rPr>
      </w:pPr>
      <w:r w:rsidRPr="00B61A63">
        <w:rPr>
          <w:rStyle w:val="Emphasis"/>
        </w:rPr>
        <w:t>Greater transparency can help stop illegal sales, reduce the risk of arms being diverted to terrorist groups and criminals; stop the flood of weapons to human rights abusers, and stop the arms that are being used to violate humanitarian law in too many communities on too many days. It’s time to shine a light on this deadly trade</w:t>
      </w:r>
      <w:r w:rsidRPr="00B61A63">
        <w:rPr>
          <w:sz w:val="16"/>
        </w:rPr>
        <w:t>.</w:t>
      </w:r>
    </w:p>
    <w:p w14:paraId="5DA4E528" w14:textId="77777777" w:rsidR="00B61A63" w:rsidRPr="00B61A63" w:rsidRDefault="00B61A63" w:rsidP="00B61A63">
      <w:pPr>
        <w:rPr>
          <w:sz w:val="16"/>
        </w:rPr>
      </w:pPr>
      <w:proofErr w:type="gramStart"/>
      <w:r w:rsidRPr="00B61A63">
        <w:rPr>
          <w:sz w:val="16"/>
        </w:rPr>
        <w:t>So</w:t>
      </w:r>
      <w:proofErr w:type="gramEnd"/>
      <w:r w:rsidRPr="00B61A63">
        <w:rPr>
          <w:sz w:val="16"/>
        </w:rPr>
        <w:t xml:space="preserve"> this week, </w:t>
      </w:r>
      <w:r w:rsidRPr="00B61A63">
        <w:rPr>
          <w:rStyle w:val="Emphasis"/>
        </w:rPr>
        <w:t>the stakes could not be higher. The arms trade is big business for many states – but for so many people around the world it’s so much more. What happens in Geneva is a matter of life or death.</w:t>
      </w:r>
    </w:p>
    <w:p w14:paraId="19F82924" w14:textId="77777777" w:rsidR="00B61A63" w:rsidRDefault="00E858BB" w:rsidP="00B61A63">
      <w:pPr>
        <w:pStyle w:val="Heading4"/>
      </w:pPr>
      <w:r>
        <w:t>Our interpretation is key to ensure interrogation of government practices regarding arms sales, facilitate critical thinking skills in the context of policy decisions, and check executive overreach</w:t>
      </w:r>
    </w:p>
    <w:p w14:paraId="604F1C59" w14:textId="77777777" w:rsidR="00E858BB" w:rsidRPr="00E858BB" w:rsidRDefault="00E858BB" w:rsidP="00E858BB">
      <w:pPr>
        <w:rPr>
          <w:rStyle w:val="Style13ptBold"/>
        </w:rPr>
      </w:pPr>
      <w:proofErr w:type="spellStart"/>
      <w:r w:rsidRPr="00E858BB">
        <w:rPr>
          <w:rStyle w:val="Style13ptBold"/>
        </w:rPr>
        <w:t>Stavrianakis</w:t>
      </w:r>
      <w:proofErr w:type="spellEnd"/>
      <w:r w:rsidRPr="00E858BB">
        <w:rPr>
          <w:rStyle w:val="Style13ptBold"/>
        </w:rPr>
        <w:t xml:space="preserve"> 18</w:t>
      </w:r>
    </w:p>
    <w:p w14:paraId="55FF6D1B" w14:textId="77777777" w:rsidR="00B61A63" w:rsidRPr="00E858BB" w:rsidRDefault="00B61A63" w:rsidP="00B61A63">
      <w:pPr>
        <w:rPr>
          <w:sz w:val="16"/>
          <w:szCs w:val="16"/>
        </w:rPr>
      </w:pPr>
      <w:r w:rsidRPr="00E858BB">
        <w:rPr>
          <w:sz w:val="16"/>
          <w:szCs w:val="16"/>
        </w:rPr>
        <w:t>ANNA STAVRIANAKIS</w:t>
      </w:r>
      <w:r w:rsidR="00E858BB" w:rsidRPr="00E858BB">
        <w:rPr>
          <w:sz w:val="16"/>
          <w:szCs w:val="16"/>
        </w:rPr>
        <w:t xml:space="preserve"> (Senior Lecturer in International Relations at the University of Sussex. Her main areas of research are the international arms trade, militarism, and critical military, security, and war studies. Most recently, she is the co-editor, with Maria Stern, of the special issue on ‘Militarism and Security: Dialogue, Possibilities and Limits’, in Security Dialogue.)</w:t>
      </w:r>
      <w:r w:rsidRPr="00E858BB">
        <w:rPr>
          <w:sz w:val="16"/>
          <w:szCs w:val="16"/>
        </w:rPr>
        <w:t xml:space="preserve"> When ‘Anxious Scrutiny’ of Arms Exports Facilitates Humanitarian Disaster. The Political Quarterly, Vol. 89, No. 1, January–March 2018 [aw]</w:t>
      </w:r>
    </w:p>
    <w:p w14:paraId="4309786E" w14:textId="77777777" w:rsidR="00B61A63" w:rsidRPr="00E858BB" w:rsidRDefault="00B61A63" w:rsidP="00B61A63">
      <w:pPr>
        <w:rPr>
          <w:sz w:val="16"/>
          <w:szCs w:val="16"/>
        </w:rPr>
      </w:pPr>
      <w:r w:rsidRPr="00E858BB">
        <w:rPr>
          <w:sz w:val="16"/>
          <w:szCs w:val="16"/>
        </w:rPr>
        <w:t>Reliance on secret information</w:t>
      </w:r>
    </w:p>
    <w:p w14:paraId="5D5DE2B6" w14:textId="77777777" w:rsidR="00B61A63" w:rsidRPr="00E858BB" w:rsidRDefault="00B61A63" w:rsidP="00B61A63">
      <w:pPr>
        <w:rPr>
          <w:sz w:val="16"/>
        </w:rPr>
      </w:pPr>
      <w:r w:rsidRPr="00E858BB">
        <w:rPr>
          <w:rStyle w:val="Emphasis"/>
        </w:rPr>
        <w:t>One of the ways in which the government has been able to claim that the risk of the misuse of weapons is not a clear risk is through the reliance on ‘sensitive’ information that could not be disclosed openly in court for ostensible national security reasons</w:t>
      </w:r>
      <w:r w:rsidRPr="00E858BB">
        <w:rPr>
          <w:sz w:val="16"/>
        </w:rPr>
        <w:t xml:space="preserve">. The judicial review hearing included closed sessions with Special Advocates, and the judges issued both a public and a closed judgment, having </w:t>
      </w:r>
      <w:proofErr w:type="spellStart"/>
      <w:r w:rsidRPr="00E858BB">
        <w:rPr>
          <w:sz w:val="16"/>
        </w:rPr>
        <w:t>scrutinised</w:t>
      </w:r>
      <w:proofErr w:type="spellEnd"/>
      <w:r w:rsidRPr="00E858BB">
        <w:rPr>
          <w:sz w:val="16"/>
        </w:rPr>
        <w:t xml:space="preserve"> the open source and closed materials. The sources of sensitive information include operational reporting data from the Saudi-led coalition, passed to the UK; MOD-sourced imagery; and intelligence reports and battle damage assessments. </w:t>
      </w:r>
      <w:r w:rsidRPr="00E858BB">
        <w:rPr>
          <w:rStyle w:val="StyleUnderline"/>
        </w:rPr>
        <w:t>The content of the sources remains unknown to outside observers and it remains unclear how it changes the interpretation of the evidence supplied in open session.</w:t>
      </w:r>
      <w:r w:rsidRPr="00E858BB">
        <w:rPr>
          <w:sz w:val="16"/>
        </w:rPr>
        <w:t xml:space="preserve"> There has been no rebuttal of the evidence supplied by CAAT, and no explanation of how the secret evidence challenges the claim that there is a ‘clear risk’ that weapons sold to Saudi Arabia ‘might’ be used in serious violations of IHL. There is a gap in the logic of the government’s argument and the judges’ judgment. On the one hand, the judges acknowledged that CAAT’s materials suggest that the </w:t>
      </w:r>
      <w:proofErr w:type="spellStart"/>
      <w:r w:rsidRPr="00E858BB">
        <w:rPr>
          <w:sz w:val="16"/>
        </w:rPr>
        <w:t>Saudiled</w:t>
      </w:r>
      <w:proofErr w:type="spellEnd"/>
      <w:r w:rsidRPr="00E858BB">
        <w:rPr>
          <w:sz w:val="16"/>
        </w:rPr>
        <w:t xml:space="preserve"> coalition has violated IHL; on the other, these materials are ‘only part of the picture’. But </w:t>
      </w:r>
      <w:r w:rsidRPr="00E858BB">
        <w:rPr>
          <w:rStyle w:val="StyleUnderline"/>
        </w:rPr>
        <w:t>there has been no explanation of how the secret information that ‘completes’ the picture changes the significance of the material already in the public domain</w:t>
      </w:r>
      <w:r w:rsidRPr="00E858BB">
        <w:rPr>
          <w:sz w:val="16"/>
        </w:rPr>
        <w:t xml:space="preserve">—and the Court accepts the government’s claim that it does not have to prove why CAAT is wrong. </w:t>
      </w:r>
      <w:r w:rsidRPr="00E858BB">
        <w:rPr>
          <w:rStyle w:val="StyleUnderline"/>
        </w:rPr>
        <w:t>This circular, self-reinforcing logic obscures more than it illuminates</w:t>
      </w:r>
      <w:r w:rsidRPr="00E858BB">
        <w:rPr>
          <w:sz w:val="16"/>
        </w:rPr>
        <w:t>.</w:t>
      </w:r>
    </w:p>
    <w:p w14:paraId="75CF3648" w14:textId="77777777" w:rsidR="00B61A63" w:rsidRPr="00E858BB" w:rsidRDefault="00B61A63" w:rsidP="00B61A63">
      <w:pPr>
        <w:rPr>
          <w:sz w:val="16"/>
        </w:rPr>
      </w:pPr>
      <w:r w:rsidRPr="00E858BB">
        <w:rPr>
          <w:sz w:val="16"/>
        </w:rPr>
        <w:t xml:space="preserve">Of course, </w:t>
      </w:r>
      <w:r w:rsidRPr="00E858BB">
        <w:rPr>
          <w:rStyle w:val="Emphasis"/>
        </w:rPr>
        <w:t>secrecy and reliance on privileged material are not new strategies when governments want to deflect criticism</w:t>
      </w:r>
      <w:r w:rsidRPr="00E858BB">
        <w:rPr>
          <w:sz w:val="16"/>
        </w:rPr>
        <w:t xml:space="preserve">. </w:t>
      </w:r>
      <w:r w:rsidRPr="00E858BB">
        <w:rPr>
          <w:rStyle w:val="StyleUnderline"/>
        </w:rPr>
        <w:t>In the arms to Iraq case, ministers ‘had deliberately run a changed policy and kept it secret out of fear that public outcry would force them to cancel the change if the truth leaked out’.</w:t>
      </w:r>
      <w:r w:rsidRPr="00E858BB">
        <w:rPr>
          <w:sz w:val="16"/>
        </w:rPr>
        <w:t xml:space="preserve"> 4 Yet even though the government used public interest immunity certificates to try and keep information out of the public eye, the Scott inquiry did chip away at blanket secrecy. Scott got access to intelligence reports, which were cited publicly, recorded and published, demonstrating that ‘intelligence material, as a category, need not be subject to secrecy’. 5 Davina Miller and Mark </w:t>
      </w:r>
      <w:proofErr w:type="spellStart"/>
      <w:r w:rsidRPr="00E858BB">
        <w:rPr>
          <w:sz w:val="16"/>
        </w:rPr>
        <w:t>Phythian</w:t>
      </w:r>
      <w:proofErr w:type="spellEnd"/>
      <w:r w:rsidRPr="00E858BB">
        <w:rPr>
          <w:sz w:val="16"/>
        </w:rPr>
        <w:t xml:space="preserve"> concluded from the Scott inquiry that ‘self-imposed secrecy results from an acceptance that only the government can assess the consequences of disclosure’. 6 They were talking about Parliament, but the same can be said of the High Court. The judges accepted the government’s claim that it was best placed to assess the consequences, but the government has a vested interest in that claim, as its </w:t>
      </w:r>
      <w:proofErr w:type="spellStart"/>
      <w:r w:rsidRPr="00E858BB">
        <w:rPr>
          <w:sz w:val="16"/>
        </w:rPr>
        <w:t>behaviour</w:t>
      </w:r>
      <w:proofErr w:type="spellEnd"/>
      <w:r w:rsidRPr="00E858BB">
        <w:rPr>
          <w:sz w:val="16"/>
        </w:rPr>
        <w:t xml:space="preserve"> in relation to other Saudi-related controversies—such as the calling off of the Serious Fraud Office inquiry, and the more recent suppression of the report into terrorist financing—suggests. </w:t>
      </w:r>
    </w:p>
    <w:p w14:paraId="29626404" w14:textId="77777777" w:rsidR="00B61A63" w:rsidRPr="00E858BB" w:rsidRDefault="00B61A63" w:rsidP="00B61A63">
      <w:pPr>
        <w:rPr>
          <w:sz w:val="16"/>
        </w:rPr>
      </w:pPr>
      <w:r w:rsidRPr="00E858BB">
        <w:rPr>
          <w:rStyle w:val="StyleUnderline"/>
        </w:rPr>
        <w:t>So far, so secret. Yet the mode in which secrecy operates is changing. Since the 1980s, and in part as a direct result of arms to Iraq, there have been developments in transparency</w:t>
      </w:r>
      <w:r w:rsidRPr="00E858BB">
        <w:rPr>
          <w:sz w:val="16"/>
        </w:rPr>
        <w:t xml:space="preserve">, as noted previously. </w:t>
      </w:r>
      <w:r w:rsidRPr="00E858BB">
        <w:rPr>
          <w:rStyle w:val="StyleUnderline"/>
        </w:rPr>
        <w:t xml:space="preserve">Whilst information is still limited, more is publicly available. Combined with social media and the immediacy of circulation of allegations, news of civilian suffering in Yemen permeates public consciousness and has generated something of a crisis </w:t>
      </w:r>
      <w:r w:rsidRPr="00E858BB">
        <w:rPr>
          <w:sz w:val="16"/>
        </w:rPr>
        <w:t xml:space="preserve">for British policy. </w:t>
      </w:r>
      <w:r w:rsidRPr="00E858BB">
        <w:rPr>
          <w:rStyle w:val="Emphasis"/>
        </w:rPr>
        <w:t xml:space="preserve">Yet in the flurry of claim and counter-claim, there remains a black box of government </w:t>
      </w:r>
      <w:proofErr w:type="spellStart"/>
      <w:r w:rsidRPr="00E858BB">
        <w:rPr>
          <w:rStyle w:val="Emphasis"/>
        </w:rPr>
        <w:t>decisionmaking</w:t>
      </w:r>
      <w:proofErr w:type="spellEnd"/>
      <w:r w:rsidRPr="00E858BB">
        <w:rPr>
          <w:rStyle w:val="Emphasis"/>
        </w:rPr>
        <w:t xml:space="preserve">: it remains entirely opaque how decisions about the threshold of risk are made. </w:t>
      </w:r>
      <w:r w:rsidRPr="00E858BB">
        <w:rPr>
          <w:sz w:val="16"/>
        </w:rPr>
        <w:t>T</w:t>
      </w:r>
      <w:r w:rsidRPr="00E858BB">
        <w:rPr>
          <w:rStyle w:val="StyleUnderline"/>
        </w:rPr>
        <w:t>he policy to arm Iraq was secret; the policy to arm Saudi Arabia is an explicit component of foreign policy</w:t>
      </w:r>
      <w:r w:rsidRPr="00E858BB">
        <w:rPr>
          <w:sz w:val="16"/>
        </w:rPr>
        <w:t>. It is the ramifications of that policy that are contested, as they fly in the face of the UK’s legal obligation to protect IHL and abide by multilateral arms trade regulations. Extensive justification and legitimation work must be done so as to try to square the circle of civilian suffering in Yemen with the desire to support the Saudis.</w:t>
      </w:r>
    </w:p>
    <w:p w14:paraId="3EA3AAAC" w14:textId="77777777" w:rsidR="00B61A63" w:rsidRPr="00E858BB" w:rsidRDefault="00B61A63" w:rsidP="00B61A63">
      <w:pPr>
        <w:rPr>
          <w:rStyle w:val="Emphasis"/>
        </w:rPr>
      </w:pPr>
      <w:r w:rsidRPr="00E858BB">
        <w:rPr>
          <w:rStyle w:val="StyleUnderline"/>
        </w:rPr>
        <w:t>In the arms to Iraq case, there was a deliberate government policy of misleading</w:t>
      </w:r>
      <w:r w:rsidRPr="00E858BB">
        <w:rPr>
          <w:sz w:val="16"/>
        </w:rPr>
        <w:t xml:space="preserve"> Parliament. In the Saudi case</w:t>
      </w:r>
      <w:r w:rsidRPr="00E858BB">
        <w:rPr>
          <w:rStyle w:val="StyleUnderline"/>
        </w:rPr>
        <w:t>, in addition to the use of closed sessions to look at secret information, and the extensive redaction of any materials released into the public domain, there has also been a rewriting of the official record</w:t>
      </w:r>
      <w:r w:rsidRPr="00E858BB">
        <w:rPr>
          <w:sz w:val="16"/>
        </w:rPr>
        <w:t xml:space="preserve">. In the last hours of the last day of Parliament in summer 2016, the Foreign Office issued a set of corrections to its statements about arms exports to Saudi Arabia, changing its position from one of certainty that the coalition had not breached IHL, to one of uncertainty—that ‘we have not assessed that there has been a breach’. 7 Media and Parliamentary </w:t>
      </w:r>
      <w:proofErr w:type="spellStart"/>
      <w:r w:rsidRPr="00E858BB">
        <w:rPr>
          <w:sz w:val="16"/>
        </w:rPr>
        <w:t>furore</w:t>
      </w:r>
      <w:proofErr w:type="spellEnd"/>
      <w:r w:rsidRPr="00E858BB">
        <w:rPr>
          <w:sz w:val="16"/>
        </w:rPr>
        <w:t xml:space="preserve"> ensued; yet the government’s explanation that a few responses had been </w:t>
      </w:r>
      <w:proofErr w:type="spellStart"/>
      <w:r w:rsidRPr="00E858BB">
        <w:rPr>
          <w:sz w:val="16"/>
        </w:rPr>
        <w:t>misdrafted</w:t>
      </w:r>
      <w:proofErr w:type="spellEnd"/>
      <w:r w:rsidRPr="00E858BB">
        <w:rPr>
          <w:sz w:val="16"/>
        </w:rPr>
        <w:t xml:space="preserve"> was accepted by the High Court judges, who described them as ‘infelicities of expression which, when pointed out, were </w:t>
      </w:r>
      <w:r w:rsidRPr="00E858BB">
        <w:rPr>
          <w:rStyle w:val="StyleUnderline"/>
        </w:rPr>
        <w:t>corrected’. Even without wanting to interfere with the actions of the executive, deeper scrutiny of such a position is surely warranted in order to assess critically the government’s judgment in carrying out its policy. In addition to suppression, then, there is extensive management of information</w:t>
      </w:r>
      <w:r w:rsidRPr="00E858BB">
        <w:rPr>
          <w:rStyle w:val="Emphasis"/>
        </w:rPr>
        <w:t>. The issues from the 1980s and 1990s generated by arms trade scandals—’secrecy, the abuse of power and accountability—the fundamentals of democratic society’ —</w:t>
      </w:r>
      <w:proofErr w:type="gramStart"/>
      <w:r w:rsidRPr="00E858BB">
        <w:rPr>
          <w:rStyle w:val="Emphasis"/>
        </w:rPr>
        <w:t>remain, but</w:t>
      </w:r>
      <w:proofErr w:type="gramEnd"/>
      <w:r w:rsidRPr="00E858BB">
        <w:rPr>
          <w:rStyle w:val="Emphasis"/>
        </w:rPr>
        <w:t xml:space="preserve"> are being mediated in slightly different ways.</w:t>
      </w:r>
    </w:p>
    <w:p w14:paraId="27D74B52" w14:textId="77777777" w:rsidR="00B61A63" w:rsidRDefault="00B61A63" w:rsidP="00B61A63"/>
    <w:p w14:paraId="09716388" w14:textId="77777777" w:rsidR="00B61A63" w:rsidRDefault="00E858BB" w:rsidP="00B61A63">
      <w:pPr>
        <w:pStyle w:val="Heading4"/>
      </w:pPr>
      <w:r>
        <w:t xml:space="preserve">Interrogating policy failures and mechanisms of implementation and enforcement is key to develop an in-depth understanding of legal nuance and techniques and ensure a public capable of challenging political overreach </w:t>
      </w:r>
    </w:p>
    <w:p w14:paraId="5E040A9B" w14:textId="77777777" w:rsidR="00E858BB" w:rsidRPr="00E858BB" w:rsidRDefault="00E858BB" w:rsidP="00E858BB">
      <w:pPr>
        <w:rPr>
          <w:rStyle w:val="Style13ptBold"/>
        </w:rPr>
      </w:pPr>
      <w:proofErr w:type="spellStart"/>
      <w:r w:rsidRPr="00E858BB">
        <w:rPr>
          <w:rStyle w:val="Style13ptBold"/>
        </w:rPr>
        <w:t>Stavrianakis</w:t>
      </w:r>
      <w:proofErr w:type="spellEnd"/>
      <w:r w:rsidRPr="00E858BB">
        <w:rPr>
          <w:rStyle w:val="Style13ptBold"/>
        </w:rPr>
        <w:t xml:space="preserve"> 18</w:t>
      </w:r>
    </w:p>
    <w:p w14:paraId="5C17D0F8" w14:textId="77777777" w:rsidR="00E858BB" w:rsidRPr="00E858BB" w:rsidRDefault="00E858BB" w:rsidP="00E858BB">
      <w:pPr>
        <w:rPr>
          <w:sz w:val="16"/>
          <w:szCs w:val="16"/>
        </w:rPr>
      </w:pPr>
      <w:r w:rsidRPr="00E858BB">
        <w:rPr>
          <w:sz w:val="16"/>
          <w:szCs w:val="16"/>
        </w:rPr>
        <w:t>ANNA STAVRIANAKIS (Senior Lecturer in International Relations at the University of Sussex. Her main areas of research are the international arms trade, militarism, and critical military, security, and war studies. Most recently, she is the co-editor, with Maria Stern, of the special issue on ‘Militarism and Security: Dialogue, Possibilities and Limits’, in Security Dialogue.) When ‘Anxious Scrutiny’ of Arms Exports Facilitates Humanitarian Disaster. The Political Quarterly, Vol. 89, No. 1, January–March 2018 [aw]</w:t>
      </w:r>
    </w:p>
    <w:p w14:paraId="18B8B32E" w14:textId="77777777" w:rsidR="00B61A63" w:rsidRPr="00E858BB" w:rsidRDefault="00B61A63" w:rsidP="00B61A63">
      <w:pPr>
        <w:rPr>
          <w:sz w:val="16"/>
          <w:szCs w:val="16"/>
        </w:rPr>
      </w:pPr>
      <w:r w:rsidRPr="00E858BB">
        <w:rPr>
          <w:sz w:val="16"/>
          <w:szCs w:val="16"/>
        </w:rPr>
        <w:t>Conclusion</w:t>
      </w:r>
    </w:p>
    <w:p w14:paraId="00BEB392" w14:textId="77777777" w:rsidR="00B61A63" w:rsidRPr="00E858BB" w:rsidRDefault="00B61A63" w:rsidP="00B61A63">
      <w:pPr>
        <w:rPr>
          <w:rStyle w:val="Emphasis"/>
        </w:rPr>
      </w:pPr>
      <w:r w:rsidRPr="00E858BB">
        <w:rPr>
          <w:sz w:val="16"/>
        </w:rPr>
        <w:t xml:space="preserve">To return to the original question: </w:t>
      </w:r>
      <w:r w:rsidRPr="00E858BB">
        <w:rPr>
          <w:rStyle w:val="StyleUnderline"/>
        </w:rPr>
        <w:t>how has an explicit commitment to humanitarian law failed to protect humanitarian values, and how has a legal challenge ended up providing a stamp of approval to an arms export policy that has, to date, contributed to the deaths of thousands of civilians in Yemen? An important part of the answer is to be found in the practices illustrated by the judicial review hearing</w:t>
      </w:r>
      <w:r w:rsidRPr="00E858BB">
        <w:rPr>
          <w:sz w:val="16"/>
        </w:rPr>
        <w:t>: a</w:t>
      </w:r>
      <w:r w:rsidRPr="00E858BB">
        <w:rPr>
          <w:rStyle w:val="Emphasis"/>
        </w:rPr>
        <w:t xml:space="preserve"> flexible interpretation of risk that facilitates rather than restricts arms exports; a reliance on secret information; and deference of the court to the executive and to state definitions of the national interest. In </w:t>
      </w:r>
      <w:proofErr w:type="spellStart"/>
      <w:r w:rsidRPr="00E858BB">
        <w:rPr>
          <w:rStyle w:val="Emphasis"/>
        </w:rPr>
        <w:t>selflimiting</w:t>
      </w:r>
      <w:proofErr w:type="spellEnd"/>
      <w:r w:rsidRPr="00E858BB">
        <w:rPr>
          <w:rStyle w:val="Emphasis"/>
        </w:rPr>
        <w:t xml:space="preserve"> their role, under the rubric of attempting to </w:t>
      </w:r>
      <w:proofErr w:type="spellStart"/>
      <w:r w:rsidRPr="00E858BB">
        <w:rPr>
          <w:rStyle w:val="Emphasis"/>
        </w:rPr>
        <w:t>scrutinise</w:t>
      </w:r>
      <w:proofErr w:type="spellEnd"/>
      <w:r w:rsidRPr="00E858BB">
        <w:rPr>
          <w:rStyle w:val="Emphasis"/>
        </w:rPr>
        <w:t xml:space="preserve"> but not interfere, the judges took at face value claims that should have been opened up for scrutiny. The legal emphasis on rationality of process took precedence over debate about the substance of policy goals.</w:t>
      </w:r>
      <w:r w:rsidRPr="00E858BB">
        <w:rPr>
          <w:sz w:val="16"/>
        </w:rPr>
        <w:t xml:space="preserve"> The response from CAAT has been to appeal the judgment; it remains to be seen how higher courts will treat their claim, if it is permitted. And it remains to be seen which parliamentary committees will take up the baton of </w:t>
      </w:r>
      <w:proofErr w:type="spellStart"/>
      <w:r w:rsidRPr="00E858BB">
        <w:rPr>
          <w:sz w:val="16"/>
        </w:rPr>
        <w:t>scrutinising</w:t>
      </w:r>
      <w:proofErr w:type="spellEnd"/>
      <w:r w:rsidRPr="00E858BB">
        <w:rPr>
          <w:sz w:val="16"/>
        </w:rPr>
        <w:t xml:space="preserve"> government arms export policy, and how. </w:t>
      </w:r>
      <w:r w:rsidRPr="00E858BB">
        <w:rPr>
          <w:rStyle w:val="StyleUnderline"/>
        </w:rPr>
        <w:t>A legal strategy is appealing to activists for the opportunity it provides to expose government processes and demonstrate the disjuncture between stated goals and policy implementation.</w:t>
      </w:r>
      <w:r w:rsidRPr="00E858BB">
        <w:rPr>
          <w:sz w:val="16"/>
        </w:rPr>
        <w:t xml:space="preserve"> Yet, it also contains inherent weaknesses</w:t>
      </w:r>
      <w:r w:rsidRPr="00E858BB">
        <w:rPr>
          <w:rStyle w:val="Emphasis"/>
        </w:rPr>
        <w:t>: a legal challenge has to rely on process-based arguments over definitions and implementation, rather than explicit debate about policy goals. A risk-based framework, even one embedded in the law, can end up facilitating exports precisely because of the emphasis on judgment and flexibility.</w:t>
      </w:r>
    </w:p>
    <w:p w14:paraId="2EFBA2EF" w14:textId="77777777" w:rsidR="00B61A63" w:rsidRDefault="00B61A63" w:rsidP="00B61A63">
      <w:pPr>
        <w:rPr>
          <w:sz w:val="16"/>
        </w:rPr>
      </w:pPr>
      <w:r w:rsidRPr="00E858BB">
        <w:rPr>
          <w:rStyle w:val="StyleUnderline"/>
        </w:rPr>
        <w:t xml:space="preserve">The attempt to set the record straight and challenge denial and misrepresentation is an important strategy. </w:t>
      </w:r>
      <w:r w:rsidRPr="00E858BB">
        <w:rPr>
          <w:sz w:val="16"/>
        </w:rPr>
        <w:t xml:space="preserve">But, as Stanley Cohen argues in relation to knowledge about atrocities, </w:t>
      </w:r>
      <w:r w:rsidRPr="00E858BB">
        <w:rPr>
          <w:rStyle w:val="StyleUnderline"/>
        </w:rPr>
        <w:t>trying to expose the contradictions involved in denials ‘misses the point ... The contradictory elements form a deep structure: their relationship to each other is ideological, rather than logical’</w:t>
      </w:r>
      <w:r w:rsidRPr="00E858BB">
        <w:rPr>
          <w:sz w:val="16"/>
        </w:rPr>
        <w:t xml:space="preserve">. 9 Many of the </w:t>
      </w:r>
      <w:r w:rsidRPr="00E858BB">
        <w:rPr>
          <w:rStyle w:val="Emphasis"/>
        </w:rPr>
        <w:t>moves seen in the judicial review are classic repertoires of action to deflect criticism and deny responsibility for atrocities, in a form of interpretive denial—that is, not outright denial that extensive civilian harm has taken place in the war in Yemen, but that ‘what happened is not what you think it is’</w:t>
      </w:r>
      <w:r w:rsidRPr="00E858BB">
        <w:rPr>
          <w:sz w:val="16"/>
        </w:rPr>
        <w:t xml:space="preserve">. 10 In such an account, yes, there have been civilian deaths, but their cause and meaning is unclear, and the Saudi military is fighting Iran-backed Houthi rebels who must be stopped at all costs, and therefore there is not a clear risk that arms exports will be misused. The irony is that the judges openly stated during the hearing that </w:t>
      </w:r>
      <w:r w:rsidRPr="00E858BB">
        <w:rPr>
          <w:rStyle w:val="StyleUnderline"/>
        </w:rPr>
        <w:t>‘the role of the Court can properly take into account that there is an expectation, consistent with democratic values, that a person charged with making assessments of this kind should be politically responsible for them’</w:t>
      </w:r>
      <w:r w:rsidRPr="00E858BB">
        <w:rPr>
          <w:sz w:val="16"/>
        </w:rPr>
        <w:t xml:space="preserve">. </w:t>
      </w:r>
      <w:r w:rsidRPr="00E858BB">
        <w:rPr>
          <w:rStyle w:val="StyleUnderline"/>
        </w:rPr>
        <w:t>With this decision, accountability and political responsibility just got further away</w:t>
      </w:r>
      <w:r w:rsidRPr="00E858BB">
        <w:rPr>
          <w:sz w:val="16"/>
        </w:rPr>
        <w:t>.</w:t>
      </w:r>
    </w:p>
    <w:p w14:paraId="06A67BD4" w14:textId="77777777" w:rsidR="00EB11B8" w:rsidRPr="00EB11B8" w:rsidRDefault="00EB11B8" w:rsidP="00EB11B8">
      <w:pPr>
        <w:pStyle w:val="Heading4"/>
      </w:pPr>
      <w:r>
        <w:t>*</w:t>
      </w:r>
      <w:proofErr w:type="spellStart"/>
      <w:r>
        <w:t>Aff</w:t>
      </w:r>
      <w:proofErr w:type="spellEnd"/>
      <w:r>
        <w:t xml:space="preserve"> answers are in Israel file*</w:t>
      </w:r>
    </w:p>
    <w:sectPr w:rsidR="00EB11B8" w:rsidRPr="00EB11B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6"/>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61A6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1DED"/>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2427"/>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1A63"/>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B31C0"/>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858BB"/>
    <w:rsid w:val="00E903E0"/>
    <w:rsid w:val="00EA1115"/>
    <w:rsid w:val="00EA39EB"/>
    <w:rsid w:val="00EA58CE"/>
    <w:rsid w:val="00EB11B8"/>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EA566"/>
  <w14:defaultImageDpi w14:val="300"/>
  <w15:docId w15:val="{C4B370DE-27FC-464E-B52E-859AAAD12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B31C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CB31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B31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B31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B31C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B31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31C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B31C0"/>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CB31C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B31C0"/>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Intense Emphasis111,Intense Emphasis1111,Intense Emphasis11111,Cards + Font: 12 pt Char"/>
    <w:basedOn w:val="DefaultParagraphFont"/>
    <w:uiPriority w:val="6"/>
    <w:qFormat/>
    <w:rsid w:val="00CB31C0"/>
    <w:rPr>
      <w:b w:val="0"/>
      <w:sz w:val="22"/>
      <w:u w:val="single"/>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
    <w:basedOn w:val="DefaultParagraphFont"/>
    <w:link w:val="textbold"/>
    <w:uiPriority w:val="7"/>
    <w:qFormat/>
    <w:rsid w:val="00CB31C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B31C0"/>
    <w:rPr>
      <w:color w:val="auto"/>
      <w:u w:val="none"/>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
    <w:basedOn w:val="DefaultParagraphFont"/>
    <w:uiPriority w:val="99"/>
    <w:unhideWhenUsed/>
    <w:rsid w:val="00CB31C0"/>
    <w:rPr>
      <w:color w:val="auto"/>
      <w:u w:val="none"/>
    </w:rPr>
  </w:style>
  <w:style w:type="paragraph" w:styleId="DocumentMap">
    <w:name w:val="Document Map"/>
    <w:basedOn w:val="Normal"/>
    <w:link w:val="DocumentMapChar"/>
    <w:uiPriority w:val="99"/>
    <w:semiHidden/>
    <w:unhideWhenUsed/>
    <w:rsid w:val="00B61A6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61A63"/>
    <w:rPr>
      <w:rFonts w:ascii="Lucida Grande" w:hAnsi="Lucida Grande" w:cs="Lucida Grande"/>
    </w:rPr>
  </w:style>
  <w:style w:type="paragraph" w:customStyle="1" w:styleId="textbold">
    <w:name w:val="text bold"/>
    <w:basedOn w:val="Normal"/>
    <w:link w:val="Emphasis"/>
    <w:uiPriority w:val="7"/>
    <w:qFormat/>
    <w:rsid w:val="00B61A63"/>
    <w:pPr>
      <w:ind w:left="720"/>
      <w:jc w:val="both"/>
    </w:pPr>
    <w:rPr>
      <w:rFonts w:eastAsiaTheme="minorEastAsia"/>
      <w:b/>
      <w:iCs/>
      <w:szCs w:val="24"/>
      <w:u w:val="single"/>
    </w:rPr>
  </w:style>
  <w:style w:type="character" w:styleId="UnresolvedMention">
    <w:name w:val="Unresolved Mention"/>
    <w:basedOn w:val="DefaultParagraphFont"/>
    <w:uiPriority w:val="99"/>
    <w:semiHidden/>
    <w:unhideWhenUsed/>
    <w:rsid w:val="00B61A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037240">
      <w:bodyDiv w:val="1"/>
      <w:marLeft w:val="0"/>
      <w:marRight w:val="0"/>
      <w:marTop w:val="0"/>
      <w:marBottom w:val="0"/>
      <w:divBdr>
        <w:top w:val="none" w:sz="0" w:space="0" w:color="auto"/>
        <w:left w:val="none" w:sz="0" w:space="0" w:color="auto"/>
        <w:bottom w:val="none" w:sz="0" w:space="0" w:color="auto"/>
        <w:right w:val="none" w:sz="0" w:space="0" w:color="auto"/>
      </w:divBdr>
    </w:div>
    <w:div w:id="1793161269">
      <w:bodyDiv w:val="1"/>
      <w:marLeft w:val="0"/>
      <w:marRight w:val="0"/>
      <w:marTop w:val="0"/>
      <w:marBottom w:val="0"/>
      <w:divBdr>
        <w:top w:val="none" w:sz="0" w:space="0" w:color="auto"/>
        <w:left w:val="none" w:sz="0" w:space="0" w:color="auto"/>
        <w:bottom w:val="none" w:sz="0" w:space="0" w:color="auto"/>
        <w:right w:val="none" w:sz="0" w:space="0" w:color="auto"/>
      </w:divBdr>
      <w:divsChild>
        <w:div w:id="611058172">
          <w:marLeft w:val="0"/>
          <w:marRight w:val="0"/>
          <w:marTop w:val="0"/>
          <w:marBottom w:val="0"/>
          <w:divBdr>
            <w:top w:val="none" w:sz="0" w:space="0" w:color="auto"/>
            <w:left w:val="none" w:sz="0" w:space="0" w:color="auto"/>
            <w:bottom w:val="none" w:sz="0" w:space="0" w:color="auto"/>
            <w:right w:val="none" w:sz="0" w:space="0" w:color="auto"/>
          </w:divBdr>
        </w:div>
        <w:div w:id="978539474">
          <w:marLeft w:val="0"/>
          <w:marRight w:val="0"/>
          <w:marTop w:val="0"/>
          <w:marBottom w:val="0"/>
          <w:divBdr>
            <w:top w:val="none" w:sz="0" w:space="0" w:color="auto"/>
            <w:left w:val="none" w:sz="0" w:space="0" w:color="auto"/>
            <w:bottom w:val="none" w:sz="0" w:space="0" w:color="auto"/>
            <w:right w:val="none" w:sz="0" w:space="0" w:color="auto"/>
          </w:divBdr>
        </w:div>
        <w:div w:id="1352029176">
          <w:marLeft w:val="0"/>
          <w:marRight w:val="0"/>
          <w:marTop w:val="0"/>
          <w:marBottom w:val="0"/>
          <w:divBdr>
            <w:top w:val="none" w:sz="0" w:space="0" w:color="auto"/>
            <w:left w:val="none" w:sz="0" w:space="0" w:color="auto"/>
            <w:bottom w:val="none" w:sz="0" w:space="0" w:color="auto"/>
            <w:right w:val="none" w:sz="0" w:space="0" w:color="auto"/>
          </w:divBdr>
        </w:div>
        <w:div w:id="1882398364">
          <w:marLeft w:val="0"/>
          <w:marRight w:val="0"/>
          <w:marTop w:val="0"/>
          <w:marBottom w:val="0"/>
          <w:divBdr>
            <w:top w:val="none" w:sz="0" w:space="0" w:color="auto"/>
            <w:left w:val="none" w:sz="0" w:space="0" w:color="auto"/>
            <w:bottom w:val="none" w:sz="0" w:space="0" w:color="auto"/>
            <w:right w:val="none" w:sz="0" w:space="0" w:color="auto"/>
          </w:divBdr>
        </w:div>
        <w:div w:id="1503544214">
          <w:marLeft w:val="0"/>
          <w:marRight w:val="0"/>
          <w:marTop w:val="0"/>
          <w:marBottom w:val="0"/>
          <w:divBdr>
            <w:top w:val="none" w:sz="0" w:space="0" w:color="auto"/>
            <w:left w:val="none" w:sz="0" w:space="0" w:color="auto"/>
            <w:bottom w:val="none" w:sz="0" w:space="0" w:color="auto"/>
            <w:right w:val="none" w:sz="0" w:space="0" w:color="auto"/>
          </w:divBdr>
        </w:div>
        <w:div w:id="1716346427">
          <w:marLeft w:val="0"/>
          <w:marRight w:val="0"/>
          <w:marTop w:val="0"/>
          <w:marBottom w:val="0"/>
          <w:divBdr>
            <w:top w:val="none" w:sz="0" w:space="0" w:color="auto"/>
            <w:left w:val="none" w:sz="0" w:space="0" w:color="auto"/>
            <w:bottom w:val="none" w:sz="0" w:space="0" w:color="auto"/>
            <w:right w:val="none" w:sz="0" w:space="0" w:color="auto"/>
          </w:divBdr>
        </w:div>
        <w:div w:id="449016332">
          <w:marLeft w:val="0"/>
          <w:marRight w:val="0"/>
          <w:marTop w:val="0"/>
          <w:marBottom w:val="0"/>
          <w:divBdr>
            <w:top w:val="none" w:sz="0" w:space="0" w:color="auto"/>
            <w:left w:val="none" w:sz="0" w:space="0" w:color="auto"/>
            <w:bottom w:val="none" w:sz="0" w:space="0" w:color="auto"/>
            <w:right w:val="none" w:sz="0" w:space="0" w:color="auto"/>
          </w:divBdr>
        </w:div>
        <w:div w:id="1604530069">
          <w:marLeft w:val="0"/>
          <w:marRight w:val="0"/>
          <w:marTop w:val="0"/>
          <w:marBottom w:val="0"/>
          <w:divBdr>
            <w:top w:val="none" w:sz="0" w:space="0" w:color="auto"/>
            <w:left w:val="none" w:sz="0" w:space="0" w:color="auto"/>
            <w:bottom w:val="none" w:sz="0" w:space="0" w:color="auto"/>
            <w:right w:val="none" w:sz="0" w:space="0" w:color="auto"/>
          </w:divBdr>
        </w:div>
        <w:div w:id="1961498680">
          <w:marLeft w:val="0"/>
          <w:marRight w:val="0"/>
          <w:marTop w:val="0"/>
          <w:marBottom w:val="0"/>
          <w:divBdr>
            <w:top w:val="none" w:sz="0" w:space="0" w:color="auto"/>
            <w:left w:val="none" w:sz="0" w:space="0" w:color="auto"/>
            <w:bottom w:val="none" w:sz="0" w:space="0" w:color="auto"/>
            <w:right w:val="none" w:sz="0" w:space="0" w:color="auto"/>
          </w:divBdr>
        </w:div>
        <w:div w:id="750081234">
          <w:marLeft w:val="0"/>
          <w:marRight w:val="0"/>
          <w:marTop w:val="0"/>
          <w:marBottom w:val="0"/>
          <w:divBdr>
            <w:top w:val="none" w:sz="0" w:space="0" w:color="auto"/>
            <w:left w:val="none" w:sz="0" w:space="0" w:color="auto"/>
            <w:bottom w:val="none" w:sz="0" w:space="0" w:color="auto"/>
            <w:right w:val="none" w:sz="0" w:space="0" w:color="auto"/>
          </w:divBdr>
        </w:div>
        <w:div w:id="446630091">
          <w:marLeft w:val="0"/>
          <w:marRight w:val="0"/>
          <w:marTop w:val="0"/>
          <w:marBottom w:val="0"/>
          <w:divBdr>
            <w:top w:val="none" w:sz="0" w:space="0" w:color="auto"/>
            <w:left w:val="none" w:sz="0" w:space="0" w:color="auto"/>
            <w:bottom w:val="none" w:sz="0" w:space="0" w:color="auto"/>
            <w:right w:val="none" w:sz="0" w:space="0" w:color="auto"/>
          </w:divBdr>
        </w:div>
        <w:div w:id="1362051938">
          <w:marLeft w:val="0"/>
          <w:marRight w:val="0"/>
          <w:marTop w:val="0"/>
          <w:marBottom w:val="0"/>
          <w:divBdr>
            <w:top w:val="none" w:sz="0" w:space="0" w:color="auto"/>
            <w:left w:val="none" w:sz="0" w:space="0" w:color="auto"/>
            <w:bottom w:val="none" w:sz="0" w:space="0" w:color="auto"/>
            <w:right w:val="none" w:sz="0" w:space="0" w:color="auto"/>
          </w:divBdr>
        </w:div>
        <w:div w:id="701130992">
          <w:marLeft w:val="0"/>
          <w:marRight w:val="0"/>
          <w:marTop w:val="0"/>
          <w:marBottom w:val="0"/>
          <w:divBdr>
            <w:top w:val="none" w:sz="0" w:space="0" w:color="auto"/>
            <w:left w:val="none" w:sz="0" w:space="0" w:color="auto"/>
            <w:bottom w:val="none" w:sz="0" w:space="0" w:color="auto"/>
            <w:right w:val="none" w:sz="0" w:space="0" w:color="auto"/>
          </w:divBdr>
        </w:div>
        <w:div w:id="1846748265">
          <w:marLeft w:val="0"/>
          <w:marRight w:val="0"/>
          <w:marTop w:val="0"/>
          <w:marBottom w:val="0"/>
          <w:divBdr>
            <w:top w:val="none" w:sz="0" w:space="0" w:color="auto"/>
            <w:left w:val="none" w:sz="0" w:space="0" w:color="auto"/>
            <w:bottom w:val="none" w:sz="0" w:space="0" w:color="auto"/>
            <w:right w:val="none" w:sz="0" w:space="0" w:color="auto"/>
          </w:divBdr>
        </w:div>
        <w:div w:id="1720280986">
          <w:marLeft w:val="0"/>
          <w:marRight w:val="0"/>
          <w:marTop w:val="0"/>
          <w:marBottom w:val="0"/>
          <w:divBdr>
            <w:top w:val="none" w:sz="0" w:space="0" w:color="auto"/>
            <w:left w:val="none" w:sz="0" w:space="0" w:color="auto"/>
            <w:bottom w:val="none" w:sz="0" w:space="0" w:color="auto"/>
            <w:right w:val="none" w:sz="0" w:space="0" w:color="auto"/>
          </w:divBdr>
        </w:div>
        <w:div w:id="603878095">
          <w:marLeft w:val="0"/>
          <w:marRight w:val="0"/>
          <w:marTop w:val="0"/>
          <w:marBottom w:val="0"/>
          <w:divBdr>
            <w:top w:val="none" w:sz="0" w:space="0" w:color="auto"/>
            <w:left w:val="none" w:sz="0" w:space="0" w:color="auto"/>
            <w:bottom w:val="none" w:sz="0" w:space="0" w:color="auto"/>
            <w:right w:val="none" w:sz="0" w:space="0" w:color="auto"/>
          </w:divBdr>
        </w:div>
        <w:div w:id="686253009">
          <w:marLeft w:val="0"/>
          <w:marRight w:val="0"/>
          <w:marTop w:val="0"/>
          <w:marBottom w:val="0"/>
          <w:divBdr>
            <w:top w:val="none" w:sz="0" w:space="0" w:color="auto"/>
            <w:left w:val="none" w:sz="0" w:space="0" w:color="auto"/>
            <w:bottom w:val="none" w:sz="0" w:space="0" w:color="auto"/>
            <w:right w:val="none" w:sz="0" w:space="0" w:color="auto"/>
          </w:divBdr>
        </w:div>
        <w:div w:id="2102026919">
          <w:marLeft w:val="0"/>
          <w:marRight w:val="0"/>
          <w:marTop w:val="0"/>
          <w:marBottom w:val="0"/>
          <w:divBdr>
            <w:top w:val="none" w:sz="0" w:space="0" w:color="auto"/>
            <w:left w:val="none" w:sz="0" w:space="0" w:color="auto"/>
            <w:bottom w:val="none" w:sz="0" w:space="0" w:color="auto"/>
            <w:right w:val="none" w:sz="0" w:space="0" w:color="auto"/>
          </w:divBdr>
        </w:div>
        <w:div w:id="1363243170">
          <w:marLeft w:val="0"/>
          <w:marRight w:val="0"/>
          <w:marTop w:val="0"/>
          <w:marBottom w:val="0"/>
          <w:divBdr>
            <w:top w:val="none" w:sz="0" w:space="0" w:color="auto"/>
            <w:left w:val="none" w:sz="0" w:space="0" w:color="auto"/>
            <w:bottom w:val="none" w:sz="0" w:space="0" w:color="auto"/>
            <w:right w:val="none" w:sz="0" w:space="0" w:color="auto"/>
          </w:divBdr>
        </w:div>
        <w:div w:id="633367192">
          <w:marLeft w:val="0"/>
          <w:marRight w:val="0"/>
          <w:marTop w:val="0"/>
          <w:marBottom w:val="0"/>
          <w:divBdr>
            <w:top w:val="none" w:sz="0" w:space="0" w:color="auto"/>
            <w:left w:val="none" w:sz="0" w:space="0" w:color="auto"/>
            <w:bottom w:val="none" w:sz="0" w:space="0" w:color="auto"/>
            <w:right w:val="none" w:sz="0" w:space="0" w:color="auto"/>
          </w:divBdr>
        </w:div>
        <w:div w:id="2142579197">
          <w:marLeft w:val="0"/>
          <w:marRight w:val="0"/>
          <w:marTop w:val="0"/>
          <w:marBottom w:val="0"/>
          <w:divBdr>
            <w:top w:val="none" w:sz="0" w:space="0" w:color="auto"/>
            <w:left w:val="none" w:sz="0" w:space="0" w:color="auto"/>
            <w:bottom w:val="none" w:sz="0" w:space="0" w:color="auto"/>
            <w:right w:val="none" w:sz="0" w:space="0" w:color="auto"/>
          </w:divBdr>
        </w:div>
        <w:div w:id="1725711388">
          <w:marLeft w:val="0"/>
          <w:marRight w:val="0"/>
          <w:marTop w:val="0"/>
          <w:marBottom w:val="0"/>
          <w:divBdr>
            <w:top w:val="none" w:sz="0" w:space="0" w:color="auto"/>
            <w:left w:val="none" w:sz="0" w:space="0" w:color="auto"/>
            <w:bottom w:val="none" w:sz="0" w:space="0" w:color="auto"/>
            <w:right w:val="none" w:sz="0" w:space="0" w:color="auto"/>
          </w:divBdr>
        </w:div>
        <w:div w:id="163590247">
          <w:marLeft w:val="0"/>
          <w:marRight w:val="0"/>
          <w:marTop w:val="0"/>
          <w:marBottom w:val="0"/>
          <w:divBdr>
            <w:top w:val="none" w:sz="0" w:space="0" w:color="auto"/>
            <w:left w:val="none" w:sz="0" w:space="0" w:color="auto"/>
            <w:bottom w:val="none" w:sz="0" w:space="0" w:color="auto"/>
            <w:right w:val="none" w:sz="0" w:space="0" w:color="auto"/>
          </w:divBdr>
        </w:div>
        <w:div w:id="1918249860">
          <w:marLeft w:val="0"/>
          <w:marRight w:val="0"/>
          <w:marTop w:val="0"/>
          <w:marBottom w:val="0"/>
          <w:divBdr>
            <w:top w:val="none" w:sz="0" w:space="0" w:color="auto"/>
            <w:left w:val="none" w:sz="0" w:space="0" w:color="auto"/>
            <w:bottom w:val="none" w:sz="0" w:space="0" w:color="auto"/>
            <w:right w:val="none" w:sz="0" w:space="0" w:color="auto"/>
          </w:divBdr>
        </w:div>
        <w:div w:id="1769689781">
          <w:marLeft w:val="0"/>
          <w:marRight w:val="0"/>
          <w:marTop w:val="0"/>
          <w:marBottom w:val="0"/>
          <w:divBdr>
            <w:top w:val="none" w:sz="0" w:space="0" w:color="auto"/>
            <w:left w:val="none" w:sz="0" w:space="0" w:color="auto"/>
            <w:bottom w:val="none" w:sz="0" w:space="0" w:color="auto"/>
            <w:right w:val="none" w:sz="0" w:space="0" w:color="auto"/>
          </w:divBdr>
        </w:div>
        <w:div w:id="2094819333">
          <w:marLeft w:val="0"/>
          <w:marRight w:val="0"/>
          <w:marTop w:val="0"/>
          <w:marBottom w:val="0"/>
          <w:divBdr>
            <w:top w:val="none" w:sz="0" w:space="0" w:color="auto"/>
            <w:left w:val="none" w:sz="0" w:space="0" w:color="auto"/>
            <w:bottom w:val="none" w:sz="0" w:space="0" w:color="auto"/>
            <w:right w:val="none" w:sz="0" w:space="0" w:color="auto"/>
          </w:divBdr>
        </w:div>
        <w:div w:id="1068184680">
          <w:marLeft w:val="0"/>
          <w:marRight w:val="0"/>
          <w:marTop w:val="0"/>
          <w:marBottom w:val="0"/>
          <w:divBdr>
            <w:top w:val="none" w:sz="0" w:space="0" w:color="auto"/>
            <w:left w:val="none" w:sz="0" w:space="0" w:color="auto"/>
            <w:bottom w:val="none" w:sz="0" w:space="0" w:color="auto"/>
            <w:right w:val="none" w:sz="0" w:space="0" w:color="auto"/>
          </w:divBdr>
        </w:div>
        <w:div w:id="574125808">
          <w:marLeft w:val="0"/>
          <w:marRight w:val="0"/>
          <w:marTop w:val="0"/>
          <w:marBottom w:val="0"/>
          <w:divBdr>
            <w:top w:val="none" w:sz="0" w:space="0" w:color="auto"/>
            <w:left w:val="none" w:sz="0" w:space="0" w:color="auto"/>
            <w:bottom w:val="none" w:sz="0" w:space="0" w:color="auto"/>
            <w:right w:val="none" w:sz="0" w:space="0" w:color="auto"/>
          </w:divBdr>
        </w:div>
        <w:div w:id="88046889">
          <w:marLeft w:val="0"/>
          <w:marRight w:val="0"/>
          <w:marTop w:val="0"/>
          <w:marBottom w:val="0"/>
          <w:divBdr>
            <w:top w:val="none" w:sz="0" w:space="0" w:color="auto"/>
            <w:left w:val="none" w:sz="0" w:space="0" w:color="auto"/>
            <w:bottom w:val="none" w:sz="0" w:space="0" w:color="auto"/>
            <w:right w:val="none" w:sz="0" w:space="0" w:color="auto"/>
          </w:divBdr>
        </w:div>
        <w:div w:id="1176383693">
          <w:marLeft w:val="0"/>
          <w:marRight w:val="0"/>
          <w:marTop w:val="0"/>
          <w:marBottom w:val="0"/>
          <w:divBdr>
            <w:top w:val="none" w:sz="0" w:space="0" w:color="auto"/>
            <w:left w:val="none" w:sz="0" w:space="0" w:color="auto"/>
            <w:bottom w:val="none" w:sz="0" w:space="0" w:color="auto"/>
            <w:right w:val="none" w:sz="0" w:space="0" w:color="auto"/>
          </w:divBdr>
        </w:div>
        <w:div w:id="1240597797">
          <w:marLeft w:val="0"/>
          <w:marRight w:val="0"/>
          <w:marTop w:val="0"/>
          <w:marBottom w:val="0"/>
          <w:divBdr>
            <w:top w:val="none" w:sz="0" w:space="0" w:color="auto"/>
            <w:left w:val="none" w:sz="0" w:space="0" w:color="auto"/>
            <w:bottom w:val="none" w:sz="0" w:space="0" w:color="auto"/>
            <w:right w:val="none" w:sz="0" w:space="0" w:color="auto"/>
          </w:divBdr>
        </w:div>
        <w:div w:id="1495531585">
          <w:marLeft w:val="0"/>
          <w:marRight w:val="0"/>
          <w:marTop w:val="0"/>
          <w:marBottom w:val="0"/>
          <w:divBdr>
            <w:top w:val="none" w:sz="0" w:space="0" w:color="auto"/>
            <w:left w:val="none" w:sz="0" w:space="0" w:color="auto"/>
            <w:bottom w:val="none" w:sz="0" w:space="0" w:color="auto"/>
            <w:right w:val="none" w:sz="0" w:space="0" w:color="auto"/>
          </w:divBdr>
        </w:div>
        <w:div w:id="864097655">
          <w:marLeft w:val="0"/>
          <w:marRight w:val="0"/>
          <w:marTop w:val="0"/>
          <w:marBottom w:val="0"/>
          <w:divBdr>
            <w:top w:val="none" w:sz="0" w:space="0" w:color="auto"/>
            <w:left w:val="none" w:sz="0" w:space="0" w:color="auto"/>
            <w:bottom w:val="none" w:sz="0" w:space="0" w:color="auto"/>
            <w:right w:val="none" w:sz="0" w:space="0" w:color="auto"/>
          </w:divBdr>
        </w:div>
        <w:div w:id="133448532">
          <w:marLeft w:val="0"/>
          <w:marRight w:val="0"/>
          <w:marTop w:val="0"/>
          <w:marBottom w:val="0"/>
          <w:divBdr>
            <w:top w:val="none" w:sz="0" w:space="0" w:color="auto"/>
            <w:left w:val="none" w:sz="0" w:space="0" w:color="auto"/>
            <w:bottom w:val="none" w:sz="0" w:space="0" w:color="auto"/>
            <w:right w:val="none" w:sz="0" w:space="0" w:color="auto"/>
          </w:divBdr>
        </w:div>
        <w:div w:id="2031223906">
          <w:marLeft w:val="0"/>
          <w:marRight w:val="0"/>
          <w:marTop w:val="0"/>
          <w:marBottom w:val="0"/>
          <w:divBdr>
            <w:top w:val="none" w:sz="0" w:space="0" w:color="auto"/>
            <w:left w:val="none" w:sz="0" w:space="0" w:color="auto"/>
            <w:bottom w:val="none" w:sz="0" w:space="0" w:color="auto"/>
            <w:right w:val="none" w:sz="0" w:space="0" w:color="auto"/>
          </w:divBdr>
        </w:div>
        <w:div w:id="601452300">
          <w:marLeft w:val="0"/>
          <w:marRight w:val="0"/>
          <w:marTop w:val="0"/>
          <w:marBottom w:val="0"/>
          <w:divBdr>
            <w:top w:val="none" w:sz="0" w:space="0" w:color="auto"/>
            <w:left w:val="none" w:sz="0" w:space="0" w:color="auto"/>
            <w:bottom w:val="none" w:sz="0" w:space="0" w:color="auto"/>
            <w:right w:val="none" w:sz="0" w:space="0" w:color="auto"/>
          </w:divBdr>
        </w:div>
        <w:div w:id="1337423084">
          <w:marLeft w:val="0"/>
          <w:marRight w:val="0"/>
          <w:marTop w:val="0"/>
          <w:marBottom w:val="0"/>
          <w:divBdr>
            <w:top w:val="none" w:sz="0" w:space="0" w:color="auto"/>
            <w:left w:val="none" w:sz="0" w:space="0" w:color="auto"/>
            <w:bottom w:val="none" w:sz="0" w:space="0" w:color="auto"/>
            <w:right w:val="none" w:sz="0" w:space="0" w:color="auto"/>
          </w:divBdr>
        </w:div>
        <w:div w:id="745230121">
          <w:marLeft w:val="0"/>
          <w:marRight w:val="0"/>
          <w:marTop w:val="0"/>
          <w:marBottom w:val="0"/>
          <w:divBdr>
            <w:top w:val="none" w:sz="0" w:space="0" w:color="auto"/>
            <w:left w:val="none" w:sz="0" w:space="0" w:color="auto"/>
            <w:bottom w:val="none" w:sz="0" w:space="0" w:color="auto"/>
            <w:right w:val="none" w:sz="0" w:space="0" w:color="auto"/>
          </w:divBdr>
        </w:div>
        <w:div w:id="2044137161">
          <w:marLeft w:val="0"/>
          <w:marRight w:val="0"/>
          <w:marTop w:val="0"/>
          <w:marBottom w:val="0"/>
          <w:divBdr>
            <w:top w:val="none" w:sz="0" w:space="0" w:color="auto"/>
            <w:left w:val="none" w:sz="0" w:space="0" w:color="auto"/>
            <w:bottom w:val="none" w:sz="0" w:space="0" w:color="auto"/>
            <w:right w:val="none" w:sz="0" w:space="0" w:color="auto"/>
          </w:divBdr>
        </w:div>
        <w:div w:id="1136413761">
          <w:marLeft w:val="0"/>
          <w:marRight w:val="0"/>
          <w:marTop w:val="0"/>
          <w:marBottom w:val="0"/>
          <w:divBdr>
            <w:top w:val="none" w:sz="0" w:space="0" w:color="auto"/>
            <w:left w:val="none" w:sz="0" w:space="0" w:color="auto"/>
            <w:bottom w:val="none" w:sz="0" w:space="0" w:color="auto"/>
            <w:right w:val="none" w:sz="0" w:space="0" w:color="auto"/>
          </w:divBdr>
        </w:div>
        <w:div w:id="125589412">
          <w:marLeft w:val="0"/>
          <w:marRight w:val="0"/>
          <w:marTop w:val="0"/>
          <w:marBottom w:val="0"/>
          <w:divBdr>
            <w:top w:val="none" w:sz="0" w:space="0" w:color="auto"/>
            <w:left w:val="none" w:sz="0" w:space="0" w:color="auto"/>
            <w:bottom w:val="none" w:sz="0" w:space="0" w:color="auto"/>
            <w:right w:val="none" w:sz="0" w:space="0" w:color="auto"/>
          </w:divBdr>
        </w:div>
        <w:div w:id="1546217380">
          <w:marLeft w:val="0"/>
          <w:marRight w:val="0"/>
          <w:marTop w:val="0"/>
          <w:marBottom w:val="0"/>
          <w:divBdr>
            <w:top w:val="none" w:sz="0" w:space="0" w:color="auto"/>
            <w:left w:val="none" w:sz="0" w:space="0" w:color="auto"/>
            <w:bottom w:val="none" w:sz="0" w:space="0" w:color="auto"/>
            <w:right w:val="none" w:sz="0" w:space="0" w:color="auto"/>
          </w:divBdr>
        </w:div>
        <w:div w:id="787351980">
          <w:marLeft w:val="0"/>
          <w:marRight w:val="0"/>
          <w:marTop w:val="0"/>
          <w:marBottom w:val="0"/>
          <w:divBdr>
            <w:top w:val="none" w:sz="0" w:space="0" w:color="auto"/>
            <w:left w:val="none" w:sz="0" w:space="0" w:color="auto"/>
            <w:bottom w:val="none" w:sz="0" w:space="0" w:color="auto"/>
            <w:right w:val="none" w:sz="0" w:space="0" w:color="auto"/>
          </w:divBdr>
        </w:div>
        <w:div w:id="404109354">
          <w:marLeft w:val="0"/>
          <w:marRight w:val="0"/>
          <w:marTop w:val="0"/>
          <w:marBottom w:val="0"/>
          <w:divBdr>
            <w:top w:val="none" w:sz="0" w:space="0" w:color="auto"/>
            <w:left w:val="none" w:sz="0" w:space="0" w:color="auto"/>
            <w:bottom w:val="none" w:sz="0" w:space="0" w:color="auto"/>
            <w:right w:val="none" w:sz="0" w:space="0" w:color="auto"/>
          </w:divBdr>
        </w:div>
        <w:div w:id="1167136777">
          <w:marLeft w:val="0"/>
          <w:marRight w:val="0"/>
          <w:marTop w:val="0"/>
          <w:marBottom w:val="0"/>
          <w:divBdr>
            <w:top w:val="none" w:sz="0" w:space="0" w:color="auto"/>
            <w:left w:val="none" w:sz="0" w:space="0" w:color="auto"/>
            <w:bottom w:val="none" w:sz="0" w:space="0" w:color="auto"/>
            <w:right w:val="none" w:sz="0" w:space="0" w:color="auto"/>
          </w:divBdr>
        </w:div>
        <w:div w:id="418645268">
          <w:marLeft w:val="0"/>
          <w:marRight w:val="0"/>
          <w:marTop w:val="0"/>
          <w:marBottom w:val="0"/>
          <w:divBdr>
            <w:top w:val="none" w:sz="0" w:space="0" w:color="auto"/>
            <w:left w:val="none" w:sz="0" w:space="0" w:color="auto"/>
            <w:bottom w:val="none" w:sz="0" w:space="0" w:color="auto"/>
            <w:right w:val="none" w:sz="0" w:space="0" w:color="auto"/>
          </w:divBdr>
        </w:div>
        <w:div w:id="1379279971">
          <w:marLeft w:val="0"/>
          <w:marRight w:val="0"/>
          <w:marTop w:val="0"/>
          <w:marBottom w:val="0"/>
          <w:divBdr>
            <w:top w:val="none" w:sz="0" w:space="0" w:color="auto"/>
            <w:left w:val="none" w:sz="0" w:space="0" w:color="auto"/>
            <w:bottom w:val="none" w:sz="0" w:space="0" w:color="auto"/>
            <w:right w:val="none" w:sz="0" w:space="0" w:color="auto"/>
          </w:divBdr>
        </w:div>
        <w:div w:id="1779712974">
          <w:marLeft w:val="0"/>
          <w:marRight w:val="0"/>
          <w:marTop w:val="0"/>
          <w:marBottom w:val="0"/>
          <w:divBdr>
            <w:top w:val="none" w:sz="0" w:space="0" w:color="auto"/>
            <w:left w:val="none" w:sz="0" w:space="0" w:color="auto"/>
            <w:bottom w:val="none" w:sz="0" w:space="0" w:color="auto"/>
            <w:right w:val="none" w:sz="0" w:space="0" w:color="auto"/>
          </w:divBdr>
        </w:div>
        <w:div w:id="1067417343">
          <w:marLeft w:val="0"/>
          <w:marRight w:val="0"/>
          <w:marTop w:val="0"/>
          <w:marBottom w:val="0"/>
          <w:divBdr>
            <w:top w:val="none" w:sz="0" w:space="0" w:color="auto"/>
            <w:left w:val="none" w:sz="0" w:space="0" w:color="auto"/>
            <w:bottom w:val="none" w:sz="0" w:space="0" w:color="auto"/>
            <w:right w:val="none" w:sz="0" w:space="0" w:color="auto"/>
          </w:divBdr>
        </w:div>
        <w:div w:id="705834793">
          <w:marLeft w:val="0"/>
          <w:marRight w:val="0"/>
          <w:marTop w:val="0"/>
          <w:marBottom w:val="0"/>
          <w:divBdr>
            <w:top w:val="none" w:sz="0" w:space="0" w:color="auto"/>
            <w:left w:val="none" w:sz="0" w:space="0" w:color="auto"/>
            <w:bottom w:val="none" w:sz="0" w:space="0" w:color="auto"/>
            <w:right w:val="none" w:sz="0" w:space="0" w:color="auto"/>
          </w:divBdr>
        </w:div>
        <w:div w:id="1011109129">
          <w:marLeft w:val="0"/>
          <w:marRight w:val="0"/>
          <w:marTop w:val="0"/>
          <w:marBottom w:val="0"/>
          <w:divBdr>
            <w:top w:val="none" w:sz="0" w:space="0" w:color="auto"/>
            <w:left w:val="none" w:sz="0" w:space="0" w:color="auto"/>
            <w:bottom w:val="none" w:sz="0" w:space="0" w:color="auto"/>
            <w:right w:val="none" w:sz="0" w:space="0" w:color="auto"/>
          </w:divBdr>
        </w:div>
        <w:div w:id="1975257076">
          <w:marLeft w:val="0"/>
          <w:marRight w:val="0"/>
          <w:marTop w:val="0"/>
          <w:marBottom w:val="0"/>
          <w:divBdr>
            <w:top w:val="none" w:sz="0" w:space="0" w:color="auto"/>
            <w:left w:val="none" w:sz="0" w:space="0" w:color="auto"/>
            <w:bottom w:val="none" w:sz="0" w:space="0" w:color="auto"/>
            <w:right w:val="none" w:sz="0" w:space="0" w:color="auto"/>
          </w:divBdr>
        </w:div>
        <w:div w:id="648750109">
          <w:marLeft w:val="0"/>
          <w:marRight w:val="0"/>
          <w:marTop w:val="0"/>
          <w:marBottom w:val="0"/>
          <w:divBdr>
            <w:top w:val="none" w:sz="0" w:space="0" w:color="auto"/>
            <w:left w:val="none" w:sz="0" w:space="0" w:color="auto"/>
            <w:bottom w:val="none" w:sz="0" w:space="0" w:color="auto"/>
            <w:right w:val="none" w:sz="0" w:space="0" w:color="auto"/>
          </w:divBdr>
        </w:div>
        <w:div w:id="2071035866">
          <w:marLeft w:val="0"/>
          <w:marRight w:val="0"/>
          <w:marTop w:val="0"/>
          <w:marBottom w:val="0"/>
          <w:divBdr>
            <w:top w:val="none" w:sz="0" w:space="0" w:color="auto"/>
            <w:left w:val="none" w:sz="0" w:space="0" w:color="auto"/>
            <w:bottom w:val="none" w:sz="0" w:space="0" w:color="auto"/>
            <w:right w:val="none" w:sz="0" w:space="0" w:color="auto"/>
          </w:divBdr>
        </w:div>
        <w:div w:id="2119131276">
          <w:marLeft w:val="0"/>
          <w:marRight w:val="0"/>
          <w:marTop w:val="0"/>
          <w:marBottom w:val="0"/>
          <w:divBdr>
            <w:top w:val="none" w:sz="0" w:space="0" w:color="auto"/>
            <w:left w:val="none" w:sz="0" w:space="0" w:color="auto"/>
            <w:bottom w:val="none" w:sz="0" w:space="0" w:color="auto"/>
            <w:right w:val="none" w:sz="0" w:space="0" w:color="auto"/>
          </w:divBdr>
        </w:div>
        <w:div w:id="288174147">
          <w:marLeft w:val="0"/>
          <w:marRight w:val="0"/>
          <w:marTop w:val="0"/>
          <w:marBottom w:val="0"/>
          <w:divBdr>
            <w:top w:val="none" w:sz="0" w:space="0" w:color="auto"/>
            <w:left w:val="none" w:sz="0" w:space="0" w:color="auto"/>
            <w:bottom w:val="none" w:sz="0" w:space="0" w:color="auto"/>
            <w:right w:val="none" w:sz="0" w:space="0" w:color="auto"/>
          </w:divBdr>
        </w:div>
        <w:div w:id="218635987">
          <w:marLeft w:val="0"/>
          <w:marRight w:val="0"/>
          <w:marTop w:val="0"/>
          <w:marBottom w:val="0"/>
          <w:divBdr>
            <w:top w:val="none" w:sz="0" w:space="0" w:color="auto"/>
            <w:left w:val="none" w:sz="0" w:space="0" w:color="auto"/>
            <w:bottom w:val="none" w:sz="0" w:space="0" w:color="auto"/>
            <w:right w:val="none" w:sz="0" w:space="0" w:color="auto"/>
          </w:divBdr>
        </w:div>
        <w:div w:id="158007861">
          <w:marLeft w:val="0"/>
          <w:marRight w:val="0"/>
          <w:marTop w:val="0"/>
          <w:marBottom w:val="0"/>
          <w:divBdr>
            <w:top w:val="none" w:sz="0" w:space="0" w:color="auto"/>
            <w:left w:val="none" w:sz="0" w:space="0" w:color="auto"/>
            <w:bottom w:val="none" w:sz="0" w:space="0" w:color="auto"/>
            <w:right w:val="none" w:sz="0" w:space="0" w:color="auto"/>
          </w:divBdr>
        </w:div>
        <w:div w:id="715204690">
          <w:marLeft w:val="0"/>
          <w:marRight w:val="0"/>
          <w:marTop w:val="0"/>
          <w:marBottom w:val="0"/>
          <w:divBdr>
            <w:top w:val="none" w:sz="0" w:space="0" w:color="auto"/>
            <w:left w:val="none" w:sz="0" w:space="0" w:color="auto"/>
            <w:bottom w:val="none" w:sz="0" w:space="0" w:color="auto"/>
            <w:right w:val="none" w:sz="0" w:space="0" w:color="auto"/>
          </w:divBdr>
        </w:div>
        <w:div w:id="1899902672">
          <w:marLeft w:val="0"/>
          <w:marRight w:val="0"/>
          <w:marTop w:val="0"/>
          <w:marBottom w:val="0"/>
          <w:divBdr>
            <w:top w:val="none" w:sz="0" w:space="0" w:color="auto"/>
            <w:left w:val="none" w:sz="0" w:space="0" w:color="auto"/>
            <w:bottom w:val="none" w:sz="0" w:space="0" w:color="auto"/>
            <w:right w:val="none" w:sz="0" w:space="0" w:color="auto"/>
          </w:divBdr>
        </w:div>
        <w:div w:id="1347561769">
          <w:marLeft w:val="0"/>
          <w:marRight w:val="0"/>
          <w:marTop w:val="0"/>
          <w:marBottom w:val="0"/>
          <w:divBdr>
            <w:top w:val="none" w:sz="0" w:space="0" w:color="auto"/>
            <w:left w:val="none" w:sz="0" w:space="0" w:color="auto"/>
            <w:bottom w:val="none" w:sz="0" w:space="0" w:color="auto"/>
            <w:right w:val="none" w:sz="0" w:space="0" w:color="auto"/>
          </w:divBdr>
        </w:div>
        <w:div w:id="333191095">
          <w:marLeft w:val="0"/>
          <w:marRight w:val="0"/>
          <w:marTop w:val="0"/>
          <w:marBottom w:val="0"/>
          <w:divBdr>
            <w:top w:val="none" w:sz="0" w:space="0" w:color="auto"/>
            <w:left w:val="none" w:sz="0" w:space="0" w:color="auto"/>
            <w:bottom w:val="none" w:sz="0" w:space="0" w:color="auto"/>
            <w:right w:val="none" w:sz="0" w:space="0" w:color="auto"/>
          </w:divBdr>
        </w:div>
        <w:div w:id="1188566955">
          <w:marLeft w:val="0"/>
          <w:marRight w:val="0"/>
          <w:marTop w:val="0"/>
          <w:marBottom w:val="0"/>
          <w:divBdr>
            <w:top w:val="none" w:sz="0" w:space="0" w:color="auto"/>
            <w:left w:val="none" w:sz="0" w:space="0" w:color="auto"/>
            <w:bottom w:val="none" w:sz="0" w:space="0" w:color="auto"/>
            <w:right w:val="none" w:sz="0" w:space="0" w:color="auto"/>
          </w:divBdr>
        </w:div>
        <w:div w:id="83307386">
          <w:marLeft w:val="0"/>
          <w:marRight w:val="0"/>
          <w:marTop w:val="0"/>
          <w:marBottom w:val="0"/>
          <w:divBdr>
            <w:top w:val="none" w:sz="0" w:space="0" w:color="auto"/>
            <w:left w:val="none" w:sz="0" w:space="0" w:color="auto"/>
            <w:bottom w:val="none" w:sz="0" w:space="0" w:color="auto"/>
            <w:right w:val="none" w:sz="0" w:space="0" w:color="auto"/>
          </w:divBdr>
        </w:div>
        <w:div w:id="1872645841">
          <w:marLeft w:val="0"/>
          <w:marRight w:val="0"/>
          <w:marTop w:val="0"/>
          <w:marBottom w:val="0"/>
          <w:divBdr>
            <w:top w:val="none" w:sz="0" w:space="0" w:color="auto"/>
            <w:left w:val="none" w:sz="0" w:space="0" w:color="auto"/>
            <w:bottom w:val="none" w:sz="0" w:space="0" w:color="auto"/>
            <w:right w:val="none" w:sz="0" w:space="0" w:color="auto"/>
          </w:divBdr>
        </w:div>
        <w:div w:id="1480998445">
          <w:marLeft w:val="0"/>
          <w:marRight w:val="0"/>
          <w:marTop w:val="0"/>
          <w:marBottom w:val="0"/>
          <w:divBdr>
            <w:top w:val="none" w:sz="0" w:space="0" w:color="auto"/>
            <w:left w:val="none" w:sz="0" w:space="0" w:color="auto"/>
            <w:bottom w:val="none" w:sz="0" w:space="0" w:color="auto"/>
            <w:right w:val="none" w:sz="0" w:space="0" w:color="auto"/>
          </w:divBdr>
        </w:div>
        <w:div w:id="1555773865">
          <w:marLeft w:val="0"/>
          <w:marRight w:val="0"/>
          <w:marTop w:val="0"/>
          <w:marBottom w:val="0"/>
          <w:divBdr>
            <w:top w:val="none" w:sz="0" w:space="0" w:color="auto"/>
            <w:left w:val="none" w:sz="0" w:space="0" w:color="auto"/>
            <w:bottom w:val="none" w:sz="0" w:space="0" w:color="auto"/>
            <w:right w:val="none" w:sz="0" w:space="0" w:color="auto"/>
          </w:divBdr>
        </w:div>
        <w:div w:id="406538383">
          <w:marLeft w:val="0"/>
          <w:marRight w:val="0"/>
          <w:marTop w:val="0"/>
          <w:marBottom w:val="0"/>
          <w:divBdr>
            <w:top w:val="none" w:sz="0" w:space="0" w:color="auto"/>
            <w:left w:val="none" w:sz="0" w:space="0" w:color="auto"/>
            <w:bottom w:val="none" w:sz="0" w:space="0" w:color="auto"/>
            <w:right w:val="none" w:sz="0" w:space="0" w:color="auto"/>
          </w:divBdr>
        </w:div>
        <w:div w:id="559749926">
          <w:marLeft w:val="0"/>
          <w:marRight w:val="0"/>
          <w:marTop w:val="0"/>
          <w:marBottom w:val="0"/>
          <w:divBdr>
            <w:top w:val="none" w:sz="0" w:space="0" w:color="auto"/>
            <w:left w:val="none" w:sz="0" w:space="0" w:color="auto"/>
            <w:bottom w:val="none" w:sz="0" w:space="0" w:color="auto"/>
            <w:right w:val="none" w:sz="0" w:space="0" w:color="auto"/>
          </w:divBdr>
        </w:div>
        <w:div w:id="244187858">
          <w:marLeft w:val="0"/>
          <w:marRight w:val="0"/>
          <w:marTop w:val="0"/>
          <w:marBottom w:val="0"/>
          <w:divBdr>
            <w:top w:val="none" w:sz="0" w:space="0" w:color="auto"/>
            <w:left w:val="none" w:sz="0" w:space="0" w:color="auto"/>
            <w:bottom w:val="none" w:sz="0" w:space="0" w:color="auto"/>
            <w:right w:val="none" w:sz="0" w:space="0" w:color="auto"/>
          </w:divBdr>
        </w:div>
        <w:div w:id="1084373617">
          <w:marLeft w:val="0"/>
          <w:marRight w:val="0"/>
          <w:marTop w:val="0"/>
          <w:marBottom w:val="0"/>
          <w:divBdr>
            <w:top w:val="none" w:sz="0" w:space="0" w:color="auto"/>
            <w:left w:val="none" w:sz="0" w:space="0" w:color="auto"/>
            <w:bottom w:val="none" w:sz="0" w:space="0" w:color="auto"/>
            <w:right w:val="none" w:sz="0" w:space="0" w:color="auto"/>
          </w:divBdr>
        </w:div>
        <w:div w:id="742726181">
          <w:marLeft w:val="0"/>
          <w:marRight w:val="0"/>
          <w:marTop w:val="0"/>
          <w:marBottom w:val="0"/>
          <w:divBdr>
            <w:top w:val="none" w:sz="0" w:space="0" w:color="auto"/>
            <w:left w:val="none" w:sz="0" w:space="0" w:color="auto"/>
            <w:bottom w:val="none" w:sz="0" w:space="0" w:color="auto"/>
            <w:right w:val="none" w:sz="0" w:space="0" w:color="auto"/>
          </w:divBdr>
        </w:div>
        <w:div w:id="594395">
          <w:marLeft w:val="0"/>
          <w:marRight w:val="0"/>
          <w:marTop w:val="0"/>
          <w:marBottom w:val="0"/>
          <w:divBdr>
            <w:top w:val="none" w:sz="0" w:space="0" w:color="auto"/>
            <w:left w:val="none" w:sz="0" w:space="0" w:color="auto"/>
            <w:bottom w:val="none" w:sz="0" w:space="0" w:color="auto"/>
            <w:right w:val="none" w:sz="0" w:space="0" w:color="auto"/>
          </w:divBdr>
        </w:div>
        <w:div w:id="50412923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s://www.dsca.mil/programs/foreign-military-sales-fm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scholarship.law.missouri.edu/mlr/vol53/iss2/8" TargetMode="External"/><Relationship Id="rId2" Type="http://schemas.openxmlformats.org/officeDocument/2006/relationships/customXml" Target="../customXml/item2.xml"/><Relationship Id="rId16" Type="http://schemas.openxmlformats.org/officeDocument/2006/relationships/hyperlink" Target="http://www.oscn.net/applications/oscn/deliverdocument.asp?box1=106&amp;box2=U.S.&amp;box3=36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oscn.net/applications/oscn/DeliverDocument.asp?CiteID=20287" TargetMode="External"/><Relationship Id="rId5" Type="http://schemas.openxmlformats.org/officeDocument/2006/relationships/numbering" Target="numbering.xml"/><Relationship Id="rId15" Type="http://schemas.openxmlformats.org/officeDocument/2006/relationships/hyperlink" Target="http://www.oscn.net/applications/oscn/DeliverDocument.asp?CiteID=20287" TargetMode="Externa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s://www.theguardian.com/commentisfree/2016/aug/24/greater-transparency-arms-trade-save-lives%206/24/16" TargetMode="External"/><Relationship Id="rId4" Type="http://schemas.openxmlformats.org/officeDocument/2006/relationships/customXml" Target="../customXml/item4.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box1=802&amp;box2=P.2D&amp;box3=8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E1806E3-2522-744E-8A00-F37649DFE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C:\Users\Allie\AppData\Roaming\Microsoft\Templates\Debate.dotm</Template>
  <TotalTime>1</TotalTime>
  <Pages>1</Pages>
  <Words>3241</Words>
  <Characters>18477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21675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Aniruddha Marathe</cp:lastModifiedBy>
  <cp:revision>4</cp:revision>
  <dcterms:created xsi:type="dcterms:W3CDTF">2019-06-30T21:43:00Z</dcterms:created>
  <dcterms:modified xsi:type="dcterms:W3CDTF">2019-07-02T04:22:00Z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